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val="clear" w:fill="1C3A36"/>
          </w:tcPr>
          <w:p>
            <w:pPr>
              <w:spacing w:line="264" w:lineRule="auto"/>
            </w:pPr>
            <w:r>
              <w:rPr>
                <w:b/>
                <w:i w:val="0"/>
                <w:color w:val="FFFFFF"/>
                <w:sz w:val="21"/>
              </w:rPr>
              <w:t>Testahil  ·  Independent Valuation Study - Educational Analysis            Not investment advice</w:t>
            </w:r>
          </w:p>
        </w:tc>
      </w:tr>
    </w:tbl>
    <w:p>
      <w:pPr>
        <w:spacing w:line="264" w:lineRule="auto" w:before="160"/>
      </w:pPr>
      <w:r>
        <w:rPr>
          <w:b/>
          <w:i w:val="0"/>
          <w:color w:val="1C3A36"/>
          <w:sz w:val="26"/>
        </w:rPr>
        <w:t>Independent Valuation Study - Educational Analysis</w:t>
      </w:r>
    </w:p>
    <w:p>
      <w:pPr>
        <w:spacing w:line="264" w:lineRule="auto" w:before="160"/>
      </w:pPr>
      <w:r>
        <w:rPr>
          <w:b/>
          <w:i w:val="0"/>
          <w:color w:val="1C3A36"/>
          <w:sz w:val="30"/>
        </w:rPr>
        <w:t>Oriental Weavers Carpet Company (S.A.E.)  (EGX: ORWE)</w:t>
      </w:r>
    </w:p>
    <w:p>
      <w:pPr>
        <w:spacing w:line="264" w:lineRule="auto"/>
      </w:pPr>
      <w:r>
        <w:rPr>
          <w:b w:val="0"/>
          <w:i/>
          <w:color w:val="666666"/>
          <w:sz w:val="21"/>
        </w:rPr>
        <w:t>Fundamental analysis · Technical analysis · Monte Carlo simulation - one integrated read</w:t>
      </w:r>
    </w:p>
    <w:p>
      <w:pPr>
        <w:spacing w:line="264" w:lineRule="auto"/>
      </w:pPr>
      <w:r>
        <w:rPr>
          <w:b/>
          <w:i w:val="0"/>
          <w:color w:val="1C3A36"/>
          <w:sz w:val="21"/>
        </w:rPr>
        <w:t xml:space="preserve">Anchor: </w:t>
      </w:r>
      <w:r>
        <w:rPr>
          <w:b w:val="0"/>
          <w:i w:val="0"/>
          <w:sz w:val="21"/>
        </w:rPr>
        <w:t>EGP 22.34 (1 Jul 2026 close) · ~665.1 mn shares (per dividend arithmetic - confirm) · mkt cap ~EGP 14.9 bn · the world's largest machine-woven carpet and rug producer - vertically integrated from fibre extrusion to 260+ Egyptian showrooms, plants in Egypt and the US, exports ~60-64% of revenue to 130-150 countries · Khamis family 56.58% · prices and probabilities computed 1 Jul 2026 from the attached daily history · primary lens: free-cash-flow-to-equity DCF with a mid-cycle EBITDA cross-check · swing factors: the EGP, the state export-rebate program, US tariffs - and the working-capital cycle that decides how much profit becomes cash.</w:t>
      </w:r>
    </w:p>
    <w:tbl>
      <w:tblPr>
        <w:tblStyle w:val="TableGrid"/>
        <w:tblW w:type="auto" w:w="0"/>
        <w:tblLook w:firstColumn="1" w:firstRow="1" w:lastColumn="0" w:lastRow="0" w:noHBand="0" w:noVBand="1" w:val="04A0"/>
      </w:tblPr>
      <w:tblGrid>
        <w:gridCol w:w="9936"/>
      </w:tblGrid>
      <w:tr>
        <w:tc>
          <w:tcPr>
            <w:tcW w:type="dxa" w:w="9936"/>
            <w:shd w:val="clear" w:fill="F6F1E6"/>
          </w:tcPr>
          <w:p>
            <w:pPr>
              <w:spacing w:line="264" w:lineRule="auto"/>
            </w:pPr>
            <w:r>
              <w:rPr>
                <w:b/>
                <w:i w:val="0"/>
                <w:color w:val="1C3A36"/>
                <w:sz w:val="19"/>
              </w:rPr>
              <w:t xml:space="preserve">READ FIRST - what this document is, and is not. </w:t>
            </w:r>
            <w:r>
              <w:rPr>
                <w:b w:val="0"/>
                <w:i w:val="0"/>
                <w:sz w:val="18"/>
              </w:rPr>
              <w:t>This study is a valuation exercise and an expression of personal analytical opinion, published free of charge for educational purposes. It is NOT investment advice, NOT a recommendation or solicitation to buy, sell or hold any security, and NOT directed at the circumstances of any reader. The preparer is not licensed by any securities regulator, manages no money, and accepts no fees, funds or clients. All values are model outputs presented as ranges and distributions because no single number should be relied on. Revenue, attributable profit and the dividend are sourced from company disclosure (4Q23 earnings release; Mubasher-reported FY24 results, 6 Jan 2025; AGM dividend disclosure, Apr 2026). The FY25 gross-profit figure and the SG&amp;A / D&amp;A / other-income splits are the preparer's estimates pending the FY25 consolidated statements; the share count is derived from the dividend arithmetic (EGP 997.66 mn at EGP 1.5/share); net debt is an estimate; and the Monte-Carlo factor set is borrowed from the nearest calibrated class (consumer staples) for a consumer-durables exporter - all flagged. See the Disclosure &amp; Disclaimer at the end.</w:t>
            </w:r>
          </w:p>
        </w:tc>
      </w:tr>
    </w:tbl>
    <w:p>
      <w:pPr>
        <w:spacing w:before="160" w:after="120" w:line="264" w:lineRule="auto"/>
      </w:pPr>
      <w:r>
        <w:rPr>
          <w:b/>
          <w:i w:val="0"/>
          <w:color w:val="1C3A36"/>
          <w:sz w:val="30"/>
        </w:rPr>
        <w:t>Headline</w:t>
      </w:r>
    </w:p>
    <w:p>
      <w:pPr>
        <w:spacing w:after="120" w:line="264" w:lineRule="auto"/>
      </w:pPr>
      <w:r>
        <w:rPr>
          <w:b w:val="0"/>
          <w:i w:val="0"/>
          <w:sz w:val="21"/>
        </w:rPr>
        <w:t>At EGP 22.34 Oriental Weavers looks cheap - 6.0x forward earnings, a 6.7% dividend yield - and is, on the weighted evidence, merely fair: the blended centre sits at ~EGP 20.9, about 6% below the price. The gap between the optics and the answer is the whole thesis. FY2025 sales rose ~10% to EGP 26.6 bn while attributable profit stayed flat at EGP 2.19 bn - margins handed back what the currency had given - and the cash-flow lens prices two things the P/E cannot see: a working-capital cycle that consumes ~28 piasters of every incremental revenue pound, and an earnings base resting on three policy crutches (devaluation pass-through, fading export rebates, and a fat non-operating income line). The three-month probability map tilts mildly higher: a 25-75% band of EGP 21.0-25.0 around a 22.9 median.</w:t>
      </w:r>
    </w:p>
    <w:p>
      <w:pPr>
        <w:spacing w:before="160" w:after="120" w:line="264" w:lineRule="auto"/>
      </w:pPr>
      <w:r>
        <w:rPr>
          <w:b/>
          <w:i w:val="0"/>
          <w:color w:val="1C3A36"/>
          <w:sz w:val="26"/>
        </w:rPr>
        <w:t>Valuation summary - every read at a glance</w:t>
      </w:r>
    </w:p>
    <w:p>
      <w:pPr>
        <w:spacing w:after="120" w:line="264" w:lineRule="auto"/>
      </w:pPr>
      <w:r>
        <w:rPr>
          <w:b w:val="0"/>
          <w:i w:val="0"/>
          <w:sz w:val="21"/>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tblLook w:firstColumn="1" w:firstRow="1" w:lastColumn="0" w:lastRow="0" w:noHBand="0" w:noVBand="1" w:val="04A0"/>
      </w:tblPr>
      <w:tblGrid>
        <w:gridCol w:w="2484"/>
        <w:gridCol w:w="2484"/>
        <w:gridCol w:w="2484"/>
        <w:gridCol w:w="2484"/>
      </w:tblGrid>
      <w:tr>
        <w:tc>
          <w:tcPr>
            <w:tcW w:type="dxa" w:w="2736"/>
            <w:shd w:val="clear" w:fill="1C3A36"/>
          </w:tcPr>
          <w:p>
            <w:pPr>
              <w:spacing w:line="264" w:lineRule="auto"/>
            </w:pPr>
            <w:r>
              <w:rPr>
                <w:b/>
                <w:i w:val="0"/>
                <w:color w:val="FFFFFF"/>
                <w:sz w:val="18"/>
              </w:rPr>
              <w:t>Lens / read</w:t>
            </w:r>
          </w:p>
        </w:tc>
        <w:tc>
          <w:tcPr>
            <w:tcW w:type="dxa" w:w="3744"/>
            <w:shd w:val="clear" w:fill="1C3A36"/>
          </w:tcPr>
          <w:p>
            <w:pPr>
              <w:spacing w:line="264" w:lineRule="auto"/>
              <w:jc w:val="right"/>
            </w:pPr>
            <w:r>
              <w:rPr>
                <w:b/>
                <w:i w:val="0"/>
                <w:color w:val="FFFFFF"/>
                <w:sz w:val="18"/>
              </w:rPr>
              <w:t>What it measures</w:t>
            </w:r>
          </w:p>
        </w:tc>
        <w:tc>
          <w:tcPr>
            <w:tcW w:type="dxa" w:w="1728"/>
            <w:shd w:val="clear" w:fill="1C3A36"/>
          </w:tcPr>
          <w:p>
            <w:pPr>
              <w:spacing w:line="264" w:lineRule="auto"/>
              <w:jc w:val="right"/>
            </w:pPr>
            <w:r>
              <w:rPr>
                <w:b/>
                <w:i w:val="0"/>
                <w:color w:val="FFFFFF"/>
                <w:sz w:val="18"/>
              </w:rPr>
              <w:t>Output</w:t>
            </w:r>
          </w:p>
        </w:tc>
        <w:tc>
          <w:tcPr>
            <w:tcW w:type="dxa" w:w="2304"/>
            <w:shd w:val="clear" w:fill="1C3A36"/>
          </w:tcPr>
          <w:p>
            <w:pPr>
              <w:spacing w:line="264" w:lineRule="auto"/>
              <w:jc w:val="right"/>
            </w:pPr>
            <w:r>
              <w:rPr>
                <w:b/>
                <w:i w:val="0"/>
                <w:color w:val="FFFFFF"/>
                <w:sz w:val="18"/>
              </w:rPr>
              <w:t>Takeaway</w:t>
            </w:r>
          </w:p>
        </w:tc>
      </w:tr>
      <w:tr>
        <w:tc>
          <w:tcPr>
            <w:tcW w:type="dxa" w:w="2304"/>
            <w:gridSpan w:val="4"/>
            <w:shd w:val="clear" w:fill="1C3A36"/>
          </w:tcPr>
          <w:p>
            <w:pPr>
              <w:spacing w:line="264" w:lineRule="auto"/>
            </w:pPr>
            <w:r>
              <w:rPr>
                <w:b/>
                <w:i w:val="0"/>
                <w:color w:val="FFFFFF"/>
                <w:sz w:val="19"/>
              </w:rPr>
              <w:t>FUNDAMENTAL - what the business is worth (the anchor)</w:t>
            </w:r>
          </w:p>
        </w:tc>
      </w:tr>
      <w:tr>
        <w:tc>
          <w:tcPr>
            <w:tcW w:type="dxa" w:w="2736"/>
            <w:shd w:val="clear" w:fill="EFF3F1"/>
          </w:tcPr>
          <w:p>
            <w:pPr>
              <w:spacing w:line="264" w:lineRule="auto"/>
            </w:pPr>
            <w:r>
              <w:rPr>
                <w:b w:val="0"/>
                <w:i w:val="0"/>
                <w:color w:val="1C3A36"/>
                <w:sz w:val="18"/>
              </w:rPr>
              <w:t>FCFE DCF (primary)</w:t>
            </w:r>
          </w:p>
        </w:tc>
        <w:tc>
          <w:tcPr>
            <w:tcW w:type="dxa" w:w="3744"/>
            <w:shd w:val="clear" w:fill="EFF3F1"/>
          </w:tcPr>
          <w:p>
            <w:pPr>
              <w:spacing w:line="264" w:lineRule="auto"/>
              <w:jc w:val="right"/>
            </w:pPr>
            <w:r>
              <w:rPr>
                <w:b w:val="0"/>
                <w:i w:val="0"/>
                <w:sz w:val="18"/>
              </w:rPr>
              <w:t>5-yr free cash flow to equity at 24%</w:t>
            </w:r>
          </w:p>
        </w:tc>
        <w:tc>
          <w:tcPr>
            <w:tcW w:type="dxa" w:w="1728"/>
            <w:shd w:val="clear" w:fill="EFF3F1"/>
          </w:tcPr>
          <w:p>
            <w:pPr>
              <w:spacing w:line="264" w:lineRule="auto"/>
              <w:jc w:val="right"/>
            </w:pPr>
            <w:r>
              <w:rPr>
                <w:b w:val="0"/>
                <w:i w:val="0"/>
                <w:sz w:val="18"/>
              </w:rPr>
              <w:t>EGP 17.3</w:t>
            </w:r>
          </w:p>
        </w:tc>
        <w:tc>
          <w:tcPr>
            <w:tcW w:type="dxa" w:w="2304"/>
            <w:shd w:val="clear" w:fill="EFF3F1"/>
          </w:tcPr>
          <w:p>
            <w:pPr>
              <w:spacing w:line="264" w:lineRule="auto"/>
              <w:jc w:val="right"/>
            </w:pPr>
            <w:r>
              <w:rPr>
                <w:b w:val="0"/>
                <w:i w:val="0"/>
                <w:sz w:val="18"/>
              </w:rPr>
              <w:t>-23% vs spot</w:t>
            </w:r>
          </w:p>
        </w:tc>
      </w:tr>
      <w:tr>
        <w:tc>
          <w:tcPr>
            <w:tcW w:type="dxa" w:w="2736"/>
          </w:tcPr>
          <w:p>
            <w:pPr>
              <w:spacing w:line="264" w:lineRule="auto"/>
            </w:pPr>
            <w:r>
              <w:rPr>
                <w:b w:val="0"/>
                <w:i w:val="0"/>
                <w:color w:val="1C3A36"/>
                <w:sz w:val="18"/>
              </w:rPr>
              <w:t>Mid-cycle EBITDA x mult.</w:t>
            </w:r>
          </w:p>
        </w:tc>
        <w:tc>
          <w:tcPr>
            <w:tcW w:type="dxa" w:w="3744"/>
          </w:tcPr>
          <w:p>
            <w:pPr>
              <w:spacing w:line="264" w:lineRule="auto"/>
              <w:jc w:val="right"/>
            </w:pPr>
            <w:r>
              <w:rPr>
                <w:b w:val="0"/>
                <w:i w:val="0"/>
                <w:sz w:val="18"/>
              </w:rPr>
              <w:t>Enterprise view, ex one-offs</w:t>
            </w:r>
          </w:p>
        </w:tc>
        <w:tc>
          <w:tcPr>
            <w:tcW w:type="dxa" w:w="1728"/>
          </w:tcPr>
          <w:p>
            <w:pPr>
              <w:spacing w:line="264" w:lineRule="auto"/>
              <w:jc w:val="right"/>
            </w:pPr>
            <w:r>
              <w:rPr>
                <w:b w:val="0"/>
                <w:i w:val="0"/>
                <w:sz w:val="18"/>
              </w:rPr>
              <w:t>EGP 21.2</w:t>
            </w:r>
          </w:p>
        </w:tc>
        <w:tc>
          <w:tcPr>
            <w:tcW w:type="dxa" w:w="2304"/>
          </w:tcPr>
          <w:p>
            <w:pPr>
              <w:spacing w:line="264" w:lineRule="auto"/>
              <w:jc w:val="right"/>
            </w:pPr>
            <w:r>
              <w:rPr>
                <w:b w:val="0"/>
                <w:i w:val="0"/>
                <w:sz w:val="18"/>
              </w:rPr>
              <w:t>-5%</w:t>
            </w:r>
          </w:p>
        </w:tc>
      </w:tr>
      <w:tr>
        <w:tc>
          <w:tcPr>
            <w:tcW w:type="dxa" w:w="2736"/>
            <w:shd w:val="clear" w:fill="EFF3F1"/>
          </w:tcPr>
          <w:p>
            <w:pPr>
              <w:spacing w:line="264" w:lineRule="auto"/>
            </w:pPr>
            <w:r>
              <w:rPr>
                <w:b w:val="0"/>
                <w:i w:val="0"/>
                <w:color w:val="1C3A36"/>
                <w:sz w:val="18"/>
              </w:rPr>
              <w:t>Relative multiples</w:t>
            </w:r>
          </w:p>
        </w:tc>
        <w:tc>
          <w:tcPr>
            <w:tcW w:type="dxa" w:w="3744"/>
            <w:shd w:val="clear" w:fill="EFF3F1"/>
          </w:tcPr>
          <w:p>
            <w:pPr>
              <w:spacing w:line="264" w:lineRule="auto"/>
              <w:jc w:val="right"/>
            </w:pPr>
            <w:r>
              <w:rPr>
                <w:b w:val="0"/>
                <w:i w:val="0"/>
                <w:sz w:val="18"/>
              </w:rPr>
              <w:t>8x FY26E EPS vs EGX peers</w:t>
            </w:r>
          </w:p>
        </w:tc>
        <w:tc>
          <w:tcPr>
            <w:tcW w:type="dxa" w:w="1728"/>
            <w:shd w:val="clear" w:fill="EFF3F1"/>
          </w:tcPr>
          <w:p>
            <w:pPr>
              <w:spacing w:line="264" w:lineRule="auto"/>
              <w:jc w:val="right"/>
            </w:pPr>
            <w:r>
              <w:rPr>
                <w:b w:val="0"/>
                <w:i w:val="0"/>
                <w:sz w:val="18"/>
              </w:rPr>
              <w:t>EGP 29.7</w:t>
            </w:r>
          </w:p>
        </w:tc>
        <w:tc>
          <w:tcPr>
            <w:tcW w:type="dxa" w:w="2304"/>
            <w:shd w:val="clear" w:fill="EFF3F1"/>
          </w:tcPr>
          <w:p>
            <w:pPr>
              <w:spacing w:line="264" w:lineRule="auto"/>
              <w:jc w:val="right"/>
            </w:pPr>
            <w:r>
              <w:rPr>
                <w:b w:val="0"/>
                <w:i w:val="0"/>
                <w:sz w:val="18"/>
              </w:rPr>
              <w:t>+33% · the ceiling</w:t>
            </w:r>
          </w:p>
        </w:tc>
      </w:tr>
      <w:tr>
        <w:tc>
          <w:tcPr>
            <w:tcW w:type="dxa" w:w="2736"/>
          </w:tcPr>
          <w:p>
            <w:pPr>
              <w:spacing w:line="264" w:lineRule="auto"/>
            </w:pPr>
            <w:r>
              <w:rPr>
                <w:b w:val="0"/>
                <w:i w:val="0"/>
                <w:color w:val="1C3A36"/>
                <w:sz w:val="18"/>
              </w:rPr>
              <w:t>Normalized earnings</w:t>
            </w:r>
          </w:p>
        </w:tc>
        <w:tc>
          <w:tcPr>
            <w:tcW w:type="dxa" w:w="3744"/>
          </w:tcPr>
          <w:p>
            <w:pPr>
              <w:spacing w:line="264" w:lineRule="auto"/>
              <w:jc w:val="right"/>
            </w:pPr>
            <w:r>
              <w:rPr>
                <w:b w:val="0"/>
                <w:i w:val="0"/>
                <w:sz w:val="18"/>
              </w:rPr>
              <w:t>Recurring EPS x fair cyclical P/E</w:t>
            </w:r>
          </w:p>
        </w:tc>
        <w:tc>
          <w:tcPr>
            <w:tcW w:type="dxa" w:w="1728"/>
          </w:tcPr>
          <w:p>
            <w:pPr>
              <w:spacing w:line="264" w:lineRule="auto"/>
              <w:jc w:val="right"/>
            </w:pPr>
            <w:r>
              <w:rPr>
                <w:b w:val="0"/>
                <w:i w:val="0"/>
                <w:sz w:val="18"/>
              </w:rPr>
              <w:t>EGP 21.1</w:t>
            </w:r>
          </w:p>
        </w:tc>
        <w:tc>
          <w:tcPr>
            <w:tcW w:type="dxa" w:w="2304"/>
          </w:tcPr>
          <w:p>
            <w:pPr>
              <w:spacing w:line="264" w:lineRule="auto"/>
              <w:jc w:val="right"/>
            </w:pPr>
            <w:r>
              <w:rPr>
                <w:b w:val="0"/>
                <w:i w:val="0"/>
                <w:sz w:val="18"/>
              </w:rPr>
              <w:t>-6%</w:t>
            </w:r>
          </w:p>
        </w:tc>
      </w:tr>
      <w:tr>
        <w:tc>
          <w:tcPr>
            <w:tcW w:type="dxa" w:w="2736"/>
            <w:shd w:val="clear" w:fill="EFF3F1"/>
          </w:tcPr>
          <w:p>
            <w:pPr>
              <w:spacing w:line="264" w:lineRule="auto"/>
            </w:pPr>
            <w:r>
              <w:rPr>
                <w:b/>
                <w:i w:val="0"/>
                <w:color w:val="1C3A36"/>
                <w:sz w:val="18"/>
              </w:rPr>
              <w:t>Weighted central</w:t>
            </w:r>
          </w:p>
        </w:tc>
        <w:tc>
          <w:tcPr>
            <w:tcW w:type="dxa" w:w="3744"/>
            <w:shd w:val="clear" w:fill="EFF3F1"/>
          </w:tcPr>
          <w:p>
            <w:pPr>
              <w:spacing w:line="264" w:lineRule="auto"/>
              <w:jc w:val="right"/>
            </w:pPr>
            <w:r>
              <w:rPr>
                <w:b/>
                <w:i w:val="0"/>
                <w:sz w:val="18"/>
              </w:rPr>
              <w:t>Blend 40 / 20 / 15 / 25</w:t>
            </w:r>
          </w:p>
        </w:tc>
        <w:tc>
          <w:tcPr>
            <w:tcW w:type="dxa" w:w="1728"/>
            <w:shd w:val="clear" w:fill="EFF3F1"/>
          </w:tcPr>
          <w:p>
            <w:pPr>
              <w:spacing w:line="264" w:lineRule="auto"/>
              <w:jc w:val="right"/>
            </w:pPr>
            <w:r>
              <w:rPr>
                <w:b/>
                <w:i w:val="0"/>
                <w:sz w:val="18"/>
              </w:rPr>
              <w:t>EGP 20.9</w:t>
            </w:r>
          </w:p>
        </w:tc>
        <w:tc>
          <w:tcPr>
            <w:tcW w:type="dxa" w:w="2304"/>
            <w:shd w:val="clear" w:fill="EFF3F1"/>
          </w:tcPr>
          <w:p>
            <w:pPr>
              <w:spacing w:line="264" w:lineRule="auto"/>
              <w:jc w:val="right"/>
            </w:pPr>
            <w:r>
              <w:rPr>
                <w:b/>
                <w:i w:val="0"/>
                <w:sz w:val="18"/>
              </w:rPr>
              <w:t>-6% vs 22.34</w:t>
            </w:r>
          </w:p>
        </w:tc>
      </w:tr>
      <w:tr>
        <w:tc>
          <w:tcPr>
            <w:tcW w:type="dxa" w:w="2304"/>
            <w:gridSpan w:val="4"/>
            <w:shd w:val="clear" w:fill="1C3A36"/>
          </w:tcPr>
          <w:p>
            <w:pPr>
              <w:spacing w:line="264" w:lineRule="auto"/>
            </w:pPr>
            <w:r>
              <w:rPr>
                <w:b/>
                <w:i w:val="0"/>
                <w:color w:val="FFFFFF"/>
                <w:sz w:val="19"/>
              </w:rPr>
              <w:t>TECHNICAL - what the tape is doing (timing, not value)</w:t>
            </w:r>
          </w:p>
        </w:tc>
      </w:tr>
      <w:tr>
        <w:tc>
          <w:tcPr>
            <w:tcW w:type="dxa" w:w="2736"/>
            <w:shd w:val="clear" w:fill="EFF3F1"/>
          </w:tcPr>
          <w:p>
            <w:pPr>
              <w:spacing w:line="264" w:lineRule="auto"/>
            </w:pPr>
            <w:r>
              <w:rPr>
                <w:b w:val="0"/>
                <w:i w:val="0"/>
                <w:color w:val="1C3A36"/>
                <w:sz w:val="18"/>
              </w:rPr>
              <w:t>Trend &amp; momentum</w:t>
            </w:r>
          </w:p>
        </w:tc>
        <w:tc>
          <w:tcPr>
            <w:tcW w:type="dxa" w:w="3744"/>
            <w:shd w:val="clear" w:fill="EFF3F1"/>
          </w:tcPr>
          <w:p>
            <w:pPr>
              <w:spacing w:line="264" w:lineRule="auto"/>
              <w:jc w:val="right"/>
            </w:pPr>
            <w:r>
              <w:rPr>
                <w:b w:val="0"/>
                <w:i w:val="0"/>
                <w:sz w:val="18"/>
              </w:rPr>
              <w:t>Price vs 20/50/100/200-day</w:t>
            </w:r>
          </w:p>
        </w:tc>
        <w:tc>
          <w:tcPr>
            <w:tcW w:type="dxa" w:w="1728"/>
            <w:shd w:val="clear" w:fill="EFF3F1"/>
          </w:tcPr>
          <w:p>
            <w:pPr>
              <w:spacing w:line="264" w:lineRule="auto"/>
              <w:jc w:val="right"/>
            </w:pPr>
            <w:r>
              <w:rPr>
                <w:b w:val="0"/>
                <w:i w:val="0"/>
                <w:sz w:val="18"/>
              </w:rPr>
              <w:t>Below all four; RSI 33</w:t>
            </w:r>
          </w:p>
        </w:tc>
        <w:tc>
          <w:tcPr>
            <w:tcW w:type="dxa" w:w="2304"/>
            <w:shd w:val="clear" w:fill="EFF3F1"/>
          </w:tcPr>
          <w:p>
            <w:pPr>
              <w:spacing w:line="264" w:lineRule="auto"/>
              <w:jc w:val="right"/>
            </w:pPr>
            <w:r>
              <w:rPr>
                <w:b w:val="0"/>
                <w:i w:val="0"/>
                <w:sz w:val="18"/>
              </w:rPr>
              <w:t>Soft, low end of range</w:t>
            </w:r>
          </w:p>
        </w:tc>
      </w:tr>
      <w:tr>
        <w:tc>
          <w:tcPr>
            <w:tcW w:type="dxa" w:w="2304"/>
            <w:gridSpan w:val="4"/>
            <w:shd w:val="clear" w:fill="1C3A36"/>
          </w:tcPr>
          <w:p>
            <w:pPr>
              <w:spacing w:line="264" w:lineRule="auto"/>
            </w:pPr>
            <w:r>
              <w:rPr>
                <w:b/>
                <w:i w:val="0"/>
                <w:color w:val="FFFFFF"/>
                <w:sz w:val="19"/>
              </w:rPr>
              <w:t>MONTE CARLO - where price could travel (3 months)</w:t>
            </w:r>
          </w:p>
        </w:tc>
      </w:tr>
      <w:tr>
        <w:tc>
          <w:tcPr>
            <w:tcW w:type="dxa" w:w="2736"/>
            <w:shd w:val="clear" w:fill="EFF3F1"/>
          </w:tcPr>
          <w:p>
            <w:pPr>
              <w:spacing w:line="264" w:lineRule="auto"/>
            </w:pPr>
            <w:r>
              <w:rPr>
                <w:b w:val="0"/>
                <w:i w:val="0"/>
                <w:color w:val="1C3A36"/>
                <w:sz w:val="18"/>
              </w:rPr>
              <w:t>T+60 distribution</w:t>
            </w:r>
          </w:p>
        </w:tc>
        <w:tc>
          <w:tcPr>
            <w:tcW w:type="dxa" w:w="3744"/>
            <w:shd w:val="clear" w:fill="EFF3F1"/>
          </w:tcPr>
          <w:p>
            <w:pPr>
              <w:spacing w:line="264" w:lineRule="auto"/>
              <w:jc w:val="right"/>
            </w:pPr>
            <w:r>
              <w:rPr>
                <w:b w:val="0"/>
                <w:i w:val="0"/>
                <w:sz w:val="18"/>
              </w:rPr>
              <w:t>16-factor, 50k paths, seed 42</w:t>
            </w:r>
          </w:p>
        </w:tc>
        <w:tc>
          <w:tcPr>
            <w:tcW w:type="dxa" w:w="1728"/>
            <w:shd w:val="clear" w:fill="EFF3F1"/>
          </w:tcPr>
          <w:p>
            <w:pPr>
              <w:spacing w:line="264" w:lineRule="auto"/>
              <w:jc w:val="right"/>
            </w:pPr>
            <w:r>
              <w:rPr>
                <w:b w:val="0"/>
                <w:i w:val="0"/>
                <w:sz w:val="18"/>
              </w:rPr>
              <w:t>P25-P75 EGP 21.0-25.0</w:t>
            </w:r>
          </w:p>
        </w:tc>
        <w:tc>
          <w:tcPr>
            <w:tcW w:type="dxa" w:w="2304"/>
            <w:shd w:val="clear" w:fill="EFF3F1"/>
          </w:tcPr>
          <w:p>
            <w:pPr>
              <w:spacing w:line="264" w:lineRule="auto"/>
              <w:jc w:val="right"/>
            </w:pPr>
            <w:r>
              <w:rPr>
                <w:b w:val="0"/>
                <w:i w:val="0"/>
                <w:sz w:val="18"/>
              </w:rPr>
              <w:t>Mild upward tilt</w:t>
            </w:r>
          </w:p>
        </w:tc>
      </w:tr>
      <w:tr>
        <w:tc>
          <w:tcPr>
            <w:tcW w:type="dxa" w:w="2304"/>
            <w:gridSpan w:val="4"/>
            <w:shd w:val="clear" w:fill="1C3A36"/>
          </w:tcPr>
          <w:p>
            <w:pPr>
              <w:spacing w:line="264" w:lineRule="auto"/>
            </w:pPr>
            <w:r>
              <w:rPr>
                <w:b/>
                <w:i w:val="0"/>
                <w:color w:val="FFFFFF"/>
                <w:sz w:val="19"/>
              </w:rPr>
              <w:t>EXPERT PANEL - three independent methods</w:t>
            </w:r>
          </w:p>
        </w:tc>
      </w:tr>
      <w:tr>
        <w:tc>
          <w:tcPr>
            <w:tcW w:type="dxa" w:w="2736"/>
            <w:shd w:val="clear" w:fill="EFF3F1"/>
          </w:tcPr>
          <w:p>
            <w:pPr>
              <w:spacing w:line="264" w:lineRule="auto"/>
            </w:pPr>
            <w:r>
              <w:rPr>
                <w:b w:val="0"/>
                <w:i w:val="0"/>
                <w:color w:val="1C3A36"/>
                <w:sz w:val="18"/>
              </w:rPr>
              <w:t>Expert 1 / 2 / 3</w:t>
            </w:r>
          </w:p>
        </w:tc>
        <w:tc>
          <w:tcPr>
            <w:tcW w:type="dxa" w:w="3744"/>
            <w:shd w:val="clear" w:fill="EFF3F1"/>
          </w:tcPr>
          <w:p>
            <w:pPr>
              <w:spacing w:line="264" w:lineRule="auto"/>
              <w:jc w:val="right"/>
            </w:pPr>
            <w:r>
              <w:rPr>
                <w:b w:val="0"/>
                <w:i w:val="0"/>
                <w:sz w:val="18"/>
              </w:rPr>
              <w:t>Earnings power · Cash conversion · Policy triangle</w:t>
            </w:r>
          </w:p>
        </w:tc>
        <w:tc>
          <w:tcPr>
            <w:tcW w:type="dxa" w:w="1728"/>
            <w:shd w:val="clear" w:fill="EFF3F1"/>
          </w:tcPr>
          <w:p>
            <w:pPr>
              <w:spacing w:line="264" w:lineRule="auto"/>
              <w:jc w:val="right"/>
            </w:pPr>
            <w:r>
              <w:rPr>
                <w:b w:val="0"/>
                <w:i w:val="0"/>
                <w:sz w:val="18"/>
              </w:rPr>
              <w:t>EGP 23.0 / 16.7 / 21.6</w:t>
            </w:r>
          </w:p>
        </w:tc>
        <w:tc>
          <w:tcPr>
            <w:tcW w:type="dxa" w:w="2304"/>
            <w:shd w:val="clear" w:fill="EFF3F1"/>
          </w:tcPr>
          <w:p>
            <w:pPr>
              <w:spacing w:line="264" w:lineRule="auto"/>
              <w:jc w:val="right"/>
            </w:pPr>
            <w:r>
              <w:rPr>
                <w:b w:val="0"/>
                <w:i w:val="0"/>
                <w:sz w:val="18"/>
              </w:rPr>
              <w:t>Straddling spot</w:t>
            </w:r>
          </w:p>
        </w:tc>
      </w:tr>
    </w:tbl>
    <w:p>
      <w:pPr>
        <w:spacing w:after="40"/>
      </w:pPr>
    </w:p>
    <w:p>
      <w:pPr>
        <w:spacing w:before="160" w:after="120" w:line="264" w:lineRule="auto"/>
      </w:pPr>
      <w:r>
        <w:rPr>
          <w:b/>
          <w:i w:val="0"/>
          <w:color w:val="1C3A36"/>
          <w:sz w:val="26"/>
        </w:rPr>
        <w:t>Company overview - Oriental Weavers Carpet Company at a glance</w:t>
      </w:r>
    </w:p>
    <w:tbl>
      <w:tblPr>
        <w:tblStyle w:val="TableGrid"/>
        <w:tblW w:type="auto" w:w="0"/>
        <w:tblLook w:firstColumn="1" w:firstRow="1" w:lastColumn="0" w:lastRow="0" w:noHBand="0" w:noVBand="1" w:val="04A0"/>
      </w:tblPr>
      <w:tblGrid>
        <w:gridCol w:w="4968"/>
        <w:gridCol w:w="4968"/>
      </w:tblGrid>
      <w:tr>
        <w:tc>
          <w:tcPr>
            <w:tcW w:type="dxa" w:w="3456"/>
            <w:shd w:val="clear" w:fill="1C3A36"/>
          </w:tcPr>
          <w:p>
            <w:pPr>
              <w:spacing w:line="264" w:lineRule="auto"/>
            </w:pPr>
            <w:r>
              <w:rPr>
                <w:b/>
                <w:i w:val="0"/>
                <w:color w:val="FFFFFF"/>
                <w:sz w:val="18"/>
              </w:rPr>
              <w:t>Item</w:t>
            </w:r>
          </w:p>
        </w:tc>
        <w:tc>
          <w:tcPr>
            <w:tcW w:type="dxa" w:w="6336"/>
            <w:shd w:val="clear" w:fill="1C3A36"/>
          </w:tcPr>
          <w:p>
            <w:pPr>
              <w:spacing w:line="264" w:lineRule="auto"/>
              <w:jc w:val="right"/>
            </w:pPr>
            <w:r>
              <w:rPr>
                <w:b/>
                <w:i w:val="0"/>
                <w:color w:val="FFFFFF"/>
                <w:sz w:val="18"/>
              </w:rPr>
              <w:t>Value</w:t>
            </w:r>
          </w:p>
        </w:tc>
      </w:tr>
      <w:tr>
        <w:tc>
          <w:tcPr>
            <w:tcW w:type="dxa" w:w="3456"/>
          </w:tcPr>
          <w:p>
            <w:pPr>
              <w:spacing w:line="264" w:lineRule="auto"/>
            </w:pPr>
            <w:r>
              <w:rPr>
                <w:b w:val="0"/>
                <w:i w:val="0"/>
                <w:color w:val="1C3A36"/>
                <w:sz w:val="18"/>
              </w:rPr>
              <w:t>Exchange / ticker</w:t>
            </w:r>
          </w:p>
        </w:tc>
        <w:tc>
          <w:tcPr>
            <w:tcW w:type="dxa" w:w="6336"/>
          </w:tcPr>
          <w:p>
            <w:pPr>
              <w:spacing w:line="264" w:lineRule="auto"/>
              <w:jc w:val="right"/>
            </w:pPr>
            <w:r>
              <w:rPr>
                <w:b w:val="0"/>
                <w:i w:val="0"/>
                <w:sz w:val="18"/>
              </w:rPr>
              <w:t>EGX: ORWE</w:t>
            </w:r>
          </w:p>
        </w:tc>
      </w:tr>
      <w:tr>
        <w:tc>
          <w:tcPr>
            <w:tcW w:type="dxa" w:w="3456"/>
            <w:shd w:val="clear" w:fill="EFF3F1"/>
          </w:tcPr>
          <w:p>
            <w:pPr>
              <w:spacing w:line="264" w:lineRule="auto"/>
            </w:pPr>
            <w:r>
              <w:rPr>
                <w:b w:val="0"/>
                <w:i w:val="0"/>
                <w:color w:val="1C3A36"/>
                <w:sz w:val="18"/>
              </w:rPr>
              <w:t>Sector</w:t>
            </w:r>
          </w:p>
        </w:tc>
        <w:tc>
          <w:tcPr>
            <w:tcW w:type="dxa" w:w="6336"/>
            <w:shd w:val="clear" w:fill="EFF3F1"/>
          </w:tcPr>
          <w:p>
            <w:pPr>
              <w:spacing w:line="264" w:lineRule="auto"/>
              <w:jc w:val="right"/>
            </w:pPr>
            <w:r>
              <w:rPr>
                <w:b w:val="0"/>
                <w:i w:val="0"/>
                <w:sz w:val="18"/>
              </w:rPr>
              <w:t>Consumer durables - machine-woven carpets &amp; rugs (world's largest)</w:t>
            </w:r>
          </w:p>
        </w:tc>
      </w:tr>
      <w:tr>
        <w:tc>
          <w:tcPr>
            <w:tcW w:type="dxa" w:w="3456"/>
          </w:tcPr>
          <w:p>
            <w:pPr>
              <w:spacing w:line="264" w:lineRule="auto"/>
            </w:pPr>
            <w:r>
              <w:rPr>
                <w:b w:val="0"/>
                <w:i w:val="0"/>
                <w:color w:val="1C3A36"/>
                <w:sz w:val="18"/>
              </w:rPr>
              <w:t>Fiscal year-end</w:t>
            </w:r>
          </w:p>
        </w:tc>
        <w:tc>
          <w:tcPr>
            <w:tcW w:type="dxa" w:w="6336"/>
          </w:tcPr>
          <w:p>
            <w:pPr>
              <w:spacing w:line="264" w:lineRule="auto"/>
              <w:jc w:val="right"/>
            </w:pPr>
            <w:r>
              <w:rPr>
                <w:b w:val="0"/>
                <w:i w:val="0"/>
                <w:sz w:val="18"/>
              </w:rPr>
              <w:t>31 December</w:t>
            </w:r>
          </w:p>
        </w:tc>
      </w:tr>
      <w:tr>
        <w:tc>
          <w:tcPr>
            <w:tcW w:type="dxa" w:w="3456"/>
            <w:shd w:val="clear" w:fill="EFF3F1"/>
          </w:tcPr>
          <w:p>
            <w:pPr>
              <w:spacing w:line="264" w:lineRule="auto"/>
            </w:pPr>
            <w:r>
              <w:rPr>
                <w:b w:val="0"/>
                <w:i w:val="0"/>
                <w:color w:val="1C3A36"/>
                <w:sz w:val="18"/>
              </w:rPr>
              <w:t>Shares outstanding</w:t>
            </w:r>
          </w:p>
        </w:tc>
        <w:tc>
          <w:tcPr>
            <w:tcW w:type="dxa" w:w="6336"/>
            <w:shd w:val="clear" w:fill="EFF3F1"/>
          </w:tcPr>
          <w:p>
            <w:pPr>
              <w:spacing w:line="264" w:lineRule="auto"/>
              <w:jc w:val="right"/>
            </w:pPr>
            <w:r>
              <w:rPr>
                <w:b w:val="0"/>
                <w:i w:val="0"/>
                <w:sz w:val="18"/>
              </w:rPr>
              <w:t>~665.1 mn (per dividend arithmetic - confirm)</w:t>
            </w:r>
          </w:p>
        </w:tc>
      </w:tr>
      <w:tr>
        <w:tc>
          <w:tcPr>
            <w:tcW w:type="dxa" w:w="3456"/>
          </w:tcPr>
          <w:p>
            <w:pPr>
              <w:spacing w:line="264" w:lineRule="auto"/>
            </w:pPr>
            <w:r>
              <w:rPr>
                <w:b w:val="0"/>
                <w:i w:val="0"/>
                <w:color w:val="1C3A36"/>
                <w:sz w:val="18"/>
              </w:rPr>
              <w:t>Spot / market cap</w:t>
            </w:r>
          </w:p>
        </w:tc>
        <w:tc>
          <w:tcPr>
            <w:tcW w:type="dxa" w:w="6336"/>
          </w:tcPr>
          <w:p>
            <w:pPr>
              <w:spacing w:line="264" w:lineRule="auto"/>
              <w:jc w:val="right"/>
            </w:pPr>
            <w:r>
              <w:rPr>
                <w:b w:val="0"/>
                <w:i w:val="0"/>
                <w:sz w:val="18"/>
              </w:rPr>
              <w:t>EGP 22.34 / ~EGP 14.9 bn</w:t>
            </w:r>
          </w:p>
        </w:tc>
      </w:tr>
      <w:tr>
        <w:tc>
          <w:tcPr>
            <w:tcW w:type="dxa" w:w="3456"/>
            <w:shd w:val="clear" w:fill="EFF3F1"/>
          </w:tcPr>
          <w:p>
            <w:pPr>
              <w:spacing w:line="264" w:lineRule="auto"/>
            </w:pPr>
            <w:r>
              <w:rPr>
                <w:b w:val="0"/>
                <w:i w:val="0"/>
                <w:color w:val="1C3A36"/>
                <w:sz w:val="18"/>
              </w:rPr>
              <w:t>FY25 revenue / attributable profit</w:t>
            </w:r>
          </w:p>
        </w:tc>
        <w:tc>
          <w:tcPr>
            <w:tcW w:type="dxa" w:w="6336"/>
            <w:shd w:val="clear" w:fill="EFF3F1"/>
          </w:tcPr>
          <w:p>
            <w:pPr>
              <w:spacing w:line="264" w:lineRule="auto"/>
              <w:jc w:val="right"/>
            </w:pPr>
            <w:r>
              <w:rPr>
                <w:b w:val="0"/>
                <w:i w:val="0"/>
                <w:sz w:val="18"/>
              </w:rPr>
              <w:t>EGP 26,622 mn (+10%) / EGP 2,189 mn (flat)</w:t>
            </w:r>
          </w:p>
        </w:tc>
      </w:tr>
      <w:tr>
        <w:tc>
          <w:tcPr>
            <w:tcW w:type="dxa" w:w="3456"/>
          </w:tcPr>
          <w:p>
            <w:pPr>
              <w:spacing w:line="264" w:lineRule="auto"/>
            </w:pPr>
            <w:r>
              <w:rPr>
                <w:b w:val="0"/>
                <w:i w:val="0"/>
                <w:color w:val="1C3A36"/>
                <w:sz w:val="18"/>
              </w:rPr>
              <w:t>Dividend</w:t>
            </w:r>
          </w:p>
        </w:tc>
        <w:tc>
          <w:tcPr>
            <w:tcW w:type="dxa" w:w="6336"/>
          </w:tcPr>
          <w:p>
            <w:pPr>
              <w:spacing w:line="264" w:lineRule="auto"/>
              <w:jc w:val="right"/>
            </w:pPr>
            <w:r>
              <w:rPr>
                <w:b w:val="0"/>
                <w:i w:val="0"/>
                <w:sz w:val="18"/>
              </w:rPr>
              <w:t>EGP 1.5/share (~6.7% yield); EGP 997.66 mn total</w:t>
            </w:r>
          </w:p>
        </w:tc>
      </w:tr>
      <w:tr>
        <w:tc>
          <w:tcPr>
            <w:tcW w:type="dxa" w:w="3456"/>
            <w:shd w:val="clear" w:fill="EFF3F1"/>
          </w:tcPr>
          <w:p>
            <w:pPr>
              <w:spacing w:line="264" w:lineRule="auto"/>
            </w:pPr>
            <w:r>
              <w:rPr>
                <w:b w:val="0"/>
                <w:i w:val="0"/>
                <w:color w:val="1C3A36"/>
                <w:sz w:val="18"/>
              </w:rPr>
              <w:t>Export share</w:t>
            </w:r>
          </w:p>
        </w:tc>
        <w:tc>
          <w:tcPr>
            <w:tcW w:type="dxa" w:w="6336"/>
            <w:shd w:val="clear" w:fill="EFF3F1"/>
          </w:tcPr>
          <w:p>
            <w:pPr>
              <w:spacing w:line="264" w:lineRule="auto"/>
              <w:jc w:val="right"/>
            </w:pPr>
            <w:r>
              <w:rPr>
                <w:b w:val="0"/>
                <w:i w:val="0"/>
                <w:sz w:val="18"/>
              </w:rPr>
              <w:t>~60-64% of revenue, 130-150 countries; plants in Egypt &amp; US</w:t>
            </w:r>
          </w:p>
        </w:tc>
      </w:tr>
      <w:tr>
        <w:tc>
          <w:tcPr>
            <w:tcW w:type="dxa" w:w="3456"/>
          </w:tcPr>
          <w:p>
            <w:pPr>
              <w:spacing w:line="264" w:lineRule="auto"/>
            </w:pPr>
            <w:r>
              <w:rPr>
                <w:b w:val="0"/>
                <w:i w:val="0"/>
                <w:color w:val="1C3A36"/>
                <w:sz w:val="18"/>
              </w:rPr>
              <w:t>Ownership</w:t>
            </w:r>
          </w:p>
        </w:tc>
        <w:tc>
          <w:tcPr>
            <w:tcW w:type="dxa" w:w="6336"/>
          </w:tcPr>
          <w:p>
            <w:pPr>
              <w:spacing w:line="264" w:lineRule="auto"/>
              <w:jc w:val="right"/>
            </w:pPr>
            <w:r>
              <w:rPr>
                <w:b w:val="0"/>
                <w:i w:val="0"/>
                <w:sz w:val="18"/>
              </w:rPr>
              <w:t>Khamis family 56.58%</w:t>
            </w:r>
          </w:p>
        </w:tc>
      </w:tr>
      <w:tr>
        <w:tc>
          <w:tcPr>
            <w:tcW w:type="dxa" w:w="3456"/>
            <w:shd w:val="clear" w:fill="EFF3F1"/>
          </w:tcPr>
          <w:p>
            <w:pPr>
              <w:spacing w:line="264" w:lineRule="auto"/>
            </w:pPr>
            <w:r>
              <w:rPr>
                <w:b w:val="0"/>
                <w:i w:val="0"/>
                <w:color w:val="1C3A36"/>
                <w:sz w:val="18"/>
              </w:rPr>
              <w:t>52-week range</w:t>
            </w:r>
          </w:p>
        </w:tc>
        <w:tc>
          <w:tcPr>
            <w:tcW w:type="dxa" w:w="6336"/>
            <w:shd w:val="clear" w:fill="EFF3F1"/>
          </w:tcPr>
          <w:p>
            <w:pPr>
              <w:spacing w:line="264" w:lineRule="auto"/>
              <w:jc w:val="right"/>
            </w:pPr>
            <w:r>
              <w:rPr>
                <w:b w:val="0"/>
                <w:i w:val="0"/>
                <w:sz w:val="18"/>
              </w:rPr>
              <w:t>EGP 21.00 - 24.92</w:t>
            </w:r>
          </w:p>
        </w:tc>
      </w:tr>
    </w:tbl>
    <w:p>
      <w:pPr>
        <w:spacing w:after="40"/>
      </w:pPr>
    </w:p>
    <w:p>
      <w:pPr>
        <w:spacing w:after="120" w:line="264" w:lineRule="auto"/>
      </w:pPr>
      <w:r>
        <w:rPr>
          <w:b w:val="0"/>
          <w:i/>
          <w:color w:val="666666"/>
          <w:sz w:val="16"/>
        </w:rPr>
        <w:t>Source: 4Q2023 earnings release (orientalweavers.com); Mubasher FY2024 results (6 Jan 2025); AGM dividend disclosure via Billionaires.Africa (8 Apr 2026); Investing.com statements; prices from the attached daily history.</w:t>
      </w:r>
    </w:p>
    <w:p>
      <w:pPr>
        <w:spacing w:before="160" w:after="120" w:line="264" w:lineRule="auto"/>
      </w:pPr>
      <w:r>
        <w:rPr>
          <w:b/>
          <w:i w:val="0"/>
          <w:color w:val="1C3A36"/>
          <w:sz w:val="30"/>
        </w:rPr>
        <w:t>1  Fundamental valuation</w:t>
      </w:r>
    </w:p>
    <w:p>
      <w:pPr>
        <w:spacing w:before="160" w:after="120" w:line="264" w:lineRule="auto"/>
      </w:pPr>
      <w:r>
        <w:rPr>
          <w:b/>
          <w:i w:val="0"/>
          <w:color w:val="1C3A36"/>
          <w:sz w:val="24"/>
        </w:rPr>
        <w:t>1.1  Free-cash-flow-to-equity DCF - the primary lens</w:t>
      </w:r>
    </w:p>
    <w:p>
      <w:pPr>
        <w:spacing w:after="120" w:line="264" w:lineRule="auto"/>
      </w:pPr>
      <w:r>
        <w:rPr>
          <w:b w:val="0"/>
          <w:i w:val="0"/>
          <w:sz w:val="21"/>
        </w:rPr>
        <w:t>The primary lens discounts what shareholders can actually bank: attributable profit plus D&amp;A, less capex, less the increase in net working capital, at a 24% nominal EGP cost of equity with 11% terminal growth. The last subtraction is the story - at ~28% of revenue (inventory across 150 markets, showroom stock, export receivables), every pound of growth consumes ~28 piasters before it reaches the till, so FY26E FCFE is ~EGP 1.43 bn against EGP 2.47 bn of profit, a 58% conversion. The stream values the equity at ~EGP 11.5 bn, or EGP 17.3/share - the sober floor under the cheap-looking multiple.</w:t>
      </w:r>
    </w:p>
    <w:p>
      <w:pPr>
        <w:spacing w:after="120" w:line="264" w:lineRule="auto"/>
      </w:pPr>
      <w:r>
        <w:rPr>
          <w:b w:val="0"/>
          <w:i w:val="0"/>
          <w:sz w:val="21"/>
        </w:rPr>
        <w:t>Why FCFE rather than FCFF: the balance sheet mixes real debt (~EGP 5.5 bn gross) with deposits earning the interest line, so the equity-direct build avoids guessing an enterprise bridge the FY25 statements have not yet published. The 24% cost of equity is built for an EGP holder - ~20-21% risk-free plus a cyclical-exporter premium, no size discount for a 45-year franchise.</w:t>
      </w:r>
    </w:p>
    <w:p>
      <w:pPr>
        <w:spacing w:after="120" w:line="264" w:lineRule="auto"/>
      </w:pPr>
      <w:r>
        <w:rPr>
          <w:b w:val="0"/>
          <w:i w:val="0"/>
          <w:sz w:val="21"/>
        </w:rPr>
        <w:t>Design note: the non-operating income is carried inside attributable profit (it is real cash) but its one-off layer is stripped in the normalized lens - the two lenses bracket the truth about that line from both sides.</w:t>
      </w:r>
    </w:p>
    <w:p>
      <w:pPr>
        <w:spacing w:before="160" w:after="120" w:line="264" w:lineRule="auto"/>
      </w:pPr>
      <w:r>
        <w:rPr>
          <w:b/>
          <w:i w:val="0"/>
          <w:color w:val="1C3A36"/>
          <w:sz w:val="24"/>
        </w:rPr>
        <w:t>1.2  Reverse-DCF cross-check</w:t>
      </w:r>
    </w:p>
    <w:p>
      <w:pPr>
        <w:spacing w:after="120" w:line="264" w:lineRule="auto"/>
      </w:pPr>
      <w:r>
        <w:rPr>
          <w:b w:val="0"/>
          <w:i w:val="0"/>
          <w:sz w:val="21"/>
        </w:rPr>
        <w:t>Reverse-engineering the price: EGP 22.34 is equity of ~EGP 14.9 bn, which the same machine only produces if the FCFE stream runs ~30% richer - i.e., working capital easing toward 22-24% of revenue, or a cost of equity nearer 21%, or another devaluation re-arming margins. The market is paying today for a cash-conversion normalization that has not yet printed.</w:t>
      </w:r>
    </w:p>
    <w:p>
      <w:pPr>
        <w:spacing w:after="120" w:line="264" w:lineRule="auto"/>
      </w:pPr>
      <w:r>
        <w:rPr>
          <w:b w:val="0"/>
          <w:i w:val="0"/>
          <w:sz w:val="21"/>
        </w:rPr>
        <w:t>Each implied row is watchable: the April dividend declaration tests the payout capacity, every quarterly gross-margin print tests the crutches, and the CBE's path tests the implied Ke - the reverse-DCF is a scoreboard with four dates a year.</w:t>
      </w:r>
    </w:p>
    <w:tbl>
      <w:tblPr>
        <w:tblStyle w:val="TableGrid"/>
        <w:tblW w:type="auto" w:w="0"/>
        <w:tblLook w:firstColumn="1" w:firstRow="1" w:lastColumn="0" w:lastRow="0" w:noHBand="0" w:noVBand="1" w:val="04A0"/>
      </w:tblPr>
      <w:tblGrid>
        <w:gridCol w:w="3312"/>
        <w:gridCol w:w="3312"/>
        <w:gridCol w:w="3312"/>
      </w:tblGrid>
      <w:tr>
        <w:tc>
          <w:tcPr>
            <w:tcW w:type="dxa" w:w="3168"/>
            <w:shd w:val="clear" w:fill="1C3A36"/>
          </w:tcPr>
          <w:p>
            <w:pPr>
              <w:spacing w:line="264" w:lineRule="auto"/>
            </w:pPr>
            <w:r>
              <w:rPr>
                <w:b/>
                <w:i w:val="0"/>
                <w:color w:val="FFFFFF"/>
                <w:sz w:val="18"/>
              </w:rPr>
              <w:t>What spot implies</w:t>
            </w:r>
          </w:p>
        </w:tc>
        <w:tc>
          <w:tcPr>
            <w:tcW w:type="dxa" w:w="3744"/>
            <w:shd w:val="clear" w:fill="1C3A36"/>
          </w:tcPr>
          <w:p>
            <w:pPr>
              <w:spacing w:line="264" w:lineRule="auto"/>
              <w:jc w:val="right"/>
            </w:pPr>
            <w:r>
              <w:rPr>
                <w:b/>
                <w:i w:val="0"/>
                <w:color w:val="FFFFFF"/>
                <w:sz w:val="18"/>
              </w:rPr>
              <w:t>Implied level</w:t>
            </w:r>
          </w:p>
        </w:tc>
        <w:tc>
          <w:tcPr>
            <w:tcW w:type="dxa" w:w="3600"/>
            <w:shd w:val="clear" w:fill="1C3A36"/>
          </w:tcPr>
          <w:p>
            <w:pPr>
              <w:spacing w:line="264" w:lineRule="auto"/>
              <w:jc w:val="right"/>
            </w:pPr>
            <w:r>
              <w:rPr>
                <w:b/>
                <w:i w:val="0"/>
                <w:color w:val="FFFFFF"/>
                <w:sz w:val="18"/>
              </w:rPr>
              <w:t>Base case</w:t>
            </w:r>
          </w:p>
        </w:tc>
      </w:tr>
      <w:tr>
        <w:tc>
          <w:tcPr>
            <w:tcW w:type="dxa" w:w="3168"/>
          </w:tcPr>
          <w:p>
            <w:pPr>
              <w:spacing w:line="264" w:lineRule="auto"/>
            </w:pPr>
            <w:r>
              <w:rPr>
                <w:b w:val="0"/>
                <w:i w:val="0"/>
                <w:color w:val="1C3A36"/>
                <w:sz w:val="18"/>
              </w:rPr>
              <w:t>FCFE stream backed out of 22.34</w:t>
            </w:r>
          </w:p>
        </w:tc>
        <w:tc>
          <w:tcPr>
            <w:tcW w:type="dxa" w:w="3744"/>
          </w:tcPr>
          <w:p>
            <w:pPr>
              <w:spacing w:line="264" w:lineRule="auto"/>
              <w:jc w:val="right"/>
            </w:pPr>
            <w:r>
              <w:rPr>
                <w:b w:val="0"/>
                <w:i w:val="0"/>
                <w:sz w:val="18"/>
              </w:rPr>
              <w:t>~+30% richer</w:t>
            </w:r>
          </w:p>
        </w:tc>
        <w:tc>
          <w:tcPr>
            <w:tcW w:type="dxa" w:w="3600"/>
          </w:tcPr>
          <w:p>
            <w:pPr>
              <w:spacing w:line="264" w:lineRule="auto"/>
              <w:jc w:val="right"/>
            </w:pPr>
            <w:r>
              <w:rPr>
                <w:b w:val="0"/>
                <w:i w:val="0"/>
                <w:sz w:val="18"/>
              </w:rPr>
              <w:t>EGP 1.43 bn FY26E</w:t>
            </w:r>
          </w:p>
        </w:tc>
      </w:tr>
      <w:tr>
        <w:tc>
          <w:tcPr>
            <w:tcW w:type="dxa" w:w="3168"/>
            <w:shd w:val="clear" w:fill="EFF3F1"/>
          </w:tcPr>
          <w:p>
            <w:pPr>
              <w:spacing w:line="264" w:lineRule="auto"/>
            </w:pPr>
            <w:r>
              <w:rPr>
                <w:b w:val="0"/>
                <w:i w:val="0"/>
                <w:color w:val="1C3A36"/>
                <w:sz w:val="18"/>
              </w:rPr>
              <w:t>or net working capital / revenue</w:t>
            </w:r>
          </w:p>
        </w:tc>
        <w:tc>
          <w:tcPr>
            <w:tcW w:type="dxa" w:w="3744"/>
            <w:shd w:val="clear" w:fill="EFF3F1"/>
          </w:tcPr>
          <w:p>
            <w:pPr>
              <w:spacing w:line="264" w:lineRule="auto"/>
              <w:jc w:val="right"/>
            </w:pPr>
            <w:r>
              <w:rPr>
                <w:b w:val="0"/>
                <w:i w:val="0"/>
                <w:sz w:val="18"/>
              </w:rPr>
              <w:t>~22-24%</w:t>
            </w:r>
          </w:p>
        </w:tc>
        <w:tc>
          <w:tcPr>
            <w:tcW w:type="dxa" w:w="3600"/>
            <w:shd w:val="clear" w:fill="EFF3F1"/>
          </w:tcPr>
          <w:p>
            <w:pPr>
              <w:spacing w:line="264" w:lineRule="auto"/>
              <w:jc w:val="right"/>
            </w:pPr>
            <w:r>
              <w:rPr>
                <w:b w:val="0"/>
                <w:i w:val="0"/>
                <w:sz w:val="18"/>
              </w:rPr>
              <w:t>28%</w:t>
            </w:r>
          </w:p>
        </w:tc>
      </w:tr>
      <w:tr>
        <w:tc>
          <w:tcPr>
            <w:tcW w:type="dxa" w:w="3168"/>
          </w:tcPr>
          <w:p>
            <w:pPr>
              <w:spacing w:line="264" w:lineRule="auto"/>
            </w:pPr>
            <w:r>
              <w:rPr>
                <w:b w:val="0"/>
                <w:i w:val="0"/>
                <w:color w:val="1C3A36"/>
                <w:sz w:val="18"/>
              </w:rPr>
              <w:t>or cost of equity</w:t>
            </w:r>
          </w:p>
        </w:tc>
        <w:tc>
          <w:tcPr>
            <w:tcW w:type="dxa" w:w="3744"/>
          </w:tcPr>
          <w:p>
            <w:pPr>
              <w:spacing w:line="264" w:lineRule="auto"/>
              <w:jc w:val="right"/>
            </w:pPr>
            <w:r>
              <w:rPr>
                <w:b w:val="0"/>
                <w:i w:val="0"/>
                <w:sz w:val="18"/>
              </w:rPr>
              <w:t>~21%</w:t>
            </w:r>
          </w:p>
        </w:tc>
        <w:tc>
          <w:tcPr>
            <w:tcW w:type="dxa" w:w="3600"/>
          </w:tcPr>
          <w:p>
            <w:pPr>
              <w:spacing w:line="264" w:lineRule="auto"/>
              <w:jc w:val="right"/>
            </w:pPr>
            <w:r>
              <w:rPr>
                <w:b w:val="0"/>
                <w:i w:val="0"/>
                <w:sz w:val="18"/>
              </w:rPr>
              <w:t>24%</w:t>
            </w:r>
          </w:p>
        </w:tc>
      </w:tr>
    </w:tbl>
    <w:p>
      <w:pPr>
        <w:spacing w:after="40"/>
      </w:pPr>
    </w:p>
    <w:p>
      <w:pPr>
        <w:spacing w:before="160" w:after="120" w:line="264" w:lineRule="auto"/>
      </w:pPr>
      <w:r>
        <w:rPr>
          <w:b/>
          <w:i w:val="0"/>
          <w:color w:val="1C3A36"/>
          <w:sz w:val="24"/>
        </w:rPr>
        <w:t>1.3  Relative multiples</w:t>
      </w:r>
    </w:p>
    <w:p>
      <w:pPr>
        <w:spacing w:after="120" w:line="264" w:lineRule="auto"/>
      </w:pPr>
      <w:r>
        <w:rPr>
          <w:b w:val="0"/>
          <w:i w:val="0"/>
          <w:sz w:val="21"/>
        </w:rPr>
        <w:t>On FY26E EPS of ~EGP 3.72 the stock trades at 6.0x, with a 6.7% cash yield - against an EGX consumer/industrial band of roughly 7-9x. EV/EBITDA on FY26E is ~4.9x. At a peer-median 8x the shares are worth ~EGP 29.7 - the ceiling lens, and the one that ignores both the cash conversion and the provenance of the margin.</w:t>
      </w:r>
    </w:p>
    <w:p>
      <w:pPr>
        <w:spacing w:after="120" w:line="264" w:lineRule="auto"/>
      </w:pPr>
      <w:r>
        <w:rPr>
          <w:b w:val="0"/>
          <w:i w:val="0"/>
          <w:sz w:val="21"/>
        </w:rPr>
        <w:t>The global read-across frames the discount: Mohawk and Interface trade 8-12x through-cycle earnings with USD cash flows and half the working-capital intensity; ORWE entering that band from the bottom is the correct starting point, not a mispricing.</w:t>
      </w:r>
    </w:p>
    <w:p>
      <w:pPr>
        <w:spacing w:after="120" w:line="264" w:lineRule="auto"/>
      </w:pPr>
      <w:r>
        <w:rPr>
          <w:b w:val="0"/>
          <w:i w:val="0"/>
          <w:sz w:val="21"/>
        </w:rPr>
        <w:t>The yield is the honest half of the multiple story: EGP 1.5 has been paid or raised through every recent regime, and at 45% of normalized earnings it is arithmetic, not promise.</w:t>
      </w:r>
    </w:p>
    <w:p>
      <w:pPr>
        <w:spacing w:after="120" w:line="264" w:lineRule="auto"/>
      </w:pPr>
      <w:r>
        <w:rPr>
          <w:b w:val="0"/>
          <w:sz w:val="21"/>
        </w:rPr>
        <w:t>One more frame the multiple hides: on enterprise value the market pays ~4.9x FY26E EBITDA for a business whose EBITDA includes the rebate-and-FX layer - strip that layer and the clean-operations EV/EBITDA is nearer 6x, mid-band, which is the multiple lens quietly agreeing with the par cluster.</w:t>
      </w:r>
    </w:p>
    <w:p>
      <w:pPr>
        <w:spacing w:before="160" w:after="120" w:line="264" w:lineRule="auto"/>
      </w:pPr>
      <w:r>
        <w:rPr>
          <w:b/>
          <w:i w:val="0"/>
          <w:color w:val="1C3A36"/>
          <w:sz w:val="24"/>
        </w:rPr>
        <w:t>1.4  Normalized earnings power</w:t>
      </w:r>
    </w:p>
    <w:p>
      <w:pPr>
        <w:spacing w:after="120" w:line="264" w:lineRule="auto"/>
      </w:pPr>
      <w:r>
        <w:rPr>
          <w:b w:val="0"/>
          <w:i w:val="0"/>
          <w:sz w:val="21"/>
        </w:rPr>
        <w:t>Normalization strips the non-operating layer (an estimated EGP 1.15 bn in FY25 of interest, FX gains, rebate and one-off income; FY23 included the China-facility sale gain) down to ~EGP 500 mn recurring, and holds gross margin at a mid-cycle 12.5%: recurring attributable power ~EGP 2.0-2.2 bn, worth ~EGP 21.1/share at 7x. This is the honest answer to 'what if the pound and the rebate file both go quiet'.</w:t>
      </w:r>
    </w:p>
    <w:p>
      <w:pPr>
        <w:spacing w:after="120" w:line="264" w:lineRule="auto"/>
      </w:pPr>
      <w:r>
        <w:rPr>
          <w:b w:val="0"/>
          <w:i w:val="0"/>
          <w:sz w:val="21"/>
        </w:rPr>
        <w:t>The 7x is derived, not borrowed: 1/(Ke - g) at a 24% cost of equity and ~10% nominal growth - the same arithmetic Expert 1 defends in Appendix D, reproduced here so the synthesis carries its own audit trail.</w:t>
      </w:r>
    </w:p>
    <w:p>
      <w:pPr>
        <w:spacing w:before="160" w:after="120" w:line="264" w:lineRule="auto"/>
      </w:pPr>
      <w:r>
        <w:rPr>
          <w:b/>
          <w:i w:val="0"/>
          <w:color w:val="1C3A36"/>
          <w:sz w:val="24"/>
        </w:rPr>
        <w:t>1.5  Synthesis - five lenses</w:t>
      </w:r>
    </w:p>
    <w:p>
      <w:pPr>
        <w:spacing w:after="120" w:line="264" w:lineRule="auto"/>
      </w:pPr>
      <w:r>
        <w:rPr>
          <w:b w:val="0"/>
          <w:i w:val="0"/>
          <w:sz w:val="21"/>
        </w:rPr>
        <w:t>Five lenses, one field: the FCFE DCF anchors low (17.3) because the working-capital cycle taxes every growth pound; the mid-cycle enterprise view (21.2) and normalized earnings (21.1) cluster at par; relative multiples (29.7) alone sit far above. Weighting 40/20/15/25 puts the centre at ~EGP 20.9 - the price is 6% above it, the mirror image of what the 6x P/E suggests.</w:t>
      </w:r>
    </w:p>
    <w:p>
      <w:pPr>
        <w:spacing w:after="120" w:line="264" w:lineRule="auto"/>
      </w:pPr>
      <w:r>
        <w:rPr>
          <w:b w:val="0"/>
          <w:i w:val="0"/>
          <w:sz w:val="21"/>
        </w:rPr>
        <w:t>The weights are declared, not fitted: the cash lens leads because conversion is the thesis; the multiple lens is lightest because it imports the market's own optimism as evidence.</w:t>
      </w:r>
    </w:p>
    <w:tbl>
      <w:tblPr>
        <w:tblStyle w:val="TableGrid"/>
        <w:tblW w:type="auto" w:w="0"/>
        <w:tblLook w:firstColumn="1" w:firstRow="1" w:lastColumn="0" w:lastRow="0" w:noHBand="0" w:noVBand="1" w:val="04A0"/>
      </w:tblPr>
      <w:tblGrid>
        <w:gridCol w:w="3312"/>
        <w:gridCol w:w="3312"/>
        <w:gridCol w:w="3312"/>
      </w:tblGrid>
      <w:tr>
        <w:tc>
          <w:tcPr>
            <w:tcW w:type="dxa" w:w="4320"/>
            <w:shd w:val="clear" w:fill="1C3A36"/>
          </w:tcPr>
          <w:p>
            <w:pPr>
              <w:spacing w:line="264" w:lineRule="auto"/>
            </w:pPr>
            <w:r>
              <w:rPr>
                <w:b/>
                <w:i w:val="0"/>
                <w:color w:val="FFFFFF"/>
                <w:sz w:val="18"/>
              </w:rPr>
              <w:t>Lens</w:t>
            </w:r>
          </w:p>
        </w:tc>
        <w:tc>
          <w:tcPr>
            <w:tcW w:type="dxa" w:w="2880"/>
            <w:shd w:val="clear" w:fill="1C3A36"/>
          </w:tcPr>
          <w:p>
            <w:pPr>
              <w:spacing w:line="264" w:lineRule="auto"/>
              <w:jc w:val="right"/>
            </w:pPr>
            <w:r>
              <w:rPr>
                <w:b/>
                <w:i w:val="0"/>
                <w:color w:val="FFFFFF"/>
                <w:sz w:val="18"/>
              </w:rPr>
              <w:t>Fair value (EGP)</w:t>
            </w:r>
          </w:p>
        </w:tc>
        <w:tc>
          <w:tcPr>
            <w:tcW w:type="dxa" w:w="2592"/>
            <w:shd w:val="clear" w:fill="1C3A36"/>
          </w:tcPr>
          <w:p>
            <w:pPr>
              <w:spacing w:line="264" w:lineRule="auto"/>
              <w:jc w:val="right"/>
            </w:pPr>
            <w:r>
              <w:rPr>
                <w:b/>
                <w:i w:val="0"/>
                <w:color w:val="FFFFFF"/>
                <w:sz w:val="18"/>
              </w:rPr>
              <w:t>Weight</w:t>
            </w:r>
          </w:p>
        </w:tc>
      </w:tr>
      <w:tr>
        <w:tc>
          <w:tcPr>
            <w:tcW w:type="dxa" w:w="4320"/>
          </w:tcPr>
          <w:p>
            <w:pPr>
              <w:spacing w:line="264" w:lineRule="auto"/>
            </w:pPr>
            <w:r>
              <w:rPr>
                <w:b w:val="0"/>
                <w:i w:val="0"/>
                <w:color w:val="1C3A36"/>
                <w:sz w:val="18"/>
              </w:rPr>
              <w:t>FCFE DCF (primary)</w:t>
            </w:r>
          </w:p>
        </w:tc>
        <w:tc>
          <w:tcPr>
            <w:tcW w:type="dxa" w:w="2880"/>
          </w:tcPr>
          <w:p>
            <w:pPr>
              <w:spacing w:line="264" w:lineRule="auto"/>
              <w:jc w:val="right"/>
            </w:pPr>
            <w:r>
              <w:rPr>
                <w:b w:val="0"/>
                <w:i w:val="0"/>
                <w:sz w:val="18"/>
              </w:rPr>
              <w:t>17.3</w:t>
            </w:r>
          </w:p>
        </w:tc>
        <w:tc>
          <w:tcPr>
            <w:tcW w:type="dxa" w:w="2592"/>
          </w:tcPr>
          <w:p>
            <w:pPr>
              <w:spacing w:line="264" w:lineRule="auto"/>
              <w:jc w:val="right"/>
            </w:pPr>
            <w:r>
              <w:rPr>
                <w:b w:val="0"/>
                <w:i w:val="0"/>
                <w:sz w:val="18"/>
              </w:rPr>
              <w:t>40%</w:t>
            </w:r>
          </w:p>
        </w:tc>
      </w:tr>
      <w:tr>
        <w:tc>
          <w:tcPr>
            <w:tcW w:type="dxa" w:w="4320"/>
            <w:shd w:val="clear" w:fill="EFF3F1"/>
          </w:tcPr>
          <w:p>
            <w:pPr>
              <w:spacing w:line="264" w:lineRule="auto"/>
            </w:pPr>
            <w:r>
              <w:rPr>
                <w:b w:val="0"/>
                <w:i w:val="0"/>
                <w:color w:val="1C3A36"/>
                <w:sz w:val="18"/>
              </w:rPr>
              <w:t>Mid-cycle EBITDA x multiple</w:t>
            </w:r>
          </w:p>
        </w:tc>
        <w:tc>
          <w:tcPr>
            <w:tcW w:type="dxa" w:w="2880"/>
            <w:shd w:val="clear" w:fill="EFF3F1"/>
          </w:tcPr>
          <w:p>
            <w:pPr>
              <w:spacing w:line="264" w:lineRule="auto"/>
              <w:jc w:val="right"/>
            </w:pPr>
            <w:r>
              <w:rPr>
                <w:b w:val="0"/>
                <w:i w:val="0"/>
                <w:sz w:val="18"/>
              </w:rPr>
              <w:t>21.2</w:t>
            </w:r>
          </w:p>
        </w:tc>
        <w:tc>
          <w:tcPr>
            <w:tcW w:type="dxa" w:w="2592"/>
            <w:shd w:val="clear" w:fill="EFF3F1"/>
          </w:tcPr>
          <w:p>
            <w:pPr>
              <w:spacing w:line="264" w:lineRule="auto"/>
              <w:jc w:val="right"/>
            </w:pPr>
            <w:r>
              <w:rPr>
                <w:b w:val="0"/>
                <w:i w:val="0"/>
                <w:sz w:val="18"/>
              </w:rPr>
              <w:t>20%</w:t>
            </w:r>
          </w:p>
        </w:tc>
      </w:tr>
      <w:tr>
        <w:tc>
          <w:tcPr>
            <w:tcW w:type="dxa" w:w="4320"/>
          </w:tcPr>
          <w:p>
            <w:pPr>
              <w:spacing w:line="264" w:lineRule="auto"/>
            </w:pPr>
            <w:r>
              <w:rPr>
                <w:b w:val="0"/>
                <w:i w:val="0"/>
                <w:color w:val="1C3A36"/>
                <w:sz w:val="18"/>
              </w:rPr>
              <w:t>Relative multiples</w:t>
            </w:r>
          </w:p>
        </w:tc>
        <w:tc>
          <w:tcPr>
            <w:tcW w:type="dxa" w:w="2880"/>
          </w:tcPr>
          <w:p>
            <w:pPr>
              <w:spacing w:line="264" w:lineRule="auto"/>
              <w:jc w:val="right"/>
            </w:pPr>
            <w:r>
              <w:rPr>
                <w:b w:val="0"/>
                <w:i w:val="0"/>
                <w:sz w:val="18"/>
              </w:rPr>
              <w:t>29.7</w:t>
            </w:r>
          </w:p>
        </w:tc>
        <w:tc>
          <w:tcPr>
            <w:tcW w:type="dxa" w:w="2592"/>
          </w:tcPr>
          <w:p>
            <w:pPr>
              <w:spacing w:line="264" w:lineRule="auto"/>
              <w:jc w:val="right"/>
            </w:pPr>
            <w:r>
              <w:rPr>
                <w:b w:val="0"/>
                <w:i w:val="0"/>
                <w:sz w:val="18"/>
              </w:rPr>
              <w:t>15%</w:t>
            </w:r>
          </w:p>
        </w:tc>
      </w:tr>
      <w:tr>
        <w:tc>
          <w:tcPr>
            <w:tcW w:type="dxa" w:w="4320"/>
            <w:shd w:val="clear" w:fill="EFF3F1"/>
          </w:tcPr>
          <w:p>
            <w:pPr>
              <w:spacing w:line="264" w:lineRule="auto"/>
            </w:pPr>
            <w:r>
              <w:rPr>
                <w:b w:val="0"/>
                <w:i w:val="0"/>
                <w:color w:val="1C3A36"/>
                <w:sz w:val="18"/>
              </w:rPr>
              <w:t>Normalized earnings</w:t>
            </w:r>
          </w:p>
        </w:tc>
        <w:tc>
          <w:tcPr>
            <w:tcW w:type="dxa" w:w="2880"/>
            <w:shd w:val="clear" w:fill="EFF3F1"/>
          </w:tcPr>
          <w:p>
            <w:pPr>
              <w:spacing w:line="264" w:lineRule="auto"/>
              <w:jc w:val="right"/>
            </w:pPr>
            <w:r>
              <w:rPr>
                <w:b w:val="0"/>
                <w:i w:val="0"/>
                <w:sz w:val="18"/>
              </w:rPr>
              <w:t>21.1</w:t>
            </w:r>
          </w:p>
        </w:tc>
        <w:tc>
          <w:tcPr>
            <w:tcW w:type="dxa" w:w="2592"/>
            <w:shd w:val="clear" w:fill="EFF3F1"/>
          </w:tcPr>
          <w:p>
            <w:pPr>
              <w:spacing w:line="264" w:lineRule="auto"/>
              <w:jc w:val="right"/>
            </w:pPr>
            <w:r>
              <w:rPr>
                <w:b w:val="0"/>
                <w:i w:val="0"/>
                <w:sz w:val="18"/>
              </w:rPr>
              <w:t>25%</w:t>
            </w:r>
          </w:p>
        </w:tc>
      </w:tr>
      <w:tr>
        <w:tc>
          <w:tcPr>
            <w:tcW w:type="dxa" w:w="4320"/>
          </w:tcPr>
          <w:p>
            <w:pPr>
              <w:spacing w:line="264" w:lineRule="auto"/>
            </w:pPr>
            <w:r>
              <w:rPr>
                <w:b/>
                <w:i w:val="0"/>
                <w:color w:val="1C3A36"/>
                <w:sz w:val="18"/>
              </w:rPr>
              <w:t>Weighted central</w:t>
            </w:r>
          </w:p>
        </w:tc>
        <w:tc>
          <w:tcPr>
            <w:tcW w:type="dxa" w:w="2880"/>
          </w:tcPr>
          <w:p>
            <w:pPr>
              <w:spacing w:line="264" w:lineRule="auto"/>
              <w:jc w:val="right"/>
            </w:pPr>
            <w:r>
              <w:rPr>
                <w:b/>
                <w:i w:val="0"/>
                <w:sz w:val="18"/>
              </w:rPr>
              <w:t>20.9</w:t>
            </w:r>
          </w:p>
        </w:tc>
        <w:tc>
          <w:tcPr>
            <w:tcW w:type="dxa" w:w="2592"/>
          </w:tcPr>
          <w:p>
            <w:pPr>
              <w:spacing w:line="264" w:lineRule="auto"/>
              <w:jc w:val="right"/>
            </w:pPr>
            <w:r>
              <w:rPr>
                <w:b/>
                <w:i w:val="0"/>
                <w:sz w:val="18"/>
              </w:rPr>
              <w:t>100%</w:t>
            </w:r>
          </w:p>
        </w:tc>
      </w:tr>
    </w:tbl>
    <w:p>
      <w:pPr>
        <w:spacing w:after="40"/>
      </w:pPr>
    </w:p>
    <w:p>
      <w:pPr>
        <w:jc w:val="center"/>
      </w:pPr>
      <w:r>
        <w:drawing>
          <wp:inline xmlns:a="http://schemas.openxmlformats.org/drawingml/2006/main" xmlns:pic="http://schemas.openxmlformats.org/drawingml/2006/picture">
            <wp:extent cx="5943600" cy="2622176"/>
            <wp:docPr id="1" name="Picture 1"/>
            <wp:cNvGraphicFramePr>
              <a:graphicFrameLocks noChangeAspect="1"/>
            </wp:cNvGraphicFramePr>
            <a:graphic>
              <a:graphicData uri="http://schemas.openxmlformats.org/drawingml/2006/picture">
                <pic:pic>
                  <pic:nvPicPr>
                    <pic:cNvPr id="0" name="ORWE_football.png"/>
                    <pic:cNvPicPr/>
                  </pic:nvPicPr>
                  <pic:blipFill>
                    <a:blip r:embed="rId9"/>
                    <a:stretch>
                      <a:fillRect/>
                    </a:stretch>
                  </pic:blipFill>
                  <pic:spPr>
                    <a:xfrm>
                      <a:off x="0" y="0"/>
                      <a:ext cx="5943600" cy="2622176"/>
                    </a:xfrm>
                    <a:prstGeom prst="rect"/>
                  </pic:spPr>
                </pic:pic>
              </a:graphicData>
            </a:graphic>
          </wp:inline>
        </w:drawing>
      </w:r>
    </w:p>
    <w:p>
      <w:pPr>
        <w:spacing w:line="264" w:lineRule="auto"/>
        <w:jc w:val="center"/>
      </w:pPr>
      <w:r>
        <w:rPr>
          <w:b w:val="0"/>
          <w:i/>
          <w:color w:val="666666"/>
          <w:sz w:val="16"/>
        </w:rPr>
        <w:t>Valuation football field - lens ranges vs spot</w:t>
      </w:r>
    </w:p>
    <w:p>
      <w:pPr>
        <w:spacing w:line="264" w:lineRule="auto"/>
        <w:jc w:val="center"/>
      </w:pPr>
      <w:r>
        <w:rPr>
          <w:b w:val="0"/>
          <w:sz w:val="21"/>
        </w:rPr>
        <w:t>A last synthesis note: the centre's stability was tested by re-weighting - even shifting ten points from the cash lens to the multiple lens moves it barely a pound - so the verdict is a property of the lenses, not an artifact of the blend.</w:t>
      </w:r>
    </w:p>
    <w:p>
      <w:pPr>
        <w:spacing w:before="160" w:after="120" w:line="264" w:lineRule="auto"/>
      </w:pPr>
      <w:r>
        <w:rPr>
          <w:b/>
          <w:i w:val="0"/>
          <w:color w:val="1C3A36"/>
          <w:sz w:val="24"/>
        </w:rPr>
        <w:t>1.6  The segments - where the revenue lives</w:t>
      </w:r>
    </w:p>
    <w:p>
      <w:pPr>
        <w:spacing w:after="120" w:line="264" w:lineRule="auto"/>
      </w:pPr>
      <w:r>
        <w:rPr>
          <w:b w:val="0"/>
          <w:i w:val="0"/>
          <w:sz w:val="21"/>
        </w:rPr>
        <w:t>Exports are ~60-64% of revenue across 130-150 countries - the Americas alone ~a third of sales, served partly from the group's US plants; Europe rides the German wholesale/online channel; GCC and Africa round the book. Egypt (~36-40%) leans on 260+ owned showrooms (over half of local sales) plus wholesale. By product, machine-woven remains the core while the tufted 'MAC' segment has been the growth surprise.</w:t>
      </w:r>
    </w:p>
    <w:p>
      <w:pPr>
        <w:spacing w:after="120" w:line="264" w:lineRule="auto"/>
      </w:pPr>
      <w:r>
        <w:rPr>
          <w:b w:val="0"/>
          <w:i w:val="0"/>
          <w:sz w:val="21"/>
        </w:rPr>
        <w:t>The vertical integration - fibre extrusion to finishing to retail - is the moat: it converts a weak pound directly into a cost advantage no importer can match, and it is also the reason the balance sheet carries the whole pipeline's working capital. The moat and the drag are the same asset.</w:t>
      </w:r>
    </w:p>
    <w:tbl>
      <w:tblPr>
        <w:tblStyle w:val="TableGrid"/>
        <w:tblW w:type="auto" w:w="0"/>
        <w:tblLook w:firstColumn="1" w:firstRow="1" w:lastColumn="0" w:lastRow="0" w:noHBand="0" w:noVBand="1" w:val="04A0"/>
      </w:tblPr>
      <w:tblGrid>
        <w:gridCol w:w="2484"/>
        <w:gridCol w:w="2484"/>
        <w:gridCol w:w="2484"/>
        <w:gridCol w:w="2484"/>
      </w:tblGrid>
      <w:tr>
        <w:tc>
          <w:tcPr>
            <w:tcW w:type="dxa" w:w="2304"/>
            <w:shd w:val="clear" w:fill="1C3A36"/>
          </w:tcPr>
          <w:p>
            <w:pPr>
              <w:spacing w:line="264" w:lineRule="auto"/>
            </w:pPr>
            <w:r>
              <w:rPr>
                <w:b/>
                <w:i w:val="0"/>
                <w:color w:val="FFFFFF"/>
                <w:sz w:val="18"/>
              </w:rPr>
              <w:t>Segment</w:t>
            </w:r>
          </w:p>
        </w:tc>
        <w:tc>
          <w:tcPr>
            <w:tcW w:type="dxa" w:w="1872"/>
            <w:shd w:val="clear" w:fill="1C3A36"/>
          </w:tcPr>
          <w:p>
            <w:pPr>
              <w:spacing w:line="264" w:lineRule="auto"/>
              <w:jc w:val="right"/>
            </w:pPr>
            <w:r>
              <w:rPr>
                <w:b/>
                <w:i w:val="0"/>
                <w:color w:val="FFFFFF"/>
                <w:sz w:val="18"/>
              </w:rPr>
              <w:t>Share</w:t>
            </w:r>
          </w:p>
        </w:tc>
        <w:tc>
          <w:tcPr>
            <w:tcW w:type="dxa" w:w="2736"/>
            <w:shd w:val="clear" w:fill="1C3A36"/>
          </w:tcPr>
          <w:p>
            <w:pPr>
              <w:spacing w:line="264" w:lineRule="auto"/>
              <w:jc w:val="right"/>
            </w:pPr>
            <w:r>
              <w:rPr>
                <w:b/>
                <w:i w:val="0"/>
                <w:color w:val="FFFFFF"/>
                <w:sz w:val="18"/>
              </w:rPr>
              <w:t>Driver</w:t>
            </w:r>
          </w:p>
        </w:tc>
        <w:tc>
          <w:tcPr>
            <w:tcW w:type="dxa" w:w="3600"/>
            <w:shd w:val="clear" w:fill="1C3A36"/>
          </w:tcPr>
          <w:p>
            <w:pPr>
              <w:spacing w:line="264" w:lineRule="auto"/>
              <w:jc w:val="right"/>
            </w:pPr>
            <w:r>
              <w:rPr>
                <w:b/>
                <w:i w:val="0"/>
                <w:color w:val="FFFFFF"/>
                <w:sz w:val="18"/>
              </w:rPr>
              <w:t>Read</w:t>
            </w:r>
          </w:p>
        </w:tc>
      </w:tr>
      <w:tr>
        <w:tc>
          <w:tcPr>
            <w:tcW w:type="dxa" w:w="2304"/>
          </w:tcPr>
          <w:p>
            <w:pPr>
              <w:spacing w:line="264" w:lineRule="auto"/>
            </w:pPr>
            <w:r>
              <w:rPr>
                <w:b w:val="0"/>
                <w:i w:val="0"/>
                <w:color w:val="1C3A36"/>
                <w:sz w:val="18"/>
              </w:rPr>
              <w:t>Exports</w:t>
            </w:r>
          </w:p>
        </w:tc>
        <w:tc>
          <w:tcPr>
            <w:tcW w:type="dxa" w:w="1872"/>
          </w:tcPr>
          <w:p>
            <w:pPr>
              <w:spacing w:line="264" w:lineRule="auto"/>
              <w:jc w:val="right"/>
            </w:pPr>
            <w:r>
              <w:rPr>
                <w:b w:val="0"/>
                <w:i w:val="0"/>
                <w:sz w:val="18"/>
              </w:rPr>
              <w:t>~60-64%</w:t>
            </w:r>
          </w:p>
        </w:tc>
        <w:tc>
          <w:tcPr>
            <w:tcW w:type="dxa" w:w="2736"/>
          </w:tcPr>
          <w:p>
            <w:pPr>
              <w:spacing w:line="264" w:lineRule="auto"/>
              <w:jc w:val="right"/>
            </w:pPr>
            <w:r>
              <w:rPr>
                <w:b w:val="0"/>
                <w:i w:val="0"/>
                <w:sz w:val="18"/>
              </w:rPr>
              <w:t>Devaluation pass-through + rebates</w:t>
            </w:r>
          </w:p>
        </w:tc>
        <w:tc>
          <w:tcPr>
            <w:tcW w:type="dxa" w:w="3600"/>
          </w:tcPr>
          <w:p>
            <w:pPr>
              <w:spacing w:line="264" w:lineRule="auto"/>
              <w:jc w:val="right"/>
            </w:pPr>
            <w:r>
              <w:rPr>
                <w:b w:val="0"/>
                <w:i w:val="0"/>
                <w:sz w:val="18"/>
              </w:rPr>
              <w:t>The margin engine; 130-150 countries</w:t>
            </w:r>
          </w:p>
        </w:tc>
      </w:tr>
      <w:tr>
        <w:tc>
          <w:tcPr>
            <w:tcW w:type="dxa" w:w="2304"/>
            <w:shd w:val="clear" w:fill="EFF3F1"/>
          </w:tcPr>
          <w:p>
            <w:pPr>
              <w:spacing w:line="264" w:lineRule="auto"/>
            </w:pPr>
            <w:r>
              <w:rPr>
                <w:b w:val="0"/>
                <w:i w:val="0"/>
                <w:color w:val="1C3A36"/>
                <w:sz w:val="18"/>
              </w:rPr>
              <w:t>Egypt retail</w:t>
            </w:r>
          </w:p>
        </w:tc>
        <w:tc>
          <w:tcPr>
            <w:tcW w:type="dxa" w:w="1872"/>
            <w:shd w:val="clear" w:fill="EFF3F1"/>
          </w:tcPr>
          <w:p>
            <w:pPr>
              <w:spacing w:line="264" w:lineRule="auto"/>
              <w:jc w:val="right"/>
            </w:pPr>
            <w:r>
              <w:rPr>
                <w:b w:val="0"/>
                <w:i w:val="0"/>
                <w:sz w:val="18"/>
              </w:rPr>
              <w:t>~36-40%</w:t>
            </w:r>
          </w:p>
        </w:tc>
        <w:tc>
          <w:tcPr>
            <w:tcW w:type="dxa" w:w="2736"/>
            <w:shd w:val="clear" w:fill="EFF3F1"/>
          </w:tcPr>
          <w:p>
            <w:pPr>
              <w:spacing w:line="264" w:lineRule="auto"/>
              <w:jc w:val="right"/>
            </w:pPr>
            <w:r>
              <w:rPr>
                <w:b w:val="0"/>
                <w:i w:val="0"/>
                <w:sz w:val="18"/>
              </w:rPr>
              <w:t>260+ showrooms, 53% of local sales</w:t>
            </w:r>
          </w:p>
        </w:tc>
        <w:tc>
          <w:tcPr>
            <w:tcW w:type="dxa" w:w="3600"/>
            <w:shd w:val="clear" w:fill="EFF3F1"/>
          </w:tcPr>
          <w:p>
            <w:pPr>
              <w:spacing w:line="264" w:lineRule="auto"/>
              <w:jc w:val="right"/>
            </w:pPr>
            <w:r>
              <w:rPr>
                <w:b w:val="0"/>
                <w:i w:val="0"/>
                <w:sz w:val="18"/>
              </w:rPr>
              <w:t>Pricing power, inflation-linked</w:t>
            </w:r>
          </w:p>
        </w:tc>
      </w:tr>
      <w:tr>
        <w:tc>
          <w:tcPr>
            <w:tcW w:type="dxa" w:w="2304"/>
          </w:tcPr>
          <w:p>
            <w:pPr>
              <w:spacing w:line="264" w:lineRule="auto"/>
            </w:pPr>
            <w:r>
              <w:rPr>
                <w:b w:val="0"/>
                <w:i w:val="0"/>
                <w:color w:val="1C3A36"/>
                <w:sz w:val="18"/>
              </w:rPr>
              <w:t>Tufted 'MAC'</w:t>
            </w:r>
          </w:p>
        </w:tc>
        <w:tc>
          <w:tcPr>
            <w:tcW w:type="dxa" w:w="1872"/>
          </w:tcPr>
          <w:p>
            <w:pPr>
              <w:spacing w:line="264" w:lineRule="auto"/>
              <w:jc w:val="right"/>
            </w:pPr>
            <w:r>
              <w:rPr>
                <w:b w:val="0"/>
                <w:i w:val="0"/>
                <w:sz w:val="18"/>
              </w:rPr>
              <w:t>growing</w:t>
            </w:r>
          </w:p>
        </w:tc>
        <w:tc>
          <w:tcPr>
            <w:tcW w:type="dxa" w:w="2736"/>
          </w:tcPr>
          <w:p>
            <w:pPr>
              <w:spacing w:line="264" w:lineRule="auto"/>
              <w:jc w:val="right"/>
            </w:pPr>
            <w:r>
              <w:rPr>
                <w:b w:val="0"/>
                <w:i w:val="0"/>
                <w:sz w:val="18"/>
              </w:rPr>
              <w:t>Mix upgrade, US listings</w:t>
            </w:r>
          </w:p>
        </w:tc>
        <w:tc>
          <w:tcPr>
            <w:tcW w:type="dxa" w:w="3600"/>
          </w:tcPr>
          <w:p>
            <w:pPr>
              <w:spacing w:line="264" w:lineRule="auto"/>
              <w:jc w:val="right"/>
            </w:pPr>
            <w:r>
              <w:rPr>
                <w:b w:val="0"/>
                <w:i w:val="0"/>
                <w:sz w:val="18"/>
              </w:rPr>
              <w:t>The growth surprise</w:t>
            </w:r>
          </w:p>
        </w:tc>
      </w:tr>
      <w:tr>
        <w:tc>
          <w:tcPr>
            <w:tcW w:type="dxa" w:w="2304"/>
            <w:shd w:val="clear" w:fill="EFF3F1"/>
          </w:tcPr>
          <w:p>
            <w:pPr>
              <w:spacing w:line="264" w:lineRule="auto"/>
            </w:pPr>
            <w:r>
              <w:rPr>
                <w:b w:val="0"/>
                <w:i w:val="0"/>
                <w:color w:val="1C3A36"/>
                <w:sz w:val="18"/>
              </w:rPr>
              <w:t>US plants</w:t>
            </w:r>
          </w:p>
        </w:tc>
        <w:tc>
          <w:tcPr>
            <w:tcW w:type="dxa" w:w="1872"/>
            <w:shd w:val="clear" w:fill="EFF3F1"/>
          </w:tcPr>
          <w:p>
            <w:pPr>
              <w:spacing w:line="264" w:lineRule="auto"/>
              <w:jc w:val="right"/>
            </w:pPr>
            <w:r>
              <w:rPr>
                <w:b w:val="0"/>
                <w:i w:val="0"/>
                <w:sz w:val="18"/>
              </w:rPr>
              <w:t>inside tariff wall</w:t>
            </w:r>
          </w:p>
        </w:tc>
        <w:tc>
          <w:tcPr>
            <w:tcW w:type="dxa" w:w="2736"/>
            <w:shd w:val="clear" w:fill="EFF3F1"/>
          </w:tcPr>
          <w:p>
            <w:pPr>
              <w:spacing w:line="264" w:lineRule="auto"/>
              <w:jc w:val="right"/>
            </w:pPr>
            <w:r>
              <w:rPr>
                <w:b w:val="0"/>
                <w:i w:val="0"/>
                <w:sz w:val="18"/>
              </w:rPr>
              <w:t>Serve the Americas book</w:t>
            </w:r>
          </w:p>
        </w:tc>
        <w:tc>
          <w:tcPr>
            <w:tcW w:type="dxa" w:w="3600"/>
            <w:shd w:val="clear" w:fill="EFF3F1"/>
          </w:tcPr>
          <w:p>
            <w:pPr>
              <w:spacing w:line="264" w:lineRule="auto"/>
              <w:jc w:val="right"/>
            </w:pPr>
            <w:r>
              <w:rPr>
                <w:b w:val="0"/>
                <w:i w:val="0"/>
                <w:sz w:val="18"/>
              </w:rPr>
              <w:t>Partial hedge to the trade file</w:t>
            </w:r>
          </w:p>
        </w:tc>
      </w:tr>
    </w:tbl>
    <w:p>
      <w:pPr>
        <w:spacing w:after="40"/>
      </w:pPr>
    </w:p>
    <w:p>
      <w:pPr>
        <w:spacing w:before="160" w:after="120" w:line="264" w:lineRule="auto"/>
      </w:pPr>
      <w:r>
        <w:rPr>
          <w:b/>
          <w:i w:val="0"/>
          <w:color w:val="1C3A36"/>
          <w:sz w:val="24"/>
        </w:rPr>
        <w:t>1.7  Three policy crutches and a working-capital cycle - the crux</w:t>
      </w:r>
    </w:p>
    <w:p>
      <w:pPr>
        <w:spacing w:after="120" w:line="264" w:lineRule="auto"/>
      </w:pPr>
      <w:r>
        <w:rPr>
          <w:b w:val="0"/>
          <w:i w:val="0"/>
          <w:sz w:val="21"/>
        </w:rPr>
        <w:t>The margin stands on three crutches, none controlled by the company. The pound: USD revenues against EGP costs mean each devaluation is a margin windfall (FY23's 103% gross-profit surge) and each stable stretch a squeeze (FY25's flat profit on +10% sales). The rebate file: the state export-support program is fading - the AGM itself named it - and its lapse is worth an estimated EGP 2-3/share. The tariff: the US ~10% baseline on Egyptian goods sits on roughly a third of sales.</w:t>
      </w:r>
    </w:p>
    <w:p>
      <w:pPr>
        <w:spacing w:after="120" w:line="264" w:lineRule="auto"/>
      </w:pPr>
      <w:r>
        <w:rPr>
          <w:b w:val="0"/>
          <w:i w:val="0"/>
          <w:sz w:val="21"/>
        </w:rPr>
        <w:t>Against all three runs the working-capital cycle, which decides how much of any margin ever becomes cash. Quantified: each 10% EGP move is worth ~1.5-2 gross-margin points (~EGP 3-4/share capitalized); each point of NWC intensity is ~EGP 0.6/share on the DCF.</w:t>
      </w:r>
    </w:p>
    <w:p>
      <w:pPr>
        <w:spacing w:after="120" w:line="264" w:lineRule="auto"/>
      </w:pPr>
      <w:r>
        <w:rPr>
          <w:b w:val="0"/>
          <w:i w:val="0"/>
          <w:sz w:val="21"/>
        </w:rPr>
        <w:t>The bull case is simply the FY23 playbook repeating; the bear case is a firm pound with the rebate file closed - and both are decisions taken in offices the company can only lobby.</w:t>
      </w:r>
    </w:p>
    <w:p>
      <w:pPr>
        <w:spacing w:before="160" w:after="120" w:line="264" w:lineRule="auto"/>
      </w:pPr>
      <w:r>
        <w:rPr>
          <w:b/>
          <w:i w:val="0"/>
          <w:color w:val="1C3A36"/>
          <w:sz w:val="24"/>
        </w:rPr>
        <w:t>1.8  Macro and country</w:t>
      </w:r>
    </w:p>
    <w:p>
      <w:pPr>
        <w:spacing w:after="120" w:line="264" w:lineRule="auto"/>
      </w:pPr>
      <w:r>
        <w:rPr>
          <w:b w:val="0"/>
          <w:i w:val="0"/>
          <w:sz w:val="21"/>
        </w:rPr>
        <w:t>Macro: Egypt's crawling-peg pound is the single largest earnings variable; polypropylene - an oil derivative - is the input side of the spread; Red Sea freight disruption still taxes the export lane; US/EU housing turnover and retail restocking set replacement demand.</w:t>
      </w:r>
    </w:p>
    <w:p>
      <w:pPr>
        <w:spacing w:after="120" w:line="264" w:lineRule="auto"/>
      </w:pPr>
      <w:r>
        <w:rPr>
          <w:b w:val="0"/>
          <w:i w:val="0"/>
          <w:sz w:val="21"/>
        </w:rPr>
        <w:t>The offset: carpets are a consumer durable with replacement-cycle resilience, the company has priced through every devaluation since 2016, and the US plants sit inside the tariff wall - a structural hedge the pure-export peers lack.</w:t>
      </w:r>
    </w:p>
    <w:p>
      <w:pPr>
        <w:spacing w:after="120" w:line="264" w:lineRule="auto"/>
      </w:pPr>
      <w:r>
        <w:rPr>
          <w:b w:val="0"/>
          <w:sz w:val="21"/>
        </w:rPr>
        <w:t>Timing of the crutches differs, and it matters: a devaluation reprices the export book within a quarter, the rebate file settles annually with the budget, and the tariff schedule moves on Washington's calendar - so the margin's three supports rarely fail together, which is why the base case is a squeeze, not a collapse.</w:t>
      </w:r>
    </w:p>
    <w:p>
      <w:pPr>
        <w:spacing w:before="160" w:after="120" w:line="264" w:lineRule="auto"/>
      </w:pPr>
      <w:r>
        <w:rPr>
          <w:b/>
          <w:i w:val="0"/>
          <w:color w:val="1C3A36"/>
          <w:sz w:val="24"/>
        </w:rPr>
        <w:t>1.9  Ke x working-capital sensitivity</w:t>
      </w:r>
    </w:p>
    <w:p>
      <w:pPr>
        <w:spacing w:after="120" w:line="264" w:lineRule="auto"/>
      </w:pPr>
      <w:r>
        <w:rPr>
          <w:b w:val="0"/>
          <w:i w:val="0"/>
          <w:sz w:val="21"/>
        </w:rPr>
        <w:t>Two dials dominate. Cost of equity 22/24/26% moves the FCFE value roughly EGP 19.5/17.3/15.5. Working capital at 24/28/32% of revenue spans ~EGP 19.5/17.3/15.0 - and each point of gross margin is worth ~EGP 2/share on the capitalized lenses. The grid crosses them; the interaction defines an honest EGP 13-24 fundamental envelope; only the relative lens escapes it.</w:t>
      </w:r>
    </w:p>
    <w:tbl>
      <w:tblPr>
        <w:tblStyle w:val="TableGrid"/>
        <w:tblW w:type="auto" w:w="0"/>
        <w:tblLook w:firstColumn="1" w:firstRow="1" w:lastColumn="0" w:lastRow="0" w:noHBand="0" w:noVBand="1" w:val="04A0"/>
      </w:tblPr>
      <w:tblGrid>
        <w:gridCol w:w="2484"/>
        <w:gridCol w:w="2484"/>
        <w:gridCol w:w="2484"/>
        <w:gridCol w:w="2484"/>
      </w:tblGrid>
      <w:tr>
        <w:tc>
          <w:tcPr>
            <w:tcW w:type="dxa" w:w="2448"/>
            <w:shd w:val="clear" w:fill="1C3A36"/>
          </w:tcPr>
          <w:p>
            <w:pPr>
              <w:spacing w:line="264" w:lineRule="auto"/>
            </w:pPr>
            <w:r>
              <w:rPr>
                <w:b/>
                <w:i w:val="0"/>
                <w:color w:val="FFFFFF"/>
                <w:sz w:val="18"/>
              </w:rPr>
              <w:t>Ke \ NWC</w:t>
            </w:r>
          </w:p>
        </w:tc>
        <w:tc>
          <w:tcPr>
            <w:tcW w:type="dxa" w:w="2016"/>
            <w:shd w:val="clear" w:fill="1C3A36"/>
          </w:tcPr>
          <w:p>
            <w:pPr>
              <w:spacing w:line="264" w:lineRule="auto"/>
              <w:jc w:val="right"/>
            </w:pPr>
            <w:r>
              <w:rPr>
                <w:b/>
                <w:i w:val="0"/>
                <w:color w:val="FFFFFF"/>
                <w:sz w:val="18"/>
              </w:rPr>
              <w:t>24%</w:t>
            </w:r>
          </w:p>
        </w:tc>
        <w:tc>
          <w:tcPr>
            <w:tcW w:type="dxa" w:w="2016"/>
            <w:shd w:val="clear" w:fill="1C3A36"/>
          </w:tcPr>
          <w:p>
            <w:pPr>
              <w:spacing w:line="264" w:lineRule="auto"/>
              <w:jc w:val="right"/>
            </w:pPr>
            <w:r>
              <w:rPr>
                <w:b/>
                <w:i w:val="0"/>
                <w:color w:val="FFFFFF"/>
                <w:sz w:val="18"/>
              </w:rPr>
              <w:t>28%</w:t>
            </w:r>
          </w:p>
        </w:tc>
        <w:tc>
          <w:tcPr>
            <w:tcW w:type="dxa" w:w="2016"/>
            <w:shd w:val="clear" w:fill="1C3A36"/>
          </w:tcPr>
          <w:p>
            <w:pPr>
              <w:spacing w:line="264" w:lineRule="auto"/>
              <w:jc w:val="right"/>
            </w:pPr>
            <w:r>
              <w:rPr>
                <w:b/>
                <w:i w:val="0"/>
                <w:color w:val="FFFFFF"/>
                <w:sz w:val="18"/>
              </w:rPr>
              <w:t>32%</w:t>
            </w:r>
          </w:p>
        </w:tc>
      </w:tr>
      <w:tr>
        <w:tc>
          <w:tcPr>
            <w:tcW w:type="dxa" w:w="2448"/>
          </w:tcPr>
          <w:p>
            <w:pPr>
              <w:spacing w:line="264" w:lineRule="auto"/>
            </w:pPr>
            <w:r>
              <w:rPr>
                <w:b w:val="0"/>
                <w:i w:val="0"/>
                <w:color w:val="1C3A36"/>
                <w:sz w:val="18"/>
              </w:rPr>
              <w:t>22%</w:t>
            </w:r>
          </w:p>
        </w:tc>
        <w:tc>
          <w:tcPr>
            <w:tcW w:type="dxa" w:w="2016"/>
          </w:tcPr>
          <w:p>
            <w:pPr>
              <w:spacing w:line="264" w:lineRule="auto"/>
              <w:jc w:val="right"/>
            </w:pPr>
            <w:r>
              <w:rPr>
                <w:b w:val="0"/>
                <w:i w:val="0"/>
                <w:sz w:val="18"/>
              </w:rPr>
              <w:t>21.8</w:t>
            </w:r>
          </w:p>
        </w:tc>
        <w:tc>
          <w:tcPr>
            <w:tcW w:type="dxa" w:w="2016"/>
          </w:tcPr>
          <w:p>
            <w:pPr>
              <w:spacing w:line="264" w:lineRule="auto"/>
              <w:jc w:val="right"/>
            </w:pPr>
            <w:r>
              <w:rPr>
                <w:b w:val="0"/>
                <w:i w:val="0"/>
                <w:sz w:val="18"/>
              </w:rPr>
              <w:t>19.5</w:t>
            </w:r>
          </w:p>
        </w:tc>
        <w:tc>
          <w:tcPr>
            <w:tcW w:type="dxa" w:w="2016"/>
          </w:tcPr>
          <w:p>
            <w:pPr>
              <w:spacing w:line="264" w:lineRule="auto"/>
              <w:jc w:val="right"/>
            </w:pPr>
            <w:r>
              <w:rPr>
                <w:b w:val="0"/>
                <w:i w:val="0"/>
                <w:sz w:val="18"/>
              </w:rPr>
              <w:t>17.2</w:t>
            </w:r>
          </w:p>
        </w:tc>
      </w:tr>
      <w:tr>
        <w:tc>
          <w:tcPr>
            <w:tcW w:type="dxa" w:w="2448"/>
            <w:shd w:val="clear" w:fill="EFF3F1"/>
          </w:tcPr>
          <w:p>
            <w:pPr>
              <w:spacing w:line="264" w:lineRule="auto"/>
            </w:pPr>
            <w:r>
              <w:rPr>
                <w:b w:val="0"/>
                <w:i w:val="0"/>
                <w:color w:val="1C3A36"/>
                <w:sz w:val="18"/>
              </w:rPr>
              <w:t>24%</w:t>
            </w:r>
          </w:p>
        </w:tc>
        <w:tc>
          <w:tcPr>
            <w:tcW w:type="dxa" w:w="2016"/>
            <w:shd w:val="clear" w:fill="EFF3F1"/>
          </w:tcPr>
          <w:p>
            <w:pPr>
              <w:spacing w:line="264" w:lineRule="auto"/>
              <w:jc w:val="right"/>
            </w:pPr>
            <w:r>
              <w:rPr>
                <w:b w:val="0"/>
                <w:i w:val="0"/>
                <w:sz w:val="18"/>
              </w:rPr>
              <w:t>19.5</w:t>
            </w:r>
          </w:p>
        </w:tc>
        <w:tc>
          <w:tcPr>
            <w:tcW w:type="dxa" w:w="2016"/>
            <w:shd w:val="clear" w:fill="EFF3F1"/>
          </w:tcPr>
          <w:p>
            <w:pPr>
              <w:spacing w:line="264" w:lineRule="auto"/>
              <w:jc w:val="right"/>
            </w:pPr>
            <w:r>
              <w:rPr>
                <w:b w:val="0"/>
                <w:i w:val="0"/>
                <w:sz w:val="18"/>
              </w:rPr>
              <w:t>17.3</w:t>
            </w:r>
          </w:p>
        </w:tc>
        <w:tc>
          <w:tcPr>
            <w:tcW w:type="dxa" w:w="2016"/>
            <w:shd w:val="clear" w:fill="EFF3F1"/>
          </w:tcPr>
          <w:p>
            <w:pPr>
              <w:spacing w:line="264" w:lineRule="auto"/>
              <w:jc w:val="right"/>
            </w:pPr>
            <w:r>
              <w:rPr>
                <w:b w:val="0"/>
                <w:i w:val="0"/>
                <w:sz w:val="18"/>
              </w:rPr>
              <w:t>15.0</w:t>
            </w:r>
          </w:p>
        </w:tc>
      </w:tr>
      <w:tr>
        <w:tc>
          <w:tcPr>
            <w:tcW w:type="dxa" w:w="2448"/>
          </w:tcPr>
          <w:p>
            <w:pPr>
              <w:spacing w:line="264" w:lineRule="auto"/>
            </w:pPr>
            <w:r>
              <w:rPr>
                <w:b w:val="0"/>
                <w:i w:val="0"/>
                <w:color w:val="1C3A36"/>
                <w:sz w:val="18"/>
              </w:rPr>
              <w:t>26%</w:t>
            </w:r>
          </w:p>
        </w:tc>
        <w:tc>
          <w:tcPr>
            <w:tcW w:type="dxa" w:w="2016"/>
          </w:tcPr>
          <w:p>
            <w:pPr>
              <w:spacing w:line="264" w:lineRule="auto"/>
              <w:jc w:val="right"/>
            </w:pPr>
            <w:r>
              <w:rPr>
                <w:b w:val="0"/>
                <w:i w:val="0"/>
                <w:sz w:val="18"/>
              </w:rPr>
              <w:t>17.4</w:t>
            </w:r>
          </w:p>
        </w:tc>
        <w:tc>
          <w:tcPr>
            <w:tcW w:type="dxa" w:w="2016"/>
          </w:tcPr>
          <w:p>
            <w:pPr>
              <w:spacing w:line="264" w:lineRule="auto"/>
              <w:jc w:val="right"/>
            </w:pPr>
            <w:r>
              <w:rPr>
                <w:b w:val="0"/>
                <w:i w:val="0"/>
                <w:sz w:val="18"/>
              </w:rPr>
              <w:t>15.5</w:t>
            </w:r>
          </w:p>
        </w:tc>
        <w:tc>
          <w:tcPr>
            <w:tcW w:type="dxa" w:w="2016"/>
          </w:tcPr>
          <w:p>
            <w:pPr>
              <w:spacing w:line="264" w:lineRule="auto"/>
              <w:jc w:val="right"/>
            </w:pPr>
            <w:r>
              <w:rPr>
                <w:b w:val="0"/>
                <w:i w:val="0"/>
                <w:sz w:val="18"/>
              </w:rPr>
              <w:t>13.4</w:t>
            </w:r>
          </w:p>
        </w:tc>
      </w:tr>
    </w:tbl>
    <w:p>
      <w:pPr>
        <w:spacing w:after="40"/>
      </w:pPr>
    </w:p>
    <w:p>
      <w:pPr>
        <w:spacing w:before="160" w:after="120" w:line="264" w:lineRule="auto"/>
      </w:pPr>
      <w:r>
        <w:rPr>
          <w:b/>
          <w:i w:val="0"/>
          <w:color w:val="1C3A36"/>
          <w:sz w:val="30"/>
        </w:rPr>
        <w:t>2  Technical and price structure</w:t>
      </w:r>
    </w:p>
    <w:p>
      <w:pPr>
        <w:spacing w:after="120" w:line="264" w:lineRule="auto"/>
      </w:pPr>
      <w:r>
        <w:rPr>
          <w:b w:val="0"/>
          <w:i w:val="0"/>
          <w:sz w:val="21"/>
        </w:rPr>
        <w:t>Price EGP 22.34 sits below all four moving averages - 20-day 23.1, 50-day 23.0, 100-day 22.8, 200-day 22.8 - which have flattened into a half-point band: a 12-month sideways coil (52-week range just 21.00-24.92) now grinding at its lower edge. RSI(14) at ~33 approaches oversold without confirming it.</w:t>
      </w:r>
    </w:p>
    <w:p>
      <w:pPr>
        <w:spacing w:after="120" w:line="264" w:lineRule="auto"/>
      </w:pPr>
      <w:r>
        <w:rPr>
          <w:b w:val="0"/>
          <w:i w:val="0"/>
          <w:sz w:val="21"/>
        </w:rPr>
        <w:t>The tape is soft but compressed - a low-energy drift awaiting a policy or earnings catalyst rather than a trending market. Coils this tight in ORWE's history have resolved with 15%+ moves inside a quarter; the direction has followed the pound, not the chart.</w:t>
      </w:r>
    </w:p>
    <w:tbl>
      <w:tblPr>
        <w:tblStyle w:val="TableGrid"/>
        <w:tblW w:type="auto" w:w="0"/>
        <w:tblLook w:firstColumn="1" w:firstRow="1" w:lastColumn="0" w:lastRow="0" w:noHBand="0" w:noVBand="1" w:val="04A0"/>
      </w:tblPr>
      <w:tblGrid>
        <w:gridCol w:w="4968"/>
        <w:gridCol w:w="4968"/>
      </w:tblGrid>
      <w:tr>
        <w:tc>
          <w:tcPr>
            <w:tcW w:type="dxa" w:w="3744"/>
            <w:shd w:val="clear" w:fill="1C3A36"/>
          </w:tcPr>
          <w:p>
            <w:pPr>
              <w:spacing w:line="264" w:lineRule="auto"/>
            </w:pPr>
            <w:r>
              <w:rPr>
                <w:b/>
                <w:i w:val="0"/>
                <w:color w:val="FFFFFF"/>
                <w:sz w:val="18"/>
              </w:rPr>
              <w:t>Indicator</w:t>
            </w:r>
          </w:p>
        </w:tc>
        <w:tc>
          <w:tcPr>
            <w:tcW w:type="dxa" w:w="6048"/>
            <w:shd w:val="clear" w:fill="1C3A36"/>
          </w:tcPr>
          <w:p>
            <w:pPr>
              <w:spacing w:line="264" w:lineRule="auto"/>
              <w:jc w:val="right"/>
            </w:pPr>
            <w:r>
              <w:rPr>
                <w:b/>
                <w:i w:val="0"/>
                <w:color w:val="FFFFFF"/>
                <w:sz w:val="18"/>
              </w:rPr>
              <w:t>Reading</w:t>
            </w:r>
          </w:p>
        </w:tc>
      </w:tr>
      <w:tr>
        <w:tc>
          <w:tcPr>
            <w:tcW w:type="dxa" w:w="3744"/>
          </w:tcPr>
          <w:p>
            <w:pPr>
              <w:spacing w:line="264" w:lineRule="auto"/>
            </w:pPr>
            <w:r>
              <w:rPr>
                <w:b w:val="0"/>
                <w:i w:val="0"/>
                <w:color w:val="1C3A36"/>
                <w:sz w:val="18"/>
              </w:rPr>
              <w:t>Spot</w:t>
            </w:r>
          </w:p>
        </w:tc>
        <w:tc>
          <w:tcPr>
            <w:tcW w:type="dxa" w:w="6048"/>
          </w:tcPr>
          <w:p>
            <w:pPr>
              <w:spacing w:line="264" w:lineRule="auto"/>
              <w:jc w:val="right"/>
            </w:pPr>
            <w:r>
              <w:rPr>
                <w:b w:val="0"/>
                <w:i w:val="0"/>
                <w:sz w:val="18"/>
              </w:rPr>
              <w:t>EGP 22.34</w:t>
            </w:r>
          </w:p>
        </w:tc>
      </w:tr>
      <w:tr>
        <w:tc>
          <w:tcPr>
            <w:tcW w:type="dxa" w:w="3744"/>
            <w:shd w:val="clear" w:fill="EFF3F1"/>
          </w:tcPr>
          <w:p>
            <w:pPr>
              <w:spacing w:line="264" w:lineRule="auto"/>
            </w:pPr>
            <w:r>
              <w:rPr>
                <w:b w:val="0"/>
                <w:i w:val="0"/>
                <w:color w:val="1C3A36"/>
                <w:sz w:val="18"/>
              </w:rPr>
              <w:t>SMA 20 / 50 / 100 / 200</w:t>
            </w:r>
          </w:p>
        </w:tc>
        <w:tc>
          <w:tcPr>
            <w:tcW w:type="dxa" w:w="6048"/>
            <w:shd w:val="clear" w:fill="EFF3F1"/>
          </w:tcPr>
          <w:p>
            <w:pPr>
              <w:spacing w:line="264" w:lineRule="auto"/>
              <w:jc w:val="right"/>
            </w:pPr>
            <w:r>
              <w:rPr>
                <w:b w:val="0"/>
                <w:i w:val="0"/>
                <w:sz w:val="18"/>
              </w:rPr>
              <w:t>23.1 / 23.0 / 22.8 / 22.8</w:t>
            </w:r>
          </w:p>
        </w:tc>
      </w:tr>
      <w:tr>
        <w:tc>
          <w:tcPr>
            <w:tcW w:type="dxa" w:w="3744"/>
          </w:tcPr>
          <w:p>
            <w:pPr>
              <w:spacing w:line="264" w:lineRule="auto"/>
            </w:pPr>
            <w:r>
              <w:rPr>
                <w:b w:val="0"/>
                <w:i w:val="0"/>
                <w:color w:val="1C3A36"/>
                <w:sz w:val="18"/>
              </w:rPr>
              <w:t>RSI(14)</w:t>
            </w:r>
          </w:p>
        </w:tc>
        <w:tc>
          <w:tcPr>
            <w:tcW w:type="dxa" w:w="6048"/>
          </w:tcPr>
          <w:p>
            <w:pPr>
              <w:spacing w:line="264" w:lineRule="auto"/>
              <w:jc w:val="right"/>
            </w:pPr>
            <w:r>
              <w:rPr>
                <w:b w:val="0"/>
                <w:i w:val="0"/>
                <w:sz w:val="18"/>
              </w:rPr>
              <w:t>~33 (approaching oversold)</w:t>
            </w:r>
          </w:p>
        </w:tc>
      </w:tr>
      <w:tr>
        <w:tc>
          <w:tcPr>
            <w:tcW w:type="dxa" w:w="3744"/>
            <w:shd w:val="clear" w:fill="EFF3F1"/>
          </w:tcPr>
          <w:p>
            <w:pPr>
              <w:spacing w:line="264" w:lineRule="auto"/>
            </w:pPr>
            <w:r>
              <w:rPr>
                <w:b w:val="0"/>
                <w:i w:val="0"/>
                <w:color w:val="1C3A36"/>
                <w:sz w:val="18"/>
              </w:rPr>
              <w:t>52-week range</w:t>
            </w:r>
          </w:p>
        </w:tc>
        <w:tc>
          <w:tcPr>
            <w:tcW w:type="dxa" w:w="6048"/>
            <w:shd w:val="clear" w:fill="EFF3F1"/>
          </w:tcPr>
          <w:p>
            <w:pPr>
              <w:spacing w:line="264" w:lineRule="auto"/>
              <w:jc w:val="right"/>
            </w:pPr>
            <w:r>
              <w:rPr>
                <w:b w:val="0"/>
                <w:i w:val="0"/>
                <w:sz w:val="18"/>
              </w:rPr>
              <w:t>EGP 21.00 - 24.92</w:t>
            </w:r>
          </w:p>
        </w:tc>
      </w:tr>
      <w:tr>
        <w:tc>
          <w:tcPr>
            <w:tcW w:type="dxa" w:w="3744"/>
          </w:tcPr>
          <w:p>
            <w:pPr>
              <w:spacing w:line="264" w:lineRule="auto"/>
            </w:pPr>
            <w:r>
              <w:rPr>
                <w:b w:val="0"/>
                <w:i w:val="0"/>
                <w:color w:val="1C3A36"/>
                <w:sz w:val="18"/>
              </w:rPr>
              <w:t>Structure</w:t>
            </w:r>
          </w:p>
        </w:tc>
        <w:tc>
          <w:tcPr>
            <w:tcW w:type="dxa" w:w="6048"/>
          </w:tcPr>
          <w:p>
            <w:pPr>
              <w:spacing w:line="264" w:lineRule="auto"/>
              <w:jc w:val="right"/>
            </w:pPr>
            <w:r>
              <w:rPr>
                <w:b w:val="0"/>
                <w:i w:val="0"/>
                <w:sz w:val="18"/>
              </w:rPr>
              <w:t>Below all four converged MAs; tight 1-year coil, lower edge</w:t>
            </w:r>
          </w:p>
        </w:tc>
      </w:tr>
    </w:tbl>
    <w:p>
      <w:pPr>
        <w:spacing w:after="40"/>
      </w:pPr>
    </w:p>
    <w:p>
      <w:pPr>
        <w:jc w:val="center"/>
      </w:pPr>
      <w:r>
        <w:drawing>
          <wp:inline xmlns:a="http://schemas.openxmlformats.org/drawingml/2006/main" xmlns:pic="http://schemas.openxmlformats.org/drawingml/2006/picture">
            <wp:extent cx="6035040" cy="2328276"/>
            <wp:docPr id="2" name="Picture 2"/>
            <wp:cNvGraphicFramePr>
              <a:graphicFrameLocks noChangeAspect="1"/>
            </wp:cNvGraphicFramePr>
            <a:graphic>
              <a:graphicData uri="http://schemas.openxmlformats.org/drawingml/2006/picture">
                <pic:pic>
                  <pic:nvPicPr>
                    <pic:cNvPr id="0" name="ORWE_mastack.png"/>
                    <pic:cNvPicPr/>
                  </pic:nvPicPr>
                  <pic:blipFill>
                    <a:blip r:embed="rId10"/>
                    <a:stretch>
                      <a:fillRect/>
                    </a:stretch>
                  </pic:blipFill>
                  <pic:spPr>
                    <a:xfrm>
                      <a:off x="0" y="0"/>
                      <a:ext cx="6035040" cy="2328276"/>
                    </a:xfrm>
                    <a:prstGeom prst="rect"/>
                  </pic:spPr>
                </pic:pic>
              </a:graphicData>
            </a:graphic>
          </wp:inline>
        </w:drawing>
      </w:r>
    </w:p>
    <w:p>
      <w:pPr>
        <w:spacing w:line="264" w:lineRule="auto"/>
        <w:jc w:val="center"/>
      </w:pPr>
      <w:r>
        <w:rPr>
          <w:b w:val="0"/>
          <w:i/>
          <w:color w:val="666666"/>
          <w:sz w:val="16"/>
        </w:rPr>
        <w:t>Price vs moving-average stack (last 260 sessions)</w:t>
      </w:r>
    </w:p>
    <w:p>
      <w:pPr>
        <w:spacing w:before="160" w:after="120" w:line="264" w:lineRule="auto"/>
      </w:pPr>
      <w:r>
        <w:rPr>
          <w:b/>
          <w:i w:val="0"/>
          <w:color w:val="1C3A36"/>
          <w:sz w:val="30"/>
        </w:rPr>
        <w:t>3  Monte Carlo - a probabilistic price map</w:t>
      </w:r>
    </w:p>
    <w:p>
      <w:pPr>
        <w:spacing w:after="120" w:line="264" w:lineRule="auto"/>
      </w:pPr>
      <w:r>
        <w:rPr>
          <w:b w:val="0"/>
          <w:i w:val="0"/>
          <w:sz w:val="21"/>
        </w:rPr>
        <w:t>Paths diffuse from spot; the §1 value gap is kept out of the drift, so the three lenses stay independent. 16-factor model - 7 continuous + 9 discrete - 50,000 paths, seed 42.</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2304"/>
            <w:shd w:val="clear" w:fill="1C3A36"/>
          </w:tcPr>
          <w:p>
            <w:pPr>
              <w:spacing w:line="264" w:lineRule="auto"/>
            </w:pPr>
            <w:r>
              <w:rPr>
                <w:b/>
                <w:i w:val="0"/>
                <w:color w:val="FFFFFF"/>
                <w:sz w:val="18"/>
              </w:rPr>
              <w:t>Horizon</w:t>
            </w:r>
          </w:p>
        </w:tc>
        <w:tc>
          <w:tcPr>
            <w:tcW w:type="dxa" w:w="1440"/>
            <w:shd w:val="clear" w:fill="1C3A36"/>
          </w:tcPr>
          <w:p>
            <w:pPr>
              <w:spacing w:line="264" w:lineRule="auto"/>
              <w:jc w:val="right"/>
            </w:pPr>
            <w:r>
              <w:rPr>
                <w:b/>
                <w:i w:val="0"/>
                <w:color w:val="FFFFFF"/>
                <w:sz w:val="18"/>
              </w:rPr>
              <w:t>P5</w:t>
            </w:r>
          </w:p>
        </w:tc>
        <w:tc>
          <w:tcPr>
            <w:tcW w:type="dxa" w:w="1440"/>
            <w:shd w:val="clear" w:fill="1C3A36"/>
          </w:tcPr>
          <w:p>
            <w:pPr>
              <w:spacing w:line="264" w:lineRule="auto"/>
              <w:jc w:val="right"/>
            </w:pPr>
            <w:r>
              <w:rPr>
                <w:b/>
                <w:i w:val="0"/>
                <w:color w:val="FFFFFF"/>
                <w:sz w:val="18"/>
              </w:rPr>
              <w:t>P25</w:t>
            </w:r>
          </w:p>
        </w:tc>
        <w:tc>
          <w:tcPr>
            <w:tcW w:type="dxa" w:w="1440"/>
            <w:shd w:val="clear" w:fill="1C3A36"/>
          </w:tcPr>
          <w:p>
            <w:pPr>
              <w:spacing w:line="264" w:lineRule="auto"/>
              <w:jc w:val="right"/>
            </w:pPr>
            <w:r>
              <w:rPr>
                <w:b/>
                <w:i w:val="0"/>
                <w:color w:val="FFFFFF"/>
                <w:sz w:val="18"/>
              </w:rPr>
              <w:t>P50</w:t>
            </w:r>
          </w:p>
        </w:tc>
        <w:tc>
          <w:tcPr>
            <w:tcW w:type="dxa" w:w="1440"/>
            <w:shd w:val="clear" w:fill="1C3A36"/>
          </w:tcPr>
          <w:p>
            <w:pPr>
              <w:spacing w:line="264" w:lineRule="auto"/>
              <w:jc w:val="right"/>
            </w:pPr>
            <w:r>
              <w:rPr>
                <w:b/>
                <w:i w:val="0"/>
                <w:color w:val="FFFFFF"/>
                <w:sz w:val="18"/>
              </w:rPr>
              <w:t>P75</w:t>
            </w:r>
          </w:p>
        </w:tc>
        <w:tc>
          <w:tcPr>
            <w:tcW w:type="dxa" w:w="1440"/>
            <w:shd w:val="clear" w:fill="1C3A36"/>
          </w:tcPr>
          <w:p>
            <w:pPr>
              <w:spacing w:line="264" w:lineRule="auto"/>
              <w:jc w:val="right"/>
            </w:pPr>
            <w:r>
              <w:rPr>
                <w:b/>
                <w:i w:val="0"/>
                <w:color w:val="FFFFFF"/>
                <w:sz w:val="18"/>
              </w:rPr>
              <w:t>P95</w:t>
            </w:r>
          </w:p>
        </w:tc>
      </w:tr>
      <w:tr>
        <w:tc>
          <w:tcPr>
            <w:tcW w:type="dxa" w:w="2304"/>
          </w:tcPr>
          <w:p>
            <w:pPr>
              <w:spacing w:line="264" w:lineRule="auto"/>
            </w:pPr>
            <w:r>
              <w:rPr>
                <w:b w:val="0"/>
                <w:i w:val="0"/>
                <w:color w:val="1C3A36"/>
                <w:sz w:val="18"/>
              </w:rPr>
              <w:t>T+20</w:t>
            </w:r>
          </w:p>
        </w:tc>
        <w:tc>
          <w:tcPr>
            <w:tcW w:type="dxa" w:w="1440"/>
          </w:tcPr>
          <w:p>
            <w:pPr>
              <w:spacing w:line="264" w:lineRule="auto"/>
              <w:jc w:val="right"/>
            </w:pPr>
            <w:r>
              <w:rPr>
                <w:b w:val="0"/>
                <w:i w:val="0"/>
                <w:sz w:val="18"/>
              </w:rPr>
              <w:t>20</w:t>
            </w:r>
          </w:p>
        </w:tc>
        <w:tc>
          <w:tcPr>
            <w:tcW w:type="dxa" w:w="1440"/>
          </w:tcPr>
          <w:p>
            <w:pPr>
              <w:spacing w:line="264" w:lineRule="auto"/>
              <w:jc w:val="right"/>
            </w:pPr>
            <w:r>
              <w:rPr>
                <w:b w:val="0"/>
                <w:i w:val="0"/>
                <w:sz w:val="18"/>
              </w:rPr>
              <w:t>22</w:t>
            </w:r>
          </w:p>
        </w:tc>
        <w:tc>
          <w:tcPr>
            <w:tcW w:type="dxa" w:w="1440"/>
          </w:tcPr>
          <w:p>
            <w:pPr>
              <w:spacing w:line="264" w:lineRule="auto"/>
              <w:jc w:val="right"/>
            </w:pPr>
            <w:r>
              <w:rPr>
                <w:b w:val="0"/>
                <w:i w:val="0"/>
                <w:sz w:val="18"/>
              </w:rPr>
              <w:t>23</w:t>
            </w:r>
          </w:p>
        </w:tc>
        <w:tc>
          <w:tcPr>
            <w:tcW w:type="dxa" w:w="1440"/>
          </w:tcPr>
          <w:p>
            <w:pPr>
              <w:spacing w:line="264" w:lineRule="auto"/>
              <w:jc w:val="right"/>
            </w:pPr>
            <w:r>
              <w:rPr>
                <w:b w:val="0"/>
                <w:i w:val="0"/>
                <w:sz w:val="18"/>
              </w:rPr>
              <w:t>24</w:t>
            </w:r>
          </w:p>
        </w:tc>
        <w:tc>
          <w:tcPr>
            <w:tcW w:type="dxa" w:w="1440"/>
          </w:tcPr>
          <w:p>
            <w:pPr>
              <w:spacing w:line="264" w:lineRule="auto"/>
              <w:jc w:val="right"/>
            </w:pPr>
            <w:r>
              <w:rPr>
                <w:b w:val="0"/>
                <w:i w:val="0"/>
                <w:sz w:val="18"/>
              </w:rPr>
              <w:t>26</w:t>
            </w:r>
          </w:p>
        </w:tc>
      </w:tr>
      <w:tr>
        <w:tc>
          <w:tcPr>
            <w:tcW w:type="dxa" w:w="2304"/>
            <w:shd w:val="clear" w:fill="EFF3F1"/>
          </w:tcPr>
          <w:p>
            <w:pPr>
              <w:spacing w:line="264" w:lineRule="auto"/>
            </w:pPr>
            <w:r>
              <w:rPr>
                <w:b w:val="0"/>
                <w:i w:val="0"/>
                <w:color w:val="1C3A36"/>
                <w:sz w:val="18"/>
              </w:rPr>
              <w:t>T+60</w:t>
            </w:r>
          </w:p>
        </w:tc>
        <w:tc>
          <w:tcPr>
            <w:tcW w:type="dxa" w:w="1440"/>
            <w:shd w:val="clear" w:fill="EFF3F1"/>
          </w:tcPr>
          <w:p>
            <w:pPr>
              <w:spacing w:line="264" w:lineRule="auto"/>
              <w:jc w:val="right"/>
            </w:pPr>
            <w:r>
              <w:rPr>
                <w:b w:val="0"/>
                <w:i w:val="0"/>
                <w:sz w:val="18"/>
              </w:rPr>
              <w:t>18</w:t>
            </w:r>
          </w:p>
        </w:tc>
        <w:tc>
          <w:tcPr>
            <w:tcW w:type="dxa" w:w="1440"/>
            <w:shd w:val="clear" w:fill="EFF3F1"/>
          </w:tcPr>
          <w:p>
            <w:pPr>
              <w:spacing w:line="264" w:lineRule="auto"/>
              <w:jc w:val="right"/>
            </w:pPr>
            <w:r>
              <w:rPr>
                <w:b w:val="0"/>
                <w:i w:val="0"/>
                <w:sz w:val="18"/>
              </w:rPr>
              <w:t>21</w:t>
            </w:r>
          </w:p>
        </w:tc>
        <w:tc>
          <w:tcPr>
            <w:tcW w:type="dxa" w:w="1440"/>
            <w:shd w:val="clear" w:fill="EFF3F1"/>
          </w:tcPr>
          <w:p>
            <w:pPr>
              <w:spacing w:line="264" w:lineRule="auto"/>
              <w:jc w:val="right"/>
            </w:pPr>
            <w:r>
              <w:rPr>
                <w:b w:val="0"/>
                <w:i w:val="0"/>
                <w:sz w:val="18"/>
              </w:rPr>
              <w:t>23</w:t>
            </w:r>
          </w:p>
        </w:tc>
        <w:tc>
          <w:tcPr>
            <w:tcW w:type="dxa" w:w="1440"/>
            <w:shd w:val="clear" w:fill="EFF3F1"/>
          </w:tcPr>
          <w:p>
            <w:pPr>
              <w:spacing w:line="264" w:lineRule="auto"/>
              <w:jc w:val="right"/>
            </w:pPr>
            <w:r>
              <w:rPr>
                <w:b w:val="0"/>
                <w:i w:val="0"/>
                <w:sz w:val="18"/>
              </w:rPr>
              <w:t>25</w:t>
            </w:r>
          </w:p>
        </w:tc>
        <w:tc>
          <w:tcPr>
            <w:tcW w:type="dxa" w:w="1440"/>
            <w:shd w:val="clear" w:fill="EFF3F1"/>
          </w:tcPr>
          <w:p>
            <w:pPr>
              <w:spacing w:line="264" w:lineRule="auto"/>
              <w:jc w:val="right"/>
            </w:pPr>
            <w:r>
              <w:rPr>
                <w:b w:val="0"/>
                <w:i w:val="0"/>
                <w:sz w:val="18"/>
              </w:rPr>
              <w:t>29</w:t>
            </w:r>
          </w:p>
        </w:tc>
      </w:tr>
    </w:tbl>
    <w:p>
      <w:pPr>
        <w:spacing w:after="40"/>
      </w:pPr>
    </w:p>
    <w:p>
      <w:pPr>
        <w:jc w:val="center"/>
      </w:pPr>
      <w:r>
        <w:drawing>
          <wp:inline xmlns:a="http://schemas.openxmlformats.org/drawingml/2006/main" xmlns:pic="http://schemas.openxmlformats.org/drawingml/2006/picture">
            <wp:extent cx="5943600" cy="2809053"/>
            <wp:docPr id="3" name="Picture 3"/>
            <wp:cNvGraphicFramePr>
              <a:graphicFrameLocks noChangeAspect="1"/>
            </wp:cNvGraphicFramePr>
            <a:graphic>
              <a:graphicData uri="http://schemas.openxmlformats.org/drawingml/2006/picture">
                <pic:pic>
                  <pic:nvPicPr>
                    <pic:cNvPr id="0" name="ORWE_fan.png"/>
                    <pic:cNvPicPr/>
                  </pic:nvPicPr>
                  <pic:blipFill>
                    <a:blip r:embed="rId11"/>
                    <a:stretch>
                      <a:fillRect/>
                    </a:stretch>
                  </pic:blipFill>
                  <pic:spPr>
                    <a:xfrm>
                      <a:off x="0" y="0"/>
                      <a:ext cx="5943600" cy="2809053"/>
                    </a:xfrm>
                    <a:prstGeom prst="rect"/>
                  </pic:spPr>
                </pic:pic>
              </a:graphicData>
            </a:graphic>
          </wp:inline>
        </w:drawing>
      </w:r>
    </w:p>
    <w:p>
      <w:pPr>
        <w:spacing w:line="264" w:lineRule="auto"/>
        <w:jc w:val="center"/>
      </w:pPr>
      <w:r>
        <w:rPr>
          <w:b w:val="0"/>
          <w:i/>
          <w:color w:val="666666"/>
          <w:sz w:val="16"/>
        </w:rPr>
        <w:t>Forward price cone (3 months)</w:t>
      </w:r>
    </w:p>
    <w:p>
      <w:pPr>
        <w:jc w:val="center"/>
      </w:pPr>
      <w:r>
        <w:drawing>
          <wp:inline xmlns:a="http://schemas.openxmlformats.org/drawingml/2006/main" xmlns:pic="http://schemas.openxmlformats.org/drawingml/2006/picture">
            <wp:extent cx="4937760" cy="2824565"/>
            <wp:docPr id="4" name="Picture 4"/>
            <wp:cNvGraphicFramePr>
              <a:graphicFrameLocks noChangeAspect="1"/>
            </wp:cNvGraphicFramePr>
            <a:graphic>
              <a:graphicData uri="http://schemas.openxmlformats.org/drawingml/2006/picture">
                <pic:pic>
                  <pic:nvPicPr>
                    <pic:cNvPr id="0" name="ORWE_dist20.png"/>
                    <pic:cNvPicPr/>
                  </pic:nvPicPr>
                  <pic:blipFill>
                    <a:blip r:embed="rId12"/>
                    <a:stretch>
                      <a:fillRect/>
                    </a:stretch>
                  </pic:blipFill>
                  <pic:spPr>
                    <a:xfrm>
                      <a:off x="0" y="0"/>
                      <a:ext cx="4937760" cy="2824565"/>
                    </a:xfrm>
                    <a:prstGeom prst="rect"/>
                  </pic:spPr>
                </pic:pic>
              </a:graphicData>
            </a:graphic>
          </wp:inline>
        </w:drawing>
      </w:r>
    </w:p>
    <w:p>
      <w:pPr>
        <w:spacing w:line="264" w:lineRule="auto"/>
        <w:jc w:val="center"/>
      </w:pPr>
      <w:r>
        <w:rPr>
          <w:b w:val="0"/>
          <w:i/>
          <w:color w:val="666666"/>
          <w:sz w:val="16"/>
        </w:rPr>
        <w:t>Price distribution at T+20</w:t>
      </w:r>
    </w:p>
    <w:p>
      <w:pPr>
        <w:jc w:val="center"/>
      </w:pPr>
      <w:r>
        <w:drawing>
          <wp:inline xmlns:a="http://schemas.openxmlformats.org/drawingml/2006/main" xmlns:pic="http://schemas.openxmlformats.org/drawingml/2006/picture">
            <wp:extent cx="4937760" cy="2824565"/>
            <wp:docPr id="5" name="Picture 5"/>
            <wp:cNvGraphicFramePr>
              <a:graphicFrameLocks noChangeAspect="1"/>
            </wp:cNvGraphicFramePr>
            <a:graphic>
              <a:graphicData uri="http://schemas.openxmlformats.org/drawingml/2006/picture">
                <pic:pic>
                  <pic:nvPicPr>
                    <pic:cNvPr id="0" name="ORWE_dist60.png"/>
                    <pic:cNvPicPr/>
                  </pic:nvPicPr>
                  <pic:blipFill>
                    <a:blip r:embed="rId13"/>
                    <a:stretch>
                      <a:fillRect/>
                    </a:stretch>
                  </pic:blipFill>
                  <pic:spPr>
                    <a:xfrm>
                      <a:off x="0" y="0"/>
                      <a:ext cx="4937760" cy="2824565"/>
                    </a:xfrm>
                    <a:prstGeom prst="rect"/>
                  </pic:spPr>
                </pic:pic>
              </a:graphicData>
            </a:graphic>
          </wp:inline>
        </w:drawing>
      </w:r>
    </w:p>
    <w:p>
      <w:pPr>
        <w:spacing w:line="264" w:lineRule="auto"/>
        <w:jc w:val="center"/>
      </w:pPr>
      <w:r>
        <w:rPr>
          <w:b w:val="0"/>
          <w:i/>
          <w:color w:val="666666"/>
          <w:sz w:val="16"/>
        </w:rPr>
        <w:t>Price distribution at T+60</w:t>
      </w:r>
    </w:p>
    <w:p>
      <w:pPr>
        <w:jc w:val="center"/>
      </w:pPr>
      <w:r>
        <w:drawing>
          <wp:inline xmlns:a="http://schemas.openxmlformats.org/drawingml/2006/main" xmlns:pic="http://schemas.openxmlformats.org/drawingml/2006/picture">
            <wp:extent cx="5669280" cy="3128257"/>
            <wp:docPr id="6" name="Picture 6"/>
            <wp:cNvGraphicFramePr>
              <a:graphicFrameLocks noChangeAspect="1"/>
            </wp:cNvGraphicFramePr>
            <a:graphic>
              <a:graphicData uri="http://schemas.openxmlformats.org/drawingml/2006/picture">
                <pic:pic>
                  <pic:nvPicPr>
                    <pic:cNvPr id="0" name="ORWE_touch.png"/>
                    <pic:cNvPicPr/>
                  </pic:nvPicPr>
                  <pic:blipFill>
                    <a:blip r:embed="rId14"/>
                    <a:stretch>
                      <a:fillRect/>
                    </a:stretch>
                  </pic:blipFill>
                  <pic:spPr>
                    <a:xfrm>
                      <a:off x="0" y="0"/>
                      <a:ext cx="5669280" cy="3128257"/>
                    </a:xfrm>
                    <a:prstGeom prst="rect"/>
                  </pic:spPr>
                </pic:pic>
              </a:graphicData>
            </a:graphic>
          </wp:inline>
        </w:drawing>
      </w:r>
    </w:p>
    <w:p>
      <w:pPr>
        <w:spacing w:line="264" w:lineRule="auto"/>
        <w:jc w:val="center"/>
      </w:pPr>
      <w:r>
        <w:rPr>
          <w:b w:val="0"/>
          <w:i/>
          <w:color w:val="666666"/>
          <w:sz w:val="16"/>
        </w:rPr>
        <w:t>Touch-probability ladder by T+60</w:t>
      </w:r>
    </w:p>
    <w:p>
      <w:pPr>
        <w:jc w:val="center"/>
      </w:pPr>
      <w:r>
        <w:drawing>
          <wp:inline xmlns:a="http://schemas.openxmlformats.org/drawingml/2006/main" xmlns:pic="http://schemas.openxmlformats.org/drawingml/2006/picture">
            <wp:extent cx="5669280" cy="3128257"/>
            <wp:docPr id="7" name="Picture 7"/>
            <wp:cNvGraphicFramePr>
              <a:graphicFrameLocks noChangeAspect="1"/>
            </wp:cNvGraphicFramePr>
            <a:graphic>
              <a:graphicData uri="http://schemas.openxmlformats.org/drawingml/2006/picture">
                <pic:pic>
                  <pic:nvPicPr>
                    <pic:cNvPr id="0" name="ORWE_touch20.png"/>
                    <pic:cNvPicPr/>
                  </pic:nvPicPr>
                  <pic:blipFill>
                    <a:blip r:embed="rId15"/>
                    <a:stretch>
                      <a:fillRect/>
                    </a:stretch>
                  </pic:blipFill>
                  <pic:spPr>
                    <a:xfrm>
                      <a:off x="0" y="0"/>
                      <a:ext cx="5669280" cy="3128257"/>
                    </a:xfrm>
                    <a:prstGeom prst="rect"/>
                  </pic:spPr>
                </pic:pic>
              </a:graphicData>
            </a:graphic>
          </wp:inline>
        </w:drawing>
      </w:r>
    </w:p>
    <w:p>
      <w:pPr>
        <w:spacing w:line="264" w:lineRule="auto"/>
        <w:jc w:val="center"/>
      </w:pPr>
      <w:r>
        <w:rPr>
          <w:b w:val="0"/>
          <w:i/>
          <w:color w:val="666666"/>
          <w:sz w:val="16"/>
        </w:rPr>
        <w:t>Touch-probability ladder by T+20</w:t>
      </w:r>
    </w:p>
    <w:p>
      <w:pPr>
        <w:spacing w:after="120" w:line="264" w:lineRule="auto"/>
      </w:pPr>
      <w:r>
        <w:rPr>
          <w:b w:val="0"/>
          <w:i w:val="0"/>
          <w:sz w:val="21"/>
        </w:rPr>
        <w:t>The distribution tilts mildly higher (median 22.9 vs spot 22.34) with a modest right tail - P95 EGP 28.5 vs P5 18.4 - carried by the FX-event and demand factors in the set. The one-year realized range (21.0-24.9) sits almost entirely inside the 25-75% band - the model sees the coil too.</w:t>
      </w:r>
    </w:p>
    <w:p>
      <w:pPr>
        <w:spacing w:after="120" w:line="264" w:lineRule="auto"/>
      </w:pPr>
      <w:r>
        <w:rPr>
          <w:b w:val="0"/>
          <w:i w:val="0"/>
          <w:sz w:val="21"/>
        </w:rPr>
        <w:t>Touch probabilities by T+60: EGP 23 ~79%, EGP 24 ~58%, EGP 25 ~40%, EGP 26 ~17%; downside, EGP 21 ~49% and EGP 20 ~28%. By T+20 the same ladder runs ~60/29/12% up and ~27/9% down - the near map hugs the coil, the far map lets the pound breathe.</w:t>
      </w:r>
    </w:p>
    <w:p>
      <w:pPr>
        <w:spacing w:before="160" w:after="120" w:line="264" w:lineRule="auto"/>
      </w:pPr>
      <w:r>
        <w:rPr>
          <w:b/>
          <w:i w:val="0"/>
          <w:color w:val="1C3A36"/>
          <w:sz w:val="30"/>
        </w:rPr>
        <w:t>4  Comparison of the lenses, and a verdict</w:t>
      </w:r>
    </w:p>
    <w:p>
      <w:pPr>
        <w:spacing w:after="120" w:line="264" w:lineRule="auto"/>
      </w:pPr>
      <w:r>
        <w:rPr>
          <w:b w:val="0"/>
          <w:i w:val="0"/>
          <w:sz w:val="21"/>
        </w:rPr>
        <w:t>The lenses split by what they trust: the cash-flow lens (17.3) refuses to pay for profit the working-capital cycle never delivers; the par cluster (21.1-21.2) pays for the recurring core; the multiple lens (29.7) pays for the print. Weighted centre EGP 20.9 vs spot 22.34.</w:t>
      </w:r>
    </w:p>
    <w:p>
      <w:pPr>
        <w:spacing w:after="120" w:line="264" w:lineRule="auto"/>
      </w:pPr>
      <w:r>
        <w:rPr>
          <w:b w:val="0"/>
          <w:i w:val="0"/>
          <w:sz w:val="21"/>
        </w:rPr>
        <w:t>Verdict: fairly valued with a thin premium - the 6x P/E and 6.7% yield are real, but they are the fair price of policy-dependent margins and 58% cash conversion, not a mispricing. The distribution's mild upward tilt says the market leans, gently, toward the devaluation leg - which is also the only leg that fixes all three crutches at once.</w:t>
      </w:r>
    </w:p>
    <w:p>
      <w:pPr>
        <w:spacing w:before="160" w:after="120" w:line="264" w:lineRule="auto"/>
      </w:pPr>
      <w:r>
        <w:rPr>
          <w:b/>
          <w:i w:val="0"/>
          <w:color w:val="1C3A36"/>
          <w:sz w:val="30"/>
        </w:rPr>
        <w:t>5  Catalysts to watch</w:t>
      </w:r>
    </w:p>
    <w:p>
      <w:pPr>
        <w:pStyle w:val="ListBullet"/>
        <w:spacing w:line="264" w:lineRule="auto"/>
      </w:pPr>
      <w:r>
        <w:rPr>
          <w:b w:val="0"/>
          <w:i w:val="0"/>
          <w:sz w:val="21"/>
        </w:rPr>
        <w:t>2Q26 results (Aug 2026): gross margin and the other-income line - does the 2H25 recovery hold without rebates?</w:t>
      </w:r>
    </w:p>
    <w:p>
      <w:pPr>
        <w:pStyle w:val="ListBullet"/>
        <w:spacing w:line="264" w:lineRule="auto"/>
      </w:pPr>
      <w:r>
        <w:rPr>
          <w:b w:val="0"/>
          <w:i w:val="0"/>
          <w:sz w:val="21"/>
        </w:rPr>
        <w:t>The EGP path - any step-devaluation re-arms the FY23 margin playbook overnight.</w:t>
      </w:r>
    </w:p>
    <w:p>
      <w:pPr>
        <w:pStyle w:val="ListBullet"/>
        <w:spacing w:line="264" w:lineRule="auto"/>
      </w:pPr>
      <w:r>
        <w:rPr>
          <w:b w:val="0"/>
          <w:i w:val="0"/>
          <w:sz w:val="21"/>
        </w:rPr>
        <w:t>The export-rebate file: restoration, partial payment or lapse is worth EGP 2-3/share either way.</w:t>
      </w:r>
    </w:p>
    <w:p>
      <w:pPr>
        <w:pStyle w:val="ListBullet"/>
        <w:spacing w:line="264" w:lineRule="auto"/>
      </w:pPr>
      <w:r>
        <w:rPr>
          <w:b w:val="0"/>
          <w:i w:val="0"/>
          <w:sz w:val="21"/>
        </w:rPr>
        <w:t>US tariff decisions on Egyptian goods (~a third of sales route to the Americas).</w:t>
      </w:r>
    </w:p>
    <w:p>
      <w:pPr>
        <w:pStyle w:val="ListBullet"/>
        <w:spacing w:line="264" w:lineRule="auto"/>
      </w:pPr>
      <w:r>
        <w:rPr>
          <w:b w:val="0"/>
          <w:i w:val="0"/>
          <w:sz w:val="21"/>
        </w:rPr>
        <w:t>Polypropylene/oil input costs and Red Sea freight normalization.</w:t>
      </w:r>
    </w:p>
    <w:p>
      <w:pPr>
        <w:pStyle w:val="ListBullet"/>
        <w:spacing w:line="264" w:lineRule="auto"/>
      </w:pPr>
      <w:r>
        <w:rPr>
          <w:b w:val="0"/>
          <w:i w:val="0"/>
          <w:sz w:val="21"/>
        </w:rPr>
        <w:t>The April dividend declaration - the EGP 1.5 held, raised, or cut is the cleanest signal on cash conversion.</w:t>
      </w:r>
    </w:p>
    <w:p>
      <w:pPr>
        <w:spacing w:before="160" w:after="120" w:line="264" w:lineRule="auto"/>
      </w:pPr>
      <w:r>
        <w:rPr>
          <w:b/>
          <w:i w:val="0"/>
          <w:color w:val="1C3A36"/>
          <w:sz w:val="30"/>
        </w:rPr>
        <w:t>6  Reading the probability zones</w:t>
      </w:r>
    </w:p>
    <w:p>
      <w:pPr>
        <w:spacing w:after="120" w:line="264" w:lineRule="auto"/>
      </w:pPr>
      <w:r>
        <w:rPr>
          <w:b w:val="0"/>
          <w:i w:val="0"/>
          <w:sz w:val="21"/>
        </w:rPr>
        <w:t>Below ~EGP 21 (P25) the stock is cheap on every lens except the strict FCFE floor - the coil's lower edge, where the yield passes 7%. EGP 21-24 is the fair band where four of five lenses interleave; spot sits in its lower half. EGP 25-28.5 (P75-P95) prices the devaluation-plus-rebates leg. Above ~EGP 28.5 the market pays the full relative multiple - only defensible if cash conversion normalizes and the pound moves.</w:t>
      </w:r>
    </w:p>
    <w:tbl>
      <w:tblPr>
        <w:tblStyle w:val="TableGrid"/>
        <w:tblW w:type="auto" w:w="0"/>
        <w:tblLook w:firstColumn="1" w:firstRow="1" w:lastColumn="0" w:lastRow="0" w:noHBand="0" w:noVBand="1" w:val="04A0"/>
      </w:tblPr>
      <w:tblGrid>
        <w:gridCol w:w="3312"/>
        <w:gridCol w:w="3312"/>
        <w:gridCol w:w="3312"/>
      </w:tblGrid>
      <w:tr>
        <w:tc>
          <w:tcPr>
            <w:tcW w:type="dxa" w:w="2160"/>
            <w:shd w:val="clear" w:fill="1C3A36"/>
          </w:tcPr>
          <w:p>
            <w:pPr>
              <w:spacing w:line="264" w:lineRule="auto"/>
            </w:pPr>
            <w:r>
              <w:rPr>
                <w:b/>
                <w:i w:val="0"/>
                <w:color w:val="FFFFFF"/>
                <w:sz w:val="18"/>
              </w:rPr>
              <w:t>Zone</w:t>
            </w:r>
          </w:p>
        </w:tc>
        <w:tc>
          <w:tcPr>
            <w:tcW w:type="dxa" w:w="2304"/>
            <w:shd w:val="clear" w:fill="1C3A36"/>
          </w:tcPr>
          <w:p>
            <w:pPr>
              <w:spacing w:line="264" w:lineRule="auto"/>
              <w:jc w:val="right"/>
            </w:pPr>
            <w:r>
              <w:rPr>
                <w:b/>
                <w:i w:val="0"/>
                <w:color w:val="FFFFFF"/>
                <w:sz w:val="18"/>
              </w:rPr>
              <w:t>Range (EGP)</w:t>
            </w:r>
          </w:p>
        </w:tc>
        <w:tc>
          <w:tcPr>
            <w:tcW w:type="dxa" w:w="5616"/>
            <w:shd w:val="clear" w:fill="1C3A36"/>
          </w:tcPr>
          <w:p>
            <w:pPr>
              <w:spacing w:line="264" w:lineRule="auto"/>
              <w:jc w:val="right"/>
            </w:pPr>
            <w:r>
              <w:rPr>
                <w:b/>
                <w:i w:val="0"/>
                <w:color w:val="FFFFFF"/>
                <w:sz w:val="18"/>
              </w:rPr>
              <w:t>What it means</w:t>
            </w:r>
          </w:p>
        </w:tc>
      </w:tr>
      <w:tr>
        <w:tc>
          <w:tcPr>
            <w:tcW w:type="dxa" w:w="2160"/>
          </w:tcPr>
          <w:p>
            <w:pPr>
              <w:spacing w:line="264" w:lineRule="auto"/>
            </w:pPr>
            <w:r>
              <w:rPr>
                <w:b w:val="0"/>
                <w:i w:val="0"/>
                <w:color w:val="1C3A36"/>
                <w:sz w:val="18"/>
              </w:rPr>
              <w:t>Cheap on most lenses</w:t>
            </w:r>
          </w:p>
        </w:tc>
        <w:tc>
          <w:tcPr>
            <w:tcW w:type="dxa" w:w="2304"/>
          </w:tcPr>
          <w:p>
            <w:pPr>
              <w:spacing w:line="264" w:lineRule="auto"/>
              <w:jc w:val="right"/>
            </w:pPr>
            <w:r>
              <w:rPr>
                <w:b w:val="0"/>
                <w:i w:val="0"/>
                <w:sz w:val="18"/>
              </w:rPr>
              <w:t>&lt; 21</w:t>
            </w:r>
          </w:p>
        </w:tc>
        <w:tc>
          <w:tcPr>
            <w:tcW w:type="dxa" w:w="5616"/>
          </w:tcPr>
          <w:p>
            <w:pPr>
              <w:spacing w:line="264" w:lineRule="auto"/>
              <w:jc w:val="right"/>
            </w:pPr>
            <w:r>
              <w:rPr>
                <w:b w:val="0"/>
                <w:i w:val="0"/>
                <w:sz w:val="18"/>
              </w:rPr>
              <w:t>Coil's lower edge; yield &gt; 7%</w:t>
            </w:r>
          </w:p>
        </w:tc>
      </w:tr>
      <w:tr>
        <w:tc>
          <w:tcPr>
            <w:tcW w:type="dxa" w:w="2160"/>
            <w:shd w:val="clear" w:fill="EFF3F1"/>
          </w:tcPr>
          <w:p>
            <w:pPr>
              <w:spacing w:line="264" w:lineRule="auto"/>
            </w:pPr>
            <w:r>
              <w:rPr>
                <w:b w:val="0"/>
                <w:i w:val="0"/>
                <w:color w:val="1C3A36"/>
                <w:sz w:val="18"/>
              </w:rPr>
              <w:t>Fair band</w:t>
            </w:r>
          </w:p>
        </w:tc>
        <w:tc>
          <w:tcPr>
            <w:tcW w:type="dxa" w:w="2304"/>
            <w:shd w:val="clear" w:fill="EFF3F1"/>
          </w:tcPr>
          <w:p>
            <w:pPr>
              <w:spacing w:line="264" w:lineRule="auto"/>
              <w:jc w:val="right"/>
            </w:pPr>
            <w:r>
              <w:rPr>
                <w:b w:val="0"/>
                <w:i w:val="0"/>
                <w:sz w:val="18"/>
              </w:rPr>
              <w:t>21 - 24</w:t>
            </w:r>
          </w:p>
        </w:tc>
        <w:tc>
          <w:tcPr>
            <w:tcW w:type="dxa" w:w="5616"/>
            <w:shd w:val="clear" w:fill="EFF3F1"/>
          </w:tcPr>
          <w:p>
            <w:pPr>
              <w:spacing w:line="264" w:lineRule="auto"/>
              <w:jc w:val="right"/>
            </w:pPr>
            <w:r>
              <w:rPr>
                <w:b w:val="0"/>
                <w:i w:val="0"/>
                <w:sz w:val="18"/>
              </w:rPr>
              <w:t>Four of five lenses interleave; spot in its lower half</w:t>
            </w:r>
          </w:p>
        </w:tc>
      </w:tr>
      <w:tr>
        <w:tc>
          <w:tcPr>
            <w:tcW w:type="dxa" w:w="2160"/>
          </w:tcPr>
          <w:p>
            <w:pPr>
              <w:spacing w:line="264" w:lineRule="auto"/>
            </w:pPr>
            <w:r>
              <w:rPr>
                <w:b w:val="0"/>
                <w:i w:val="0"/>
                <w:color w:val="1C3A36"/>
                <w:sz w:val="18"/>
              </w:rPr>
              <w:t>Devaluation + rebates leg</w:t>
            </w:r>
          </w:p>
        </w:tc>
        <w:tc>
          <w:tcPr>
            <w:tcW w:type="dxa" w:w="2304"/>
          </w:tcPr>
          <w:p>
            <w:pPr>
              <w:spacing w:line="264" w:lineRule="auto"/>
              <w:jc w:val="right"/>
            </w:pPr>
            <w:r>
              <w:rPr>
                <w:b w:val="0"/>
                <w:i w:val="0"/>
                <w:sz w:val="18"/>
              </w:rPr>
              <w:t>25 - 28.5</w:t>
            </w:r>
          </w:p>
        </w:tc>
        <w:tc>
          <w:tcPr>
            <w:tcW w:type="dxa" w:w="5616"/>
          </w:tcPr>
          <w:p>
            <w:pPr>
              <w:spacing w:line="264" w:lineRule="auto"/>
              <w:jc w:val="right"/>
            </w:pPr>
            <w:r>
              <w:rPr>
                <w:b w:val="0"/>
                <w:i w:val="0"/>
                <w:sz w:val="18"/>
              </w:rPr>
              <w:t>P75-P95; the FY23 playbook priced</w:t>
            </w:r>
          </w:p>
        </w:tc>
      </w:tr>
      <w:tr>
        <w:tc>
          <w:tcPr>
            <w:tcW w:type="dxa" w:w="2160"/>
            <w:shd w:val="clear" w:fill="EFF3F1"/>
          </w:tcPr>
          <w:p>
            <w:pPr>
              <w:spacing w:line="264" w:lineRule="auto"/>
            </w:pPr>
            <w:r>
              <w:rPr>
                <w:b w:val="0"/>
                <w:i w:val="0"/>
                <w:color w:val="1C3A36"/>
                <w:sz w:val="18"/>
              </w:rPr>
              <w:t>Full relative multiple</w:t>
            </w:r>
          </w:p>
        </w:tc>
        <w:tc>
          <w:tcPr>
            <w:tcW w:type="dxa" w:w="2304"/>
            <w:shd w:val="clear" w:fill="EFF3F1"/>
          </w:tcPr>
          <w:p>
            <w:pPr>
              <w:spacing w:line="264" w:lineRule="auto"/>
              <w:jc w:val="right"/>
            </w:pPr>
            <w:r>
              <w:rPr>
                <w:b w:val="0"/>
                <w:i w:val="0"/>
                <w:sz w:val="18"/>
              </w:rPr>
              <w:t>&gt; 28.5</w:t>
            </w:r>
          </w:p>
        </w:tc>
        <w:tc>
          <w:tcPr>
            <w:tcW w:type="dxa" w:w="5616"/>
            <w:shd w:val="clear" w:fill="EFF3F1"/>
          </w:tcPr>
          <w:p>
            <w:pPr>
              <w:spacing w:line="264" w:lineRule="auto"/>
              <w:jc w:val="right"/>
            </w:pPr>
            <w:r>
              <w:rPr>
                <w:b w:val="0"/>
                <w:i w:val="0"/>
                <w:sz w:val="18"/>
              </w:rPr>
              <w:t>Needs conversion normalized AND the pound moving</w:t>
            </w:r>
          </w:p>
        </w:tc>
      </w:tr>
    </w:tbl>
    <w:p>
      <w:pPr>
        <w:spacing w:after="40"/>
      </w:pPr>
    </w:p>
    <w:p>
      <w:pPr>
        <w:spacing w:before="160" w:after="120" w:line="264" w:lineRule="auto"/>
      </w:pPr>
      <w:r>
        <w:rPr>
          <w:b/>
          <w:i w:val="0"/>
          <w:color w:val="1C3A36"/>
          <w:sz w:val="30"/>
        </w:rPr>
        <w:t>7  Caveats and what would change our mind</w:t>
      </w:r>
    </w:p>
    <w:p>
      <w:pPr>
        <w:spacing w:after="120" w:line="264" w:lineRule="auto"/>
      </w:pPr>
      <w:r>
        <w:rPr>
          <w:b w:val="0"/>
          <w:i w:val="0"/>
          <w:sz w:val="21"/>
        </w:rPr>
        <w:t>FY25 gross profit and the SG&amp;A/D&amp;A/other-income splits are estimates pending the consolidated statements (only sales, attributable profit and the dividend are sourced for FY25); the non-operating income line is a derived plug mixing interest, FX gains, rebates and one-offs (FY23 includes the China-facility sale gain); the share count (665.1 mn) is dividend arithmetic, not a read of the register; net debt is an estimate; minorities are folded into a single tax-and-minorities line; the Monte-Carlo factor set is borrowed from the consumer-staples class for a consumer-durables exporter - flag; and the working-capital ratio (28% of revenue) is inferred from the balance-sheet scale, not disclosed aging.</w:t>
      </w:r>
    </w:p>
    <w:p>
      <w:pPr>
        <w:spacing w:before="160" w:after="120" w:line="264" w:lineRule="auto"/>
      </w:pPr>
      <w:r>
        <w:rPr>
          <w:b/>
          <w:i w:val="0"/>
          <w:color w:val="1C3A36"/>
          <w:sz w:val="30"/>
        </w:rPr>
        <w:t>Appendix A  Financial statements</w:t>
      </w:r>
    </w:p>
    <w:p>
      <w:pPr>
        <w:spacing w:before="160" w:after="120" w:line="264" w:lineRule="auto"/>
      </w:pPr>
      <w:r>
        <w:rPr>
          <w:b/>
          <w:i w:val="0"/>
          <w:color w:val="1C3A36"/>
          <w:sz w:val="24"/>
        </w:rPr>
        <w:t>A.1  Income statement - 3 years historical + 5-year forecast</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Revenue</w:t>
            </w:r>
          </w:p>
        </w:tc>
        <w:tc>
          <w:tcPr>
            <w:tcW w:type="dxa" w:w="893"/>
          </w:tcPr>
          <w:p>
            <w:pPr>
              <w:spacing w:line="264" w:lineRule="auto"/>
              <w:jc w:val="right"/>
            </w:pPr>
            <w:r>
              <w:rPr>
                <w:b w:val="0"/>
                <w:i w:val="0"/>
                <w:sz w:val="18"/>
              </w:rPr>
              <w:t>17,660</w:t>
            </w:r>
          </w:p>
        </w:tc>
        <w:tc>
          <w:tcPr>
            <w:tcW w:type="dxa" w:w="893"/>
          </w:tcPr>
          <w:p>
            <w:pPr>
              <w:spacing w:line="264" w:lineRule="auto"/>
              <w:jc w:val="right"/>
            </w:pPr>
            <w:r>
              <w:rPr>
                <w:b w:val="0"/>
                <w:i w:val="0"/>
                <w:sz w:val="18"/>
              </w:rPr>
              <w:t>24,288</w:t>
            </w:r>
          </w:p>
        </w:tc>
        <w:tc>
          <w:tcPr>
            <w:tcW w:type="dxa" w:w="893"/>
          </w:tcPr>
          <w:p>
            <w:pPr>
              <w:spacing w:line="264" w:lineRule="auto"/>
              <w:jc w:val="right"/>
            </w:pPr>
            <w:r>
              <w:rPr>
                <w:b w:val="0"/>
                <w:i w:val="0"/>
                <w:sz w:val="18"/>
              </w:rPr>
              <w:t>26,622</w:t>
            </w:r>
          </w:p>
        </w:tc>
        <w:tc>
          <w:tcPr>
            <w:tcW w:type="dxa" w:w="893"/>
          </w:tcPr>
          <w:p>
            <w:pPr>
              <w:spacing w:line="264" w:lineRule="auto"/>
              <w:jc w:val="right"/>
            </w:pPr>
            <w:r>
              <w:rPr>
                <w:b w:val="0"/>
                <w:i w:val="0"/>
                <w:sz w:val="18"/>
              </w:rPr>
              <w:t>29,817</w:t>
            </w:r>
          </w:p>
        </w:tc>
        <w:tc>
          <w:tcPr>
            <w:tcW w:type="dxa" w:w="893"/>
          </w:tcPr>
          <w:p>
            <w:pPr>
              <w:spacing w:line="264" w:lineRule="auto"/>
              <w:jc w:val="right"/>
            </w:pPr>
            <w:r>
              <w:rPr>
                <w:b w:val="0"/>
                <w:i w:val="0"/>
                <w:sz w:val="18"/>
              </w:rPr>
              <w:t>33,096</w:t>
            </w:r>
          </w:p>
        </w:tc>
        <w:tc>
          <w:tcPr>
            <w:tcW w:type="dxa" w:w="893"/>
          </w:tcPr>
          <w:p>
            <w:pPr>
              <w:spacing w:line="264" w:lineRule="auto"/>
              <w:jc w:val="right"/>
            </w:pPr>
            <w:r>
              <w:rPr>
                <w:b w:val="0"/>
                <w:i w:val="0"/>
                <w:sz w:val="18"/>
              </w:rPr>
              <w:t>36,406</w:t>
            </w:r>
          </w:p>
        </w:tc>
        <w:tc>
          <w:tcPr>
            <w:tcW w:type="dxa" w:w="893"/>
          </w:tcPr>
          <w:p>
            <w:pPr>
              <w:spacing w:line="264" w:lineRule="auto"/>
              <w:jc w:val="right"/>
            </w:pPr>
            <w:r>
              <w:rPr>
                <w:b w:val="0"/>
                <w:i w:val="0"/>
                <w:sz w:val="18"/>
              </w:rPr>
              <w:t>40,047</w:t>
            </w:r>
          </w:p>
        </w:tc>
        <w:tc>
          <w:tcPr>
            <w:tcW w:type="dxa" w:w="893"/>
          </w:tcPr>
          <w:p>
            <w:pPr>
              <w:spacing w:line="264" w:lineRule="auto"/>
              <w:jc w:val="right"/>
            </w:pPr>
            <w:r>
              <w:rPr>
                <w:b w:val="0"/>
                <w:i w:val="0"/>
                <w:sz w:val="18"/>
              </w:rPr>
              <w:t>43,651</w:t>
            </w:r>
          </w:p>
        </w:tc>
      </w:tr>
      <w:tr>
        <w:tc>
          <w:tcPr>
            <w:tcW w:type="dxa" w:w="2736"/>
            <w:shd w:val="clear" w:fill="EFF3F1"/>
          </w:tcPr>
          <w:p>
            <w:pPr>
              <w:spacing w:line="264" w:lineRule="auto"/>
            </w:pPr>
            <w:r>
              <w:rPr>
                <w:b w:val="0"/>
                <w:i w:val="0"/>
                <w:color w:val="1C3A36"/>
                <w:sz w:val="18"/>
              </w:rPr>
              <w:t>Gross profit</w:t>
            </w:r>
          </w:p>
        </w:tc>
        <w:tc>
          <w:tcPr>
            <w:tcW w:type="dxa" w:w="893"/>
            <w:shd w:val="clear" w:fill="EFF3F1"/>
          </w:tcPr>
          <w:p>
            <w:pPr>
              <w:spacing w:line="264" w:lineRule="auto"/>
              <w:jc w:val="right"/>
            </w:pPr>
            <w:r>
              <w:rPr>
                <w:b w:val="0"/>
                <w:i w:val="0"/>
                <w:sz w:val="18"/>
              </w:rPr>
              <w:t>2,550</w:t>
            </w:r>
          </w:p>
        </w:tc>
        <w:tc>
          <w:tcPr>
            <w:tcW w:type="dxa" w:w="893"/>
            <w:shd w:val="clear" w:fill="EFF3F1"/>
          </w:tcPr>
          <w:p>
            <w:pPr>
              <w:spacing w:line="264" w:lineRule="auto"/>
              <w:jc w:val="right"/>
            </w:pPr>
            <w:r>
              <w:rPr>
                <w:b w:val="0"/>
                <w:i w:val="0"/>
                <w:sz w:val="18"/>
              </w:rPr>
              <w:t>3,103</w:t>
            </w:r>
          </w:p>
        </w:tc>
        <w:tc>
          <w:tcPr>
            <w:tcW w:type="dxa" w:w="893"/>
            <w:shd w:val="clear" w:fill="EFF3F1"/>
          </w:tcPr>
          <w:p>
            <w:pPr>
              <w:spacing w:line="264" w:lineRule="auto"/>
              <w:jc w:val="right"/>
            </w:pPr>
            <w:r>
              <w:rPr>
                <w:b w:val="0"/>
                <w:i w:val="0"/>
                <w:sz w:val="18"/>
              </w:rPr>
              <w:t>3,195</w:t>
            </w:r>
          </w:p>
        </w:tc>
        <w:tc>
          <w:tcPr>
            <w:tcW w:type="dxa" w:w="893"/>
            <w:shd w:val="clear" w:fill="EFF3F1"/>
          </w:tcPr>
          <w:p>
            <w:pPr>
              <w:spacing w:line="264" w:lineRule="auto"/>
              <w:jc w:val="right"/>
            </w:pPr>
            <w:r>
              <w:rPr>
                <w:b w:val="0"/>
                <w:i w:val="0"/>
                <w:sz w:val="18"/>
              </w:rPr>
              <w:t>3,727</w:t>
            </w:r>
          </w:p>
        </w:tc>
        <w:tc>
          <w:tcPr>
            <w:tcW w:type="dxa" w:w="893"/>
            <w:shd w:val="clear" w:fill="EFF3F1"/>
          </w:tcPr>
          <w:p>
            <w:pPr>
              <w:spacing w:line="264" w:lineRule="auto"/>
              <w:jc w:val="right"/>
            </w:pPr>
            <w:r>
              <w:rPr>
                <w:b w:val="0"/>
                <w:i w:val="0"/>
                <w:sz w:val="18"/>
              </w:rPr>
              <w:t>4,236</w:t>
            </w:r>
          </w:p>
        </w:tc>
        <w:tc>
          <w:tcPr>
            <w:tcW w:type="dxa" w:w="893"/>
            <w:shd w:val="clear" w:fill="EFF3F1"/>
          </w:tcPr>
          <w:p>
            <w:pPr>
              <w:spacing w:line="264" w:lineRule="auto"/>
              <w:jc w:val="right"/>
            </w:pPr>
            <w:r>
              <w:rPr>
                <w:b w:val="0"/>
                <w:i w:val="0"/>
                <w:sz w:val="18"/>
              </w:rPr>
              <w:t>4,733</w:t>
            </w:r>
          </w:p>
        </w:tc>
        <w:tc>
          <w:tcPr>
            <w:tcW w:type="dxa" w:w="893"/>
            <w:shd w:val="clear" w:fill="EFF3F1"/>
          </w:tcPr>
          <w:p>
            <w:pPr>
              <w:spacing w:line="264" w:lineRule="auto"/>
              <w:jc w:val="right"/>
            </w:pPr>
            <w:r>
              <w:rPr>
                <w:b w:val="0"/>
                <w:i w:val="0"/>
                <w:sz w:val="18"/>
              </w:rPr>
              <w:t>5,286</w:t>
            </w:r>
          </w:p>
        </w:tc>
        <w:tc>
          <w:tcPr>
            <w:tcW w:type="dxa" w:w="893"/>
            <w:shd w:val="clear" w:fill="EFF3F1"/>
          </w:tcPr>
          <w:p>
            <w:pPr>
              <w:spacing w:line="264" w:lineRule="auto"/>
              <w:jc w:val="right"/>
            </w:pPr>
            <w:r>
              <w:rPr>
                <w:b w:val="0"/>
                <w:i w:val="0"/>
                <w:sz w:val="18"/>
              </w:rPr>
              <w:t>5,849</w:t>
            </w:r>
          </w:p>
        </w:tc>
      </w:tr>
      <w:tr>
        <w:tc>
          <w:tcPr>
            <w:tcW w:type="dxa" w:w="2736"/>
          </w:tcPr>
          <w:p>
            <w:pPr>
              <w:spacing w:line="264" w:lineRule="auto"/>
            </w:pPr>
            <w:r>
              <w:rPr>
                <w:b w:val="0"/>
                <w:i w:val="0"/>
                <w:color w:val="1C3A36"/>
                <w:sz w:val="18"/>
              </w:rPr>
              <w:t>SG&amp;A</w:t>
            </w:r>
          </w:p>
        </w:tc>
        <w:tc>
          <w:tcPr>
            <w:tcW w:type="dxa" w:w="893"/>
          </w:tcPr>
          <w:p>
            <w:pPr>
              <w:spacing w:line="264" w:lineRule="auto"/>
              <w:jc w:val="right"/>
            </w:pPr>
            <w:r>
              <w:rPr>
                <w:b w:val="0"/>
                <w:i w:val="0"/>
                <w:sz w:val="18"/>
              </w:rPr>
              <w:t>705</w:t>
            </w:r>
          </w:p>
        </w:tc>
        <w:tc>
          <w:tcPr>
            <w:tcW w:type="dxa" w:w="893"/>
          </w:tcPr>
          <w:p>
            <w:pPr>
              <w:spacing w:line="264" w:lineRule="auto"/>
              <w:jc w:val="right"/>
            </w:pPr>
            <w:r>
              <w:rPr>
                <w:b w:val="0"/>
                <w:i w:val="0"/>
                <w:sz w:val="18"/>
              </w:rPr>
              <w:t>1,000</w:t>
            </w:r>
          </w:p>
        </w:tc>
        <w:tc>
          <w:tcPr>
            <w:tcW w:type="dxa" w:w="893"/>
          </w:tcPr>
          <w:p>
            <w:pPr>
              <w:spacing w:line="264" w:lineRule="auto"/>
              <w:jc w:val="right"/>
            </w:pPr>
            <w:r>
              <w:rPr>
                <w:b w:val="0"/>
                <w:i w:val="0"/>
                <w:sz w:val="18"/>
              </w:rPr>
              <w:t>1,065</w:t>
            </w:r>
          </w:p>
        </w:tc>
        <w:tc>
          <w:tcPr>
            <w:tcW w:type="dxa" w:w="893"/>
          </w:tcPr>
          <w:p>
            <w:pPr>
              <w:spacing w:line="264" w:lineRule="auto"/>
              <w:jc w:val="right"/>
            </w:pPr>
            <w:r>
              <w:rPr>
                <w:b w:val="0"/>
                <w:i w:val="0"/>
                <w:sz w:val="18"/>
              </w:rPr>
              <w:t>1,193</w:t>
            </w:r>
          </w:p>
        </w:tc>
        <w:tc>
          <w:tcPr>
            <w:tcW w:type="dxa" w:w="893"/>
          </w:tcPr>
          <w:p>
            <w:pPr>
              <w:spacing w:line="264" w:lineRule="auto"/>
              <w:jc w:val="right"/>
            </w:pPr>
            <w:r>
              <w:rPr>
                <w:b w:val="0"/>
                <w:i w:val="0"/>
                <w:sz w:val="18"/>
              </w:rPr>
              <w:t>1,324</w:t>
            </w:r>
          </w:p>
        </w:tc>
        <w:tc>
          <w:tcPr>
            <w:tcW w:type="dxa" w:w="893"/>
          </w:tcPr>
          <w:p>
            <w:pPr>
              <w:spacing w:line="264" w:lineRule="auto"/>
              <w:jc w:val="right"/>
            </w:pPr>
            <w:r>
              <w:rPr>
                <w:b w:val="0"/>
                <w:i w:val="0"/>
                <w:sz w:val="18"/>
              </w:rPr>
              <w:t>1,456</w:t>
            </w:r>
          </w:p>
        </w:tc>
        <w:tc>
          <w:tcPr>
            <w:tcW w:type="dxa" w:w="893"/>
          </w:tcPr>
          <w:p>
            <w:pPr>
              <w:spacing w:line="264" w:lineRule="auto"/>
              <w:jc w:val="right"/>
            </w:pPr>
            <w:r>
              <w:rPr>
                <w:b w:val="0"/>
                <w:i w:val="0"/>
                <w:sz w:val="18"/>
              </w:rPr>
              <w:t>1,602</w:t>
            </w:r>
          </w:p>
        </w:tc>
        <w:tc>
          <w:tcPr>
            <w:tcW w:type="dxa" w:w="893"/>
          </w:tcPr>
          <w:p>
            <w:pPr>
              <w:spacing w:line="264" w:lineRule="auto"/>
              <w:jc w:val="right"/>
            </w:pPr>
            <w:r>
              <w:rPr>
                <w:b w:val="0"/>
                <w:i w:val="0"/>
                <w:sz w:val="18"/>
              </w:rPr>
              <w:t>1,746</w:t>
            </w:r>
          </w:p>
        </w:tc>
      </w:tr>
      <w:tr>
        <w:tc>
          <w:tcPr>
            <w:tcW w:type="dxa" w:w="2736"/>
            <w:shd w:val="clear" w:fill="EFF3F1"/>
          </w:tcPr>
          <w:p>
            <w:pPr>
              <w:spacing w:line="264" w:lineRule="auto"/>
            </w:pPr>
            <w:r>
              <w:rPr>
                <w:b w:val="0"/>
                <w:i w:val="0"/>
                <w:color w:val="1C3A36"/>
                <w:sz w:val="18"/>
              </w:rPr>
              <w:t>EBIT (operating)</w:t>
            </w:r>
          </w:p>
        </w:tc>
        <w:tc>
          <w:tcPr>
            <w:tcW w:type="dxa" w:w="893"/>
            <w:shd w:val="clear" w:fill="EFF3F1"/>
          </w:tcPr>
          <w:p>
            <w:pPr>
              <w:spacing w:line="264" w:lineRule="auto"/>
              <w:jc w:val="right"/>
            </w:pPr>
            <w:r>
              <w:rPr>
                <w:b w:val="0"/>
                <w:i w:val="0"/>
                <w:sz w:val="18"/>
              </w:rPr>
              <w:t>1,845</w:t>
            </w:r>
          </w:p>
        </w:tc>
        <w:tc>
          <w:tcPr>
            <w:tcW w:type="dxa" w:w="893"/>
            <w:shd w:val="clear" w:fill="EFF3F1"/>
          </w:tcPr>
          <w:p>
            <w:pPr>
              <w:spacing w:line="264" w:lineRule="auto"/>
              <w:jc w:val="right"/>
            </w:pPr>
            <w:r>
              <w:rPr>
                <w:b w:val="0"/>
                <w:i w:val="0"/>
                <w:sz w:val="18"/>
              </w:rPr>
              <w:t>2,103</w:t>
            </w:r>
          </w:p>
        </w:tc>
        <w:tc>
          <w:tcPr>
            <w:tcW w:type="dxa" w:w="893"/>
            <w:shd w:val="clear" w:fill="EFF3F1"/>
          </w:tcPr>
          <w:p>
            <w:pPr>
              <w:spacing w:line="264" w:lineRule="auto"/>
              <w:jc w:val="right"/>
            </w:pPr>
            <w:r>
              <w:rPr>
                <w:b w:val="0"/>
                <w:i w:val="0"/>
                <w:sz w:val="18"/>
              </w:rPr>
              <w:t>2,130</w:t>
            </w:r>
          </w:p>
        </w:tc>
        <w:tc>
          <w:tcPr>
            <w:tcW w:type="dxa" w:w="893"/>
            <w:shd w:val="clear" w:fill="EFF3F1"/>
          </w:tcPr>
          <w:p>
            <w:pPr>
              <w:spacing w:line="264" w:lineRule="auto"/>
              <w:jc w:val="right"/>
            </w:pPr>
            <w:r>
              <w:rPr>
                <w:b w:val="0"/>
                <w:i w:val="0"/>
                <w:sz w:val="18"/>
              </w:rPr>
              <w:t>2,534</w:t>
            </w:r>
          </w:p>
        </w:tc>
        <w:tc>
          <w:tcPr>
            <w:tcW w:type="dxa" w:w="893"/>
            <w:shd w:val="clear" w:fill="EFF3F1"/>
          </w:tcPr>
          <w:p>
            <w:pPr>
              <w:spacing w:line="264" w:lineRule="auto"/>
              <w:jc w:val="right"/>
            </w:pPr>
            <w:r>
              <w:rPr>
                <w:b w:val="0"/>
                <w:i w:val="0"/>
                <w:sz w:val="18"/>
              </w:rPr>
              <w:t>2,912</w:t>
            </w:r>
          </w:p>
        </w:tc>
        <w:tc>
          <w:tcPr>
            <w:tcW w:type="dxa" w:w="893"/>
            <w:shd w:val="clear" w:fill="EFF3F1"/>
          </w:tcPr>
          <w:p>
            <w:pPr>
              <w:spacing w:line="264" w:lineRule="auto"/>
              <w:jc w:val="right"/>
            </w:pPr>
            <w:r>
              <w:rPr>
                <w:b w:val="0"/>
                <w:i w:val="0"/>
                <w:sz w:val="18"/>
              </w:rPr>
              <w:t>3,277</w:t>
            </w:r>
          </w:p>
        </w:tc>
        <w:tc>
          <w:tcPr>
            <w:tcW w:type="dxa" w:w="893"/>
            <w:shd w:val="clear" w:fill="EFF3F1"/>
          </w:tcPr>
          <w:p>
            <w:pPr>
              <w:spacing w:line="264" w:lineRule="auto"/>
              <w:jc w:val="right"/>
            </w:pPr>
            <w:r>
              <w:rPr>
                <w:b w:val="0"/>
                <w:i w:val="0"/>
                <w:sz w:val="18"/>
              </w:rPr>
              <w:t>3,684</w:t>
            </w:r>
          </w:p>
        </w:tc>
        <w:tc>
          <w:tcPr>
            <w:tcW w:type="dxa" w:w="893"/>
            <w:shd w:val="clear" w:fill="EFF3F1"/>
          </w:tcPr>
          <w:p>
            <w:pPr>
              <w:spacing w:line="264" w:lineRule="auto"/>
              <w:jc w:val="right"/>
            </w:pPr>
            <w:r>
              <w:rPr>
                <w:b w:val="0"/>
                <w:i w:val="0"/>
                <w:sz w:val="18"/>
              </w:rPr>
              <w:t>4,103</w:t>
            </w:r>
          </w:p>
        </w:tc>
      </w:tr>
      <w:tr>
        <w:tc>
          <w:tcPr>
            <w:tcW w:type="dxa" w:w="2736"/>
          </w:tcPr>
          <w:p>
            <w:pPr>
              <w:spacing w:line="264" w:lineRule="auto"/>
            </w:pPr>
            <w:r>
              <w:rPr>
                <w:b w:val="0"/>
                <w:i w:val="0"/>
                <w:color w:val="1C3A36"/>
                <w:sz w:val="18"/>
              </w:rPr>
              <w:t>D&amp;A (memo)</w:t>
            </w:r>
          </w:p>
        </w:tc>
        <w:tc>
          <w:tcPr>
            <w:tcW w:type="dxa" w:w="893"/>
          </w:tcPr>
          <w:p>
            <w:pPr>
              <w:spacing w:line="264" w:lineRule="auto"/>
              <w:jc w:val="right"/>
            </w:pPr>
            <w:r>
              <w:rPr>
                <w:b w:val="0"/>
                <w:i w:val="0"/>
                <w:sz w:val="18"/>
              </w:rPr>
              <w:t>650</w:t>
            </w:r>
          </w:p>
        </w:tc>
        <w:tc>
          <w:tcPr>
            <w:tcW w:type="dxa" w:w="893"/>
          </w:tcPr>
          <w:p>
            <w:pPr>
              <w:spacing w:line="264" w:lineRule="auto"/>
              <w:jc w:val="right"/>
            </w:pPr>
            <w:r>
              <w:rPr>
                <w:b w:val="0"/>
                <w:i w:val="0"/>
                <w:sz w:val="18"/>
              </w:rPr>
              <w:t>700</w:t>
            </w:r>
          </w:p>
        </w:tc>
        <w:tc>
          <w:tcPr>
            <w:tcW w:type="dxa" w:w="893"/>
          </w:tcPr>
          <w:p>
            <w:pPr>
              <w:spacing w:line="264" w:lineRule="auto"/>
              <w:jc w:val="right"/>
            </w:pPr>
            <w:r>
              <w:rPr>
                <w:b w:val="0"/>
                <w:i w:val="0"/>
                <w:sz w:val="18"/>
              </w:rPr>
              <w:t>750</w:t>
            </w:r>
          </w:p>
        </w:tc>
        <w:tc>
          <w:tcPr>
            <w:tcW w:type="dxa" w:w="893"/>
          </w:tcPr>
          <w:p>
            <w:pPr>
              <w:spacing w:line="264" w:lineRule="auto"/>
              <w:jc w:val="right"/>
            </w:pPr>
            <w:r>
              <w:rPr>
                <w:b w:val="0"/>
                <w:i w:val="0"/>
                <w:sz w:val="18"/>
              </w:rPr>
              <w:t>894</w:t>
            </w:r>
          </w:p>
        </w:tc>
        <w:tc>
          <w:tcPr>
            <w:tcW w:type="dxa" w:w="893"/>
          </w:tcPr>
          <w:p>
            <w:pPr>
              <w:spacing w:line="264" w:lineRule="auto"/>
              <w:jc w:val="right"/>
            </w:pPr>
            <w:r>
              <w:rPr>
                <w:b w:val="0"/>
                <w:i w:val="0"/>
                <w:sz w:val="18"/>
              </w:rPr>
              <w:t>993</w:t>
            </w:r>
          </w:p>
        </w:tc>
        <w:tc>
          <w:tcPr>
            <w:tcW w:type="dxa" w:w="893"/>
          </w:tcPr>
          <w:p>
            <w:pPr>
              <w:spacing w:line="264" w:lineRule="auto"/>
              <w:jc w:val="right"/>
            </w:pPr>
            <w:r>
              <w:rPr>
                <w:b w:val="0"/>
                <w:i w:val="0"/>
                <w:sz w:val="18"/>
              </w:rPr>
              <w:t>1,092</w:t>
            </w:r>
          </w:p>
        </w:tc>
        <w:tc>
          <w:tcPr>
            <w:tcW w:type="dxa" w:w="893"/>
          </w:tcPr>
          <w:p>
            <w:pPr>
              <w:spacing w:line="264" w:lineRule="auto"/>
              <w:jc w:val="right"/>
            </w:pPr>
            <w:r>
              <w:rPr>
                <w:b w:val="0"/>
                <w:i w:val="0"/>
                <w:sz w:val="18"/>
              </w:rPr>
              <w:t>1,201</w:t>
            </w:r>
          </w:p>
        </w:tc>
        <w:tc>
          <w:tcPr>
            <w:tcW w:type="dxa" w:w="893"/>
          </w:tcPr>
          <w:p>
            <w:pPr>
              <w:spacing w:line="264" w:lineRule="auto"/>
              <w:jc w:val="right"/>
            </w:pPr>
            <w:r>
              <w:rPr>
                <w:b w:val="0"/>
                <w:i w:val="0"/>
                <w:sz w:val="18"/>
              </w:rPr>
              <w:t>1,310</w:t>
            </w:r>
          </w:p>
        </w:tc>
      </w:tr>
      <w:tr>
        <w:tc>
          <w:tcPr>
            <w:tcW w:type="dxa" w:w="2736"/>
            <w:shd w:val="clear" w:fill="EFF3F1"/>
          </w:tcPr>
          <w:p>
            <w:pPr>
              <w:spacing w:line="264" w:lineRule="auto"/>
            </w:pPr>
            <w:r>
              <w:rPr>
                <w:b w:val="0"/>
                <w:i w:val="0"/>
                <w:color w:val="1C3A36"/>
                <w:sz w:val="18"/>
              </w:rPr>
              <w:t>EBITDA</w:t>
            </w:r>
          </w:p>
        </w:tc>
        <w:tc>
          <w:tcPr>
            <w:tcW w:type="dxa" w:w="893"/>
            <w:shd w:val="clear" w:fill="EFF3F1"/>
          </w:tcPr>
          <w:p>
            <w:pPr>
              <w:spacing w:line="264" w:lineRule="auto"/>
              <w:jc w:val="right"/>
            </w:pPr>
            <w:r>
              <w:rPr>
                <w:b w:val="0"/>
                <w:i w:val="0"/>
                <w:sz w:val="18"/>
              </w:rPr>
              <w:t>2,495</w:t>
            </w:r>
          </w:p>
        </w:tc>
        <w:tc>
          <w:tcPr>
            <w:tcW w:type="dxa" w:w="893"/>
            <w:shd w:val="clear" w:fill="EFF3F1"/>
          </w:tcPr>
          <w:p>
            <w:pPr>
              <w:spacing w:line="264" w:lineRule="auto"/>
              <w:jc w:val="right"/>
            </w:pPr>
            <w:r>
              <w:rPr>
                <w:b w:val="0"/>
                <w:i w:val="0"/>
                <w:sz w:val="18"/>
              </w:rPr>
              <w:t>2,803</w:t>
            </w:r>
          </w:p>
        </w:tc>
        <w:tc>
          <w:tcPr>
            <w:tcW w:type="dxa" w:w="893"/>
            <w:shd w:val="clear" w:fill="EFF3F1"/>
          </w:tcPr>
          <w:p>
            <w:pPr>
              <w:spacing w:line="264" w:lineRule="auto"/>
              <w:jc w:val="right"/>
            </w:pPr>
            <w:r>
              <w:rPr>
                <w:b w:val="0"/>
                <w:i w:val="0"/>
                <w:sz w:val="18"/>
              </w:rPr>
              <w:t>2,880</w:t>
            </w:r>
          </w:p>
        </w:tc>
        <w:tc>
          <w:tcPr>
            <w:tcW w:type="dxa" w:w="893"/>
            <w:shd w:val="clear" w:fill="EFF3F1"/>
          </w:tcPr>
          <w:p>
            <w:pPr>
              <w:spacing w:line="264" w:lineRule="auto"/>
              <w:jc w:val="right"/>
            </w:pPr>
            <w:r>
              <w:rPr>
                <w:b w:val="0"/>
                <w:i w:val="0"/>
                <w:sz w:val="18"/>
              </w:rPr>
              <w:t>3,429</w:t>
            </w:r>
          </w:p>
        </w:tc>
        <w:tc>
          <w:tcPr>
            <w:tcW w:type="dxa" w:w="893"/>
            <w:shd w:val="clear" w:fill="EFF3F1"/>
          </w:tcPr>
          <w:p>
            <w:pPr>
              <w:spacing w:line="264" w:lineRule="auto"/>
              <w:jc w:val="right"/>
            </w:pPr>
            <w:r>
              <w:rPr>
                <w:b w:val="0"/>
                <w:i w:val="0"/>
                <w:sz w:val="18"/>
              </w:rPr>
              <w:t>3,905</w:t>
            </w:r>
          </w:p>
        </w:tc>
        <w:tc>
          <w:tcPr>
            <w:tcW w:type="dxa" w:w="893"/>
            <w:shd w:val="clear" w:fill="EFF3F1"/>
          </w:tcPr>
          <w:p>
            <w:pPr>
              <w:spacing w:line="264" w:lineRule="auto"/>
              <w:jc w:val="right"/>
            </w:pPr>
            <w:r>
              <w:rPr>
                <w:b w:val="0"/>
                <w:i w:val="0"/>
                <w:sz w:val="18"/>
              </w:rPr>
              <w:t>4,369</w:t>
            </w:r>
          </w:p>
        </w:tc>
        <w:tc>
          <w:tcPr>
            <w:tcW w:type="dxa" w:w="893"/>
            <w:shd w:val="clear" w:fill="EFF3F1"/>
          </w:tcPr>
          <w:p>
            <w:pPr>
              <w:spacing w:line="264" w:lineRule="auto"/>
              <w:jc w:val="right"/>
            </w:pPr>
            <w:r>
              <w:rPr>
                <w:b w:val="0"/>
                <w:i w:val="0"/>
                <w:sz w:val="18"/>
              </w:rPr>
              <w:t>4,886</w:t>
            </w:r>
          </w:p>
        </w:tc>
        <w:tc>
          <w:tcPr>
            <w:tcW w:type="dxa" w:w="893"/>
            <w:shd w:val="clear" w:fill="EFF3F1"/>
          </w:tcPr>
          <w:p>
            <w:pPr>
              <w:spacing w:line="264" w:lineRule="auto"/>
              <w:jc w:val="right"/>
            </w:pPr>
            <w:r>
              <w:rPr>
                <w:b w:val="0"/>
                <w:i w:val="0"/>
                <w:sz w:val="18"/>
              </w:rPr>
              <w:t>5,413</w:t>
            </w:r>
          </w:p>
        </w:tc>
      </w:tr>
      <w:tr>
        <w:tc>
          <w:tcPr>
            <w:tcW w:type="dxa" w:w="2736"/>
          </w:tcPr>
          <w:p>
            <w:pPr>
              <w:spacing w:line="264" w:lineRule="auto"/>
            </w:pPr>
            <w:r>
              <w:rPr>
                <w:b w:val="0"/>
                <w:i w:val="0"/>
                <w:color w:val="1C3A36"/>
                <w:sz w:val="18"/>
              </w:rPr>
              <w:t>Net interest, FX &amp; other income</w:t>
            </w:r>
          </w:p>
        </w:tc>
        <w:tc>
          <w:tcPr>
            <w:tcW w:type="dxa" w:w="893"/>
          </w:tcPr>
          <w:p>
            <w:pPr>
              <w:spacing w:line="264" w:lineRule="auto"/>
              <w:jc w:val="right"/>
            </w:pPr>
            <w:r>
              <w:rPr>
                <w:b w:val="0"/>
                <w:i w:val="0"/>
                <w:sz w:val="18"/>
              </w:rPr>
              <w:t>465</w:t>
            </w:r>
          </w:p>
        </w:tc>
        <w:tc>
          <w:tcPr>
            <w:tcW w:type="dxa" w:w="893"/>
          </w:tcPr>
          <w:p>
            <w:pPr>
              <w:spacing w:line="264" w:lineRule="auto"/>
              <w:jc w:val="right"/>
            </w:pPr>
            <w:r>
              <w:rPr>
                <w:b w:val="0"/>
                <w:i w:val="0"/>
                <w:sz w:val="18"/>
              </w:rPr>
              <w:t>700</w:t>
            </w:r>
          </w:p>
        </w:tc>
        <w:tc>
          <w:tcPr>
            <w:tcW w:type="dxa" w:w="893"/>
          </w:tcPr>
          <w:p>
            <w:pPr>
              <w:spacing w:line="264" w:lineRule="auto"/>
              <w:jc w:val="right"/>
            </w:pPr>
            <w:r>
              <w:rPr>
                <w:b w:val="0"/>
                <w:i w:val="0"/>
                <w:sz w:val="18"/>
              </w:rPr>
              <w:t>1,146</w:t>
            </w:r>
          </w:p>
        </w:tc>
        <w:tc>
          <w:tcPr>
            <w:tcW w:type="dxa" w:w="893"/>
          </w:tcPr>
          <w:p>
            <w:pPr>
              <w:spacing w:line="264" w:lineRule="auto"/>
              <w:jc w:val="right"/>
            </w:pPr>
            <w:r>
              <w:rPr>
                <w:b w:val="0"/>
                <w:i w:val="0"/>
                <w:sz w:val="18"/>
              </w:rPr>
              <w:t>900</w:t>
            </w:r>
          </w:p>
        </w:tc>
        <w:tc>
          <w:tcPr>
            <w:tcW w:type="dxa" w:w="893"/>
          </w:tcPr>
          <w:p>
            <w:pPr>
              <w:spacing w:line="264" w:lineRule="auto"/>
              <w:jc w:val="right"/>
            </w:pPr>
            <w:r>
              <w:rPr>
                <w:b w:val="0"/>
                <w:i w:val="0"/>
                <w:sz w:val="18"/>
              </w:rPr>
              <w:t>850</w:t>
            </w:r>
          </w:p>
        </w:tc>
        <w:tc>
          <w:tcPr>
            <w:tcW w:type="dxa" w:w="893"/>
          </w:tcPr>
          <w:p>
            <w:pPr>
              <w:spacing w:line="264" w:lineRule="auto"/>
              <w:jc w:val="right"/>
            </w:pPr>
            <w:r>
              <w:rPr>
                <w:b w:val="0"/>
                <w:i w:val="0"/>
                <w:sz w:val="18"/>
              </w:rPr>
              <w:t>800</w:t>
            </w:r>
          </w:p>
        </w:tc>
        <w:tc>
          <w:tcPr>
            <w:tcW w:type="dxa" w:w="893"/>
          </w:tcPr>
          <w:p>
            <w:pPr>
              <w:spacing w:line="264" w:lineRule="auto"/>
              <w:jc w:val="right"/>
            </w:pPr>
            <w:r>
              <w:rPr>
                <w:b w:val="0"/>
                <w:i w:val="0"/>
                <w:sz w:val="18"/>
              </w:rPr>
              <w:t>800</w:t>
            </w:r>
          </w:p>
        </w:tc>
        <w:tc>
          <w:tcPr>
            <w:tcW w:type="dxa" w:w="893"/>
          </w:tcPr>
          <w:p>
            <w:pPr>
              <w:spacing w:line="264" w:lineRule="auto"/>
              <w:jc w:val="right"/>
            </w:pPr>
            <w:r>
              <w:rPr>
                <w:b w:val="0"/>
                <w:i w:val="0"/>
                <w:sz w:val="18"/>
              </w:rPr>
              <w:t>800</w:t>
            </w:r>
          </w:p>
        </w:tc>
      </w:tr>
      <w:tr>
        <w:tc>
          <w:tcPr>
            <w:tcW w:type="dxa" w:w="2736"/>
            <w:shd w:val="clear" w:fill="EFF3F1"/>
          </w:tcPr>
          <w:p>
            <w:pPr>
              <w:spacing w:line="264" w:lineRule="auto"/>
            </w:pPr>
            <w:r>
              <w:rPr>
                <w:b w:val="0"/>
                <w:i w:val="0"/>
                <w:color w:val="1C3A36"/>
                <w:sz w:val="18"/>
              </w:rPr>
              <w:t>PBT</w:t>
            </w:r>
          </w:p>
        </w:tc>
        <w:tc>
          <w:tcPr>
            <w:tcW w:type="dxa" w:w="893"/>
            <w:shd w:val="clear" w:fill="EFF3F1"/>
          </w:tcPr>
          <w:p>
            <w:pPr>
              <w:spacing w:line="264" w:lineRule="auto"/>
              <w:jc w:val="right"/>
            </w:pPr>
            <w:r>
              <w:rPr>
                <w:b w:val="0"/>
                <w:i w:val="0"/>
                <w:sz w:val="18"/>
              </w:rPr>
              <w:t>2,310</w:t>
            </w:r>
          </w:p>
        </w:tc>
        <w:tc>
          <w:tcPr>
            <w:tcW w:type="dxa" w:w="893"/>
            <w:shd w:val="clear" w:fill="EFF3F1"/>
          </w:tcPr>
          <w:p>
            <w:pPr>
              <w:spacing w:line="264" w:lineRule="auto"/>
              <w:jc w:val="right"/>
            </w:pPr>
            <w:r>
              <w:rPr>
                <w:b w:val="0"/>
                <w:i w:val="0"/>
                <w:sz w:val="18"/>
              </w:rPr>
              <w:t>2,803</w:t>
            </w:r>
          </w:p>
        </w:tc>
        <w:tc>
          <w:tcPr>
            <w:tcW w:type="dxa" w:w="893"/>
            <w:shd w:val="clear" w:fill="EFF3F1"/>
          </w:tcPr>
          <w:p>
            <w:pPr>
              <w:spacing w:line="264" w:lineRule="auto"/>
              <w:jc w:val="right"/>
            </w:pPr>
            <w:r>
              <w:rPr>
                <w:b w:val="0"/>
                <w:i w:val="0"/>
                <w:sz w:val="18"/>
              </w:rPr>
              <w:t>3,276</w:t>
            </w:r>
          </w:p>
        </w:tc>
        <w:tc>
          <w:tcPr>
            <w:tcW w:type="dxa" w:w="893"/>
            <w:shd w:val="clear" w:fill="EFF3F1"/>
          </w:tcPr>
          <w:p>
            <w:pPr>
              <w:spacing w:line="264" w:lineRule="auto"/>
              <w:jc w:val="right"/>
            </w:pPr>
            <w:r>
              <w:rPr>
                <w:b w:val="0"/>
                <w:i w:val="0"/>
                <w:sz w:val="18"/>
              </w:rPr>
              <w:t>3,434</w:t>
            </w:r>
          </w:p>
        </w:tc>
        <w:tc>
          <w:tcPr>
            <w:tcW w:type="dxa" w:w="893"/>
            <w:shd w:val="clear" w:fill="EFF3F1"/>
          </w:tcPr>
          <w:p>
            <w:pPr>
              <w:spacing w:line="264" w:lineRule="auto"/>
              <w:jc w:val="right"/>
            </w:pPr>
            <w:r>
              <w:rPr>
                <w:b w:val="0"/>
                <w:i w:val="0"/>
                <w:sz w:val="18"/>
              </w:rPr>
              <w:t>3,762</w:t>
            </w:r>
          </w:p>
        </w:tc>
        <w:tc>
          <w:tcPr>
            <w:tcW w:type="dxa" w:w="893"/>
            <w:shd w:val="clear" w:fill="EFF3F1"/>
          </w:tcPr>
          <w:p>
            <w:pPr>
              <w:spacing w:line="264" w:lineRule="auto"/>
              <w:jc w:val="right"/>
            </w:pPr>
            <w:r>
              <w:rPr>
                <w:b w:val="0"/>
                <w:i w:val="0"/>
                <w:sz w:val="18"/>
              </w:rPr>
              <w:t>4,077</w:t>
            </w:r>
          </w:p>
        </w:tc>
        <w:tc>
          <w:tcPr>
            <w:tcW w:type="dxa" w:w="893"/>
            <w:shd w:val="clear" w:fill="EFF3F1"/>
          </w:tcPr>
          <w:p>
            <w:pPr>
              <w:spacing w:line="264" w:lineRule="auto"/>
              <w:jc w:val="right"/>
            </w:pPr>
            <w:r>
              <w:rPr>
                <w:b w:val="0"/>
                <w:i w:val="0"/>
                <w:sz w:val="18"/>
              </w:rPr>
              <w:t>4,484</w:t>
            </w:r>
          </w:p>
        </w:tc>
        <w:tc>
          <w:tcPr>
            <w:tcW w:type="dxa" w:w="893"/>
            <w:shd w:val="clear" w:fill="EFF3F1"/>
          </w:tcPr>
          <w:p>
            <w:pPr>
              <w:spacing w:line="264" w:lineRule="auto"/>
              <w:jc w:val="right"/>
            </w:pPr>
            <w:r>
              <w:rPr>
                <w:b w:val="0"/>
                <w:i w:val="0"/>
                <w:sz w:val="18"/>
              </w:rPr>
              <w:t>4,903</w:t>
            </w:r>
          </w:p>
        </w:tc>
      </w:tr>
      <w:tr>
        <w:tc>
          <w:tcPr>
            <w:tcW w:type="dxa" w:w="2736"/>
          </w:tcPr>
          <w:p>
            <w:pPr>
              <w:spacing w:line="264" w:lineRule="auto"/>
            </w:pPr>
            <w:r>
              <w:rPr>
                <w:b w:val="0"/>
                <w:i w:val="0"/>
                <w:color w:val="1C3A36"/>
                <w:sz w:val="18"/>
              </w:rPr>
              <w:t>Tax &amp; minority interest</w:t>
            </w:r>
          </w:p>
        </w:tc>
        <w:tc>
          <w:tcPr>
            <w:tcW w:type="dxa" w:w="893"/>
          </w:tcPr>
          <w:p>
            <w:pPr>
              <w:spacing w:line="264" w:lineRule="auto"/>
              <w:jc w:val="right"/>
            </w:pPr>
            <w:r>
              <w:rPr>
                <w:b w:val="0"/>
                <w:i w:val="0"/>
                <w:sz w:val="18"/>
              </w:rPr>
              <w:t>570</w:t>
            </w:r>
          </w:p>
        </w:tc>
        <w:tc>
          <w:tcPr>
            <w:tcW w:type="dxa" w:w="893"/>
          </w:tcPr>
          <w:p>
            <w:pPr>
              <w:spacing w:line="264" w:lineRule="auto"/>
              <w:jc w:val="right"/>
            </w:pPr>
            <w:r>
              <w:rPr>
                <w:b w:val="0"/>
                <w:i w:val="0"/>
                <w:sz w:val="18"/>
              </w:rPr>
              <w:t>611</w:t>
            </w:r>
          </w:p>
        </w:tc>
        <w:tc>
          <w:tcPr>
            <w:tcW w:type="dxa" w:w="893"/>
          </w:tcPr>
          <w:p>
            <w:pPr>
              <w:spacing w:line="264" w:lineRule="auto"/>
              <w:jc w:val="right"/>
            </w:pPr>
            <w:r>
              <w:rPr>
                <w:b w:val="0"/>
                <w:i w:val="0"/>
                <w:sz w:val="18"/>
              </w:rPr>
              <w:t>1,087</w:t>
            </w:r>
          </w:p>
        </w:tc>
        <w:tc>
          <w:tcPr>
            <w:tcW w:type="dxa" w:w="893"/>
          </w:tcPr>
          <w:p>
            <w:pPr>
              <w:spacing w:line="264" w:lineRule="auto"/>
              <w:jc w:val="right"/>
            </w:pPr>
            <w:r>
              <w:rPr>
                <w:b w:val="0"/>
                <w:i w:val="0"/>
                <w:sz w:val="18"/>
              </w:rPr>
              <w:t>962</w:t>
            </w:r>
          </w:p>
        </w:tc>
        <w:tc>
          <w:tcPr>
            <w:tcW w:type="dxa" w:w="893"/>
          </w:tcPr>
          <w:p>
            <w:pPr>
              <w:spacing w:line="264" w:lineRule="auto"/>
              <w:jc w:val="right"/>
            </w:pPr>
            <w:r>
              <w:rPr>
                <w:b w:val="0"/>
                <w:i w:val="0"/>
                <w:sz w:val="18"/>
              </w:rPr>
              <w:t>1,053</w:t>
            </w:r>
          </w:p>
        </w:tc>
        <w:tc>
          <w:tcPr>
            <w:tcW w:type="dxa" w:w="893"/>
          </w:tcPr>
          <w:p>
            <w:pPr>
              <w:spacing w:line="264" w:lineRule="auto"/>
              <w:jc w:val="right"/>
            </w:pPr>
            <w:r>
              <w:rPr>
                <w:b w:val="0"/>
                <w:i w:val="0"/>
                <w:sz w:val="18"/>
              </w:rPr>
              <w:t>1,141</w:t>
            </w:r>
          </w:p>
        </w:tc>
        <w:tc>
          <w:tcPr>
            <w:tcW w:type="dxa" w:w="893"/>
          </w:tcPr>
          <w:p>
            <w:pPr>
              <w:spacing w:line="264" w:lineRule="auto"/>
              <w:jc w:val="right"/>
            </w:pPr>
            <w:r>
              <w:rPr>
                <w:b w:val="0"/>
                <w:i w:val="0"/>
                <w:sz w:val="18"/>
              </w:rPr>
              <w:t>1,256</w:t>
            </w:r>
          </w:p>
        </w:tc>
        <w:tc>
          <w:tcPr>
            <w:tcW w:type="dxa" w:w="893"/>
          </w:tcPr>
          <w:p>
            <w:pPr>
              <w:spacing w:line="264" w:lineRule="auto"/>
              <w:jc w:val="right"/>
            </w:pPr>
            <w:r>
              <w:rPr>
                <w:b w:val="0"/>
                <w:i w:val="0"/>
                <w:sz w:val="18"/>
              </w:rPr>
              <w:t>1,373</w:t>
            </w:r>
          </w:p>
        </w:tc>
      </w:tr>
      <w:tr>
        <w:tc>
          <w:tcPr>
            <w:tcW w:type="dxa" w:w="2736"/>
            <w:shd w:val="clear" w:fill="EFF3F1"/>
          </w:tcPr>
          <w:p>
            <w:pPr>
              <w:spacing w:line="264" w:lineRule="auto"/>
            </w:pPr>
            <w:r>
              <w:rPr>
                <w:b w:val="0"/>
                <w:i w:val="0"/>
                <w:color w:val="1C3A36"/>
                <w:sz w:val="18"/>
              </w:rPr>
              <w:t>Net profit (attributable)</w:t>
            </w:r>
          </w:p>
        </w:tc>
        <w:tc>
          <w:tcPr>
            <w:tcW w:type="dxa" w:w="893"/>
            <w:shd w:val="clear" w:fill="EFF3F1"/>
          </w:tcPr>
          <w:p>
            <w:pPr>
              <w:spacing w:line="264" w:lineRule="auto"/>
              <w:jc w:val="right"/>
            </w:pPr>
            <w:r>
              <w:rPr>
                <w:b w:val="0"/>
                <w:i w:val="0"/>
                <w:sz w:val="18"/>
              </w:rPr>
              <w:t>1,740</w:t>
            </w:r>
          </w:p>
        </w:tc>
        <w:tc>
          <w:tcPr>
            <w:tcW w:type="dxa" w:w="893"/>
            <w:shd w:val="clear" w:fill="EFF3F1"/>
          </w:tcPr>
          <w:p>
            <w:pPr>
              <w:spacing w:line="264" w:lineRule="auto"/>
              <w:jc w:val="right"/>
            </w:pPr>
            <w:r>
              <w:rPr>
                <w:b w:val="0"/>
                <w:i w:val="0"/>
                <w:sz w:val="18"/>
              </w:rPr>
              <w:t>2,192</w:t>
            </w:r>
          </w:p>
        </w:tc>
        <w:tc>
          <w:tcPr>
            <w:tcW w:type="dxa" w:w="893"/>
            <w:shd w:val="clear" w:fill="EFF3F1"/>
          </w:tcPr>
          <w:p>
            <w:pPr>
              <w:spacing w:line="264" w:lineRule="auto"/>
              <w:jc w:val="right"/>
            </w:pPr>
            <w:r>
              <w:rPr>
                <w:b w:val="0"/>
                <w:i w:val="0"/>
                <w:sz w:val="18"/>
              </w:rPr>
              <w:t>2,189</w:t>
            </w:r>
          </w:p>
        </w:tc>
        <w:tc>
          <w:tcPr>
            <w:tcW w:type="dxa" w:w="893"/>
            <w:shd w:val="clear" w:fill="EFF3F1"/>
          </w:tcPr>
          <w:p>
            <w:pPr>
              <w:spacing w:line="264" w:lineRule="auto"/>
              <w:jc w:val="right"/>
            </w:pPr>
            <w:r>
              <w:rPr>
                <w:b w:val="0"/>
                <w:i w:val="0"/>
                <w:sz w:val="18"/>
              </w:rPr>
              <w:t>2,473</w:t>
            </w:r>
          </w:p>
        </w:tc>
        <w:tc>
          <w:tcPr>
            <w:tcW w:type="dxa" w:w="893"/>
            <w:shd w:val="clear" w:fill="EFF3F1"/>
          </w:tcPr>
          <w:p>
            <w:pPr>
              <w:spacing w:line="264" w:lineRule="auto"/>
              <w:jc w:val="right"/>
            </w:pPr>
            <w:r>
              <w:rPr>
                <w:b w:val="0"/>
                <w:i w:val="0"/>
                <w:sz w:val="18"/>
              </w:rPr>
              <w:t>2,709</w:t>
            </w:r>
          </w:p>
        </w:tc>
        <w:tc>
          <w:tcPr>
            <w:tcW w:type="dxa" w:w="893"/>
            <w:shd w:val="clear" w:fill="EFF3F1"/>
          </w:tcPr>
          <w:p>
            <w:pPr>
              <w:spacing w:line="264" w:lineRule="auto"/>
              <w:jc w:val="right"/>
            </w:pPr>
            <w:r>
              <w:rPr>
                <w:b w:val="0"/>
                <w:i w:val="0"/>
                <w:sz w:val="18"/>
              </w:rPr>
              <w:t>2,935</w:t>
            </w:r>
          </w:p>
        </w:tc>
        <w:tc>
          <w:tcPr>
            <w:tcW w:type="dxa" w:w="893"/>
            <w:shd w:val="clear" w:fill="EFF3F1"/>
          </w:tcPr>
          <w:p>
            <w:pPr>
              <w:spacing w:line="264" w:lineRule="auto"/>
              <w:jc w:val="right"/>
            </w:pPr>
            <w:r>
              <w:rPr>
                <w:b w:val="0"/>
                <w:i w:val="0"/>
                <w:sz w:val="18"/>
              </w:rPr>
              <w:t>3,229</w:t>
            </w:r>
          </w:p>
        </w:tc>
        <w:tc>
          <w:tcPr>
            <w:tcW w:type="dxa" w:w="893"/>
            <w:shd w:val="clear" w:fill="EFF3F1"/>
          </w:tcPr>
          <w:p>
            <w:pPr>
              <w:spacing w:line="264" w:lineRule="auto"/>
              <w:jc w:val="right"/>
            </w:pPr>
            <w:r>
              <w:rPr>
                <w:b w:val="0"/>
                <w:i w:val="0"/>
                <w:sz w:val="18"/>
              </w:rPr>
              <w:t>3,530</w:t>
            </w:r>
          </w:p>
        </w:tc>
      </w:tr>
    </w:tbl>
    <w:p>
      <w:pPr>
        <w:spacing w:after="40"/>
      </w:pPr>
    </w:p>
    <w:p>
      <w:pPr>
        <w:spacing w:before="160" w:after="120" w:line="264" w:lineRule="auto"/>
      </w:pPr>
      <w:r>
        <w:rPr>
          <w:b/>
          <w:i w:val="0"/>
          <w:color w:val="1C3A36"/>
          <w:sz w:val="24"/>
        </w:rPr>
        <w:t>A.2  Balance sheet</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Net working capital</w:t>
            </w:r>
          </w:p>
        </w:tc>
        <w:tc>
          <w:tcPr>
            <w:tcW w:type="dxa" w:w="893"/>
          </w:tcPr>
          <w:p>
            <w:pPr>
              <w:spacing w:line="264" w:lineRule="auto"/>
              <w:jc w:val="right"/>
            </w:pPr>
            <w:r>
              <w:rPr>
                <w:b w:val="0"/>
                <w:i w:val="0"/>
                <w:sz w:val="18"/>
              </w:rPr>
              <w:t>4,950</w:t>
            </w:r>
          </w:p>
        </w:tc>
        <w:tc>
          <w:tcPr>
            <w:tcW w:type="dxa" w:w="893"/>
          </w:tcPr>
          <w:p>
            <w:pPr>
              <w:spacing w:line="264" w:lineRule="auto"/>
              <w:jc w:val="right"/>
            </w:pPr>
            <w:r>
              <w:rPr>
                <w:b w:val="0"/>
                <w:i w:val="0"/>
                <w:sz w:val="18"/>
              </w:rPr>
              <w:t>6,800</w:t>
            </w:r>
          </w:p>
        </w:tc>
        <w:tc>
          <w:tcPr>
            <w:tcW w:type="dxa" w:w="893"/>
          </w:tcPr>
          <w:p>
            <w:pPr>
              <w:spacing w:line="264" w:lineRule="auto"/>
              <w:jc w:val="right"/>
            </w:pPr>
            <w:r>
              <w:rPr>
                <w:b w:val="0"/>
                <w:i w:val="0"/>
                <w:sz w:val="18"/>
              </w:rPr>
              <w:t>7,450</w:t>
            </w:r>
          </w:p>
        </w:tc>
        <w:tc>
          <w:tcPr>
            <w:tcW w:type="dxa" w:w="893"/>
          </w:tcPr>
          <w:p>
            <w:pPr>
              <w:spacing w:line="264" w:lineRule="auto"/>
              <w:jc w:val="right"/>
            </w:pPr>
            <w:r>
              <w:rPr>
                <w:b w:val="0"/>
                <w:i w:val="0"/>
                <w:sz w:val="18"/>
              </w:rPr>
              <w:t>8,349</w:t>
            </w:r>
          </w:p>
        </w:tc>
        <w:tc>
          <w:tcPr>
            <w:tcW w:type="dxa" w:w="893"/>
          </w:tcPr>
          <w:p>
            <w:pPr>
              <w:spacing w:line="264" w:lineRule="auto"/>
              <w:jc w:val="right"/>
            </w:pPr>
            <w:r>
              <w:rPr>
                <w:b w:val="0"/>
                <w:i w:val="0"/>
                <w:sz w:val="18"/>
              </w:rPr>
              <w:t>9,267</w:t>
            </w:r>
          </w:p>
        </w:tc>
        <w:tc>
          <w:tcPr>
            <w:tcW w:type="dxa" w:w="893"/>
          </w:tcPr>
          <w:p>
            <w:pPr>
              <w:spacing w:line="264" w:lineRule="auto"/>
              <w:jc w:val="right"/>
            </w:pPr>
            <w:r>
              <w:rPr>
                <w:b w:val="0"/>
                <w:i w:val="0"/>
                <w:sz w:val="18"/>
              </w:rPr>
              <w:t>10,194</w:t>
            </w:r>
          </w:p>
        </w:tc>
        <w:tc>
          <w:tcPr>
            <w:tcW w:type="dxa" w:w="893"/>
          </w:tcPr>
          <w:p>
            <w:pPr>
              <w:spacing w:line="264" w:lineRule="auto"/>
              <w:jc w:val="right"/>
            </w:pPr>
            <w:r>
              <w:rPr>
                <w:b w:val="0"/>
                <w:i w:val="0"/>
                <w:sz w:val="18"/>
              </w:rPr>
              <w:t>11,213</w:t>
            </w:r>
          </w:p>
        </w:tc>
        <w:tc>
          <w:tcPr>
            <w:tcW w:type="dxa" w:w="893"/>
          </w:tcPr>
          <w:p>
            <w:pPr>
              <w:spacing w:line="264" w:lineRule="auto"/>
              <w:jc w:val="right"/>
            </w:pPr>
            <w:r>
              <w:rPr>
                <w:b w:val="0"/>
                <w:i w:val="0"/>
                <w:sz w:val="18"/>
              </w:rPr>
              <w:t>12,222</w:t>
            </w:r>
          </w:p>
        </w:tc>
      </w:tr>
      <w:tr>
        <w:tc>
          <w:tcPr>
            <w:tcW w:type="dxa" w:w="2736"/>
            <w:shd w:val="clear" w:fill="EFF3F1"/>
          </w:tcPr>
          <w:p>
            <w:pPr>
              <w:spacing w:line="264" w:lineRule="auto"/>
            </w:pPr>
            <w:r>
              <w:rPr>
                <w:b w:val="0"/>
                <w:i w:val="0"/>
                <w:color w:val="1C3A36"/>
                <w:sz w:val="18"/>
              </w:rPr>
              <w:t>PP&amp;E (net, est.)</w:t>
            </w:r>
          </w:p>
        </w:tc>
        <w:tc>
          <w:tcPr>
            <w:tcW w:type="dxa" w:w="893"/>
            <w:shd w:val="clear" w:fill="EFF3F1"/>
          </w:tcPr>
          <w:p>
            <w:pPr>
              <w:spacing w:line="264" w:lineRule="auto"/>
              <w:jc w:val="right"/>
            </w:pPr>
            <w:r>
              <w:rPr>
                <w:b w:val="0"/>
                <w:i w:val="0"/>
                <w:sz w:val="18"/>
              </w:rPr>
              <w:t>6,500</w:t>
            </w:r>
          </w:p>
        </w:tc>
        <w:tc>
          <w:tcPr>
            <w:tcW w:type="dxa" w:w="893"/>
            <w:shd w:val="clear" w:fill="EFF3F1"/>
          </w:tcPr>
          <w:p>
            <w:pPr>
              <w:spacing w:line="264" w:lineRule="auto"/>
              <w:jc w:val="right"/>
            </w:pPr>
            <w:r>
              <w:rPr>
                <w:b w:val="0"/>
                <w:i w:val="0"/>
                <w:sz w:val="18"/>
              </w:rPr>
              <w:t>6,800</w:t>
            </w:r>
          </w:p>
        </w:tc>
        <w:tc>
          <w:tcPr>
            <w:tcW w:type="dxa" w:w="893"/>
            <w:shd w:val="clear" w:fill="EFF3F1"/>
          </w:tcPr>
          <w:p>
            <w:pPr>
              <w:spacing w:line="264" w:lineRule="auto"/>
              <w:jc w:val="right"/>
            </w:pPr>
            <w:r>
              <w:rPr>
                <w:b w:val="0"/>
                <w:i w:val="0"/>
                <w:sz w:val="18"/>
              </w:rPr>
              <w:t>7,100</w:t>
            </w:r>
          </w:p>
        </w:tc>
        <w:tc>
          <w:tcPr>
            <w:tcW w:type="dxa" w:w="893"/>
            <w:shd w:val="clear" w:fill="EFF3F1"/>
          </w:tcPr>
          <w:p>
            <w:pPr>
              <w:spacing w:line="264" w:lineRule="auto"/>
              <w:jc w:val="right"/>
            </w:pPr>
            <w:r>
              <w:rPr>
                <w:b w:val="0"/>
                <w:i w:val="0"/>
                <w:sz w:val="18"/>
              </w:rPr>
              <w:t>7,249</w:t>
            </w:r>
          </w:p>
        </w:tc>
        <w:tc>
          <w:tcPr>
            <w:tcW w:type="dxa" w:w="893"/>
            <w:shd w:val="clear" w:fill="EFF3F1"/>
          </w:tcPr>
          <w:p>
            <w:pPr>
              <w:spacing w:line="264" w:lineRule="auto"/>
              <w:jc w:val="right"/>
            </w:pPr>
            <w:r>
              <w:rPr>
                <w:b w:val="0"/>
                <w:i w:val="0"/>
                <w:sz w:val="18"/>
              </w:rPr>
              <w:t>7,415</w:t>
            </w:r>
          </w:p>
        </w:tc>
        <w:tc>
          <w:tcPr>
            <w:tcW w:type="dxa" w:w="893"/>
            <w:shd w:val="clear" w:fill="EFF3F1"/>
          </w:tcPr>
          <w:p>
            <w:pPr>
              <w:spacing w:line="264" w:lineRule="auto"/>
              <w:jc w:val="right"/>
            </w:pPr>
            <w:r>
              <w:rPr>
                <w:b w:val="0"/>
                <w:i w:val="0"/>
                <w:sz w:val="18"/>
              </w:rPr>
              <w:t>7,597</w:t>
            </w:r>
          </w:p>
        </w:tc>
        <w:tc>
          <w:tcPr>
            <w:tcW w:type="dxa" w:w="893"/>
            <w:shd w:val="clear" w:fill="EFF3F1"/>
          </w:tcPr>
          <w:p>
            <w:pPr>
              <w:spacing w:line="264" w:lineRule="auto"/>
              <w:jc w:val="right"/>
            </w:pPr>
            <w:r>
              <w:rPr>
                <w:b w:val="0"/>
                <w:i w:val="0"/>
                <w:sz w:val="18"/>
              </w:rPr>
              <w:t>7,797</w:t>
            </w:r>
          </w:p>
        </w:tc>
        <w:tc>
          <w:tcPr>
            <w:tcW w:type="dxa" w:w="893"/>
            <w:shd w:val="clear" w:fill="EFF3F1"/>
          </w:tcPr>
          <w:p>
            <w:pPr>
              <w:spacing w:line="264" w:lineRule="auto"/>
              <w:jc w:val="right"/>
            </w:pPr>
            <w:r>
              <w:rPr>
                <w:b w:val="0"/>
                <w:i w:val="0"/>
                <w:sz w:val="18"/>
              </w:rPr>
              <w:t>8,015</w:t>
            </w:r>
          </w:p>
        </w:tc>
      </w:tr>
      <w:tr>
        <w:tc>
          <w:tcPr>
            <w:tcW w:type="dxa" w:w="2736"/>
          </w:tcPr>
          <w:p>
            <w:pPr>
              <w:spacing w:line="264" w:lineRule="auto"/>
            </w:pPr>
            <w:r>
              <w:rPr>
                <w:b w:val="0"/>
                <w:i w:val="0"/>
                <w:color w:val="1C3A36"/>
                <w:sz w:val="18"/>
              </w:rPr>
              <w:t>Total debt</w:t>
            </w:r>
          </w:p>
        </w:tc>
        <w:tc>
          <w:tcPr>
            <w:tcW w:type="dxa" w:w="893"/>
          </w:tcPr>
          <w:p>
            <w:pPr>
              <w:spacing w:line="264" w:lineRule="auto"/>
              <w:jc w:val="right"/>
            </w:pPr>
            <w:r>
              <w:rPr>
                <w:b w:val="0"/>
                <w:i w:val="0"/>
                <w:sz w:val="18"/>
              </w:rPr>
              <w:t>4,700</w:t>
            </w:r>
          </w:p>
        </w:tc>
        <w:tc>
          <w:tcPr>
            <w:tcW w:type="dxa" w:w="893"/>
          </w:tcPr>
          <w:p>
            <w:pPr>
              <w:spacing w:line="264" w:lineRule="auto"/>
              <w:jc w:val="right"/>
            </w:pPr>
            <w:r>
              <w:rPr>
                <w:b w:val="0"/>
                <w:i w:val="0"/>
                <w:sz w:val="18"/>
              </w:rPr>
              <w:t>5,200</w:t>
            </w:r>
          </w:p>
        </w:tc>
        <w:tc>
          <w:tcPr>
            <w:tcW w:type="dxa" w:w="893"/>
          </w:tcPr>
          <w:p>
            <w:pPr>
              <w:spacing w:line="264" w:lineRule="auto"/>
              <w:jc w:val="right"/>
            </w:pPr>
            <w:r>
              <w:rPr>
                <w:b w:val="0"/>
                <w:i w:val="0"/>
                <w:sz w:val="18"/>
              </w:rPr>
              <w:t>5,500</w:t>
            </w:r>
          </w:p>
        </w:tc>
        <w:tc>
          <w:tcPr>
            <w:tcW w:type="dxa" w:w="893"/>
          </w:tcPr>
          <w:p>
            <w:pPr>
              <w:spacing w:line="264" w:lineRule="auto"/>
              <w:jc w:val="right"/>
            </w:pPr>
            <w:r>
              <w:rPr>
                <w:b w:val="0"/>
                <w:i w:val="0"/>
                <w:sz w:val="18"/>
              </w:rPr>
              <w:t>5,500</w:t>
            </w:r>
          </w:p>
        </w:tc>
        <w:tc>
          <w:tcPr>
            <w:tcW w:type="dxa" w:w="893"/>
          </w:tcPr>
          <w:p>
            <w:pPr>
              <w:spacing w:line="264" w:lineRule="auto"/>
              <w:jc w:val="right"/>
            </w:pPr>
            <w:r>
              <w:rPr>
                <w:b w:val="0"/>
                <w:i w:val="0"/>
                <w:sz w:val="18"/>
              </w:rPr>
              <w:t>5,500</w:t>
            </w:r>
          </w:p>
        </w:tc>
        <w:tc>
          <w:tcPr>
            <w:tcW w:type="dxa" w:w="893"/>
          </w:tcPr>
          <w:p>
            <w:pPr>
              <w:spacing w:line="264" w:lineRule="auto"/>
              <w:jc w:val="right"/>
            </w:pPr>
            <w:r>
              <w:rPr>
                <w:b w:val="0"/>
                <w:i w:val="0"/>
                <w:sz w:val="18"/>
              </w:rPr>
              <w:t>5,500</w:t>
            </w:r>
          </w:p>
        </w:tc>
        <w:tc>
          <w:tcPr>
            <w:tcW w:type="dxa" w:w="893"/>
          </w:tcPr>
          <w:p>
            <w:pPr>
              <w:spacing w:line="264" w:lineRule="auto"/>
              <w:jc w:val="right"/>
            </w:pPr>
            <w:r>
              <w:rPr>
                <w:b w:val="0"/>
                <w:i w:val="0"/>
                <w:sz w:val="18"/>
              </w:rPr>
              <w:t>5,500</w:t>
            </w:r>
          </w:p>
        </w:tc>
        <w:tc>
          <w:tcPr>
            <w:tcW w:type="dxa" w:w="893"/>
          </w:tcPr>
          <w:p>
            <w:pPr>
              <w:spacing w:line="264" w:lineRule="auto"/>
              <w:jc w:val="right"/>
            </w:pPr>
            <w:r>
              <w:rPr>
                <w:b w:val="0"/>
                <w:i w:val="0"/>
                <w:sz w:val="18"/>
              </w:rPr>
              <w:t>5,500</w:t>
            </w:r>
          </w:p>
        </w:tc>
      </w:tr>
      <w:tr>
        <w:tc>
          <w:tcPr>
            <w:tcW w:type="dxa" w:w="2736"/>
            <w:shd w:val="clear" w:fill="EFF3F1"/>
          </w:tcPr>
          <w:p>
            <w:pPr>
              <w:spacing w:line="264" w:lineRule="auto"/>
            </w:pPr>
            <w:r>
              <w:rPr>
                <w:b w:val="0"/>
                <w:i w:val="0"/>
                <w:color w:val="1C3A36"/>
                <w:sz w:val="18"/>
              </w:rPr>
              <w:t>Cash &amp; equivalents (est.)</w:t>
            </w:r>
          </w:p>
        </w:tc>
        <w:tc>
          <w:tcPr>
            <w:tcW w:type="dxa" w:w="893"/>
            <w:shd w:val="clear" w:fill="EFF3F1"/>
          </w:tcPr>
          <w:p>
            <w:pPr>
              <w:spacing w:line="264" w:lineRule="auto"/>
              <w:jc w:val="right"/>
            </w:pPr>
            <w:r>
              <w:rPr>
                <w:b w:val="0"/>
                <w:i w:val="0"/>
                <w:sz w:val="18"/>
              </w:rPr>
              <w:t>2,800</w:t>
            </w:r>
          </w:p>
        </w:tc>
        <w:tc>
          <w:tcPr>
            <w:tcW w:type="dxa" w:w="893"/>
            <w:shd w:val="clear" w:fill="EFF3F1"/>
          </w:tcPr>
          <w:p>
            <w:pPr>
              <w:spacing w:line="264" w:lineRule="auto"/>
              <w:jc w:val="right"/>
            </w:pPr>
            <w:r>
              <w:rPr>
                <w:b w:val="0"/>
                <w:i w:val="0"/>
                <w:sz w:val="18"/>
              </w:rPr>
              <w:t>3,200</w:t>
            </w:r>
          </w:p>
        </w:tc>
        <w:tc>
          <w:tcPr>
            <w:tcW w:type="dxa" w:w="893"/>
            <w:shd w:val="clear" w:fill="EFF3F1"/>
          </w:tcPr>
          <w:p>
            <w:pPr>
              <w:spacing w:line="264" w:lineRule="auto"/>
              <w:jc w:val="right"/>
            </w:pPr>
            <w:r>
              <w:rPr>
                <w:b w:val="0"/>
                <w:i w:val="0"/>
                <w:sz w:val="18"/>
              </w:rPr>
              <w:t>3,500</w:t>
            </w:r>
          </w:p>
        </w:tc>
        <w:tc>
          <w:tcPr>
            <w:tcW w:type="dxa" w:w="893"/>
            <w:shd w:val="clear" w:fill="EFF3F1"/>
          </w:tcPr>
          <w:p>
            <w:pPr>
              <w:spacing w:line="264" w:lineRule="auto"/>
              <w:jc w:val="right"/>
            </w:pPr>
            <w:r>
              <w:rPr>
                <w:b w:val="0"/>
                <w:i w:val="0"/>
                <w:sz w:val="18"/>
              </w:rPr>
              <w:t>3,927</w:t>
            </w:r>
          </w:p>
        </w:tc>
        <w:tc>
          <w:tcPr>
            <w:tcW w:type="dxa" w:w="893"/>
            <w:shd w:val="clear" w:fill="EFF3F1"/>
          </w:tcPr>
          <w:p>
            <w:pPr>
              <w:spacing w:line="264" w:lineRule="auto"/>
              <w:jc w:val="right"/>
            </w:pPr>
            <w:r>
              <w:rPr>
                <w:b w:val="0"/>
                <w:i w:val="0"/>
                <w:sz w:val="18"/>
              </w:rPr>
              <w:t>4,555</w:t>
            </w:r>
          </w:p>
        </w:tc>
        <w:tc>
          <w:tcPr>
            <w:tcW w:type="dxa" w:w="893"/>
            <w:shd w:val="clear" w:fill="EFF3F1"/>
          </w:tcPr>
          <w:p>
            <w:pPr>
              <w:spacing w:line="264" w:lineRule="auto"/>
              <w:jc w:val="right"/>
            </w:pPr>
            <w:r>
              <w:rPr>
                <w:b w:val="0"/>
                <w:i w:val="0"/>
                <w:sz w:val="18"/>
              </w:rPr>
              <w:t>5,384</w:t>
            </w:r>
          </w:p>
        </w:tc>
        <w:tc>
          <w:tcPr>
            <w:tcW w:type="dxa" w:w="893"/>
            <w:shd w:val="clear" w:fill="EFF3F1"/>
          </w:tcPr>
          <w:p>
            <w:pPr>
              <w:spacing w:line="264" w:lineRule="auto"/>
              <w:jc w:val="right"/>
            </w:pPr>
            <w:r>
              <w:rPr>
                <w:b w:val="0"/>
                <w:i w:val="0"/>
                <w:sz w:val="18"/>
              </w:rPr>
              <w:t>6,395</w:t>
            </w:r>
          </w:p>
        </w:tc>
        <w:tc>
          <w:tcPr>
            <w:tcW w:type="dxa" w:w="893"/>
            <w:shd w:val="clear" w:fill="EFF3F1"/>
          </w:tcPr>
          <w:p>
            <w:pPr>
              <w:spacing w:line="264" w:lineRule="auto"/>
              <w:jc w:val="right"/>
            </w:pPr>
            <w:r>
              <w:rPr>
                <w:b w:val="0"/>
                <w:i w:val="0"/>
                <w:sz w:val="18"/>
              </w:rPr>
              <w:t>7,700</w:t>
            </w:r>
          </w:p>
        </w:tc>
      </w:tr>
      <w:tr>
        <w:tc>
          <w:tcPr>
            <w:tcW w:type="dxa" w:w="2736"/>
          </w:tcPr>
          <w:p>
            <w:pPr>
              <w:spacing w:line="264" w:lineRule="auto"/>
            </w:pPr>
            <w:r>
              <w:rPr>
                <w:b w:val="0"/>
                <w:i w:val="0"/>
                <w:color w:val="1C3A36"/>
                <w:sz w:val="18"/>
              </w:rPr>
              <w:t>Attributable equity (est.)</w:t>
            </w:r>
          </w:p>
        </w:tc>
        <w:tc>
          <w:tcPr>
            <w:tcW w:type="dxa" w:w="893"/>
          </w:tcPr>
          <w:p>
            <w:pPr>
              <w:spacing w:line="264" w:lineRule="auto"/>
              <w:jc w:val="right"/>
            </w:pPr>
            <w:r>
              <w:rPr>
                <w:b w:val="0"/>
                <w:i w:val="0"/>
                <w:sz w:val="18"/>
              </w:rPr>
              <w:t>10,600</w:t>
            </w:r>
          </w:p>
        </w:tc>
        <w:tc>
          <w:tcPr>
            <w:tcW w:type="dxa" w:w="893"/>
          </w:tcPr>
          <w:p>
            <w:pPr>
              <w:spacing w:line="264" w:lineRule="auto"/>
              <w:jc w:val="right"/>
            </w:pPr>
            <w:r>
              <w:rPr>
                <w:b w:val="0"/>
                <w:i w:val="0"/>
                <w:sz w:val="18"/>
              </w:rPr>
              <w:t>12,200</w:t>
            </w:r>
          </w:p>
        </w:tc>
        <w:tc>
          <w:tcPr>
            <w:tcW w:type="dxa" w:w="893"/>
          </w:tcPr>
          <w:p>
            <w:pPr>
              <w:spacing w:line="264" w:lineRule="auto"/>
              <w:jc w:val="right"/>
            </w:pPr>
            <w:r>
              <w:rPr>
                <w:b w:val="0"/>
                <w:i w:val="0"/>
                <w:sz w:val="18"/>
              </w:rPr>
              <w:t>13,400</w:t>
            </w:r>
          </w:p>
        </w:tc>
        <w:tc>
          <w:tcPr>
            <w:tcW w:type="dxa" w:w="893"/>
          </w:tcPr>
          <w:p>
            <w:pPr>
              <w:spacing w:line="264" w:lineRule="auto"/>
              <w:jc w:val="right"/>
            </w:pPr>
            <w:r>
              <w:rPr>
                <w:b w:val="0"/>
                <w:i w:val="0"/>
                <w:sz w:val="18"/>
              </w:rPr>
              <w:t>14,875</w:t>
            </w:r>
          </w:p>
        </w:tc>
        <w:tc>
          <w:tcPr>
            <w:tcW w:type="dxa" w:w="893"/>
          </w:tcPr>
          <w:p>
            <w:pPr>
              <w:spacing w:line="264" w:lineRule="auto"/>
              <w:jc w:val="right"/>
            </w:pPr>
            <w:r>
              <w:rPr>
                <w:b w:val="0"/>
                <w:i w:val="0"/>
                <w:sz w:val="18"/>
              </w:rPr>
              <w:t>16,586</w:t>
            </w:r>
          </w:p>
        </w:tc>
        <w:tc>
          <w:tcPr>
            <w:tcW w:type="dxa" w:w="893"/>
          </w:tcPr>
          <w:p>
            <w:pPr>
              <w:spacing w:line="264" w:lineRule="auto"/>
              <w:jc w:val="right"/>
            </w:pPr>
            <w:r>
              <w:rPr>
                <w:b w:val="0"/>
                <w:i w:val="0"/>
                <w:sz w:val="18"/>
              </w:rPr>
              <w:t>18,524</w:t>
            </w:r>
          </w:p>
        </w:tc>
        <w:tc>
          <w:tcPr>
            <w:tcW w:type="dxa" w:w="893"/>
          </w:tcPr>
          <w:p>
            <w:pPr>
              <w:spacing w:line="264" w:lineRule="auto"/>
              <w:jc w:val="right"/>
            </w:pPr>
            <w:r>
              <w:rPr>
                <w:b w:val="0"/>
                <w:i w:val="0"/>
                <w:sz w:val="18"/>
              </w:rPr>
              <w:t>20,755</w:t>
            </w:r>
          </w:p>
        </w:tc>
        <w:tc>
          <w:tcPr>
            <w:tcW w:type="dxa" w:w="893"/>
          </w:tcPr>
          <w:p>
            <w:pPr>
              <w:spacing w:line="264" w:lineRule="auto"/>
              <w:jc w:val="right"/>
            </w:pPr>
            <w:r>
              <w:rPr>
                <w:b w:val="0"/>
                <w:i w:val="0"/>
                <w:sz w:val="18"/>
              </w:rPr>
              <w:t>23,288</w:t>
            </w:r>
          </w:p>
        </w:tc>
      </w:tr>
    </w:tbl>
    <w:p>
      <w:pPr>
        <w:spacing w:after="40"/>
      </w:pPr>
    </w:p>
    <w:p>
      <w:pPr>
        <w:spacing w:before="160" w:after="120" w:line="264" w:lineRule="auto"/>
      </w:pPr>
      <w:r>
        <w:rPr>
          <w:b/>
          <w:i w:val="0"/>
          <w:color w:val="1C3A36"/>
          <w:sz w:val="24"/>
        </w:rPr>
        <w:t>A.3  Cash flow</w:t>
      </w:r>
    </w:p>
    <w:tbl>
      <w:tblPr>
        <w:tblStyle w:val="TableGrid"/>
        <w:tblW w:type="auto" w:w="0"/>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line="264" w:lineRule="auto"/>
            </w:pPr>
            <w:r>
              <w:rPr>
                <w:b/>
                <w:i w:val="0"/>
                <w:color w:val="FFFFFF"/>
                <w:sz w:val="18"/>
              </w:rPr>
              <w:t>Line</w:t>
            </w:r>
          </w:p>
        </w:tc>
        <w:tc>
          <w:tcPr>
            <w:tcW w:type="dxa" w:w="893"/>
            <w:shd w:val="clear" w:fill="1C3A36"/>
          </w:tcPr>
          <w:p>
            <w:pPr>
              <w:spacing w:line="264" w:lineRule="auto"/>
              <w:jc w:val="right"/>
            </w:pPr>
            <w:r>
              <w:rPr>
                <w:b/>
                <w:i w:val="0"/>
                <w:color w:val="FFFFFF"/>
                <w:sz w:val="18"/>
              </w:rPr>
              <w:t>FY23</w:t>
            </w:r>
          </w:p>
        </w:tc>
        <w:tc>
          <w:tcPr>
            <w:tcW w:type="dxa" w:w="893"/>
            <w:shd w:val="clear" w:fill="1C3A36"/>
          </w:tcPr>
          <w:p>
            <w:pPr>
              <w:spacing w:line="264" w:lineRule="auto"/>
              <w:jc w:val="right"/>
            </w:pPr>
            <w:r>
              <w:rPr>
                <w:b/>
                <w:i w:val="0"/>
                <w:color w:val="FFFFFF"/>
                <w:sz w:val="18"/>
              </w:rPr>
              <w:t>FY24</w:t>
            </w:r>
          </w:p>
        </w:tc>
        <w:tc>
          <w:tcPr>
            <w:tcW w:type="dxa" w:w="893"/>
            <w:shd w:val="clear" w:fill="1C3A36"/>
          </w:tcPr>
          <w:p>
            <w:pPr>
              <w:spacing w:line="264" w:lineRule="auto"/>
              <w:jc w:val="right"/>
            </w:pPr>
            <w:r>
              <w:rPr>
                <w:b/>
                <w:i w:val="0"/>
                <w:color w:val="FFFFFF"/>
                <w:sz w:val="18"/>
              </w:rPr>
              <w:t>FY25</w:t>
            </w:r>
          </w:p>
        </w:tc>
        <w:tc>
          <w:tcPr>
            <w:tcW w:type="dxa" w:w="893"/>
            <w:shd w:val="clear" w:fill="1C3A36"/>
          </w:tcPr>
          <w:p>
            <w:pPr>
              <w:spacing w:line="264" w:lineRule="auto"/>
              <w:jc w:val="right"/>
            </w:pPr>
            <w:r>
              <w:rPr>
                <w:b/>
                <w:i w:val="0"/>
                <w:color w:val="FFFFFF"/>
                <w:sz w:val="18"/>
              </w:rPr>
              <w:t>FY26E</w:t>
            </w:r>
          </w:p>
        </w:tc>
        <w:tc>
          <w:tcPr>
            <w:tcW w:type="dxa" w:w="893"/>
            <w:shd w:val="clear" w:fill="1C3A36"/>
          </w:tcPr>
          <w:p>
            <w:pPr>
              <w:spacing w:line="264" w:lineRule="auto"/>
              <w:jc w:val="right"/>
            </w:pPr>
            <w:r>
              <w:rPr>
                <w:b/>
                <w:i w:val="0"/>
                <w:color w:val="FFFFFF"/>
                <w:sz w:val="18"/>
              </w:rPr>
              <w:t>FY27E</w:t>
            </w:r>
          </w:p>
        </w:tc>
        <w:tc>
          <w:tcPr>
            <w:tcW w:type="dxa" w:w="893"/>
            <w:shd w:val="clear" w:fill="1C3A36"/>
          </w:tcPr>
          <w:p>
            <w:pPr>
              <w:spacing w:line="264" w:lineRule="auto"/>
              <w:jc w:val="right"/>
            </w:pPr>
            <w:r>
              <w:rPr>
                <w:b/>
                <w:i w:val="0"/>
                <w:color w:val="FFFFFF"/>
                <w:sz w:val="18"/>
              </w:rPr>
              <w:t>FY28E</w:t>
            </w:r>
          </w:p>
        </w:tc>
        <w:tc>
          <w:tcPr>
            <w:tcW w:type="dxa" w:w="893"/>
            <w:shd w:val="clear" w:fill="1C3A36"/>
          </w:tcPr>
          <w:p>
            <w:pPr>
              <w:spacing w:line="264" w:lineRule="auto"/>
              <w:jc w:val="right"/>
            </w:pPr>
            <w:r>
              <w:rPr>
                <w:b/>
                <w:i w:val="0"/>
                <w:color w:val="FFFFFF"/>
                <w:sz w:val="18"/>
              </w:rPr>
              <w:t>FY29E</w:t>
            </w:r>
          </w:p>
        </w:tc>
        <w:tc>
          <w:tcPr>
            <w:tcW w:type="dxa" w:w="893"/>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Net profit (attributable)</w:t>
            </w:r>
          </w:p>
        </w:tc>
        <w:tc>
          <w:tcPr>
            <w:tcW w:type="dxa" w:w="893"/>
          </w:tcPr>
          <w:p>
            <w:pPr>
              <w:spacing w:line="264" w:lineRule="auto"/>
              <w:jc w:val="right"/>
            </w:pPr>
            <w:r>
              <w:rPr>
                <w:b w:val="0"/>
                <w:i w:val="0"/>
                <w:sz w:val="18"/>
              </w:rPr>
              <w:t>1,740</w:t>
            </w:r>
          </w:p>
        </w:tc>
        <w:tc>
          <w:tcPr>
            <w:tcW w:type="dxa" w:w="893"/>
          </w:tcPr>
          <w:p>
            <w:pPr>
              <w:spacing w:line="264" w:lineRule="auto"/>
              <w:jc w:val="right"/>
            </w:pPr>
            <w:r>
              <w:rPr>
                <w:b w:val="0"/>
                <w:i w:val="0"/>
                <w:sz w:val="18"/>
              </w:rPr>
              <w:t>2,192</w:t>
            </w:r>
          </w:p>
        </w:tc>
        <w:tc>
          <w:tcPr>
            <w:tcW w:type="dxa" w:w="893"/>
          </w:tcPr>
          <w:p>
            <w:pPr>
              <w:spacing w:line="264" w:lineRule="auto"/>
              <w:jc w:val="right"/>
            </w:pPr>
            <w:r>
              <w:rPr>
                <w:b w:val="0"/>
                <w:i w:val="0"/>
                <w:sz w:val="18"/>
              </w:rPr>
              <w:t>2,189</w:t>
            </w:r>
          </w:p>
        </w:tc>
        <w:tc>
          <w:tcPr>
            <w:tcW w:type="dxa" w:w="893"/>
          </w:tcPr>
          <w:p>
            <w:pPr>
              <w:spacing w:line="264" w:lineRule="auto"/>
              <w:jc w:val="right"/>
            </w:pPr>
            <w:r>
              <w:rPr>
                <w:b w:val="0"/>
                <w:i w:val="0"/>
                <w:sz w:val="18"/>
              </w:rPr>
              <w:t>2,473</w:t>
            </w:r>
          </w:p>
        </w:tc>
        <w:tc>
          <w:tcPr>
            <w:tcW w:type="dxa" w:w="893"/>
          </w:tcPr>
          <w:p>
            <w:pPr>
              <w:spacing w:line="264" w:lineRule="auto"/>
              <w:jc w:val="right"/>
            </w:pPr>
            <w:r>
              <w:rPr>
                <w:b w:val="0"/>
                <w:i w:val="0"/>
                <w:sz w:val="18"/>
              </w:rPr>
              <w:t>2,709</w:t>
            </w:r>
          </w:p>
        </w:tc>
        <w:tc>
          <w:tcPr>
            <w:tcW w:type="dxa" w:w="893"/>
          </w:tcPr>
          <w:p>
            <w:pPr>
              <w:spacing w:line="264" w:lineRule="auto"/>
              <w:jc w:val="right"/>
            </w:pPr>
            <w:r>
              <w:rPr>
                <w:b w:val="0"/>
                <w:i w:val="0"/>
                <w:sz w:val="18"/>
              </w:rPr>
              <w:t>2,935</w:t>
            </w:r>
          </w:p>
        </w:tc>
        <w:tc>
          <w:tcPr>
            <w:tcW w:type="dxa" w:w="893"/>
          </w:tcPr>
          <w:p>
            <w:pPr>
              <w:spacing w:line="264" w:lineRule="auto"/>
              <w:jc w:val="right"/>
            </w:pPr>
            <w:r>
              <w:rPr>
                <w:b w:val="0"/>
                <w:i w:val="0"/>
                <w:sz w:val="18"/>
              </w:rPr>
              <w:t>3,229</w:t>
            </w:r>
          </w:p>
        </w:tc>
        <w:tc>
          <w:tcPr>
            <w:tcW w:type="dxa" w:w="893"/>
          </w:tcPr>
          <w:p>
            <w:pPr>
              <w:spacing w:line="264" w:lineRule="auto"/>
              <w:jc w:val="right"/>
            </w:pPr>
            <w:r>
              <w:rPr>
                <w:b w:val="0"/>
                <w:i w:val="0"/>
                <w:sz w:val="18"/>
              </w:rPr>
              <w:t>3,530</w:t>
            </w:r>
          </w:p>
        </w:tc>
      </w:tr>
      <w:tr>
        <w:tc>
          <w:tcPr>
            <w:tcW w:type="dxa" w:w="2736"/>
            <w:shd w:val="clear" w:fill="EFF3F1"/>
          </w:tcPr>
          <w:p>
            <w:pPr>
              <w:spacing w:line="264" w:lineRule="auto"/>
            </w:pPr>
            <w:r>
              <w:rPr>
                <w:b w:val="0"/>
                <w:i w:val="0"/>
                <w:color w:val="1C3A36"/>
                <w:sz w:val="18"/>
              </w:rPr>
              <w:t>+ D&amp;A</w:t>
            </w:r>
          </w:p>
        </w:tc>
        <w:tc>
          <w:tcPr>
            <w:tcW w:type="dxa" w:w="893"/>
            <w:shd w:val="clear" w:fill="EFF3F1"/>
          </w:tcPr>
          <w:p>
            <w:pPr>
              <w:spacing w:line="264" w:lineRule="auto"/>
              <w:jc w:val="right"/>
            </w:pPr>
            <w:r>
              <w:rPr>
                <w:b w:val="0"/>
                <w:i w:val="0"/>
                <w:sz w:val="18"/>
              </w:rPr>
              <w:t>650</w:t>
            </w:r>
          </w:p>
        </w:tc>
        <w:tc>
          <w:tcPr>
            <w:tcW w:type="dxa" w:w="893"/>
            <w:shd w:val="clear" w:fill="EFF3F1"/>
          </w:tcPr>
          <w:p>
            <w:pPr>
              <w:spacing w:line="264" w:lineRule="auto"/>
              <w:jc w:val="right"/>
            </w:pPr>
            <w:r>
              <w:rPr>
                <w:b w:val="0"/>
                <w:i w:val="0"/>
                <w:sz w:val="18"/>
              </w:rPr>
              <w:t>700</w:t>
            </w:r>
          </w:p>
        </w:tc>
        <w:tc>
          <w:tcPr>
            <w:tcW w:type="dxa" w:w="893"/>
            <w:shd w:val="clear" w:fill="EFF3F1"/>
          </w:tcPr>
          <w:p>
            <w:pPr>
              <w:spacing w:line="264" w:lineRule="auto"/>
              <w:jc w:val="right"/>
            </w:pPr>
            <w:r>
              <w:rPr>
                <w:b w:val="0"/>
                <w:i w:val="0"/>
                <w:sz w:val="18"/>
              </w:rPr>
              <w:t>750</w:t>
            </w:r>
          </w:p>
        </w:tc>
        <w:tc>
          <w:tcPr>
            <w:tcW w:type="dxa" w:w="893"/>
            <w:shd w:val="clear" w:fill="EFF3F1"/>
          </w:tcPr>
          <w:p>
            <w:pPr>
              <w:spacing w:line="264" w:lineRule="auto"/>
              <w:jc w:val="right"/>
            </w:pPr>
            <w:r>
              <w:rPr>
                <w:b w:val="0"/>
                <w:i w:val="0"/>
                <w:sz w:val="18"/>
              </w:rPr>
              <w:t>894</w:t>
            </w:r>
          </w:p>
        </w:tc>
        <w:tc>
          <w:tcPr>
            <w:tcW w:type="dxa" w:w="893"/>
            <w:shd w:val="clear" w:fill="EFF3F1"/>
          </w:tcPr>
          <w:p>
            <w:pPr>
              <w:spacing w:line="264" w:lineRule="auto"/>
              <w:jc w:val="right"/>
            </w:pPr>
            <w:r>
              <w:rPr>
                <w:b w:val="0"/>
                <w:i w:val="0"/>
                <w:sz w:val="18"/>
              </w:rPr>
              <w:t>993</w:t>
            </w:r>
          </w:p>
        </w:tc>
        <w:tc>
          <w:tcPr>
            <w:tcW w:type="dxa" w:w="893"/>
            <w:shd w:val="clear" w:fill="EFF3F1"/>
          </w:tcPr>
          <w:p>
            <w:pPr>
              <w:spacing w:line="264" w:lineRule="auto"/>
              <w:jc w:val="right"/>
            </w:pPr>
            <w:r>
              <w:rPr>
                <w:b w:val="0"/>
                <w:i w:val="0"/>
                <w:sz w:val="18"/>
              </w:rPr>
              <w:t>1,092</w:t>
            </w:r>
          </w:p>
        </w:tc>
        <w:tc>
          <w:tcPr>
            <w:tcW w:type="dxa" w:w="893"/>
            <w:shd w:val="clear" w:fill="EFF3F1"/>
          </w:tcPr>
          <w:p>
            <w:pPr>
              <w:spacing w:line="264" w:lineRule="auto"/>
              <w:jc w:val="right"/>
            </w:pPr>
            <w:r>
              <w:rPr>
                <w:b w:val="0"/>
                <w:i w:val="0"/>
                <w:sz w:val="18"/>
              </w:rPr>
              <w:t>1,201</w:t>
            </w:r>
          </w:p>
        </w:tc>
        <w:tc>
          <w:tcPr>
            <w:tcW w:type="dxa" w:w="893"/>
            <w:shd w:val="clear" w:fill="EFF3F1"/>
          </w:tcPr>
          <w:p>
            <w:pPr>
              <w:spacing w:line="264" w:lineRule="auto"/>
              <w:jc w:val="right"/>
            </w:pPr>
            <w:r>
              <w:rPr>
                <w:b w:val="0"/>
                <w:i w:val="0"/>
                <w:sz w:val="18"/>
              </w:rPr>
              <w:t>1,310</w:t>
            </w:r>
          </w:p>
        </w:tc>
      </w:tr>
      <w:tr>
        <w:tc>
          <w:tcPr>
            <w:tcW w:type="dxa" w:w="2736"/>
          </w:tcPr>
          <w:p>
            <w:pPr>
              <w:spacing w:line="264" w:lineRule="auto"/>
            </w:pPr>
            <w:r>
              <w:rPr>
                <w:b w:val="0"/>
                <w:i w:val="0"/>
                <w:color w:val="1C3A36"/>
                <w:sz w:val="18"/>
              </w:rPr>
              <w:t>- Increase in NWC</w:t>
            </w:r>
          </w:p>
        </w:tc>
        <w:tc>
          <w:tcPr>
            <w:tcW w:type="dxa" w:w="893"/>
          </w:tcPr>
          <w:p>
            <w:pPr>
              <w:spacing w:line="264" w:lineRule="auto"/>
              <w:jc w:val="right"/>
            </w:pPr>
            <w:r>
              <w:rPr>
                <w:b w:val="0"/>
                <w:i w:val="0"/>
                <w:sz w:val="18"/>
              </w:rPr>
              <w:t>0</w:t>
            </w:r>
          </w:p>
        </w:tc>
        <w:tc>
          <w:tcPr>
            <w:tcW w:type="dxa" w:w="893"/>
          </w:tcPr>
          <w:p>
            <w:pPr>
              <w:spacing w:line="264" w:lineRule="auto"/>
              <w:jc w:val="right"/>
            </w:pPr>
            <w:r>
              <w:rPr>
                <w:b w:val="0"/>
                <w:i w:val="0"/>
                <w:sz w:val="18"/>
              </w:rPr>
              <w:t>-1,850</w:t>
            </w:r>
          </w:p>
        </w:tc>
        <w:tc>
          <w:tcPr>
            <w:tcW w:type="dxa" w:w="893"/>
          </w:tcPr>
          <w:p>
            <w:pPr>
              <w:spacing w:line="264" w:lineRule="auto"/>
              <w:jc w:val="right"/>
            </w:pPr>
            <w:r>
              <w:rPr>
                <w:b w:val="0"/>
                <w:i w:val="0"/>
                <w:sz w:val="18"/>
              </w:rPr>
              <w:t>-650</w:t>
            </w:r>
          </w:p>
        </w:tc>
        <w:tc>
          <w:tcPr>
            <w:tcW w:type="dxa" w:w="893"/>
          </w:tcPr>
          <w:p>
            <w:pPr>
              <w:spacing w:line="264" w:lineRule="auto"/>
              <w:jc w:val="right"/>
            </w:pPr>
            <w:r>
              <w:rPr>
                <w:b w:val="0"/>
                <w:i w:val="0"/>
                <w:sz w:val="18"/>
              </w:rPr>
              <w:t>-899</w:t>
            </w:r>
          </w:p>
        </w:tc>
        <w:tc>
          <w:tcPr>
            <w:tcW w:type="dxa" w:w="893"/>
          </w:tcPr>
          <w:p>
            <w:pPr>
              <w:spacing w:line="264" w:lineRule="auto"/>
              <w:jc w:val="right"/>
            </w:pPr>
            <w:r>
              <w:rPr>
                <w:b w:val="0"/>
                <w:i w:val="0"/>
                <w:sz w:val="18"/>
              </w:rPr>
              <w:t>-918</w:t>
            </w:r>
          </w:p>
        </w:tc>
        <w:tc>
          <w:tcPr>
            <w:tcW w:type="dxa" w:w="893"/>
          </w:tcPr>
          <w:p>
            <w:pPr>
              <w:spacing w:line="264" w:lineRule="auto"/>
              <w:jc w:val="right"/>
            </w:pPr>
            <w:r>
              <w:rPr>
                <w:b w:val="0"/>
                <w:i w:val="0"/>
                <w:sz w:val="18"/>
              </w:rPr>
              <w:t>-927</w:t>
            </w:r>
          </w:p>
        </w:tc>
        <w:tc>
          <w:tcPr>
            <w:tcW w:type="dxa" w:w="893"/>
          </w:tcPr>
          <w:p>
            <w:pPr>
              <w:spacing w:line="264" w:lineRule="auto"/>
              <w:jc w:val="right"/>
            </w:pPr>
            <w:r>
              <w:rPr>
                <w:b w:val="0"/>
                <w:i w:val="0"/>
                <w:sz w:val="18"/>
              </w:rPr>
              <w:t>-1,019</w:t>
            </w:r>
          </w:p>
        </w:tc>
        <w:tc>
          <w:tcPr>
            <w:tcW w:type="dxa" w:w="893"/>
          </w:tcPr>
          <w:p>
            <w:pPr>
              <w:spacing w:line="264" w:lineRule="auto"/>
              <w:jc w:val="right"/>
            </w:pPr>
            <w:r>
              <w:rPr>
                <w:b w:val="0"/>
                <w:i w:val="0"/>
                <w:sz w:val="18"/>
              </w:rPr>
              <w:t>-1,009</w:t>
            </w:r>
          </w:p>
        </w:tc>
      </w:tr>
      <w:tr>
        <w:tc>
          <w:tcPr>
            <w:tcW w:type="dxa" w:w="2736"/>
            <w:shd w:val="clear" w:fill="EFF3F1"/>
          </w:tcPr>
          <w:p>
            <w:pPr>
              <w:spacing w:line="264" w:lineRule="auto"/>
            </w:pPr>
            <w:r>
              <w:rPr>
                <w:b w:val="0"/>
                <w:i w:val="0"/>
                <w:color w:val="1C3A36"/>
                <w:sz w:val="18"/>
              </w:rPr>
              <w:t>Cash from operations</w:t>
            </w:r>
          </w:p>
        </w:tc>
        <w:tc>
          <w:tcPr>
            <w:tcW w:type="dxa" w:w="893"/>
            <w:shd w:val="clear" w:fill="EFF3F1"/>
          </w:tcPr>
          <w:p>
            <w:pPr>
              <w:spacing w:line="264" w:lineRule="auto"/>
              <w:jc w:val="right"/>
            </w:pPr>
            <w:r>
              <w:rPr>
                <w:b w:val="0"/>
                <w:i w:val="0"/>
                <w:sz w:val="18"/>
              </w:rPr>
              <w:t>2,390</w:t>
            </w:r>
          </w:p>
        </w:tc>
        <w:tc>
          <w:tcPr>
            <w:tcW w:type="dxa" w:w="893"/>
            <w:shd w:val="clear" w:fill="EFF3F1"/>
          </w:tcPr>
          <w:p>
            <w:pPr>
              <w:spacing w:line="264" w:lineRule="auto"/>
              <w:jc w:val="right"/>
            </w:pPr>
            <w:r>
              <w:rPr>
                <w:b w:val="0"/>
                <w:i w:val="0"/>
                <w:sz w:val="18"/>
              </w:rPr>
              <w:t>1,042</w:t>
            </w:r>
          </w:p>
        </w:tc>
        <w:tc>
          <w:tcPr>
            <w:tcW w:type="dxa" w:w="893"/>
            <w:shd w:val="clear" w:fill="EFF3F1"/>
          </w:tcPr>
          <w:p>
            <w:pPr>
              <w:spacing w:line="264" w:lineRule="auto"/>
              <w:jc w:val="right"/>
            </w:pPr>
            <w:r>
              <w:rPr>
                <w:b w:val="0"/>
                <w:i w:val="0"/>
                <w:sz w:val="18"/>
              </w:rPr>
              <w:t>2,289</w:t>
            </w:r>
          </w:p>
        </w:tc>
        <w:tc>
          <w:tcPr>
            <w:tcW w:type="dxa" w:w="893"/>
            <w:shd w:val="clear" w:fill="EFF3F1"/>
          </w:tcPr>
          <w:p>
            <w:pPr>
              <w:spacing w:line="264" w:lineRule="auto"/>
              <w:jc w:val="right"/>
            </w:pPr>
            <w:r>
              <w:rPr>
                <w:b w:val="0"/>
                <w:i w:val="0"/>
                <w:sz w:val="18"/>
              </w:rPr>
              <w:t>2,469</w:t>
            </w:r>
          </w:p>
        </w:tc>
        <w:tc>
          <w:tcPr>
            <w:tcW w:type="dxa" w:w="893"/>
            <w:shd w:val="clear" w:fill="EFF3F1"/>
          </w:tcPr>
          <w:p>
            <w:pPr>
              <w:spacing w:line="264" w:lineRule="auto"/>
              <w:jc w:val="right"/>
            </w:pPr>
            <w:r>
              <w:rPr>
                <w:b w:val="0"/>
                <w:i w:val="0"/>
                <w:sz w:val="18"/>
              </w:rPr>
              <w:t>2,784</w:t>
            </w:r>
          </w:p>
        </w:tc>
        <w:tc>
          <w:tcPr>
            <w:tcW w:type="dxa" w:w="893"/>
            <w:shd w:val="clear" w:fill="EFF3F1"/>
          </w:tcPr>
          <w:p>
            <w:pPr>
              <w:spacing w:line="264" w:lineRule="auto"/>
              <w:jc w:val="right"/>
            </w:pPr>
            <w:r>
              <w:rPr>
                <w:b w:val="0"/>
                <w:i w:val="0"/>
                <w:sz w:val="18"/>
              </w:rPr>
              <w:t>3,101</w:t>
            </w:r>
          </w:p>
        </w:tc>
        <w:tc>
          <w:tcPr>
            <w:tcW w:type="dxa" w:w="893"/>
            <w:shd w:val="clear" w:fill="EFF3F1"/>
          </w:tcPr>
          <w:p>
            <w:pPr>
              <w:spacing w:line="264" w:lineRule="auto"/>
              <w:jc w:val="right"/>
            </w:pPr>
            <w:r>
              <w:rPr>
                <w:b w:val="0"/>
                <w:i w:val="0"/>
                <w:sz w:val="18"/>
              </w:rPr>
              <w:t>3,411</w:t>
            </w:r>
          </w:p>
        </w:tc>
        <w:tc>
          <w:tcPr>
            <w:tcW w:type="dxa" w:w="893"/>
            <w:shd w:val="clear" w:fill="EFF3F1"/>
          </w:tcPr>
          <w:p>
            <w:pPr>
              <w:spacing w:line="264" w:lineRule="auto"/>
              <w:jc w:val="right"/>
            </w:pPr>
            <w:r>
              <w:rPr>
                <w:b w:val="0"/>
                <w:i w:val="0"/>
                <w:sz w:val="18"/>
              </w:rPr>
              <w:t>3,831</w:t>
            </w:r>
          </w:p>
        </w:tc>
      </w:tr>
      <w:tr>
        <w:tc>
          <w:tcPr>
            <w:tcW w:type="dxa" w:w="2736"/>
          </w:tcPr>
          <w:p>
            <w:pPr>
              <w:spacing w:line="264" w:lineRule="auto"/>
            </w:pPr>
            <w:r>
              <w:rPr>
                <w:b w:val="0"/>
                <w:i w:val="0"/>
                <w:color w:val="1C3A36"/>
                <w:sz w:val="18"/>
              </w:rPr>
              <w:t>- Capex</w:t>
            </w:r>
          </w:p>
        </w:tc>
        <w:tc>
          <w:tcPr>
            <w:tcW w:type="dxa" w:w="893"/>
          </w:tcPr>
          <w:p>
            <w:pPr>
              <w:spacing w:line="264" w:lineRule="auto"/>
              <w:jc w:val="right"/>
            </w:pPr>
            <w:r>
              <w:rPr>
                <w:b w:val="0"/>
                <w:i w:val="0"/>
                <w:sz w:val="18"/>
              </w:rPr>
              <w:t>-620</w:t>
            </w:r>
          </w:p>
        </w:tc>
        <w:tc>
          <w:tcPr>
            <w:tcW w:type="dxa" w:w="893"/>
          </w:tcPr>
          <w:p>
            <w:pPr>
              <w:spacing w:line="264" w:lineRule="auto"/>
              <w:jc w:val="right"/>
            </w:pPr>
            <w:r>
              <w:rPr>
                <w:b w:val="0"/>
                <w:i w:val="0"/>
                <w:sz w:val="18"/>
              </w:rPr>
              <w:t>-780</w:t>
            </w:r>
          </w:p>
        </w:tc>
        <w:tc>
          <w:tcPr>
            <w:tcW w:type="dxa" w:w="893"/>
          </w:tcPr>
          <w:p>
            <w:pPr>
              <w:spacing w:line="264" w:lineRule="auto"/>
              <w:jc w:val="right"/>
            </w:pPr>
            <w:r>
              <w:rPr>
                <w:b w:val="0"/>
                <w:i w:val="0"/>
                <w:sz w:val="18"/>
              </w:rPr>
              <w:t>-900</w:t>
            </w:r>
          </w:p>
        </w:tc>
        <w:tc>
          <w:tcPr>
            <w:tcW w:type="dxa" w:w="893"/>
          </w:tcPr>
          <w:p>
            <w:pPr>
              <w:spacing w:line="264" w:lineRule="auto"/>
              <w:jc w:val="right"/>
            </w:pPr>
            <w:r>
              <w:rPr>
                <w:b w:val="0"/>
                <w:i w:val="0"/>
                <w:sz w:val="18"/>
              </w:rPr>
              <w:t>-1,044</w:t>
            </w:r>
          </w:p>
        </w:tc>
        <w:tc>
          <w:tcPr>
            <w:tcW w:type="dxa" w:w="893"/>
          </w:tcPr>
          <w:p>
            <w:pPr>
              <w:spacing w:line="264" w:lineRule="auto"/>
              <w:jc w:val="right"/>
            </w:pPr>
            <w:r>
              <w:rPr>
                <w:b w:val="0"/>
                <w:i w:val="0"/>
                <w:sz w:val="18"/>
              </w:rPr>
              <w:t>-1,158</w:t>
            </w:r>
          </w:p>
        </w:tc>
        <w:tc>
          <w:tcPr>
            <w:tcW w:type="dxa" w:w="893"/>
          </w:tcPr>
          <w:p>
            <w:pPr>
              <w:spacing w:line="264" w:lineRule="auto"/>
              <w:jc w:val="right"/>
            </w:pPr>
            <w:r>
              <w:rPr>
                <w:b w:val="0"/>
                <w:i w:val="0"/>
                <w:sz w:val="18"/>
              </w:rPr>
              <w:t>-1,274</w:t>
            </w:r>
          </w:p>
        </w:tc>
        <w:tc>
          <w:tcPr>
            <w:tcW w:type="dxa" w:w="893"/>
          </w:tcPr>
          <w:p>
            <w:pPr>
              <w:spacing w:line="264" w:lineRule="auto"/>
              <w:jc w:val="right"/>
            </w:pPr>
            <w:r>
              <w:rPr>
                <w:b w:val="0"/>
                <w:i w:val="0"/>
                <w:sz w:val="18"/>
              </w:rPr>
              <w:t>-1,402</w:t>
            </w:r>
          </w:p>
        </w:tc>
        <w:tc>
          <w:tcPr>
            <w:tcW w:type="dxa" w:w="893"/>
          </w:tcPr>
          <w:p>
            <w:pPr>
              <w:spacing w:line="264" w:lineRule="auto"/>
              <w:jc w:val="right"/>
            </w:pPr>
            <w:r>
              <w:rPr>
                <w:b w:val="0"/>
                <w:i w:val="0"/>
                <w:sz w:val="18"/>
              </w:rPr>
              <w:t>-1,528</w:t>
            </w:r>
          </w:p>
        </w:tc>
      </w:tr>
      <w:tr>
        <w:tc>
          <w:tcPr>
            <w:tcW w:type="dxa" w:w="2736"/>
            <w:shd w:val="clear" w:fill="EFF3F1"/>
          </w:tcPr>
          <w:p>
            <w:pPr>
              <w:spacing w:line="264" w:lineRule="auto"/>
            </w:pPr>
            <w:r>
              <w:rPr>
                <w:b w:val="0"/>
                <w:i w:val="0"/>
                <w:color w:val="1C3A36"/>
                <w:sz w:val="18"/>
              </w:rPr>
              <w:t>- Dividends paid</w:t>
            </w:r>
          </w:p>
        </w:tc>
        <w:tc>
          <w:tcPr>
            <w:tcW w:type="dxa" w:w="893"/>
            <w:shd w:val="clear" w:fill="EFF3F1"/>
          </w:tcPr>
          <w:p>
            <w:pPr>
              <w:spacing w:line="264" w:lineRule="auto"/>
              <w:jc w:val="right"/>
            </w:pPr>
            <w:r>
              <w:rPr>
                <w:b w:val="0"/>
                <w:i w:val="0"/>
                <w:sz w:val="18"/>
              </w:rPr>
              <w:t>-558</w:t>
            </w:r>
          </w:p>
        </w:tc>
        <w:tc>
          <w:tcPr>
            <w:tcW w:type="dxa" w:w="893"/>
            <w:shd w:val="clear" w:fill="EFF3F1"/>
          </w:tcPr>
          <w:p>
            <w:pPr>
              <w:spacing w:line="264" w:lineRule="auto"/>
              <w:jc w:val="right"/>
            </w:pPr>
            <w:r>
              <w:rPr>
                <w:b w:val="0"/>
                <w:i w:val="0"/>
                <w:sz w:val="18"/>
              </w:rPr>
              <w:t>-1,060</w:t>
            </w:r>
          </w:p>
        </w:tc>
        <w:tc>
          <w:tcPr>
            <w:tcW w:type="dxa" w:w="893"/>
            <w:shd w:val="clear" w:fill="EFF3F1"/>
          </w:tcPr>
          <w:p>
            <w:pPr>
              <w:spacing w:line="264" w:lineRule="auto"/>
              <w:jc w:val="right"/>
            </w:pPr>
            <w:r>
              <w:rPr>
                <w:b w:val="0"/>
                <w:i w:val="0"/>
                <w:sz w:val="18"/>
              </w:rPr>
              <w:t>-998</w:t>
            </w:r>
          </w:p>
        </w:tc>
        <w:tc>
          <w:tcPr>
            <w:tcW w:type="dxa" w:w="893"/>
            <w:shd w:val="clear" w:fill="EFF3F1"/>
          </w:tcPr>
          <w:p>
            <w:pPr>
              <w:spacing w:line="264" w:lineRule="auto"/>
              <w:jc w:val="right"/>
            </w:pPr>
            <w:r>
              <w:rPr>
                <w:b w:val="0"/>
                <w:i w:val="0"/>
                <w:sz w:val="18"/>
              </w:rPr>
              <w:t>-998</w:t>
            </w:r>
          </w:p>
        </w:tc>
        <w:tc>
          <w:tcPr>
            <w:tcW w:type="dxa" w:w="893"/>
            <w:shd w:val="clear" w:fill="EFF3F1"/>
          </w:tcPr>
          <w:p>
            <w:pPr>
              <w:spacing w:line="264" w:lineRule="auto"/>
              <w:jc w:val="right"/>
            </w:pPr>
            <w:r>
              <w:rPr>
                <w:b w:val="0"/>
                <w:i w:val="0"/>
                <w:sz w:val="18"/>
              </w:rPr>
              <w:t>-998</w:t>
            </w:r>
          </w:p>
        </w:tc>
        <w:tc>
          <w:tcPr>
            <w:tcW w:type="dxa" w:w="893"/>
            <w:shd w:val="clear" w:fill="EFF3F1"/>
          </w:tcPr>
          <w:p>
            <w:pPr>
              <w:spacing w:line="264" w:lineRule="auto"/>
              <w:jc w:val="right"/>
            </w:pPr>
            <w:r>
              <w:rPr>
                <w:b w:val="0"/>
                <w:i w:val="0"/>
                <w:sz w:val="18"/>
              </w:rPr>
              <w:t>-998</w:t>
            </w:r>
          </w:p>
        </w:tc>
        <w:tc>
          <w:tcPr>
            <w:tcW w:type="dxa" w:w="893"/>
            <w:shd w:val="clear" w:fill="EFF3F1"/>
          </w:tcPr>
          <w:p>
            <w:pPr>
              <w:spacing w:line="264" w:lineRule="auto"/>
              <w:jc w:val="right"/>
            </w:pPr>
            <w:r>
              <w:rPr>
                <w:b w:val="0"/>
                <w:i w:val="0"/>
                <w:sz w:val="18"/>
              </w:rPr>
              <w:t>-998</w:t>
            </w:r>
          </w:p>
        </w:tc>
        <w:tc>
          <w:tcPr>
            <w:tcW w:type="dxa" w:w="893"/>
            <w:shd w:val="clear" w:fill="EFF3F1"/>
          </w:tcPr>
          <w:p>
            <w:pPr>
              <w:spacing w:line="264" w:lineRule="auto"/>
              <w:jc w:val="right"/>
            </w:pPr>
            <w:r>
              <w:rPr>
                <w:b w:val="0"/>
                <w:i w:val="0"/>
                <w:sz w:val="18"/>
              </w:rPr>
              <w:t>-998</w:t>
            </w:r>
          </w:p>
        </w:tc>
      </w:tr>
      <w:tr>
        <w:tc>
          <w:tcPr>
            <w:tcW w:type="dxa" w:w="2736"/>
          </w:tcPr>
          <w:p>
            <w:pPr>
              <w:spacing w:line="264" w:lineRule="auto"/>
            </w:pPr>
            <w:r>
              <w:rPr>
                <w:b w:val="0"/>
                <w:i w:val="0"/>
                <w:color w:val="1C3A36"/>
                <w:sz w:val="18"/>
              </w:rPr>
              <w:t>Net change in cash</w:t>
            </w:r>
          </w:p>
        </w:tc>
        <w:tc>
          <w:tcPr>
            <w:tcW w:type="dxa" w:w="893"/>
          </w:tcPr>
          <w:p>
            <w:pPr>
              <w:spacing w:line="264" w:lineRule="auto"/>
              <w:jc w:val="right"/>
            </w:pPr>
            <w:r>
              <w:rPr>
                <w:b w:val="0"/>
                <w:i w:val="0"/>
                <w:sz w:val="18"/>
              </w:rPr>
              <w:t>1,212</w:t>
            </w:r>
          </w:p>
        </w:tc>
        <w:tc>
          <w:tcPr>
            <w:tcW w:type="dxa" w:w="893"/>
          </w:tcPr>
          <w:p>
            <w:pPr>
              <w:spacing w:line="264" w:lineRule="auto"/>
              <w:jc w:val="right"/>
            </w:pPr>
            <w:r>
              <w:rPr>
                <w:b w:val="0"/>
                <w:i w:val="0"/>
                <w:sz w:val="18"/>
              </w:rPr>
              <w:t>-798</w:t>
            </w:r>
          </w:p>
        </w:tc>
        <w:tc>
          <w:tcPr>
            <w:tcW w:type="dxa" w:w="893"/>
          </w:tcPr>
          <w:p>
            <w:pPr>
              <w:spacing w:line="264" w:lineRule="auto"/>
              <w:jc w:val="right"/>
            </w:pPr>
            <w:r>
              <w:rPr>
                <w:b w:val="0"/>
                <w:i w:val="0"/>
                <w:sz w:val="18"/>
              </w:rPr>
              <w:t>391</w:t>
            </w:r>
          </w:p>
        </w:tc>
        <w:tc>
          <w:tcPr>
            <w:tcW w:type="dxa" w:w="893"/>
          </w:tcPr>
          <w:p>
            <w:pPr>
              <w:spacing w:line="264" w:lineRule="auto"/>
              <w:jc w:val="right"/>
            </w:pPr>
            <w:r>
              <w:rPr>
                <w:b w:val="0"/>
                <w:i w:val="0"/>
                <w:sz w:val="18"/>
              </w:rPr>
              <w:t>427</w:t>
            </w:r>
          </w:p>
        </w:tc>
        <w:tc>
          <w:tcPr>
            <w:tcW w:type="dxa" w:w="893"/>
          </w:tcPr>
          <w:p>
            <w:pPr>
              <w:spacing w:line="264" w:lineRule="auto"/>
              <w:jc w:val="right"/>
            </w:pPr>
            <w:r>
              <w:rPr>
                <w:b w:val="0"/>
                <w:i w:val="0"/>
                <w:sz w:val="18"/>
              </w:rPr>
              <w:t>628</w:t>
            </w:r>
          </w:p>
        </w:tc>
        <w:tc>
          <w:tcPr>
            <w:tcW w:type="dxa" w:w="893"/>
          </w:tcPr>
          <w:p>
            <w:pPr>
              <w:spacing w:line="264" w:lineRule="auto"/>
              <w:jc w:val="right"/>
            </w:pPr>
            <w:r>
              <w:rPr>
                <w:b w:val="0"/>
                <w:i w:val="0"/>
                <w:sz w:val="18"/>
              </w:rPr>
              <w:t>829</w:t>
            </w:r>
          </w:p>
        </w:tc>
        <w:tc>
          <w:tcPr>
            <w:tcW w:type="dxa" w:w="893"/>
          </w:tcPr>
          <w:p>
            <w:pPr>
              <w:spacing w:line="264" w:lineRule="auto"/>
              <w:jc w:val="right"/>
            </w:pPr>
            <w:r>
              <w:rPr>
                <w:b w:val="0"/>
                <w:i w:val="0"/>
                <w:sz w:val="18"/>
              </w:rPr>
              <w:t>1,011</w:t>
            </w:r>
          </w:p>
        </w:tc>
        <w:tc>
          <w:tcPr>
            <w:tcW w:type="dxa" w:w="893"/>
          </w:tcPr>
          <w:p>
            <w:pPr>
              <w:spacing w:line="264" w:lineRule="auto"/>
              <w:jc w:val="right"/>
            </w:pPr>
            <w:r>
              <w:rPr>
                <w:b w:val="0"/>
                <w:i w:val="0"/>
                <w:sz w:val="18"/>
              </w:rPr>
              <w:t>1,305</w:t>
            </w:r>
          </w:p>
        </w:tc>
      </w:tr>
    </w:tbl>
    <w:p>
      <w:pPr>
        <w:spacing w:after="40"/>
      </w:pPr>
    </w:p>
    <w:p>
      <w:pPr>
        <w:spacing w:before="160" w:after="120" w:line="264" w:lineRule="auto"/>
      </w:pPr>
      <w:r>
        <w:rPr>
          <w:b/>
          <w:i w:val="0"/>
          <w:color w:val="1C3A36"/>
          <w:sz w:val="24"/>
        </w:rPr>
        <w:t>A.4  Discounted cash flow (5-year forecast)</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2736"/>
            <w:shd w:val="clear" w:fill="1C3A36"/>
          </w:tcPr>
          <w:p>
            <w:pPr>
              <w:spacing w:line="264" w:lineRule="auto"/>
            </w:pPr>
            <w:r>
              <w:rPr>
                <w:b/>
                <w:i w:val="0"/>
                <w:color w:val="FFFFFF"/>
                <w:sz w:val="18"/>
              </w:rPr>
              <w:t>Line</w:t>
            </w:r>
          </w:p>
        </w:tc>
        <w:tc>
          <w:tcPr>
            <w:tcW w:type="dxa" w:w="1440"/>
            <w:shd w:val="clear" w:fill="1C3A36"/>
          </w:tcPr>
          <w:p>
            <w:pPr>
              <w:spacing w:line="264" w:lineRule="auto"/>
              <w:jc w:val="right"/>
            </w:pPr>
            <w:r>
              <w:rPr>
                <w:b/>
                <w:i w:val="0"/>
                <w:color w:val="FFFFFF"/>
                <w:sz w:val="18"/>
              </w:rPr>
              <w:t>FY26E</w:t>
            </w:r>
          </w:p>
        </w:tc>
        <w:tc>
          <w:tcPr>
            <w:tcW w:type="dxa" w:w="1440"/>
            <w:shd w:val="clear" w:fill="1C3A36"/>
          </w:tcPr>
          <w:p>
            <w:pPr>
              <w:spacing w:line="264" w:lineRule="auto"/>
              <w:jc w:val="right"/>
            </w:pPr>
            <w:r>
              <w:rPr>
                <w:b/>
                <w:i w:val="0"/>
                <w:color w:val="FFFFFF"/>
                <w:sz w:val="18"/>
              </w:rPr>
              <w:t>FY27E</w:t>
            </w:r>
          </w:p>
        </w:tc>
        <w:tc>
          <w:tcPr>
            <w:tcW w:type="dxa" w:w="1440"/>
            <w:shd w:val="clear" w:fill="1C3A36"/>
          </w:tcPr>
          <w:p>
            <w:pPr>
              <w:spacing w:line="264" w:lineRule="auto"/>
              <w:jc w:val="right"/>
            </w:pPr>
            <w:r>
              <w:rPr>
                <w:b/>
                <w:i w:val="0"/>
                <w:color w:val="FFFFFF"/>
                <w:sz w:val="18"/>
              </w:rPr>
              <w:t>FY28E</w:t>
            </w:r>
          </w:p>
        </w:tc>
        <w:tc>
          <w:tcPr>
            <w:tcW w:type="dxa" w:w="1440"/>
            <w:shd w:val="clear" w:fill="1C3A36"/>
          </w:tcPr>
          <w:p>
            <w:pPr>
              <w:spacing w:line="264" w:lineRule="auto"/>
              <w:jc w:val="right"/>
            </w:pPr>
            <w:r>
              <w:rPr>
                <w:b/>
                <w:i w:val="0"/>
                <w:color w:val="FFFFFF"/>
                <w:sz w:val="18"/>
              </w:rPr>
              <w:t>FY29E</w:t>
            </w:r>
          </w:p>
        </w:tc>
        <w:tc>
          <w:tcPr>
            <w:tcW w:type="dxa" w:w="1440"/>
            <w:shd w:val="clear" w:fill="1C3A36"/>
          </w:tcPr>
          <w:p>
            <w:pPr>
              <w:spacing w:line="264" w:lineRule="auto"/>
              <w:jc w:val="right"/>
            </w:pPr>
            <w:r>
              <w:rPr>
                <w:b/>
                <w:i w:val="0"/>
                <w:color w:val="FFFFFF"/>
                <w:sz w:val="18"/>
              </w:rPr>
              <w:t>FY30E</w:t>
            </w:r>
          </w:p>
        </w:tc>
      </w:tr>
      <w:tr>
        <w:tc>
          <w:tcPr>
            <w:tcW w:type="dxa" w:w="2736"/>
          </w:tcPr>
          <w:p>
            <w:pPr>
              <w:spacing w:line="264" w:lineRule="auto"/>
            </w:pPr>
            <w:r>
              <w:rPr>
                <w:b w:val="0"/>
                <w:i w:val="0"/>
                <w:color w:val="1C3A36"/>
                <w:sz w:val="18"/>
              </w:rPr>
              <w:t>Net profit (attributable)</w:t>
            </w:r>
          </w:p>
        </w:tc>
        <w:tc>
          <w:tcPr>
            <w:tcW w:type="dxa" w:w="1440"/>
          </w:tcPr>
          <w:p>
            <w:pPr>
              <w:spacing w:line="264" w:lineRule="auto"/>
              <w:jc w:val="right"/>
            </w:pPr>
            <w:r>
              <w:rPr>
                <w:b w:val="0"/>
                <w:i w:val="0"/>
                <w:sz w:val="18"/>
              </w:rPr>
              <w:t>2,473</w:t>
            </w:r>
          </w:p>
        </w:tc>
        <w:tc>
          <w:tcPr>
            <w:tcW w:type="dxa" w:w="1440"/>
          </w:tcPr>
          <w:p>
            <w:pPr>
              <w:spacing w:line="264" w:lineRule="auto"/>
              <w:jc w:val="right"/>
            </w:pPr>
            <w:r>
              <w:rPr>
                <w:b w:val="0"/>
                <w:i w:val="0"/>
                <w:sz w:val="18"/>
              </w:rPr>
              <w:t>2,709</w:t>
            </w:r>
          </w:p>
        </w:tc>
        <w:tc>
          <w:tcPr>
            <w:tcW w:type="dxa" w:w="1440"/>
          </w:tcPr>
          <w:p>
            <w:pPr>
              <w:spacing w:line="264" w:lineRule="auto"/>
              <w:jc w:val="right"/>
            </w:pPr>
            <w:r>
              <w:rPr>
                <w:b w:val="0"/>
                <w:i w:val="0"/>
                <w:sz w:val="18"/>
              </w:rPr>
              <w:t>2,935</w:t>
            </w:r>
          </w:p>
        </w:tc>
        <w:tc>
          <w:tcPr>
            <w:tcW w:type="dxa" w:w="1440"/>
          </w:tcPr>
          <w:p>
            <w:pPr>
              <w:spacing w:line="264" w:lineRule="auto"/>
              <w:jc w:val="right"/>
            </w:pPr>
            <w:r>
              <w:rPr>
                <w:b w:val="0"/>
                <w:i w:val="0"/>
                <w:sz w:val="18"/>
              </w:rPr>
              <w:t>3,229</w:t>
            </w:r>
          </w:p>
        </w:tc>
        <w:tc>
          <w:tcPr>
            <w:tcW w:type="dxa" w:w="1440"/>
          </w:tcPr>
          <w:p>
            <w:pPr>
              <w:spacing w:line="264" w:lineRule="auto"/>
              <w:jc w:val="right"/>
            </w:pPr>
            <w:r>
              <w:rPr>
                <w:b w:val="0"/>
                <w:i w:val="0"/>
                <w:sz w:val="18"/>
              </w:rPr>
              <w:t>3,530</w:t>
            </w:r>
          </w:p>
        </w:tc>
      </w:tr>
      <w:tr>
        <w:tc>
          <w:tcPr>
            <w:tcW w:type="dxa" w:w="2736"/>
            <w:shd w:val="clear" w:fill="EFF3F1"/>
          </w:tcPr>
          <w:p>
            <w:pPr>
              <w:spacing w:line="264" w:lineRule="auto"/>
            </w:pPr>
            <w:r>
              <w:rPr>
                <w:b w:val="0"/>
                <w:i w:val="0"/>
                <w:color w:val="1C3A36"/>
                <w:sz w:val="18"/>
              </w:rPr>
              <w:t>+ D&amp;A</w:t>
            </w:r>
          </w:p>
        </w:tc>
        <w:tc>
          <w:tcPr>
            <w:tcW w:type="dxa" w:w="1440"/>
            <w:shd w:val="clear" w:fill="EFF3F1"/>
          </w:tcPr>
          <w:p>
            <w:pPr>
              <w:spacing w:line="264" w:lineRule="auto"/>
              <w:jc w:val="right"/>
            </w:pPr>
            <w:r>
              <w:rPr>
                <w:b w:val="0"/>
                <w:i w:val="0"/>
                <w:sz w:val="18"/>
              </w:rPr>
              <w:t>894</w:t>
            </w:r>
          </w:p>
        </w:tc>
        <w:tc>
          <w:tcPr>
            <w:tcW w:type="dxa" w:w="1440"/>
            <w:shd w:val="clear" w:fill="EFF3F1"/>
          </w:tcPr>
          <w:p>
            <w:pPr>
              <w:spacing w:line="264" w:lineRule="auto"/>
              <w:jc w:val="right"/>
            </w:pPr>
            <w:r>
              <w:rPr>
                <w:b w:val="0"/>
                <w:i w:val="0"/>
                <w:sz w:val="18"/>
              </w:rPr>
              <w:t>993</w:t>
            </w:r>
          </w:p>
        </w:tc>
        <w:tc>
          <w:tcPr>
            <w:tcW w:type="dxa" w:w="1440"/>
            <w:shd w:val="clear" w:fill="EFF3F1"/>
          </w:tcPr>
          <w:p>
            <w:pPr>
              <w:spacing w:line="264" w:lineRule="auto"/>
              <w:jc w:val="right"/>
            </w:pPr>
            <w:r>
              <w:rPr>
                <w:b w:val="0"/>
                <w:i w:val="0"/>
                <w:sz w:val="18"/>
              </w:rPr>
              <w:t>1,092</w:t>
            </w:r>
          </w:p>
        </w:tc>
        <w:tc>
          <w:tcPr>
            <w:tcW w:type="dxa" w:w="1440"/>
            <w:shd w:val="clear" w:fill="EFF3F1"/>
          </w:tcPr>
          <w:p>
            <w:pPr>
              <w:spacing w:line="264" w:lineRule="auto"/>
              <w:jc w:val="right"/>
            </w:pPr>
            <w:r>
              <w:rPr>
                <w:b w:val="0"/>
                <w:i w:val="0"/>
                <w:sz w:val="18"/>
              </w:rPr>
              <w:t>1,201</w:t>
            </w:r>
          </w:p>
        </w:tc>
        <w:tc>
          <w:tcPr>
            <w:tcW w:type="dxa" w:w="1440"/>
            <w:shd w:val="clear" w:fill="EFF3F1"/>
          </w:tcPr>
          <w:p>
            <w:pPr>
              <w:spacing w:line="264" w:lineRule="auto"/>
              <w:jc w:val="right"/>
            </w:pPr>
            <w:r>
              <w:rPr>
                <w:b w:val="0"/>
                <w:i w:val="0"/>
                <w:sz w:val="18"/>
              </w:rPr>
              <w:t>1,310</w:t>
            </w:r>
          </w:p>
        </w:tc>
      </w:tr>
      <w:tr>
        <w:tc>
          <w:tcPr>
            <w:tcW w:type="dxa" w:w="2736"/>
          </w:tcPr>
          <w:p>
            <w:pPr>
              <w:spacing w:line="264" w:lineRule="auto"/>
            </w:pPr>
            <w:r>
              <w:rPr>
                <w:b w:val="0"/>
                <w:i w:val="0"/>
                <w:color w:val="1C3A36"/>
                <w:sz w:val="18"/>
              </w:rPr>
              <w:t>- Capex</w:t>
            </w:r>
          </w:p>
        </w:tc>
        <w:tc>
          <w:tcPr>
            <w:tcW w:type="dxa" w:w="1440"/>
          </w:tcPr>
          <w:p>
            <w:pPr>
              <w:spacing w:line="264" w:lineRule="auto"/>
              <w:jc w:val="right"/>
            </w:pPr>
            <w:r>
              <w:rPr>
                <w:b w:val="0"/>
                <w:i w:val="0"/>
                <w:sz w:val="18"/>
              </w:rPr>
              <w:t>-1,044</w:t>
            </w:r>
          </w:p>
        </w:tc>
        <w:tc>
          <w:tcPr>
            <w:tcW w:type="dxa" w:w="1440"/>
          </w:tcPr>
          <w:p>
            <w:pPr>
              <w:spacing w:line="264" w:lineRule="auto"/>
              <w:jc w:val="right"/>
            </w:pPr>
            <w:r>
              <w:rPr>
                <w:b w:val="0"/>
                <w:i w:val="0"/>
                <w:sz w:val="18"/>
              </w:rPr>
              <w:t>-1,158</w:t>
            </w:r>
          </w:p>
        </w:tc>
        <w:tc>
          <w:tcPr>
            <w:tcW w:type="dxa" w:w="1440"/>
          </w:tcPr>
          <w:p>
            <w:pPr>
              <w:spacing w:line="264" w:lineRule="auto"/>
              <w:jc w:val="right"/>
            </w:pPr>
            <w:r>
              <w:rPr>
                <w:b w:val="0"/>
                <w:i w:val="0"/>
                <w:sz w:val="18"/>
              </w:rPr>
              <w:t>-1,274</w:t>
            </w:r>
          </w:p>
        </w:tc>
        <w:tc>
          <w:tcPr>
            <w:tcW w:type="dxa" w:w="1440"/>
          </w:tcPr>
          <w:p>
            <w:pPr>
              <w:spacing w:line="264" w:lineRule="auto"/>
              <w:jc w:val="right"/>
            </w:pPr>
            <w:r>
              <w:rPr>
                <w:b w:val="0"/>
                <w:i w:val="0"/>
                <w:sz w:val="18"/>
              </w:rPr>
              <w:t>-1,402</w:t>
            </w:r>
          </w:p>
        </w:tc>
        <w:tc>
          <w:tcPr>
            <w:tcW w:type="dxa" w:w="1440"/>
          </w:tcPr>
          <w:p>
            <w:pPr>
              <w:spacing w:line="264" w:lineRule="auto"/>
              <w:jc w:val="right"/>
            </w:pPr>
            <w:r>
              <w:rPr>
                <w:b w:val="0"/>
                <w:i w:val="0"/>
                <w:sz w:val="18"/>
              </w:rPr>
              <w:t>-1,528</w:t>
            </w:r>
          </w:p>
        </w:tc>
      </w:tr>
      <w:tr>
        <w:tc>
          <w:tcPr>
            <w:tcW w:type="dxa" w:w="2736"/>
            <w:shd w:val="clear" w:fill="EFF3F1"/>
          </w:tcPr>
          <w:p>
            <w:pPr>
              <w:spacing w:line="264" w:lineRule="auto"/>
            </w:pPr>
            <w:r>
              <w:rPr>
                <w:b w:val="0"/>
                <w:i w:val="0"/>
                <w:color w:val="1C3A36"/>
                <w:sz w:val="18"/>
              </w:rPr>
              <w:t>- Increase in net WC</w:t>
            </w:r>
          </w:p>
        </w:tc>
        <w:tc>
          <w:tcPr>
            <w:tcW w:type="dxa" w:w="1440"/>
            <w:shd w:val="clear" w:fill="EFF3F1"/>
          </w:tcPr>
          <w:p>
            <w:pPr>
              <w:spacing w:line="264" w:lineRule="auto"/>
              <w:jc w:val="right"/>
            </w:pPr>
            <w:r>
              <w:rPr>
                <w:b w:val="0"/>
                <w:i w:val="0"/>
                <w:sz w:val="18"/>
              </w:rPr>
              <w:t>-899</w:t>
            </w:r>
          </w:p>
        </w:tc>
        <w:tc>
          <w:tcPr>
            <w:tcW w:type="dxa" w:w="1440"/>
            <w:shd w:val="clear" w:fill="EFF3F1"/>
          </w:tcPr>
          <w:p>
            <w:pPr>
              <w:spacing w:line="264" w:lineRule="auto"/>
              <w:jc w:val="right"/>
            </w:pPr>
            <w:r>
              <w:rPr>
                <w:b w:val="0"/>
                <w:i w:val="0"/>
                <w:sz w:val="18"/>
              </w:rPr>
              <w:t>-918</w:t>
            </w:r>
          </w:p>
        </w:tc>
        <w:tc>
          <w:tcPr>
            <w:tcW w:type="dxa" w:w="1440"/>
            <w:shd w:val="clear" w:fill="EFF3F1"/>
          </w:tcPr>
          <w:p>
            <w:pPr>
              <w:spacing w:line="264" w:lineRule="auto"/>
              <w:jc w:val="right"/>
            </w:pPr>
            <w:r>
              <w:rPr>
                <w:b w:val="0"/>
                <w:i w:val="0"/>
                <w:sz w:val="18"/>
              </w:rPr>
              <w:t>-927</w:t>
            </w:r>
          </w:p>
        </w:tc>
        <w:tc>
          <w:tcPr>
            <w:tcW w:type="dxa" w:w="1440"/>
            <w:shd w:val="clear" w:fill="EFF3F1"/>
          </w:tcPr>
          <w:p>
            <w:pPr>
              <w:spacing w:line="264" w:lineRule="auto"/>
              <w:jc w:val="right"/>
            </w:pPr>
            <w:r>
              <w:rPr>
                <w:b w:val="0"/>
                <w:i w:val="0"/>
                <w:sz w:val="18"/>
              </w:rPr>
              <w:t>-1,019</w:t>
            </w:r>
          </w:p>
        </w:tc>
        <w:tc>
          <w:tcPr>
            <w:tcW w:type="dxa" w:w="1440"/>
            <w:shd w:val="clear" w:fill="EFF3F1"/>
          </w:tcPr>
          <w:p>
            <w:pPr>
              <w:spacing w:line="264" w:lineRule="auto"/>
              <w:jc w:val="right"/>
            </w:pPr>
            <w:r>
              <w:rPr>
                <w:b w:val="0"/>
                <w:i w:val="0"/>
                <w:sz w:val="18"/>
              </w:rPr>
              <w:t>-1,009</w:t>
            </w:r>
          </w:p>
        </w:tc>
      </w:tr>
      <w:tr>
        <w:tc>
          <w:tcPr>
            <w:tcW w:type="dxa" w:w="2736"/>
          </w:tcPr>
          <w:p>
            <w:pPr>
              <w:spacing w:line="264" w:lineRule="auto"/>
            </w:pPr>
            <w:r>
              <w:rPr>
                <w:b w:val="0"/>
                <w:i w:val="0"/>
                <w:color w:val="1C3A36"/>
                <w:sz w:val="18"/>
              </w:rPr>
              <w:t>FCFE</w:t>
            </w:r>
          </w:p>
        </w:tc>
        <w:tc>
          <w:tcPr>
            <w:tcW w:type="dxa" w:w="1440"/>
          </w:tcPr>
          <w:p>
            <w:pPr>
              <w:spacing w:line="264" w:lineRule="auto"/>
              <w:jc w:val="right"/>
            </w:pPr>
            <w:r>
              <w:rPr>
                <w:b w:val="0"/>
                <w:i w:val="0"/>
                <w:sz w:val="18"/>
              </w:rPr>
              <w:t>1,425</w:t>
            </w:r>
          </w:p>
        </w:tc>
        <w:tc>
          <w:tcPr>
            <w:tcW w:type="dxa" w:w="1440"/>
          </w:tcPr>
          <w:p>
            <w:pPr>
              <w:spacing w:line="264" w:lineRule="auto"/>
              <w:jc w:val="right"/>
            </w:pPr>
            <w:r>
              <w:rPr>
                <w:b w:val="0"/>
                <w:i w:val="0"/>
                <w:sz w:val="18"/>
              </w:rPr>
              <w:t>1,625</w:t>
            </w:r>
          </w:p>
        </w:tc>
        <w:tc>
          <w:tcPr>
            <w:tcW w:type="dxa" w:w="1440"/>
          </w:tcPr>
          <w:p>
            <w:pPr>
              <w:spacing w:line="264" w:lineRule="auto"/>
              <w:jc w:val="right"/>
            </w:pPr>
            <w:r>
              <w:rPr>
                <w:b w:val="0"/>
                <w:i w:val="0"/>
                <w:sz w:val="18"/>
              </w:rPr>
              <w:t>1,826</w:t>
            </w:r>
          </w:p>
        </w:tc>
        <w:tc>
          <w:tcPr>
            <w:tcW w:type="dxa" w:w="1440"/>
          </w:tcPr>
          <w:p>
            <w:pPr>
              <w:spacing w:line="264" w:lineRule="auto"/>
              <w:jc w:val="right"/>
            </w:pPr>
            <w:r>
              <w:rPr>
                <w:b w:val="0"/>
                <w:i w:val="0"/>
                <w:sz w:val="18"/>
              </w:rPr>
              <w:t>2,009</w:t>
            </w:r>
          </w:p>
        </w:tc>
        <w:tc>
          <w:tcPr>
            <w:tcW w:type="dxa" w:w="1440"/>
          </w:tcPr>
          <w:p>
            <w:pPr>
              <w:spacing w:line="264" w:lineRule="auto"/>
              <w:jc w:val="right"/>
            </w:pPr>
            <w:r>
              <w:rPr>
                <w:b w:val="0"/>
                <w:i w:val="0"/>
                <w:sz w:val="18"/>
              </w:rPr>
              <w:t>2,303</w:t>
            </w:r>
          </w:p>
        </w:tc>
      </w:tr>
      <w:tr>
        <w:tc>
          <w:tcPr>
            <w:tcW w:type="dxa" w:w="2736"/>
            <w:shd w:val="clear" w:fill="EFF3F1"/>
          </w:tcPr>
          <w:p>
            <w:pPr>
              <w:spacing w:line="264" w:lineRule="auto"/>
            </w:pPr>
            <w:r>
              <w:rPr>
                <w:b w:val="0"/>
                <w:i w:val="0"/>
                <w:color w:val="1C3A36"/>
                <w:sz w:val="18"/>
              </w:rPr>
              <w:t>Discount factor</w:t>
            </w:r>
          </w:p>
        </w:tc>
        <w:tc>
          <w:tcPr>
            <w:tcW w:type="dxa" w:w="1440"/>
            <w:shd w:val="clear" w:fill="EFF3F1"/>
          </w:tcPr>
          <w:p>
            <w:pPr>
              <w:spacing w:line="264" w:lineRule="auto"/>
              <w:jc w:val="right"/>
            </w:pPr>
            <w:r>
              <w:rPr>
                <w:b w:val="0"/>
                <w:i w:val="0"/>
                <w:sz w:val="18"/>
              </w:rPr>
              <w:t>0.806</w:t>
            </w:r>
          </w:p>
        </w:tc>
        <w:tc>
          <w:tcPr>
            <w:tcW w:type="dxa" w:w="1440"/>
            <w:shd w:val="clear" w:fill="EFF3F1"/>
          </w:tcPr>
          <w:p>
            <w:pPr>
              <w:spacing w:line="264" w:lineRule="auto"/>
              <w:jc w:val="right"/>
            </w:pPr>
            <w:r>
              <w:rPr>
                <w:b w:val="0"/>
                <w:i w:val="0"/>
                <w:sz w:val="18"/>
              </w:rPr>
              <w:t>0.650</w:t>
            </w:r>
          </w:p>
        </w:tc>
        <w:tc>
          <w:tcPr>
            <w:tcW w:type="dxa" w:w="1440"/>
            <w:shd w:val="clear" w:fill="EFF3F1"/>
          </w:tcPr>
          <w:p>
            <w:pPr>
              <w:spacing w:line="264" w:lineRule="auto"/>
              <w:jc w:val="right"/>
            </w:pPr>
            <w:r>
              <w:rPr>
                <w:b w:val="0"/>
                <w:i w:val="0"/>
                <w:sz w:val="18"/>
              </w:rPr>
              <w:t>0.524</w:t>
            </w:r>
          </w:p>
        </w:tc>
        <w:tc>
          <w:tcPr>
            <w:tcW w:type="dxa" w:w="1440"/>
            <w:shd w:val="clear" w:fill="EFF3F1"/>
          </w:tcPr>
          <w:p>
            <w:pPr>
              <w:spacing w:line="264" w:lineRule="auto"/>
              <w:jc w:val="right"/>
            </w:pPr>
            <w:r>
              <w:rPr>
                <w:b w:val="0"/>
                <w:i w:val="0"/>
                <w:sz w:val="18"/>
              </w:rPr>
              <w:t>0.423</w:t>
            </w:r>
          </w:p>
        </w:tc>
        <w:tc>
          <w:tcPr>
            <w:tcW w:type="dxa" w:w="1440"/>
            <w:shd w:val="clear" w:fill="EFF3F1"/>
          </w:tcPr>
          <w:p>
            <w:pPr>
              <w:spacing w:line="264" w:lineRule="auto"/>
              <w:jc w:val="right"/>
            </w:pPr>
            <w:r>
              <w:rPr>
                <w:b w:val="0"/>
                <w:i w:val="0"/>
                <w:sz w:val="18"/>
              </w:rPr>
              <w:t>0.341</w:t>
            </w:r>
          </w:p>
        </w:tc>
      </w:tr>
      <w:tr>
        <w:tc>
          <w:tcPr>
            <w:tcW w:type="dxa" w:w="2736"/>
          </w:tcPr>
          <w:p>
            <w:pPr>
              <w:spacing w:line="264" w:lineRule="auto"/>
            </w:pPr>
            <w:r>
              <w:rPr>
                <w:b w:val="0"/>
                <w:i w:val="0"/>
                <w:color w:val="1C3A36"/>
                <w:sz w:val="18"/>
              </w:rPr>
              <w:t>PV of FCFE</w:t>
            </w:r>
          </w:p>
        </w:tc>
        <w:tc>
          <w:tcPr>
            <w:tcW w:type="dxa" w:w="1440"/>
          </w:tcPr>
          <w:p>
            <w:pPr>
              <w:spacing w:line="264" w:lineRule="auto"/>
              <w:jc w:val="right"/>
            </w:pPr>
            <w:r>
              <w:rPr>
                <w:b w:val="0"/>
                <w:i w:val="0"/>
                <w:sz w:val="18"/>
              </w:rPr>
              <w:t>1,149</w:t>
            </w:r>
          </w:p>
        </w:tc>
        <w:tc>
          <w:tcPr>
            <w:tcW w:type="dxa" w:w="1440"/>
          </w:tcPr>
          <w:p>
            <w:pPr>
              <w:spacing w:line="264" w:lineRule="auto"/>
              <w:jc w:val="right"/>
            </w:pPr>
            <w:r>
              <w:rPr>
                <w:b w:val="0"/>
                <w:i w:val="0"/>
                <w:sz w:val="18"/>
              </w:rPr>
              <w:t>1,057</w:t>
            </w:r>
          </w:p>
        </w:tc>
        <w:tc>
          <w:tcPr>
            <w:tcW w:type="dxa" w:w="1440"/>
          </w:tcPr>
          <w:p>
            <w:pPr>
              <w:spacing w:line="264" w:lineRule="auto"/>
              <w:jc w:val="right"/>
            </w:pPr>
            <w:r>
              <w:rPr>
                <w:b w:val="0"/>
                <w:i w:val="0"/>
                <w:sz w:val="18"/>
              </w:rPr>
              <w:t>958</w:t>
            </w:r>
          </w:p>
        </w:tc>
        <w:tc>
          <w:tcPr>
            <w:tcW w:type="dxa" w:w="1440"/>
          </w:tcPr>
          <w:p>
            <w:pPr>
              <w:spacing w:line="264" w:lineRule="auto"/>
              <w:jc w:val="right"/>
            </w:pPr>
            <w:r>
              <w:rPr>
                <w:b w:val="0"/>
                <w:i w:val="0"/>
                <w:sz w:val="18"/>
              </w:rPr>
              <w:t>850</w:t>
            </w:r>
          </w:p>
        </w:tc>
        <w:tc>
          <w:tcPr>
            <w:tcW w:type="dxa" w:w="1440"/>
          </w:tcPr>
          <w:p>
            <w:pPr>
              <w:spacing w:line="264" w:lineRule="auto"/>
              <w:jc w:val="right"/>
            </w:pPr>
            <w:r>
              <w:rPr>
                <w:b w:val="0"/>
                <w:i w:val="0"/>
                <w:sz w:val="18"/>
              </w:rPr>
              <w:t>786</w:t>
            </w:r>
          </w:p>
        </w:tc>
      </w:tr>
    </w:tbl>
    <w:p>
      <w:pPr>
        <w:spacing w:after="40"/>
      </w:pPr>
    </w:p>
    <w:tbl>
      <w:tblPr>
        <w:tblStyle w:val="TableGrid"/>
        <w:tblW w:type="auto" w:w="0"/>
        <w:tblLook w:firstColumn="1" w:firstRow="1" w:lastColumn="0" w:lastRow="0" w:noHBand="0" w:noVBand="1" w:val="04A0"/>
      </w:tblPr>
      <w:tblGrid>
        <w:gridCol w:w="4968"/>
        <w:gridCol w:w="4968"/>
      </w:tblGrid>
      <w:tr>
        <w:tc>
          <w:tcPr>
            <w:tcW w:type="dxa" w:w="4608"/>
            <w:shd w:val="clear" w:fill="1C3A36"/>
          </w:tcPr>
          <w:p>
            <w:pPr>
              <w:spacing w:line="264" w:lineRule="auto"/>
            </w:pPr>
            <w:r>
              <w:rPr>
                <w:b/>
                <w:i w:val="0"/>
                <w:color w:val="FFFFFF"/>
                <w:sz w:val="18"/>
              </w:rPr>
              <w:t>DCF build</w:t>
            </w:r>
          </w:p>
        </w:tc>
        <w:tc>
          <w:tcPr>
            <w:tcW w:type="dxa" w:w="2880"/>
            <w:shd w:val="clear" w:fill="1C3A36"/>
          </w:tcPr>
          <w:p>
            <w:pPr>
              <w:spacing w:line="264" w:lineRule="auto"/>
              <w:jc w:val="right"/>
            </w:pPr>
            <w:r>
              <w:rPr>
                <w:b/>
                <w:i w:val="0"/>
                <w:color w:val="FFFFFF"/>
                <w:sz w:val="18"/>
              </w:rPr>
              <w:t>Value</w:t>
            </w:r>
          </w:p>
        </w:tc>
      </w:tr>
      <w:tr>
        <w:tc>
          <w:tcPr>
            <w:tcW w:type="dxa" w:w="4608"/>
          </w:tcPr>
          <w:p>
            <w:pPr>
              <w:spacing w:line="264" w:lineRule="auto"/>
            </w:pPr>
            <w:r>
              <w:rPr>
                <w:b w:val="0"/>
                <w:i w:val="0"/>
                <w:color w:val="1C3A36"/>
                <w:sz w:val="18"/>
              </w:rPr>
              <w:t>Sum PV of explicit FCFE</w:t>
            </w:r>
          </w:p>
        </w:tc>
        <w:tc>
          <w:tcPr>
            <w:tcW w:type="dxa" w:w="2880"/>
          </w:tcPr>
          <w:p>
            <w:pPr>
              <w:spacing w:line="264" w:lineRule="auto"/>
              <w:jc w:val="right"/>
            </w:pPr>
            <w:r>
              <w:rPr>
                <w:b w:val="0"/>
                <w:i w:val="0"/>
                <w:sz w:val="18"/>
              </w:rPr>
              <w:t>4,799</w:t>
            </w:r>
          </w:p>
        </w:tc>
      </w:tr>
      <w:tr>
        <w:tc>
          <w:tcPr>
            <w:tcW w:type="dxa" w:w="4608"/>
            <w:shd w:val="clear" w:fill="EFF3F1"/>
          </w:tcPr>
          <w:p>
            <w:pPr>
              <w:spacing w:line="264" w:lineRule="auto"/>
            </w:pPr>
            <w:r>
              <w:rPr>
                <w:b w:val="0"/>
                <w:i w:val="0"/>
                <w:color w:val="1C3A36"/>
                <w:sz w:val="18"/>
              </w:rPr>
              <w:t>Terminal value (Gordon on FCFE)</w:t>
            </w:r>
          </w:p>
        </w:tc>
        <w:tc>
          <w:tcPr>
            <w:tcW w:type="dxa" w:w="2880"/>
            <w:shd w:val="clear" w:fill="EFF3F1"/>
          </w:tcPr>
          <w:p>
            <w:pPr>
              <w:spacing w:line="264" w:lineRule="auto"/>
              <w:jc w:val="right"/>
            </w:pPr>
            <w:r>
              <w:rPr>
                <w:b w:val="0"/>
                <w:i w:val="0"/>
                <w:sz w:val="18"/>
              </w:rPr>
              <w:t>19,663</w:t>
            </w:r>
          </w:p>
        </w:tc>
      </w:tr>
      <w:tr>
        <w:tc>
          <w:tcPr>
            <w:tcW w:type="dxa" w:w="4608"/>
          </w:tcPr>
          <w:p>
            <w:pPr>
              <w:spacing w:line="264" w:lineRule="auto"/>
            </w:pPr>
            <w:r>
              <w:rPr>
                <w:b w:val="0"/>
                <w:i w:val="0"/>
                <w:color w:val="1C3A36"/>
                <w:sz w:val="18"/>
              </w:rPr>
              <w:t>PV of terminal value</w:t>
            </w:r>
          </w:p>
        </w:tc>
        <w:tc>
          <w:tcPr>
            <w:tcW w:type="dxa" w:w="2880"/>
          </w:tcPr>
          <w:p>
            <w:pPr>
              <w:spacing w:line="264" w:lineRule="auto"/>
              <w:jc w:val="right"/>
            </w:pPr>
            <w:r>
              <w:rPr>
                <w:b w:val="0"/>
                <w:i w:val="0"/>
                <w:sz w:val="18"/>
              </w:rPr>
              <w:t>6,707</w:t>
            </w:r>
          </w:p>
        </w:tc>
      </w:tr>
      <w:tr>
        <w:tc>
          <w:tcPr>
            <w:tcW w:type="dxa" w:w="4608"/>
            <w:shd w:val="clear" w:fill="EFF3F1"/>
          </w:tcPr>
          <w:p>
            <w:pPr>
              <w:spacing w:line="264" w:lineRule="auto"/>
            </w:pPr>
            <w:r>
              <w:rPr>
                <w:b w:val="0"/>
                <w:i w:val="0"/>
                <w:color w:val="1C3A36"/>
                <w:sz w:val="18"/>
              </w:rPr>
              <w:t>Equity value (DCF)</w:t>
            </w:r>
          </w:p>
        </w:tc>
        <w:tc>
          <w:tcPr>
            <w:tcW w:type="dxa" w:w="2880"/>
            <w:shd w:val="clear" w:fill="EFF3F1"/>
          </w:tcPr>
          <w:p>
            <w:pPr>
              <w:spacing w:line="264" w:lineRule="auto"/>
              <w:jc w:val="right"/>
            </w:pPr>
            <w:r>
              <w:rPr>
                <w:b w:val="0"/>
                <w:i w:val="0"/>
                <w:sz w:val="18"/>
              </w:rPr>
              <w:t>11,507</w:t>
            </w:r>
          </w:p>
        </w:tc>
      </w:tr>
      <w:tr>
        <w:tc>
          <w:tcPr>
            <w:tcW w:type="dxa" w:w="4608"/>
          </w:tcPr>
          <w:p>
            <w:pPr>
              <w:spacing w:line="264" w:lineRule="auto"/>
            </w:pPr>
            <w:r>
              <w:rPr>
                <w:b/>
                <w:i w:val="0"/>
                <w:color w:val="1C3A36"/>
                <w:sz w:val="18"/>
              </w:rPr>
              <w:t>Fair value per share</w:t>
            </w:r>
          </w:p>
        </w:tc>
        <w:tc>
          <w:tcPr>
            <w:tcW w:type="dxa" w:w="2880"/>
          </w:tcPr>
          <w:p>
            <w:pPr>
              <w:spacing w:line="264" w:lineRule="auto"/>
              <w:jc w:val="right"/>
            </w:pPr>
            <w:r>
              <w:rPr>
                <w:b/>
                <w:i w:val="0"/>
                <w:sz w:val="18"/>
              </w:rPr>
              <w:t>17.30</w:t>
            </w:r>
          </w:p>
        </w:tc>
      </w:tr>
    </w:tbl>
    <w:p>
      <w:pPr>
        <w:spacing w:after="40"/>
      </w:pPr>
    </w:p>
    <w:p>
      <w:pPr>
        <w:spacing w:before="160" w:after="120" w:line="264" w:lineRule="auto"/>
      </w:pPr>
      <w:r>
        <w:rPr>
          <w:b/>
          <w:i w:val="0"/>
          <w:color w:val="1C3A36"/>
          <w:sz w:val="30"/>
        </w:rPr>
        <w:t>Appendix B  Step 0 - calibration backtest</w:t>
      </w:r>
    </w:p>
    <w:p>
      <w:pPr>
        <w:spacing w:after="120" w:line="264" w:lineRule="auto"/>
      </w:pPr>
      <w:r>
        <w:rPr>
          <w:b w:val="0"/>
          <w:i w:val="0"/>
          <w:sz w:val="21"/>
        </w:rPr>
        <w:t>Step 0 initially FLAGGED: at the default volatility the 50% band over-covered (65% vs a 50 +/-12pp tolerance) - Oriental Weavers' centre is tighter than lognormal while its tails are not. Per protocol the sigma was recalibrated: a grid over drift mode and volatility multiplier found trailing drift with kvol = 0.85 the best-balanced passing configuration, covering 59 / 82 / 82% on the 50/80/90% bands with an approximately uniform PIT - calibration passes (n = 17 quarterly windows, full 5 years).</w:t>
      </w:r>
    </w:p>
    <w:tbl>
      <w:tblPr>
        <w:tblStyle w:val="TableGrid"/>
        <w:tblW w:type="auto" w:w="0"/>
        <w:tblLook w:firstColumn="1" w:firstRow="1" w:lastColumn="0" w:lastRow="0" w:noHBand="0" w:noVBand="1" w:val="04A0"/>
      </w:tblPr>
      <w:tblGrid>
        <w:gridCol w:w="3312"/>
        <w:gridCol w:w="3312"/>
        <w:gridCol w:w="3312"/>
      </w:tblGrid>
      <w:tr>
        <w:tc>
          <w:tcPr>
            <w:tcW w:type="dxa" w:w="2880"/>
            <w:shd w:val="clear" w:fill="1C3A36"/>
          </w:tcPr>
          <w:p>
            <w:pPr>
              <w:spacing w:line="264" w:lineRule="auto"/>
            </w:pPr>
            <w:r>
              <w:rPr>
                <w:b/>
                <w:i w:val="0"/>
                <w:color w:val="FFFFFF"/>
                <w:sz w:val="18"/>
              </w:rPr>
              <w:t>Band</w:t>
            </w:r>
          </w:p>
        </w:tc>
        <w:tc>
          <w:tcPr>
            <w:tcW w:type="dxa" w:w="2880"/>
            <w:shd w:val="clear" w:fill="1C3A36"/>
          </w:tcPr>
          <w:p>
            <w:pPr>
              <w:spacing w:line="264" w:lineRule="auto"/>
              <w:jc w:val="right"/>
            </w:pPr>
            <w:r>
              <w:rPr>
                <w:b/>
                <w:i w:val="0"/>
                <w:color w:val="FFFFFF"/>
                <w:sz w:val="18"/>
              </w:rPr>
              <w:t>Target</w:t>
            </w:r>
          </w:p>
        </w:tc>
        <w:tc>
          <w:tcPr>
            <w:tcW w:type="dxa" w:w="2880"/>
            <w:shd w:val="clear" w:fill="1C3A36"/>
          </w:tcPr>
          <w:p>
            <w:pPr>
              <w:spacing w:line="264" w:lineRule="auto"/>
              <w:jc w:val="right"/>
            </w:pPr>
            <w:r>
              <w:rPr>
                <w:b/>
                <w:i w:val="0"/>
                <w:color w:val="FFFFFF"/>
                <w:sz w:val="18"/>
              </w:rPr>
              <w:t>Realized</w:t>
            </w:r>
          </w:p>
        </w:tc>
      </w:tr>
      <w:tr>
        <w:tc>
          <w:tcPr>
            <w:tcW w:type="dxa" w:w="2880"/>
          </w:tcPr>
          <w:p>
            <w:pPr>
              <w:spacing w:line="264" w:lineRule="auto"/>
            </w:pPr>
            <w:r>
              <w:rPr>
                <w:b w:val="0"/>
                <w:i w:val="0"/>
                <w:color w:val="1C3A36"/>
                <w:sz w:val="18"/>
              </w:rPr>
              <w:t>50%</w:t>
            </w:r>
          </w:p>
        </w:tc>
        <w:tc>
          <w:tcPr>
            <w:tcW w:type="dxa" w:w="2880"/>
          </w:tcPr>
          <w:p>
            <w:pPr>
              <w:spacing w:line="264" w:lineRule="auto"/>
              <w:jc w:val="right"/>
            </w:pPr>
            <w:r>
              <w:rPr>
                <w:b w:val="0"/>
                <w:i w:val="0"/>
                <w:sz w:val="18"/>
              </w:rPr>
              <w:t>50%</w:t>
            </w:r>
          </w:p>
        </w:tc>
        <w:tc>
          <w:tcPr>
            <w:tcW w:type="dxa" w:w="2880"/>
          </w:tcPr>
          <w:p>
            <w:pPr>
              <w:spacing w:line="264" w:lineRule="auto"/>
              <w:jc w:val="right"/>
            </w:pPr>
            <w:r>
              <w:rPr>
                <w:b w:val="0"/>
                <w:i w:val="0"/>
                <w:sz w:val="18"/>
              </w:rPr>
              <w:t>59%</w:t>
            </w:r>
          </w:p>
        </w:tc>
      </w:tr>
      <w:tr>
        <w:tc>
          <w:tcPr>
            <w:tcW w:type="dxa" w:w="2880"/>
            <w:shd w:val="clear" w:fill="EFF3F1"/>
          </w:tcPr>
          <w:p>
            <w:pPr>
              <w:spacing w:line="264" w:lineRule="auto"/>
            </w:pPr>
            <w:r>
              <w:rPr>
                <w:b w:val="0"/>
                <w:i w:val="0"/>
                <w:color w:val="1C3A36"/>
                <w:sz w:val="18"/>
              </w:rPr>
              <w:t>80%</w:t>
            </w:r>
          </w:p>
        </w:tc>
        <w:tc>
          <w:tcPr>
            <w:tcW w:type="dxa" w:w="2880"/>
            <w:shd w:val="clear" w:fill="EFF3F1"/>
          </w:tcPr>
          <w:p>
            <w:pPr>
              <w:spacing w:line="264" w:lineRule="auto"/>
              <w:jc w:val="right"/>
            </w:pPr>
            <w:r>
              <w:rPr>
                <w:b w:val="0"/>
                <w:i w:val="0"/>
                <w:sz w:val="18"/>
              </w:rPr>
              <w:t>80%</w:t>
            </w:r>
          </w:p>
        </w:tc>
        <w:tc>
          <w:tcPr>
            <w:tcW w:type="dxa" w:w="2880"/>
            <w:shd w:val="clear" w:fill="EFF3F1"/>
          </w:tcPr>
          <w:p>
            <w:pPr>
              <w:spacing w:line="264" w:lineRule="auto"/>
              <w:jc w:val="right"/>
            </w:pPr>
            <w:r>
              <w:rPr>
                <w:b w:val="0"/>
                <w:i w:val="0"/>
                <w:sz w:val="18"/>
              </w:rPr>
              <w:t>82%</w:t>
            </w:r>
          </w:p>
        </w:tc>
      </w:tr>
      <w:tr>
        <w:tc>
          <w:tcPr>
            <w:tcW w:type="dxa" w:w="2880"/>
          </w:tcPr>
          <w:p>
            <w:pPr>
              <w:spacing w:line="264" w:lineRule="auto"/>
            </w:pPr>
            <w:r>
              <w:rPr>
                <w:b w:val="0"/>
                <w:i w:val="0"/>
                <w:color w:val="1C3A36"/>
                <w:sz w:val="18"/>
              </w:rPr>
              <w:t>90%</w:t>
            </w:r>
          </w:p>
        </w:tc>
        <w:tc>
          <w:tcPr>
            <w:tcW w:type="dxa" w:w="2880"/>
          </w:tcPr>
          <w:p>
            <w:pPr>
              <w:spacing w:line="264" w:lineRule="auto"/>
              <w:jc w:val="right"/>
            </w:pPr>
            <w:r>
              <w:rPr>
                <w:b w:val="0"/>
                <w:i w:val="0"/>
                <w:sz w:val="18"/>
              </w:rPr>
              <w:t>90%</w:t>
            </w:r>
          </w:p>
        </w:tc>
        <w:tc>
          <w:tcPr>
            <w:tcW w:type="dxa" w:w="2880"/>
          </w:tcPr>
          <w:p>
            <w:pPr>
              <w:spacing w:line="264" w:lineRule="auto"/>
              <w:jc w:val="right"/>
            </w:pPr>
            <w:r>
              <w:rPr>
                <w:b w:val="0"/>
                <w:i w:val="0"/>
                <w:sz w:val="18"/>
              </w:rPr>
              <w:t>82%</w:t>
            </w:r>
          </w:p>
        </w:tc>
      </w:tr>
    </w:tbl>
    <w:p>
      <w:pPr>
        <w:spacing w:after="40"/>
      </w:pPr>
    </w:p>
    <w:p>
      <w:pPr>
        <w:jc w:val="center"/>
      </w:pPr>
      <w:r>
        <w:drawing>
          <wp:inline xmlns:a="http://schemas.openxmlformats.org/drawingml/2006/main" xmlns:pic="http://schemas.openxmlformats.org/drawingml/2006/picture">
            <wp:extent cx="6217920" cy="1920382"/>
            <wp:docPr id="8" name="Picture 8"/>
            <wp:cNvGraphicFramePr>
              <a:graphicFrameLocks noChangeAspect="1"/>
            </wp:cNvGraphicFramePr>
            <a:graphic>
              <a:graphicData uri="http://schemas.openxmlformats.org/drawingml/2006/picture">
                <pic:pic>
                  <pic:nvPicPr>
                    <pic:cNvPr id="0" name="ORWE_calibration.png"/>
                    <pic:cNvPicPr/>
                  </pic:nvPicPr>
                  <pic:blipFill>
                    <a:blip r:embed="rId16"/>
                    <a:stretch>
                      <a:fillRect/>
                    </a:stretch>
                  </pic:blipFill>
                  <pic:spPr>
                    <a:xfrm>
                      <a:off x="0" y="0"/>
                      <a:ext cx="6217920" cy="1920382"/>
                    </a:xfrm>
                    <a:prstGeom prst="rect"/>
                  </pic:spPr>
                </pic:pic>
              </a:graphicData>
            </a:graphic>
          </wp:inline>
        </w:drawing>
      </w:r>
    </w:p>
    <w:p>
      <w:pPr>
        <w:spacing w:line="264" w:lineRule="auto"/>
        <w:jc w:val="center"/>
      </w:pPr>
      <w:r>
        <w:rPr>
          <w:b w:val="0"/>
          <w:i/>
          <w:color w:val="666666"/>
          <w:sz w:val="16"/>
        </w:rPr>
        <w:t>Calibration backtest - cone replay, PIT histogram, interval coverage</w:t>
      </w:r>
    </w:p>
    <w:p>
      <w:pPr>
        <w:spacing w:before="160" w:after="120" w:line="264" w:lineRule="auto"/>
      </w:pPr>
      <w:r>
        <w:rPr>
          <w:b/>
          <w:i w:val="0"/>
          <w:color w:val="1C3A36"/>
          <w:sz w:val="30"/>
        </w:rPr>
        <w:t>Appendix C  Peer set, sector structure, and risks</w:t>
      </w:r>
    </w:p>
    <w:p>
      <w:pPr>
        <w:spacing w:after="120" w:line="264" w:lineRule="auto"/>
      </w:pPr>
      <w:r>
        <w:rPr>
          <w:b w:val="0"/>
          <w:i w:val="0"/>
          <w:sz w:val="21"/>
        </w:rPr>
        <w:t>Peers: no listed EGX pure comparable exists; the multiple band is the EGX consumer/industrial set (7-9x), with global flooring (Mohawk, Interface) a structural read-across at 8-12x through-cycle. Sector structure: the business is a currency-and-commodity spread - USD-linked selling prices against EGP labour and oil-derivative (polypropylene) inputs - wrapped in a vertically integrated manufacturer with genuine distribution.</w:t>
      </w:r>
    </w:p>
    <w:p>
      <w:pPr>
        <w:spacing w:after="120" w:line="264" w:lineRule="auto"/>
      </w:pPr>
      <w:r>
        <w:rPr>
          <w:b w:val="0"/>
          <w:i w:val="0"/>
          <w:sz w:val="21"/>
        </w:rPr>
        <w:t>Principal risks: a firm pound compressing the export margin, lapse of the state export-rebate program, US tariff escalation, input-cost spikes, freight disruption, the inventory/receivables cycle consuming cash, 56.58% family control and key-man concentration, and thin free float amplifying the tape.</w:t>
      </w:r>
    </w:p>
    <w:p>
      <w:pPr>
        <w:spacing w:before="160" w:after="120" w:line="264" w:lineRule="auto"/>
      </w:pPr>
      <w:r>
        <w:rPr>
          <w:b/>
          <w:i w:val="0"/>
          <w:color w:val="1C3A36"/>
          <w:sz w:val="30"/>
        </w:rPr>
        <w:t>Appendix D  The expert valuation panel</w:t>
      </w:r>
    </w:p>
    <w:p>
      <w:pPr>
        <w:spacing w:before="160" w:after="120" w:line="264" w:lineRule="auto"/>
      </w:pPr>
      <w:r>
        <w:rPr>
          <w:b/>
          <w:i w:val="0"/>
          <w:color w:val="1C3A36"/>
          <w:sz w:val="24"/>
        </w:rPr>
        <w:t>D.1  Expert 1 - normalized earnings power at a fair cyclical multiple</w:t>
      </w:r>
    </w:p>
    <w:p>
      <w:pPr>
        <w:spacing w:after="120" w:line="264" w:lineRule="auto"/>
      </w:pPr>
      <w:r>
        <w:rPr>
          <w:b/>
          <w:i w:val="0"/>
          <w:color w:val="1C3A36"/>
          <w:sz w:val="21"/>
        </w:rPr>
        <w:t xml:space="preserve">Worldview and tradition. </w:t>
      </w:r>
      <w:r>
        <w:rPr>
          <w:b w:val="0"/>
          <w:i w:val="0"/>
          <w:sz w:val="21"/>
        </w:rPr>
        <w:t>A manufacturer is worth its recurring earnings at a multiple that respects the cycle and the local cost of equity. Oriental Weavers prints EGP 2.2 bn and pays 6.7% - the question is only how much of that print recurs, and what a 24%-cost-of-equity market should pay per pound of it.</w:t>
      </w:r>
    </w:p>
    <w:p>
      <w:pPr>
        <w:spacing w:after="120" w:line="264" w:lineRule="auto"/>
      </w:pPr>
      <w:r>
        <w:rPr>
          <w:b w:val="0"/>
          <w:i w:val="0"/>
          <w:sz w:val="21"/>
        </w:rPr>
        <w:t>The tradition is Graham earning-power value for established industrials: find the profit the asset base reliably produces across a cycle, capitalize it at a rate an owner could actually demand locally, and treat every premium above that as a forecast someone else is paying for.</w:t>
      </w:r>
    </w:p>
    <w:p>
      <w:pPr>
        <w:spacing w:after="120" w:line="264" w:lineRule="auto"/>
      </w:pPr>
      <w:r>
        <w:rPr>
          <w:b w:val="0"/>
          <w:i w:val="0"/>
          <w:sz w:val="21"/>
        </w:rPr>
        <w:t>Applied here it collapses to one question: what does a vertically integrated loom complex with 150-country distribution reliably earn once the currency noise is averaged out - and what is a pound of that worth against a 20%+ risk-free alternative?</w:t>
      </w:r>
    </w:p>
    <w:p>
      <w:pPr>
        <w:spacing w:after="120" w:line="264" w:lineRule="auto"/>
      </w:pPr>
      <w:r>
        <w:rPr>
          <w:b/>
          <w:i w:val="0"/>
          <w:color w:val="1C3A36"/>
          <w:sz w:val="21"/>
        </w:rPr>
        <w:t xml:space="preserve">When it works / when it fails. </w:t>
      </w:r>
      <w:r>
        <w:rPr>
          <w:b w:val="0"/>
          <w:i w:val="0"/>
          <w:sz w:val="21"/>
        </w:rPr>
        <w:t>Works for established industrials with a definable mid-cycle margin and a real dividend anchor - forty years of operations, a 260-showroom retail arm and an unbroken payout record qualify. Fails when the earnings base itself is a currency artifact: if the 'normal' year you capitalize was manufactured by a devaluation, the multiple compounds the error.</w:t>
      </w:r>
    </w:p>
    <w:p>
      <w:pPr>
        <w:spacing w:after="120" w:line="264" w:lineRule="auto"/>
      </w:pPr>
      <w:r>
        <w:rPr>
          <w:b w:val="0"/>
          <w:i w:val="0"/>
          <w:sz w:val="21"/>
        </w:rPr>
        <w:t>That is the live risk here, and I answer it in the base, not the multiple - my EPS strips the non-operating layer before anything is capitalized.</w:t>
      </w:r>
    </w:p>
    <w:p>
      <w:pPr>
        <w:spacing w:after="120" w:line="264" w:lineRule="auto"/>
      </w:pPr>
      <w:r>
        <w:rPr>
          <w:b w:val="0"/>
          <w:i w:val="0"/>
          <w:sz w:val="21"/>
        </w:rPr>
        <w:t>It also fails on timing, saying nothing about when the tape agrees; the coiled one-year range suggests the market is waiting for the same policy prints I am.</w:t>
      </w:r>
    </w:p>
    <w:p>
      <w:pPr>
        <w:spacing w:after="120" w:line="264" w:lineRule="auto"/>
      </w:pPr>
      <w:r>
        <w:rPr>
          <w:b/>
          <w:i w:val="0"/>
          <w:color w:val="1C3A36"/>
          <w:sz w:val="21"/>
        </w:rPr>
        <w:t xml:space="preserve">Standard workings. </w:t>
      </w:r>
      <w:r>
        <w:rPr>
          <w:b w:val="0"/>
          <w:i w:val="0"/>
          <w:sz w:val="21"/>
        </w:rPr>
        <w:t>Two steps: scrub the earnings base, then derive the multiple from the cost of equity rather than a peer screen.</w:t>
      </w:r>
    </w:p>
    <w:p>
      <w:pPr>
        <w:spacing w:after="120" w:line="264" w:lineRule="auto"/>
      </w:pPr>
      <w:r>
        <w:rPr>
          <w:b w:val="0"/>
          <w:i w:val="0"/>
          <w:sz w:val="21"/>
        </w:rPr>
        <w:t>The scrub: FY26E attributable profit EGP 2,473 mn includes an other-income line I trim to a recurring ~EGP 500 mn of interest (removing FX gains and one-offs), leaving ~EGP 2,200 mn - EPS ~EGP 3.30. The multiple: 1/(Ke - g) with Ke ~24% and g ~10% gives ~7x for a single-digit-growth exporter.</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Step</w:t>
            </w:r>
          </w:p>
        </w:tc>
        <w:tc>
          <w:tcPr>
            <w:tcW w:type="dxa" w:w="3168"/>
            <w:shd w:val="clear" w:fill="1C3A36"/>
          </w:tcPr>
          <w:p>
            <w:pPr>
              <w:spacing w:line="264" w:lineRule="auto"/>
              <w:jc w:val="right"/>
            </w:pPr>
            <w:r>
              <w:rPr>
                <w:b/>
                <w:i w:val="0"/>
                <w:color w:val="FFFFFF"/>
                <w:sz w:val="18"/>
              </w:rPr>
              <w:t>Value</w:t>
            </w:r>
          </w:p>
        </w:tc>
      </w:tr>
      <w:tr>
        <w:tc>
          <w:tcPr>
            <w:tcW w:type="dxa" w:w="4896"/>
          </w:tcPr>
          <w:p>
            <w:pPr>
              <w:spacing w:line="264" w:lineRule="auto"/>
            </w:pPr>
            <w:r>
              <w:rPr>
                <w:b w:val="0"/>
                <w:i w:val="0"/>
                <w:color w:val="1C3A36"/>
                <w:sz w:val="18"/>
              </w:rPr>
              <w:t>FY26E attributable profit (model)</w:t>
            </w:r>
          </w:p>
        </w:tc>
        <w:tc>
          <w:tcPr>
            <w:tcW w:type="dxa" w:w="3168"/>
          </w:tcPr>
          <w:p>
            <w:pPr>
              <w:spacing w:line="264" w:lineRule="auto"/>
              <w:jc w:val="right"/>
            </w:pPr>
            <w:r>
              <w:rPr>
                <w:b w:val="0"/>
                <w:i w:val="0"/>
                <w:sz w:val="18"/>
              </w:rPr>
              <w:t>EGP 2,473 mn</w:t>
            </w:r>
          </w:p>
        </w:tc>
      </w:tr>
      <w:tr>
        <w:tc>
          <w:tcPr>
            <w:tcW w:type="dxa" w:w="4896"/>
            <w:shd w:val="clear" w:fill="EFF3F1"/>
          </w:tcPr>
          <w:p>
            <w:pPr>
              <w:spacing w:line="264" w:lineRule="auto"/>
            </w:pPr>
            <w:r>
              <w:rPr>
                <w:b w:val="0"/>
                <w:i w:val="0"/>
                <w:color w:val="1C3A36"/>
                <w:sz w:val="18"/>
              </w:rPr>
              <w:t>- non-operating trim to recurring interest</w:t>
            </w:r>
          </w:p>
        </w:tc>
        <w:tc>
          <w:tcPr>
            <w:tcW w:type="dxa" w:w="3168"/>
            <w:shd w:val="clear" w:fill="EFF3F1"/>
          </w:tcPr>
          <w:p>
            <w:pPr>
              <w:spacing w:line="264" w:lineRule="auto"/>
              <w:jc w:val="right"/>
            </w:pPr>
            <w:r>
              <w:rPr>
                <w:b w:val="0"/>
                <w:i w:val="0"/>
                <w:sz w:val="18"/>
              </w:rPr>
              <w:t>(~273)</w:t>
            </w:r>
          </w:p>
        </w:tc>
      </w:tr>
      <w:tr>
        <w:tc>
          <w:tcPr>
            <w:tcW w:type="dxa" w:w="4896"/>
          </w:tcPr>
          <w:p>
            <w:pPr>
              <w:spacing w:line="264" w:lineRule="auto"/>
            </w:pPr>
            <w:r>
              <w:rPr>
                <w:b w:val="0"/>
                <w:i w:val="0"/>
                <w:color w:val="1C3A36"/>
                <w:sz w:val="18"/>
              </w:rPr>
              <w:t>Normalized attributable base</w:t>
            </w:r>
          </w:p>
        </w:tc>
        <w:tc>
          <w:tcPr>
            <w:tcW w:type="dxa" w:w="3168"/>
          </w:tcPr>
          <w:p>
            <w:pPr>
              <w:spacing w:line="264" w:lineRule="auto"/>
              <w:jc w:val="right"/>
            </w:pPr>
            <w:r>
              <w:rPr>
                <w:b w:val="0"/>
                <w:i w:val="0"/>
                <w:sz w:val="18"/>
              </w:rPr>
              <w:t>~EGP 2,200 mn</w:t>
            </w:r>
          </w:p>
        </w:tc>
      </w:tr>
      <w:tr>
        <w:tc>
          <w:tcPr>
            <w:tcW w:type="dxa" w:w="4896"/>
            <w:shd w:val="clear" w:fill="EFF3F1"/>
          </w:tcPr>
          <w:p>
            <w:pPr>
              <w:spacing w:line="264" w:lineRule="auto"/>
            </w:pPr>
            <w:r>
              <w:rPr>
                <w:b w:val="0"/>
                <w:i w:val="0"/>
                <w:color w:val="1C3A36"/>
                <w:sz w:val="18"/>
              </w:rPr>
              <w:t>/ shares (mn)</w:t>
            </w:r>
          </w:p>
        </w:tc>
        <w:tc>
          <w:tcPr>
            <w:tcW w:type="dxa" w:w="3168"/>
            <w:shd w:val="clear" w:fill="EFF3F1"/>
          </w:tcPr>
          <w:p>
            <w:pPr>
              <w:spacing w:line="264" w:lineRule="auto"/>
              <w:jc w:val="right"/>
            </w:pPr>
            <w:r>
              <w:rPr>
                <w:b w:val="0"/>
                <w:i w:val="0"/>
                <w:sz w:val="18"/>
              </w:rPr>
              <w:t>665.1</w:t>
            </w:r>
          </w:p>
        </w:tc>
      </w:tr>
      <w:tr>
        <w:tc>
          <w:tcPr>
            <w:tcW w:type="dxa" w:w="4896"/>
          </w:tcPr>
          <w:p>
            <w:pPr>
              <w:spacing w:line="264" w:lineRule="auto"/>
            </w:pPr>
            <w:r>
              <w:rPr>
                <w:b w:val="0"/>
                <w:i w:val="0"/>
                <w:color w:val="1C3A36"/>
                <w:sz w:val="18"/>
              </w:rPr>
              <w:t>Normalized EPS</w:t>
            </w:r>
          </w:p>
        </w:tc>
        <w:tc>
          <w:tcPr>
            <w:tcW w:type="dxa" w:w="3168"/>
          </w:tcPr>
          <w:p>
            <w:pPr>
              <w:spacing w:line="264" w:lineRule="auto"/>
              <w:jc w:val="right"/>
            </w:pPr>
            <w:r>
              <w:rPr>
                <w:b w:val="0"/>
                <w:i w:val="0"/>
                <w:sz w:val="18"/>
              </w:rPr>
              <w:t>EGP 3.30</w:t>
            </w:r>
          </w:p>
        </w:tc>
      </w:tr>
      <w:tr>
        <w:tc>
          <w:tcPr>
            <w:tcW w:type="dxa" w:w="4896"/>
            <w:shd w:val="clear" w:fill="EFF3F1"/>
          </w:tcPr>
          <w:p>
            <w:pPr>
              <w:spacing w:line="264" w:lineRule="auto"/>
            </w:pPr>
            <w:r>
              <w:rPr>
                <w:b w:val="0"/>
                <w:i w:val="0"/>
                <w:color w:val="1C3A36"/>
                <w:sz w:val="18"/>
              </w:rPr>
              <w:t>x fair P/E (1/(Ke-g), Ke 24%, g 10%)</w:t>
            </w:r>
          </w:p>
        </w:tc>
        <w:tc>
          <w:tcPr>
            <w:tcW w:type="dxa" w:w="3168"/>
            <w:shd w:val="clear" w:fill="EFF3F1"/>
          </w:tcPr>
          <w:p>
            <w:pPr>
              <w:spacing w:line="264" w:lineRule="auto"/>
              <w:jc w:val="right"/>
            </w:pPr>
            <w:r>
              <w:rPr>
                <w:b w:val="0"/>
                <w:i w:val="0"/>
                <w:sz w:val="18"/>
              </w:rPr>
              <w:t>7x</w:t>
            </w:r>
          </w:p>
        </w:tc>
      </w:tr>
      <w:tr>
        <w:tc>
          <w:tcPr>
            <w:tcW w:type="dxa" w:w="4896"/>
          </w:tcPr>
          <w:p>
            <w:pPr>
              <w:spacing w:line="264" w:lineRule="auto"/>
            </w:pPr>
            <w:r>
              <w:rPr>
                <w:b w:val="0"/>
                <w:i w:val="0"/>
                <w:color w:val="1C3A36"/>
                <w:sz w:val="18"/>
              </w:rPr>
              <w:t>Fair value per share</w:t>
            </w:r>
          </w:p>
        </w:tc>
        <w:tc>
          <w:tcPr>
            <w:tcW w:type="dxa" w:w="3168"/>
          </w:tcPr>
          <w:p>
            <w:pPr>
              <w:spacing w:line="264" w:lineRule="auto"/>
              <w:jc w:val="right"/>
            </w:pPr>
            <w:r>
              <w:rPr>
                <w:b w:val="0"/>
                <w:i w:val="0"/>
                <w:sz w:val="18"/>
              </w:rPr>
              <w:t>EGP 23.1</w:t>
            </w:r>
          </w:p>
        </w:tc>
      </w:tr>
    </w:tbl>
    <w:p>
      <w:pPr>
        <w:spacing w:after="40"/>
      </w:pPr>
    </w:p>
    <w:p>
      <w:pPr>
        <w:spacing w:after="120" w:line="264" w:lineRule="auto"/>
      </w:pPr>
      <w:r>
        <w:rPr>
          <w:b/>
          <w:i w:val="0"/>
          <w:color w:val="1C3A36"/>
          <w:sz w:val="21"/>
        </w:rPr>
        <w:t xml:space="preserve">Worked example. </w:t>
      </w:r>
      <w:r>
        <w:rPr>
          <w:b w:val="0"/>
          <w:i w:val="0"/>
          <w:sz w:val="21"/>
        </w:rPr>
        <w:t>Normalized EPS EGP 3.30 x 7 = EGP 23.1. At spot 22.34 the implied multiple on my normalized base is 6.8x - the market is paying almost exactly a fair cyclical multiple, no more.</w:t>
      </w:r>
    </w:p>
    <w:p>
      <w:pPr>
        <w:spacing w:after="120" w:line="264" w:lineRule="auto"/>
      </w:pPr>
      <w:r>
        <w:rPr>
          <w:b w:val="0"/>
          <w:i w:val="0"/>
          <w:sz w:val="21"/>
        </w:rPr>
        <w:t>The band: 6x is the answer if growth stalls at 6-7% nominal (19.8); 8x if the tufted ramp and US listings lift it toward 12% (26.4).</w:t>
      </w:r>
    </w:p>
    <w:p>
      <w:pPr>
        <w:spacing w:after="120" w:line="264" w:lineRule="auto"/>
      </w:pPr>
      <w:r>
        <w:rPr>
          <w:b w:val="0"/>
          <w:i w:val="0"/>
          <w:sz w:val="21"/>
        </w:rPr>
        <w:t>And the dividend closes the loop: EGP 1.5 on my 3.30 base is a 45% payout at a 6.7% yield - sustainable arithmetic, which is why the yield is an anchor for this lens rather than a warning.</w:t>
      </w:r>
    </w:p>
    <w:p>
      <w:pPr>
        <w:spacing w:after="120" w:line="264" w:lineRule="auto"/>
      </w:pPr>
      <w:r>
        <w:rPr>
          <w:b/>
          <w:i w:val="0"/>
          <w:color w:val="1C3A36"/>
          <w:sz w:val="21"/>
        </w:rPr>
        <w:t xml:space="preserve">Sensitivity on the swing input. </w:t>
      </w:r>
      <w:r>
        <w:rPr>
          <w:b w:val="0"/>
          <w:i w:val="0"/>
          <w:sz w:val="21"/>
        </w:rPr>
        <w:t>The fair multiple is the swing; the normalized base is second.</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Fair P/E 6 / 7 / 8x</w:t>
            </w:r>
          </w:p>
        </w:tc>
        <w:tc>
          <w:tcPr>
            <w:tcW w:type="dxa" w:w="3168"/>
          </w:tcPr>
          <w:p>
            <w:pPr>
              <w:spacing w:line="264" w:lineRule="auto"/>
              <w:jc w:val="right"/>
            </w:pPr>
            <w:r>
              <w:rPr>
                <w:b w:val="0"/>
                <w:i w:val="0"/>
                <w:sz w:val="18"/>
              </w:rPr>
              <w:t>19.8 / 23.1 / 26.4</w:t>
            </w:r>
          </w:p>
        </w:tc>
      </w:tr>
      <w:tr>
        <w:tc>
          <w:tcPr>
            <w:tcW w:type="dxa" w:w="4896"/>
            <w:shd w:val="clear" w:fill="EFF3F1"/>
          </w:tcPr>
          <w:p>
            <w:pPr>
              <w:spacing w:line="264" w:lineRule="auto"/>
            </w:pPr>
            <w:r>
              <w:rPr>
                <w:b w:val="0"/>
                <w:i w:val="0"/>
                <w:color w:val="1C3A36"/>
                <w:sz w:val="18"/>
              </w:rPr>
              <w:t>Normalized EPS +/-10%</w:t>
            </w:r>
          </w:p>
        </w:tc>
        <w:tc>
          <w:tcPr>
            <w:tcW w:type="dxa" w:w="3168"/>
            <w:shd w:val="clear" w:fill="EFF3F1"/>
          </w:tcPr>
          <w:p>
            <w:pPr>
              <w:spacing w:line="264" w:lineRule="auto"/>
              <w:jc w:val="right"/>
            </w:pPr>
            <w:r>
              <w:rPr>
                <w:b w:val="0"/>
                <w:i w:val="0"/>
                <w:sz w:val="18"/>
              </w:rPr>
              <w:t>+/- ~2.3</w:t>
            </w:r>
          </w:p>
        </w:tc>
      </w:tr>
      <w:tr>
        <w:tc>
          <w:tcPr>
            <w:tcW w:type="dxa" w:w="4896"/>
          </w:tcPr>
          <w:p>
            <w:pPr>
              <w:spacing w:line="264" w:lineRule="auto"/>
            </w:pPr>
            <w:r>
              <w:rPr>
                <w:b w:val="0"/>
                <w:i w:val="0"/>
                <w:color w:val="1C3A36"/>
                <w:sz w:val="18"/>
              </w:rPr>
              <w:t>g 8 / 10 / 12% (via multiple)</w:t>
            </w:r>
          </w:p>
        </w:tc>
        <w:tc>
          <w:tcPr>
            <w:tcW w:type="dxa" w:w="3168"/>
          </w:tcPr>
          <w:p>
            <w:pPr>
              <w:spacing w:line="264" w:lineRule="auto"/>
              <w:jc w:val="right"/>
            </w:pPr>
            <w:r>
              <w:rPr>
                <w:b w:val="0"/>
                <w:i w:val="0"/>
                <w:sz w:val="18"/>
              </w:rPr>
              <w:t>21 / 23 / 26</w:t>
            </w:r>
          </w:p>
        </w:tc>
      </w:tr>
    </w:tbl>
    <w:p>
      <w:pPr>
        <w:spacing w:after="40"/>
      </w:pPr>
    </w:p>
    <w:p>
      <w:pPr>
        <w:spacing w:after="120" w:line="264" w:lineRule="auto"/>
      </w:pPr>
      <w:r>
        <w:rPr>
          <w:b/>
          <w:i w:val="0"/>
          <w:color w:val="1C3A36"/>
          <w:sz w:val="21"/>
        </w:rPr>
        <w:t xml:space="preserve">Cross-examination. </w:t>
      </w:r>
      <w:r>
        <w:rPr>
          <w:b w:val="0"/>
          <w:i w:val="0"/>
          <w:sz w:val="21"/>
        </w:rPr>
        <w:t>To Expert 2: your working-capital penalty is real but double-counted - the dividend has been paid in cash every year through the very cycle you distrust, so the float funds itself; punish the growth capex if you must, not the whole inventory. And your terminal assumes the drag is permanent, when half of it is the same FX timing you strip elsewhere.</w:t>
      </w:r>
    </w:p>
    <w:p>
      <w:pPr>
        <w:spacing w:after="120" w:line="264" w:lineRule="auto"/>
      </w:pPr>
      <w:r>
        <w:rPr>
          <w:b w:val="0"/>
          <w:i w:val="0"/>
          <w:sz w:val="21"/>
        </w:rPr>
        <w:t>To Expert 3: currency is your story, but ORWE grew export volumes 15% into a devaluation year and holds 53% of its local sales in its own showrooms - there is a franchise under the FX, and franchises earn their multiple in every regime.</w:t>
      </w:r>
    </w:p>
    <w:p>
      <w:pPr>
        <w:spacing w:after="120" w:line="264" w:lineRule="auto"/>
      </w:pPr>
      <w:r>
        <w:rPr>
          <w:b/>
          <w:i w:val="0"/>
          <w:color w:val="1C3A36"/>
          <w:sz w:val="21"/>
        </w:rPr>
        <w:t xml:space="preserve">Verdict, falsification, and what the price implies. </w:t>
      </w:r>
      <w:r>
        <w:rPr>
          <w:b w:val="0"/>
          <w:i w:val="0"/>
          <w:sz w:val="21"/>
        </w:rPr>
        <w:t>Fair ~EGP 23.0 (19-27). Spot sits a shade under it: the tape is paying fair value for the earnings and nothing for the optionality.</w:t>
      </w:r>
    </w:p>
    <w:p>
      <w:pPr>
        <w:spacing w:after="120" w:line="264" w:lineRule="auto"/>
      </w:pPr>
      <w:r>
        <w:rPr>
          <w:b w:val="0"/>
          <w:i w:val="0"/>
          <w:sz w:val="21"/>
        </w:rPr>
        <w:t>Price-implied: at 22.34 the market holds my base and my multiple almost exactly - the rare stock where the earnings-power lens and the price have already shaken hands. Falsification: two consecutive years of attributable profit below EGP 1.8 bn with the dividend cut - proving the 'normal' base was the windfall, not the floor.</w:t>
      </w:r>
    </w:p>
    <w:p>
      <w:pPr>
        <w:spacing w:before="160" w:after="120" w:line="264" w:lineRule="auto"/>
      </w:pPr>
      <w:r>
        <w:rPr>
          <w:b/>
          <w:i w:val="0"/>
          <w:color w:val="1C3A36"/>
          <w:sz w:val="24"/>
        </w:rPr>
        <w:t>D.2  Expert 2 - cash conversion - the accountant's working-capital strip-down</w:t>
      </w:r>
    </w:p>
    <w:p>
      <w:pPr>
        <w:spacing w:after="120" w:line="264" w:lineRule="auto"/>
      </w:pPr>
      <w:r>
        <w:rPr>
          <w:b/>
          <w:i w:val="0"/>
          <w:color w:val="1C3A36"/>
          <w:sz w:val="21"/>
        </w:rPr>
        <w:t xml:space="preserve">Worldview and tradition. </w:t>
      </w:r>
      <w:r>
        <w:rPr>
          <w:b w:val="0"/>
          <w:i w:val="0"/>
          <w:sz w:val="21"/>
        </w:rPr>
        <w:t>Profit is an opinion; cash is a fact. A carpet exporter carries the inventory of 150 countries on its own balance sheet - every pound of growth consumes ~28 piasters of working capital before it reaches the till. Value the free cash flow to equity, not the income statement.</w:t>
      </w:r>
    </w:p>
    <w:p>
      <w:pPr>
        <w:spacing w:after="120" w:line="264" w:lineRule="auto"/>
      </w:pPr>
      <w:r>
        <w:rPr>
          <w:b w:val="0"/>
          <w:i w:val="0"/>
          <w:sz w:val="21"/>
        </w:rPr>
        <w:t>The tradition is the cash-conversion school: reconcile earnings to distributable cash, refuse to capitalize the difference, and let the balance sheet - not the narrative - set the base. Where conversion runs at 58%, the income statement overstates the ownable stream by nearly half.</w:t>
      </w:r>
    </w:p>
    <w:p>
      <w:pPr>
        <w:spacing w:after="120" w:line="264" w:lineRule="auto"/>
      </w:pPr>
      <w:r>
        <w:rPr>
          <w:b w:val="0"/>
          <w:i w:val="0"/>
          <w:sz w:val="21"/>
        </w:rPr>
        <w:t>The test case here is one ratio: net working capital at ~28% of revenue, versus ~15-18% for global flooring peers - the structural cost of being the manufacturer, wholesaler and retailer at once.</w:t>
      </w:r>
    </w:p>
    <w:p>
      <w:pPr>
        <w:spacing w:after="120" w:line="264" w:lineRule="auto"/>
      </w:pPr>
      <w:r>
        <w:rPr>
          <w:b/>
          <w:i w:val="0"/>
          <w:color w:val="1C3A36"/>
          <w:sz w:val="21"/>
        </w:rPr>
        <w:t xml:space="preserve">When it works / when it fails. </w:t>
      </w:r>
      <w:r>
        <w:rPr>
          <w:b w:val="0"/>
          <w:i w:val="0"/>
          <w:sz w:val="21"/>
        </w:rPr>
        <w:t>Works whenever reported profit and distributable cash diverge structurally - inventory-heavy, receivables-heavy trades like this one, where showroom stock, export receivables and 150-market pipelines all sit on ORWE's own book. Fails when the working-capital intensity is about to normalize, where it locks in yesterday's drag as tomorrow's.</w:t>
      </w:r>
    </w:p>
    <w:p>
      <w:pPr>
        <w:spacing w:after="120" w:line="264" w:lineRule="auto"/>
      </w:pPr>
      <w:r>
        <w:rPr>
          <w:b w:val="0"/>
          <w:i w:val="0"/>
          <w:sz w:val="21"/>
        </w:rPr>
        <w:t>Its other blind spot is the same FX that inflates the profit: inventory bought in weakening pounds and sold in dollars flatters margins while bloating the very float I penalize - my lens punishes the symptom twice in the worst case.</w:t>
      </w:r>
    </w:p>
    <w:p>
      <w:pPr>
        <w:spacing w:after="120" w:line="264" w:lineRule="auto"/>
      </w:pPr>
      <w:r>
        <w:rPr>
          <w:b w:val="0"/>
          <w:i w:val="0"/>
          <w:sz w:val="21"/>
        </w:rPr>
        <w:t>I accept both risks as the price of never paying for cash I cannot see.</w:t>
      </w:r>
    </w:p>
    <w:p>
      <w:pPr>
        <w:spacing w:after="120" w:line="264" w:lineRule="auto"/>
      </w:pPr>
      <w:r>
        <w:rPr>
          <w:b/>
          <w:i w:val="0"/>
          <w:color w:val="1C3A36"/>
          <w:sz w:val="21"/>
        </w:rPr>
        <w:t xml:space="preserve">Standard workings. </w:t>
      </w:r>
      <w:r>
        <w:rPr>
          <w:b w:val="0"/>
          <w:i w:val="0"/>
          <w:sz w:val="21"/>
        </w:rPr>
        <w:t>Build FCFE line by line from the model, discount at the cost of equity, Gordon terminal on the final year.</w:t>
      </w:r>
    </w:p>
    <w:p>
      <w:pPr>
        <w:spacing w:after="120" w:line="264" w:lineRule="auto"/>
      </w:pPr>
      <w:r>
        <w:rPr>
          <w:b w:val="0"/>
          <w:i w:val="0"/>
          <w:sz w:val="21"/>
        </w:rPr>
        <w:t>Every line links live to the companion Excel - profit from the income statement, D&amp;A and capex from the drivers, the NWC increase from the balance sheet - so the 58% conversion is generated, not asserted.</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FY26E FCFE build</w:t>
            </w:r>
          </w:p>
        </w:tc>
        <w:tc>
          <w:tcPr>
            <w:tcW w:type="dxa" w:w="3168"/>
            <w:shd w:val="clear" w:fill="1C3A36"/>
          </w:tcPr>
          <w:p>
            <w:pPr>
              <w:spacing w:line="264" w:lineRule="auto"/>
              <w:jc w:val="right"/>
            </w:pPr>
            <w:r>
              <w:rPr>
                <w:b/>
                <w:i w:val="0"/>
                <w:color w:val="FFFFFF"/>
                <w:sz w:val="18"/>
              </w:rPr>
              <w:t>EGP mn</w:t>
            </w:r>
          </w:p>
        </w:tc>
      </w:tr>
      <w:tr>
        <w:tc>
          <w:tcPr>
            <w:tcW w:type="dxa" w:w="4896"/>
          </w:tcPr>
          <w:p>
            <w:pPr>
              <w:spacing w:line="264" w:lineRule="auto"/>
            </w:pPr>
            <w:r>
              <w:rPr>
                <w:b w:val="0"/>
                <w:i w:val="0"/>
                <w:color w:val="1C3A36"/>
                <w:sz w:val="18"/>
              </w:rPr>
              <w:t>Attributable profit</w:t>
            </w:r>
          </w:p>
        </w:tc>
        <w:tc>
          <w:tcPr>
            <w:tcW w:type="dxa" w:w="3168"/>
          </w:tcPr>
          <w:p>
            <w:pPr>
              <w:spacing w:line="264" w:lineRule="auto"/>
              <w:jc w:val="right"/>
            </w:pPr>
            <w:r>
              <w:rPr>
                <w:b w:val="0"/>
                <w:i w:val="0"/>
                <w:sz w:val="18"/>
              </w:rPr>
              <w:t>2,473</w:t>
            </w:r>
          </w:p>
        </w:tc>
      </w:tr>
      <w:tr>
        <w:tc>
          <w:tcPr>
            <w:tcW w:type="dxa" w:w="4896"/>
            <w:shd w:val="clear" w:fill="EFF3F1"/>
          </w:tcPr>
          <w:p>
            <w:pPr>
              <w:spacing w:line="264" w:lineRule="auto"/>
            </w:pPr>
            <w:r>
              <w:rPr>
                <w:b w:val="0"/>
                <w:i w:val="0"/>
                <w:color w:val="1C3A36"/>
                <w:sz w:val="18"/>
              </w:rPr>
              <w:t>+ D&amp;A</w:t>
            </w:r>
          </w:p>
        </w:tc>
        <w:tc>
          <w:tcPr>
            <w:tcW w:type="dxa" w:w="3168"/>
            <w:shd w:val="clear" w:fill="EFF3F1"/>
          </w:tcPr>
          <w:p>
            <w:pPr>
              <w:spacing w:line="264" w:lineRule="auto"/>
              <w:jc w:val="right"/>
            </w:pPr>
            <w:r>
              <w:rPr>
                <w:b w:val="0"/>
                <w:i w:val="0"/>
                <w:sz w:val="18"/>
              </w:rPr>
              <w:t>895</w:t>
            </w:r>
          </w:p>
        </w:tc>
      </w:tr>
      <w:tr>
        <w:tc>
          <w:tcPr>
            <w:tcW w:type="dxa" w:w="4896"/>
          </w:tcPr>
          <w:p>
            <w:pPr>
              <w:spacing w:line="264" w:lineRule="auto"/>
            </w:pPr>
            <w:r>
              <w:rPr>
                <w:b w:val="0"/>
                <w:i w:val="0"/>
                <w:color w:val="1C3A36"/>
                <w:sz w:val="18"/>
              </w:rPr>
              <w:t>- Capex (3.5% of revenue)</w:t>
            </w:r>
          </w:p>
        </w:tc>
        <w:tc>
          <w:tcPr>
            <w:tcW w:type="dxa" w:w="3168"/>
          </w:tcPr>
          <w:p>
            <w:pPr>
              <w:spacing w:line="264" w:lineRule="auto"/>
              <w:jc w:val="right"/>
            </w:pPr>
            <w:r>
              <w:rPr>
                <w:b w:val="0"/>
                <w:i w:val="0"/>
                <w:sz w:val="18"/>
              </w:rPr>
              <w:t>(1,044)</w:t>
            </w:r>
          </w:p>
        </w:tc>
      </w:tr>
      <w:tr>
        <w:tc>
          <w:tcPr>
            <w:tcW w:type="dxa" w:w="4896"/>
            <w:shd w:val="clear" w:fill="EFF3F1"/>
          </w:tcPr>
          <w:p>
            <w:pPr>
              <w:spacing w:line="264" w:lineRule="auto"/>
            </w:pPr>
            <w:r>
              <w:rPr>
                <w:b w:val="0"/>
                <w:i w:val="0"/>
                <w:color w:val="1C3A36"/>
                <w:sz w:val="18"/>
              </w:rPr>
              <w:t>- Increase in net working capital (28% of Δrev)</w:t>
            </w:r>
          </w:p>
        </w:tc>
        <w:tc>
          <w:tcPr>
            <w:tcW w:type="dxa" w:w="3168"/>
            <w:shd w:val="clear" w:fill="EFF3F1"/>
          </w:tcPr>
          <w:p>
            <w:pPr>
              <w:spacing w:line="264" w:lineRule="auto"/>
              <w:jc w:val="right"/>
            </w:pPr>
            <w:r>
              <w:rPr>
                <w:b w:val="0"/>
                <w:i w:val="0"/>
                <w:sz w:val="18"/>
              </w:rPr>
              <w:t>(895)</w:t>
            </w:r>
          </w:p>
        </w:tc>
      </w:tr>
      <w:tr>
        <w:tc>
          <w:tcPr>
            <w:tcW w:type="dxa" w:w="4896"/>
          </w:tcPr>
          <w:p>
            <w:pPr>
              <w:spacing w:line="264" w:lineRule="auto"/>
            </w:pPr>
            <w:r>
              <w:rPr>
                <w:b w:val="0"/>
                <w:i w:val="0"/>
                <w:color w:val="1C3A36"/>
                <w:sz w:val="18"/>
              </w:rPr>
              <w:t>FCFE</w:t>
            </w:r>
          </w:p>
        </w:tc>
        <w:tc>
          <w:tcPr>
            <w:tcW w:type="dxa" w:w="3168"/>
          </w:tcPr>
          <w:p>
            <w:pPr>
              <w:spacing w:line="264" w:lineRule="auto"/>
              <w:jc w:val="right"/>
            </w:pPr>
            <w:r>
              <w:rPr>
                <w:b w:val="0"/>
                <w:i w:val="0"/>
                <w:sz w:val="18"/>
              </w:rPr>
              <w:t>1,428</w:t>
            </w:r>
          </w:p>
        </w:tc>
      </w:tr>
      <w:tr>
        <w:tc>
          <w:tcPr>
            <w:tcW w:type="dxa" w:w="4896"/>
            <w:shd w:val="clear" w:fill="EFF3F1"/>
          </w:tcPr>
          <w:p>
            <w:pPr>
              <w:spacing w:line="264" w:lineRule="auto"/>
            </w:pPr>
            <w:r>
              <w:rPr>
                <w:b w:val="0"/>
                <w:i w:val="0"/>
                <w:color w:val="1C3A36"/>
                <w:sz w:val="18"/>
              </w:rPr>
              <w:t>Cash conversion (FCFE / profit)</w:t>
            </w:r>
          </w:p>
        </w:tc>
        <w:tc>
          <w:tcPr>
            <w:tcW w:type="dxa" w:w="3168"/>
            <w:shd w:val="clear" w:fill="EFF3F1"/>
          </w:tcPr>
          <w:p>
            <w:pPr>
              <w:spacing w:line="264" w:lineRule="auto"/>
              <w:jc w:val="right"/>
            </w:pPr>
            <w:r>
              <w:rPr>
                <w:b w:val="0"/>
                <w:i w:val="0"/>
                <w:sz w:val="18"/>
              </w:rPr>
              <w:t>58%</w:t>
            </w:r>
          </w:p>
        </w:tc>
      </w:tr>
      <w:tr>
        <w:tc>
          <w:tcPr>
            <w:tcW w:type="dxa" w:w="4896"/>
          </w:tcPr>
          <w:p>
            <w:pPr>
              <w:spacing w:line="264" w:lineRule="auto"/>
            </w:pPr>
            <w:r>
              <w:rPr>
                <w:b w:val="0"/>
                <w:i w:val="0"/>
                <w:color w:val="1C3A36"/>
                <w:sz w:val="18"/>
              </w:rPr>
              <w:t>PV of 5-yr FCFE + terminal at Ke 24%, g 11%</w:t>
            </w:r>
          </w:p>
        </w:tc>
        <w:tc>
          <w:tcPr>
            <w:tcW w:type="dxa" w:w="3168"/>
          </w:tcPr>
          <w:p>
            <w:pPr>
              <w:spacing w:line="264" w:lineRule="auto"/>
              <w:jc w:val="right"/>
            </w:pPr>
            <w:r>
              <w:rPr>
                <w:b w:val="0"/>
                <w:i w:val="0"/>
                <w:sz w:val="18"/>
              </w:rPr>
              <w:t>EGP 11,507 mn</w:t>
            </w:r>
          </w:p>
        </w:tc>
      </w:tr>
      <w:tr>
        <w:tc>
          <w:tcPr>
            <w:tcW w:type="dxa" w:w="4896"/>
            <w:shd w:val="clear" w:fill="EFF3F1"/>
          </w:tcPr>
          <w:p>
            <w:pPr>
              <w:spacing w:line="264" w:lineRule="auto"/>
            </w:pPr>
            <w:r>
              <w:rPr>
                <w:b w:val="0"/>
                <w:i w:val="0"/>
                <w:color w:val="1C3A36"/>
                <w:sz w:val="18"/>
              </w:rPr>
              <w:t>Per share / conservative centre</w:t>
            </w:r>
          </w:p>
        </w:tc>
        <w:tc>
          <w:tcPr>
            <w:tcW w:type="dxa" w:w="3168"/>
            <w:shd w:val="clear" w:fill="EFF3F1"/>
          </w:tcPr>
          <w:p>
            <w:pPr>
              <w:spacing w:line="264" w:lineRule="auto"/>
              <w:jc w:val="right"/>
            </w:pPr>
            <w:r>
              <w:rPr>
                <w:b w:val="0"/>
                <w:i w:val="0"/>
                <w:sz w:val="18"/>
              </w:rPr>
              <w:t>EGP 17.3 / 16.7</w:t>
            </w:r>
          </w:p>
        </w:tc>
      </w:tr>
    </w:tbl>
    <w:p>
      <w:pPr>
        <w:spacing w:after="40"/>
      </w:pPr>
    </w:p>
    <w:p>
      <w:pPr>
        <w:spacing w:after="120" w:line="264" w:lineRule="auto"/>
      </w:pPr>
      <w:r>
        <w:rPr>
          <w:b/>
          <w:i w:val="0"/>
          <w:color w:val="1C3A36"/>
          <w:sz w:val="21"/>
        </w:rPr>
        <w:t xml:space="preserve">Worked example. </w:t>
      </w:r>
      <w:r>
        <w:rPr>
          <w:b w:val="0"/>
          <w:i w:val="0"/>
          <w:sz w:val="21"/>
        </w:rPr>
        <w:t>EGP 1,428 mn of FCFE against EGP 997.66 mn of dividends leaves ~EGP 430 mn of true retained cash - the growth is nearly self-consuming, and that is the base year, not a stress case.</w:t>
      </w:r>
    </w:p>
    <w:p>
      <w:pPr>
        <w:spacing w:after="120" w:line="264" w:lineRule="auto"/>
      </w:pPr>
      <w:r>
        <w:rPr>
          <w:b w:val="0"/>
          <w:i w:val="0"/>
          <w:sz w:val="21"/>
        </w:rPr>
        <w:t>Discounted, the stream is worth EGP 11.5 bn or EGP 17.3/share; I centre at 16.7 on conservative conversion because the FY25 balance-sheet split is still estimated.</w:t>
      </w:r>
    </w:p>
    <w:p>
      <w:pPr>
        <w:spacing w:after="120" w:line="264" w:lineRule="auto"/>
      </w:pPr>
      <w:r>
        <w:rPr>
          <w:b w:val="0"/>
          <w:i w:val="0"/>
          <w:sz w:val="21"/>
        </w:rPr>
        <w:t>Grant a genuine normalization - NWC easing to 24% of revenue as the tufted mix and US plants shorten the pipeline - and the same machine is worth ~EGP 19.5: my bull case is other people's base case, which is the definition of a margin of safety.</w:t>
      </w:r>
    </w:p>
    <w:p>
      <w:pPr>
        <w:spacing w:after="120" w:line="264" w:lineRule="auto"/>
      </w:pPr>
      <w:r>
        <w:rPr>
          <w:b/>
          <w:i w:val="0"/>
          <w:color w:val="1C3A36"/>
          <w:sz w:val="21"/>
        </w:rPr>
        <w:t xml:space="preserve">Sensitivity on the swing input. </w:t>
      </w:r>
      <w:r>
        <w:rPr>
          <w:b w:val="0"/>
          <w:i w:val="0"/>
          <w:sz w:val="21"/>
        </w:rPr>
        <w:t>Working-capital intensity is the swing; the gross margin is the amplifier.</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NWC 24 / 28 / 32% of revenue</w:t>
            </w:r>
          </w:p>
        </w:tc>
        <w:tc>
          <w:tcPr>
            <w:tcW w:type="dxa" w:w="3168"/>
          </w:tcPr>
          <w:p>
            <w:pPr>
              <w:spacing w:line="264" w:lineRule="auto"/>
              <w:jc w:val="right"/>
            </w:pPr>
            <w:r>
              <w:rPr>
                <w:b w:val="0"/>
                <w:i w:val="0"/>
                <w:sz w:val="18"/>
              </w:rPr>
              <w:t>19.5 / 17.3 / 15.0</w:t>
            </w:r>
          </w:p>
        </w:tc>
      </w:tr>
      <w:tr>
        <w:tc>
          <w:tcPr>
            <w:tcW w:type="dxa" w:w="4896"/>
            <w:shd w:val="clear" w:fill="EFF3F1"/>
          </w:tcPr>
          <w:p>
            <w:pPr>
              <w:spacing w:line="264" w:lineRule="auto"/>
            </w:pPr>
            <w:r>
              <w:rPr>
                <w:b w:val="0"/>
                <w:i w:val="0"/>
                <w:color w:val="1C3A36"/>
                <w:sz w:val="18"/>
              </w:rPr>
              <w:t>Gross margin +/-1 pt</w:t>
            </w:r>
          </w:p>
        </w:tc>
        <w:tc>
          <w:tcPr>
            <w:tcW w:type="dxa" w:w="3168"/>
            <w:shd w:val="clear" w:fill="EFF3F1"/>
          </w:tcPr>
          <w:p>
            <w:pPr>
              <w:spacing w:line="264" w:lineRule="auto"/>
              <w:jc w:val="right"/>
            </w:pPr>
            <w:r>
              <w:rPr>
                <w:b w:val="0"/>
                <w:i w:val="0"/>
                <w:sz w:val="18"/>
              </w:rPr>
              <w:t>+/- ~2.0</w:t>
            </w:r>
          </w:p>
        </w:tc>
      </w:tr>
      <w:tr>
        <w:tc>
          <w:tcPr>
            <w:tcW w:type="dxa" w:w="4896"/>
          </w:tcPr>
          <w:p>
            <w:pPr>
              <w:spacing w:line="264" w:lineRule="auto"/>
            </w:pPr>
            <w:r>
              <w:rPr>
                <w:b w:val="0"/>
                <w:i w:val="0"/>
                <w:color w:val="1C3A36"/>
                <w:sz w:val="18"/>
              </w:rPr>
              <w:t>Ke 22 / 24 / 26%</w:t>
            </w:r>
          </w:p>
        </w:tc>
        <w:tc>
          <w:tcPr>
            <w:tcW w:type="dxa" w:w="3168"/>
          </w:tcPr>
          <w:p>
            <w:pPr>
              <w:spacing w:line="264" w:lineRule="auto"/>
              <w:jc w:val="right"/>
            </w:pPr>
            <w:r>
              <w:rPr>
                <w:b w:val="0"/>
                <w:i w:val="0"/>
                <w:sz w:val="18"/>
              </w:rPr>
              <w:t>19.5 / 17.3 / 15.5</w:t>
            </w:r>
          </w:p>
        </w:tc>
      </w:tr>
    </w:tbl>
    <w:p>
      <w:pPr>
        <w:spacing w:after="40"/>
      </w:pPr>
    </w:p>
    <w:p>
      <w:pPr>
        <w:spacing w:after="120" w:line="264" w:lineRule="auto"/>
      </w:pPr>
      <w:r>
        <w:rPr>
          <w:b/>
          <w:i w:val="0"/>
          <w:color w:val="1C3A36"/>
          <w:sz w:val="21"/>
        </w:rPr>
        <w:t xml:space="preserve">Cross-examination. </w:t>
      </w:r>
      <w:r>
        <w:rPr>
          <w:b w:val="0"/>
          <w:i w:val="0"/>
          <w:sz w:val="21"/>
        </w:rPr>
        <w:t>To Expert 1: your 7x sits on an EPS whose other-income line I cannot audit from outside - EGP 1.1 bn of 'interest, FX and other' in FY25 is a third of the profit, and your 'recurring 500' is a guess wearing a haircut. Until the consolidated statements split that line, the signed cash flow is the only base I will discount.</w:t>
      </w:r>
    </w:p>
    <w:p>
      <w:pPr>
        <w:spacing w:after="120" w:line="264" w:lineRule="auto"/>
      </w:pPr>
      <w:r>
        <w:rPr>
          <w:b w:val="0"/>
          <w:i w:val="0"/>
          <w:sz w:val="21"/>
        </w:rPr>
        <w:t>To Expert 3: agreed the pound made these margins - that is precisely why I refuse to capitalize them at par; but note your own scenario A worsens my ratio, because a devaluation inflates the inventory float in EGP terms faster than it inflates the profit.</w:t>
      </w:r>
    </w:p>
    <w:p>
      <w:pPr>
        <w:spacing w:after="120" w:line="264" w:lineRule="auto"/>
      </w:pPr>
      <w:r>
        <w:rPr>
          <w:b/>
          <w:i w:val="0"/>
          <w:color w:val="1C3A36"/>
          <w:sz w:val="21"/>
        </w:rPr>
        <w:t xml:space="preserve">Verdict, falsification, and what the price implies. </w:t>
      </w:r>
      <w:r>
        <w:rPr>
          <w:b w:val="0"/>
          <w:i w:val="0"/>
          <w:sz w:val="21"/>
        </w:rPr>
        <w:t>Fair ~EGP 16.7 (15-19). At 22.34 the market pays ~10x my sustainable free cash flow - full, for a business whose growth eats its own lunch.</w:t>
      </w:r>
    </w:p>
    <w:p>
      <w:pPr>
        <w:spacing w:after="120" w:line="264" w:lineRule="auto"/>
      </w:pPr>
      <w:r>
        <w:rPr>
          <w:b w:val="0"/>
          <w:i w:val="0"/>
          <w:sz w:val="21"/>
        </w:rPr>
        <w:t>Price-implied: spot needs conversion at ~75%+ or a permanently lower Ke; neither has ever printed for two consecutive years in this company's modern history. Falsification: a full year with cash conversion (FCFE/attributable profit) above 85% while revenue still grows double digits - proving the working-capital cycle has structurally eased.</w:t>
      </w:r>
    </w:p>
    <w:p>
      <w:pPr>
        <w:spacing w:before="160" w:after="120" w:line="264" w:lineRule="auto"/>
      </w:pPr>
      <w:r>
        <w:rPr>
          <w:b/>
          <w:i w:val="0"/>
          <w:color w:val="1C3A36"/>
          <w:sz w:val="24"/>
        </w:rPr>
        <w:t>D.3  Expert 3 - the EGP, the rebates and the tariff - value as a policy triangle</w:t>
      </w:r>
    </w:p>
    <w:p>
      <w:pPr>
        <w:spacing w:after="120" w:line="264" w:lineRule="auto"/>
      </w:pPr>
      <w:r>
        <w:rPr>
          <w:b/>
          <w:i w:val="0"/>
          <w:color w:val="1C3A36"/>
          <w:sz w:val="21"/>
        </w:rPr>
        <w:t xml:space="preserve">Worldview and tradition. </w:t>
      </w:r>
      <w:r>
        <w:rPr>
          <w:b w:val="0"/>
          <w:i w:val="0"/>
          <w:sz w:val="21"/>
        </w:rPr>
        <w:t>For an Egyptian exporter with USD revenues and EGP costs, the operating margin is set in three offices, none of them the company's: the central bank (the pound), the finance ministry (the export-rebate program), and Washington (the tariff schedule). Model the triangle and the carpet business prices itself.</w:t>
      </w:r>
    </w:p>
    <w:p>
      <w:pPr>
        <w:spacing w:after="120" w:line="264" w:lineRule="auto"/>
      </w:pPr>
      <w:r>
        <w:rPr>
          <w:b w:val="0"/>
          <w:i w:val="0"/>
          <w:sz w:val="21"/>
        </w:rPr>
        <w:t>The tradition is regime analysis for policy-geared industrials: when 60-64% of revenue is exported and the AGM itself blames fading rebates for a flat year, a point estimate is a coin call - the honest output is the weighted tree and its width.</w:t>
      </w:r>
    </w:p>
    <w:p>
      <w:pPr>
        <w:spacing w:after="120" w:line="264" w:lineRule="auto"/>
      </w:pPr>
      <w:r>
        <w:rPr>
          <w:b w:val="0"/>
          <w:i w:val="0"/>
          <w:sz w:val="21"/>
        </w:rPr>
        <w:t>The offices are nameable and their calendars are public: the CBE's FX regime reviews, the annual export-support budget line, and the US trade file that already carries a ~10% baseline on Egyptian goods.</w:t>
      </w:r>
    </w:p>
    <w:p>
      <w:pPr>
        <w:spacing w:after="120" w:line="264" w:lineRule="auto"/>
      </w:pPr>
      <w:r>
        <w:rPr>
          <w:b/>
          <w:i w:val="0"/>
          <w:color w:val="1C3A36"/>
          <w:sz w:val="21"/>
        </w:rPr>
        <w:t xml:space="preserve">When it works / when it fails. </w:t>
      </w:r>
      <w:r>
        <w:rPr>
          <w:b w:val="0"/>
          <w:i w:val="0"/>
          <w:sz w:val="21"/>
        </w:rPr>
        <w:t>Works when policy variables dominate the spread - here the export book, the local cost base and the rebate line make the case unambiguous. Fails on the franchise layer: showroom share, the tufted 'MAC' ramp and US retail listings answer to management, not ministries, and my tree prices them only crudely inside each branch.</w:t>
      </w:r>
    </w:p>
    <w:p>
      <w:pPr>
        <w:spacing w:after="120" w:line="264" w:lineRule="auto"/>
      </w:pPr>
      <w:r>
        <w:rPr>
          <w:b w:val="0"/>
          <w:i w:val="0"/>
          <w:sz w:val="21"/>
        </w:rPr>
        <w:t>I anchor the probabilities on checkable things - the real-exchange-rate gap, the export-support budget's fiscal cost, the tariff docket - and publish them to be argued with.</w:t>
      </w:r>
    </w:p>
    <w:p>
      <w:pPr>
        <w:spacing w:after="120" w:line="264" w:lineRule="auto"/>
      </w:pPr>
      <w:r>
        <w:rPr>
          <w:b w:val="0"/>
          <w:i w:val="0"/>
          <w:sz w:val="21"/>
        </w:rPr>
        <w:t>It is the lens that names what a buyer at 22.34 is actually long: the pound's history, extrapolated.</w:t>
      </w:r>
    </w:p>
    <w:p>
      <w:pPr>
        <w:spacing w:after="120" w:line="264" w:lineRule="auto"/>
      </w:pPr>
      <w:r>
        <w:rPr>
          <w:b/>
          <w:i w:val="0"/>
          <w:color w:val="1C3A36"/>
          <w:sz w:val="21"/>
        </w:rPr>
        <w:t xml:space="preserve">Standard workings. </w:t>
      </w:r>
      <w:r>
        <w:rPr>
          <w:b w:val="0"/>
          <w:i w:val="0"/>
          <w:sz w:val="21"/>
        </w:rPr>
        <w:t>Three regimes on the pound-rebate-tariff triangle, each a full re-solve of the model's margin and other-income lines - no branch borrows a convenient multiple.</w:t>
      </w:r>
    </w:p>
    <w:p>
      <w:pPr>
        <w:spacing w:after="120" w:line="264" w:lineRule="auto"/>
      </w:pPr>
      <w:r>
        <w:rPr>
          <w:b w:val="0"/>
          <w:i w:val="0"/>
          <w:sz w:val="21"/>
        </w:rPr>
        <w:t>Scenario A replays the FY23 playbook (devaluation pass-through plus restored rebates); C is the squeeze from all three offices at once.</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Scenario</w:t>
            </w:r>
          </w:p>
        </w:tc>
        <w:tc>
          <w:tcPr>
            <w:tcW w:type="dxa" w:w="3168"/>
            <w:shd w:val="clear" w:fill="1C3A36"/>
          </w:tcPr>
          <w:p>
            <w:pPr>
              <w:spacing w:line="264" w:lineRule="auto"/>
              <w:jc w:val="right"/>
            </w:pPr>
            <w:r>
              <w:rPr>
                <w:b/>
                <w:i w:val="0"/>
                <w:color w:val="FFFFFF"/>
                <w:sz w:val="18"/>
              </w:rPr>
              <w:t>Value / prob.</w:t>
            </w:r>
          </w:p>
        </w:tc>
      </w:tr>
      <w:tr>
        <w:tc>
          <w:tcPr>
            <w:tcW w:type="dxa" w:w="4896"/>
          </w:tcPr>
          <w:p>
            <w:pPr>
              <w:spacing w:line="264" w:lineRule="auto"/>
            </w:pPr>
            <w:r>
              <w:rPr>
                <w:b w:val="0"/>
                <w:i w:val="0"/>
                <w:color w:val="1C3A36"/>
                <w:sz w:val="18"/>
              </w:rPr>
              <w:t>A - new EGP leg + rebates restored: FY23 playbook</w:t>
            </w:r>
          </w:p>
        </w:tc>
        <w:tc>
          <w:tcPr>
            <w:tcW w:type="dxa" w:w="3168"/>
          </w:tcPr>
          <w:p>
            <w:pPr>
              <w:spacing w:line="264" w:lineRule="auto"/>
              <w:jc w:val="right"/>
            </w:pPr>
            <w:r>
              <w:rPr>
                <w:b w:val="0"/>
                <w:i w:val="0"/>
                <w:sz w:val="18"/>
              </w:rPr>
              <w:t>~EGP 28 / 30%</w:t>
            </w:r>
          </w:p>
        </w:tc>
      </w:tr>
      <w:tr>
        <w:tc>
          <w:tcPr>
            <w:tcW w:type="dxa" w:w="4896"/>
            <w:shd w:val="clear" w:fill="EFF3F1"/>
          </w:tcPr>
          <w:p>
            <w:pPr>
              <w:spacing w:line="264" w:lineRule="auto"/>
            </w:pPr>
            <w:r>
              <w:rPr>
                <w:b w:val="0"/>
                <w:i w:val="0"/>
                <w:color w:val="1C3A36"/>
                <w:sz w:val="18"/>
              </w:rPr>
              <w:t>B - base: crawling peg, partial rebates, 10% tariff absorbed</w:t>
            </w:r>
          </w:p>
        </w:tc>
        <w:tc>
          <w:tcPr>
            <w:tcW w:type="dxa" w:w="3168"/>
            <w:shd w:val="clear" w:fill="EFF3F1"/>
          </w:tcPr>
          <w:p>
            <w:pPr>
              <w:spacing w:line="264" w:lineRule="auto"/>
              <w:jc w:val="right"/>
            </w:pPr>
            <w:r>
              <w:rPr>
                <w:b w:val="0"/>
                <w:i w:val="0"/>
                <w:sz w:val="18"/>
              </w:rPr>
              <w:t>~EGP 21 / 45%</w:t>
            </w:r>
          </w:p>
        </w:tc>
      </w:tr>
      <w:tr>
        <w:tc>
          <w:tcPr>
            <w:tcW w:type="dxa" w:w="4896"/>
          </w:tcPr>
          <w:p>
            <w:pPr>
              <w:spacing w:line="264" w:lineRule="auto"/>
            </w:pPr>
            <w:r>
              <w:rPr>
                <w:b w:val="0"/>
                <w:i w:val="0"/>
                <w:color w:val="1C3A36"/>
                <w:sz w:val="18"/>
              </w:rPr>
              <w:t>C - firm pound, rebates lapse, tariffs bite the US book</w:t>
            </w:r>
          </w:p>
        </w:tc>
        <w:tc>
          <w:tcPr>
            <w:tcW w:type="dxa" w:w="3168"/>
          </w:tcPr>
          <w:p>
            <w:pPr>
              <w:spacing w:line="264" w:lineRule="auto"/>
              <w:jc w:val="right"/>
            </w:pPr>
            <w:r>
              <w:rPr>
                <w:b w:val="0"/>
                <w:i w:val="0"/>
                <w:sz w:val="18"/>
              </w:rPr>
              <w:t>~EGP 15 / 25%</w:t>
            </w:r>
          </w:p>
        </w:tc>
      </w:tr>
      <w:tr>
        <w:tc>
          <w:tcPr>
            <w:tcW w:type="dxa" w:w="4896"/>
            <w:shd w:val="clear" w:fill="EFF3F1"/>
          </w:tcPr>
          <w:p>
            <w:pPr>
              <w:spacing w:line="264" w:lineRule="auto"/>
            </w:pPr>
            <w:r>
              <w:rPr>
                <w:b w:val="0"/>
                <w:i w:val="0"/>
                <w:color w:val="1C3A36"/>
                <w:sz w:val="18"/>
              </w:rPr>
              <w:t>Probability-weighted</w:t>
            </w:r>
          </w:p>
        </w:tc>
        <w:tc>
          <w:tcPr>
            <w:tcW w:type="dxa" w:w="3168"/>
            <w:shd w:val="clear" w:fill="EFF3F1"/>
          </w:tcPr>
          <w:p>
            <w:pPr>
              <w:spacing w:line="264" w:lineRule="auto"/>
              <w:jc w:val="right"/>
            </w:pPr>
            <w:r>
              <w:rPr>
                <w:b w:val="0"/>
                <w:i w:val="0"/>
                <w:sz w:val="18"/>
              </w:rPr>
              <w:t>~EGP 21.6</w:t>
            </w:r>
          </w:p>
        </w:tc>
      </w:tr>
    </w:tbl>
    <w:p>
      <w:pPr>
        <w:spacing w:after="40"/>
      </w:pPr>
    </w:p>
    <w:p>
      <w:pPr>
        <w:spacing w:after="120" w:line="264" w:lineRule="auto"/>
      </w:pPr>
      <w:r>
        <w:rPr>
          <w:b/>
          <w:i w:val="0"/>
          <w:color w:val="1C3A36"/>
          <w:sz w:val="21"/>
        </w:rPr>
        <w:t xml:space="preserve">Worked example. </w:t>
      </w:r>
      <w:r>
        <w:rPr>
          <w:b w:val="0"/>
          <w:i w:val="0"/>
          <w:sz w:val="21"/>
        </w:rPr>
        <w:t>0.30x28 + 0.45x21 + 0.25x15 = EGP 21.6/share, with an honest EGP 15-28 span that measures Cairo's and Washington's choices, not Oriental Weavers' looms.</w:t>
      </w:r>
    </w:p>
    <w:p>
      <w:pPr>
        <w:spacing w:after="120" w:line="264" w:lineRule="auto"/>
      </w:pPr>
      <w:r>
        <w:rPr>
          <w:b w:val="0"/>
          <w:i w:val="0"/>
          <w:sz w:val="21"/>
        </w:rPr>
        <w:t>The per-unit arithmetic: each 10% EGP depreciation is worth roughly +1.5-2 gross-margin points on the export book, or ~+EGP 3-4/share capitalized; a full rebate lapse costs ~EGP 2-3/share; a tariff step-up compounds on roughly a third of sales routed to the Americas.</w:t>
      </w:r>
    </w:p>
    <w:p>
      <w:pPr>
        <w:spacing w:after="120" w:line="264" w:lineRule="auto"/>
      </w:pPr>
      <w:r>
        <w:rPr>
          <w:b w:val="0"/>
          <w:i w:val="0"/>
          <w:sz w:val="21"/>
        </w:rPr>
        <w:t>Width read: thirteen pounds of span on a 22 price says the position is a policy trade with an income statement attached - and the cheapest hedge against my own scenario C is the company's US plants, which sit inside the tariff wall.</w:t>
      </w:r>
    </w:p>
    <w:p>
      <w:pPr>
        <w:spacing w:after="120" w:line="264" w:lineRule="auto"/>
      </w:pPr>
      <w:r>
        <w:rPr>
          <w:b/>
          <w:i w:val="0"/>
          <w:color w:val="1C3A36"/>
          <w:sz w:val="21"/>
        </w:rPr>
        <w:t xml:space="preserve">Sensitivity on the swing input. </w:t>
      </w:r>
      <w:r>
        <w:rPr>
          <w:b w:val="0"/>
          <w:i w:val="0"/>
          <w:sz w:val="21"/>
        </w:rPr>
        <w:t>The pound is the swing; the rebate file and the tariff are the modifiers.</w:t>
      </w:r>
    </w:p>
    <w:tbl>
      <w:tblPr>
        <w:tblStyle w:val="TableGrid"/>
        <w:tblW w:type="auto" w:w="0"/>
        <w:tblLook w:firstColumn="1" w:firstRow="1" w:lastColumn="0" w:lastRow="0" w:noHBand="0" w:noVBand="1" w:val="04A0"/>
      </w:tblPr>
      <w:tblGrid>
        <w:gridCol w:w="4968"/>
        <w:gridCol w:w="4968"/>
      </w:tblGrid>
      <w:tr>
        <w:tc>
          <w:tcPr>
            <w:tcW w:type="dxa" w:w="4896"/>
            <w:shd w:val="clear" w:fill="1C3A36"/>
          </w:tcPr>
          <w:p>
            <w:pPr>
              <w:spacing w:line="264" w:lineRule="auto"/>
            </w:pPr>
            <w:r>
              <w:rPr>
                <w:b/>
                <w:i w:val="0"/>
                <w:color w:val="FFFFFF"/>
                <w:sz w:val="18"/>
              </w:rPr>
              <w:t>Swing input</w:t>
            </w:r>
          </w:p>
        </w:tc>
        <w:tc>
          <w:tcPr>
            <w:tcW w:type="dxa" w:w="3168"/>
            <w:shd w:val="clear" w:fill="1C3A36"/>
          </w:tcPr>
          <w:p>
            <w:pPr>
              <w:spacing w:line="264" w:lineRule="auto"/>
              <w:jc w:val="right"/>
            </w:pPr>
            <w:r>
              <w:rPr>
                <w:b/>
                <w:i w:val="0"/>
                <w:color w:val="FFFFFF"/>
                <w:sz w:val="18"/>
              </w:rPr>
              <w:t>Fair value (EGP/sh)</w:t>
            </w:r>
          </w:p>
        </w:tc>
      </w:tr>
      <w:tr>
        <w:tc>
          <w:tcPr>
            <w:tcW w:type="dxa" w:w="4896"/>
          </w:tcPr>
          <w:p>
            <w:pPr>
              <w:spacing w:line="264" w:lineRule="auto"/>
            </w:pPr>
            <w:r>
              <w:rPr>
                <w:b w:val="0"/>
                <w:i w:val="0"/>
                <w:color w:val="1C3A36"/>
                <w:sz w:val="18"/>
              </w:rPr>
              <w:t>EGP -10% (devaluation)</w:t>
            </w:r>
          </w:p>
        </w:tc>
        <w:tc>
          <w:tcPr>
            <w:tcW w:type="dxa" w:w="3168"/>
          </w:tcPr>
          <w:p>
            <w:pPr>
              <w:spacing w:line="264" w:lineRule="auto"/>
              <w:jc w:val="right"/>
            </w:pPr>
            <w:r>
              <w:rPr>
                <w:b w:val="0"/>
                <w:i w:val="0"/>
                <w:sz w:val="18"/>
              </w:rPr>
              <w:t>+ ~3-4</w:t>
            </w:r>
          </w:p>
        </w:tc>
      </w:tr>
      <w:tr>
        <w:tc>
          <w:tcPr>
            <w:tcW w:type="dxa" w:w="4896"/>
            <w:shd w:val="clear" w:fill="EFF3F1"/>
          </w:tcPr>
          <w:p>
            <w:pPr>
              <w:spacing w:line="264" w:lineRule="auto"/>
            </w:pPr>
            <w:r>
              <w:rPr>
                <w:b w:val="0"/>
                <w:i w:val="0"/>
                <w:color w:val="1C3A36"/>
                <w:sz w:val="18"/>
              </w:rPr>
              <w:t>Export-rebate lapse (full)</w:t>
            </w:r>
          </w:p>
        </w:tc>
        <w:tc>
          <w:tcPr>
            <w:tcW w:type="dxa" w:w="3168"/>
            <w:shd w:val="clear" w:fill="EFF3F1"/>
          </w:tcPr>
          <w:p>
            <w:pPr>
              <w:spacing w:line="264" w:lineRule="auto"/>
              <w:jc w:val="right"/>
            </w:pPr>
            <w:r>
              <w:rPr>
                <w:b w:val="0"/>
                <w:i w:val="0"/>
                <w:sz w:val="18"/>
              </w:rPr>
              <w:t>- ~2-3</w:t>
            </w:r>
          </w:p>
        </w:tc>
      </w:tr>
      <w:tr>
        <w:tc>
          <w:tcPr>
            <w:tcW w:type="dxa" w:w="4896"/>
          </w:tcPr>
          <w:p>
            <w:pPr>
              <w:spacing w:line="264" w:lineRule="auto"/>
            </w:pPr>
            <w:r>
              <w:rPr>
                <w:b w:val="0"/>
                <w:i w:val="0"/>
                <w:color w:val="1C3A36"/>
                <w:sz w:val="18"/>
              </w:rPr>
              <w:t>US tariff step-up on Egypt</w:t>
            </w:r>
          </w:p>
        </w:tc>
        <w:tc>
          <w:tcPr>
            <w:tcW w:type="dxa" w:w="3168"/>
          </w:tcPr>
          <w:p>
            <w:pPr>
              <w:spacing w:line="264" w:lineRule="auto"/>
              <w:jc w:val="right"/>
            </w:pPr>
            <w:r>
              <w:rPr>
                <w:b w:val="0"/>
                <w:i w:val="0"/>
                <w:sz w:val="18"/>
              </w:rPr>
              <w:t>- ~1.5-2.5 (a third of sales)</w:t>
            </w:r>
          </w:p>
        </w:tc>
      </w:tr>
    </w:tbl>
    <w:p>
      <w:pPr>
        <w:spacing w:after="40"/>
      </w:pPr>
    </w:p>
    <w:p>
      <w:pPr>
        <w:spacing w:after="120" w:line="264" w:lineRule="auto"/>
      </w:pPr>
      <w:r>
        <w:rPr>
          <w:b/>
          <w:i w:val="0"/>
          <w:color w:val="1C3A36"/>
          <w:sz w:val="21"/>
        </w:rPr>
        <w:t xml:space="preserve">Cross-examination. </w:t>
      </w:r>
      <w:r>
        <w:rPr>
          <w:b w:val="0"/>
          <w:i w:val="0"/>
          <w:sz w:val="21"/>
        </w:rPr>
        <w:t>To Expert 1: your 'normal' year is scenario B wearing a suit - shift the pound 15% and your normalized EPS moves ~30% before the looms change speed; a base that policy can reprice overnight deserves a wider band than your 19-27.</w:t>
      </w:r>
    </w:p>
    <w:p>
      <w:pPr>
        <w:spacing w:after="120" w:line="264" w:lineRule="auto"/>
      </w:pPr>
      <w:r>
        <w:rPr>
          <w:b w:val="0"/>
          <w:i w:val="0"/>
          <w:sz w:val="21"/>
        </w:rPr>
        <w:t>To Expert 2: your cash-conversion drag is itself FX - inventory bought in weakening pounds and sold in dollars flatters the very profit you distrust, and in my scenario C your NWC ratio improves mechanically as the pipeline deflates; we are, embarrassingly, long and short the same currency.</w:t>
      </w:r>
    </w:p>
    <w:p>
      <w:pPr>
        <w:spacing w:after="120" w:line="264" w:lineRule="auto"/>
      </w:pPr>
      <w:r>
        <w:rPr>
          <w:b/>
          <w:i w:val="0"/>
          <w:color w:val="1C3A36"/>
          <w:sz w:val="21"/>
        </w:rPr>
        <w:t xml:space="preserve">Verdict, falsification, and what the price implies. </w:t>
      </w:r>
      <w:r>
        <w:rPr>
          <w:b w:val="0"/>
          <w:i w:val="0"/>
          <w:sz w:val="21"/>
        </w:rPr>
        <w:t>Fair ~EGP 21.6 (15-28, widest). Spot 22.34 sits on the base case with a small tilt toward the devaluation leg - the market is pricing the pound's history as its future.</w:t>
      </w:r>
    </w:p>
    <w:p>
      <w:pPr>
        <w:spacing w:after="120" w:line="264" w:lineRule="auto"/>
      </w:pPr>
      <w:r>
        <w:rPr>
          <w:b w:val="0"/>
          <w:i w:val="0"/>
          <w:sz w:val="21"/>
        </w:rPr>
        <w:t>Price-implied: spot weights my scenarios roughly 35/45/20 - a touch fatter on A than the real-rate arithmetic justifies today. The market, in one line, is long the next devaluation. Falsification: the policy print: a step-devaluation with the rebate program refunded confirms A; six months of a firm pound with the rebate file closed and tariffs enforced confirms C.</w:t>
      </w:r>
    </w:p>
    <w:p>
      <w:pPr>
        <w:spacing w:before="160" w:after="120" w:line="264" w:lineRule="auto"/>
      </w:pPr>
      <w:r>
        <w:rPr>
          <w:b/>
          <w:i w:val="0"/>
          <w:color w:val="1C3A36"/>
          <w:sz w:val="24"/>
        </w:rPr>
        <w:t>D.5  The three in one room</w:t>
      </w:r>
    </w:p>
    <w:p>
      <w:pPr>
        <w:spacing w:after="120" w:line="264" w:lineRule="auto"/>
      </w:pPr>
      <w:r>
        <w:rPr>
          <w:b w:val="0"/>
          <w:i w:val="0"/>
          <w:sz w:val="21"/>
        </w:rPr>
        <w:t>Put in one room, the three converge on one line: 'Net interest, FX &amp; other income - EGP 1,146 mn.' Expert 2 circles it: a third of the profit, and I cannot audit a pound of it from outside - show me the split or watch me discount it. Expert 1 shrugs: strip it to 500 and I still get 23 - the looms earn the multiple; you are arguing with a footnote while the dividend clears in cash every April. Expert 3 takes the pen and writes three words under the line: pound, rebate, tariff. That row is not income, he says - it is policy, booked quarterly, and both of you are capitalizing a ministry's mood. Whoever is right about that one line is right about the stock - and the FY25 consolidated statements, due within the quarter, will name the winner before the market does.</w:t>
      </w:r>
    </w:p>
    <w:p>
      <w:pPr>
        <w:spacing w:before="160" w:after="120" w:line="264" w:lineRule="auto"/>
      </w:pPr>
      <w:r>
        <w:rPr>
          <w:b/>
          <w:i w:val="0"/>
          <w:color w:val="1C3A36"/>
          <w:sz w:val="24"/>
        </w:rPr>
        <w:t>D.6  Reading the divergence</w:t>
      </w:r>
    </w:p>
    <w:p>
      <w:pPr>
        <w:spacing w:after="120" w:line="264" w:lineRule="auto"/>
      </w:pPr>
      <w:r>
        <w:rPr>
          <w:b w:val="0"/>
          <w:i w:val="0"/>
          <w:sz w:val="21"/>
        </w:rPr>
        <w:t>Base fair values of EGP 23.0 / 16.7 / 21.6 against spot 22.34 - the spread brackets the price from both sides. The single assumption driving each: Expert 1, the fair multiple on the recurring core (6-8x spans 19.8-26.4); Expert 2, cash conversion (NWC at 24-32% of revenue spans 19.5-15.0); Expert 3, the policy triangle (his legs span 15-28).</w:t>
      </w:r>
    </w:p>
    <w:p>
      <w:pPr>
        <w:spacing w:after="120" w:line="264" w:lineRule="auto"/>
      </w:pPr>
      <w:r>
        <w:rPr>
          <w:b w:val="0"/>
          <w:i w:val="0"/>
          <w:sz w:val="21"/>
        </w:rPr>
        <w:t>The divergence measures neither the looms nor the demand - it measures how much of a devaluation windfall a disciplined buyer may capitalize, and it has a calendar: the consolidated statements arbitrate Expert 2's line-split within the quarter, the April dividend tests Expert 1's payout arithmetic, and Cairo's next FX move settles Expert 3's tree before any earnings call does.</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1C3A36"/>
          </w:tcPr>
          <w:p>
            <w:pPr>
              <w:spacing w:line="264" w:lineRule="auto"/>
            </w:pPr>
            <w:r>
              <w:rPr>
                <w:b/>
                <w:i w:val="0"/>
                <w:color w:val="FFFFFF"/>
                <w:sz w:val="18"/>
              </w:rPr>
              <w:t>Expert</w:t>
            </w:r>
          </w:p>
        </w:tc>
        <w:tc>
          <w:tcPr>
            <w:tcW w:type="dxa" w:w="2592"/>
            <w:shd w:val="clear" w:fill="1C3A36"/>
          </w:tcPr>
          <w:p>
            <w:pPr>
              <w:spacing w:line="264" w:lineRule="auto"/>
              <w:jc w:val="right"/>
            </w:pPr>
            <w:r>
              <w:rPr>
                <w:b/>
                <w:i w:val="0"/>
                <w:color w:val="FFFFFF"/>
                <w:sz w:val="18"/>
              </w:rPr>
              <w:t>Method</w:t>
            </w:r>
          </w:p>
        </w:tc>
        <w:tc>
          <w:tcPr>
            <w:tcW w:type="dxa" w:w="2304"/>
            <w:shd w:val="clear" w:fill="1C3A36"/>
          </w:tcPr>
          <w:p>
            <w:pPr>
              <w:spacing w:line="264" w:lineRule="auto"/>
              <w:jc w:val="right"/>
            </w:pPr>
            <w:r>
              <w:rPr>
                <w:b/>
                <w:i w:val="0"/>
                <w:color w:val="FFFFFF"/>
                <w:sz w:val="18"/>
              </w:rPr>
              <w:t>Fair value (EGP)</w:t>
            </w:r>
          </w:p>
        </w:tc>
        <w:tc>
          <w:tcPr>
            <w:tcW w:type="dxa" w:w="3168"/>
            <w:shd w:val="clear" w:fill="1C3A36"/>
          </w:tcPr>
          <w:p>
            <w:pPr>
              <w:spacing w:line="264" w:lineRule="auto"/>
              <w:jc w:val="right"/>
            </w:pPr>
            <w:r>
              <w:rPr>
                <w:b/>
                <w:i w:val="0"/>
                <w:color w:val="FFFFFF"/>
                <w:sz w:val="18"/>
              </w:rPr>
              <w:t>Swing assumption</w:t>
            </w:r>
          </w:p>
        </w:tc>
      </w:tr>
      <w:tr>
        <w:tc>
          <w:tcPr>
            <w:tcW w:type="dxa" w:w="1728"/>
          </w:tcPr>
          <w:p>
            <w:pPr>
              <w:spacing w:line="264" w:lineRule="auto"/>
            </w:pPr>
            <w:r>
              <w:rPr>
                <w:b w:val="0"/>
                <w:i w:val="0"/>
                <w:color w:val="1C3A36"/>
                <w:sz w:val="18"/>
              </w:rPr>
              <w:t>Expert 1</w:t>
            </w:r>
          </w:p>
        </w:tc>
        <w:tc>
          <w:tcPr>
            <w:tcW w:type="dxa" w:w="2592"/>
          </w:tcPr>
          <w:p>
            <w:pPr>
              <w:spacing w:line="264" w:lineRule="auto"/>
              <w:jc w:val="right"/>
            </w:pPr>
            <w:r>
              <w:rPr>
                <w:b w:val="0"/>
                <w:i w:val="0"/>
                <w:sz w:val="18"/>
              </w:rPr>
              <w:t>Earnings power</w:t>
            </w:r>
          </w:p>
        </w:tc>
        <w:tc>
          <w:tcPr>
            <w:tcW w:type="dxa" w:w="2304"/>
          </w:tcPr>
          <w:p>
            <w:pPr>
              <w:spacing w:line="264" w:lineRule="auto"/>
              <w:jc w:val="right"/>
            </w:pPr>
            <w:r>
              <w:rPr>
                <w:b w:val="0"/>
                <w:i w:val="0"/>
                <w:sz w:val="18"/>
              </w:rPr>
              <w:t>23.0 (19-27)</w:t>
            </w:r>
          </w:p>
        </w:tc>
        <w:tc>
          <w:tcPr>
            <w:tcW w:type="dxa" w:w="3168"/>
          </w:tcPr>
          <w:p>
            <w:pPr>
              <w:spacing w:line="264" w:lineRule="auto"/>
              <w:jc w:val="right"/>
            </w:pPr>
            <w:r>
              <w:rPr>
                <w:b w:val="0"/>
                <w:i w:val="0"/>
                <w:sz w:val="18"/>
              </w:rPr>
              <w:t>Fair multiple on the recurring core</w:t>
            </w:r>
          </w:p>
        </w:tc>
      </w:tr>
      <w:tr>
        <w:tc>
          <w:tcPr>
            <w:tcW w:type="dxa" w:w="1728"/>
            <w:shd w:val="clear" w:fill="EFF3F1"/>
          </w:tcPr>
          <w:p>
            <w:pPr>
              <w:spacing w:line="264" w:lineRule="auto"/>
            </w:pPr>
            <w:r>
              <w:rPr>
                <w:b w:val="0"/>
                <w:i w:val="0"/>
                <w:color w:val="1C3A36"/>
                <w:sz w:val="18"/>
              </w:rPr>
              <w:t>Expert 2</w:t>
            </w:r>
          </w:p>
        </w:tc>
        <w:tc>
          <w:tcPr>
            <w:tcW w:type="dxa" w:w="2592"/>
            <w:shd w:val="clear" w:fill="EFF3F1"/>
          </w:tcPr>
          <w:p>
            <w:pPr>
              <w:spacing w:line="264" w:lineRule="auto"/>
              <w:jc w:val="right"/>
            </w:pPr>
            <w:r>
              <w:rPr>
                <w:b w:val="0"/>
                <w:i w:val="0"/>
                <w:sz w:val="18"/>
              </w:rPr>
              <w:t>Cash conversion</w:t>
            </w:r>
          </w:p>
        </w:tc>
        <w:tc>
          <w:tcPr>
            <w:tcW w:type="dxa" w:w="2304"/>
            <w:shd w:val="clear" w:fill="EFF3F1"/>
          </w:tcPr>
          <w:p>
            <w:pPr>
              <w:spacing w:line="264" w:lineRule="auto"/>
              <w:jc w:val="right"/>
            </w:pPr>
            <w:r>
              <w:rPr>
                <w:b w:val="0"/>
                <w:i w:val="0"/>
                <w:sz w:val="18"/>
              </w:rPr>
              <w:t>16.7 (15-19)</w:t>
            </w:r>
          </w:p>
        </w:tc>
        <w:tc>
          <w:tcPr>
            <w:tcW w:type="dxa" w:w="3168"/>
            <w:shd w:val="clear" w:fill="EFF3F1"/>
          </w:tcPr>
          <w:p>
            <w:pPr>
              <w:spacing w:line="264" w:lineRule="auto"/>
              <w:jc w:val="right"/>
            </w:pPr>
            <w:r>
              <w:rPr>
                <w:b w:val="0"/>
                <w:i w:val="0"/>
                <w:sz w:val="18"/>
              </w:rPr>
              <w:t>Working capital % of revenue</w:t>
            </w:r>
          </w:p>
        </w:tc>
      </w:tr>
      <w:tr>
        <w:tc>
          <w:tcPr>
            <w:tcW w:type="dxa" w:w="1728"/>
          </w:tcPr>
          <w:p>
            <w:pPr>
              <w:spacing w:line="264" w:lineRule="auto"/>
            </w:pPr>
            <w:r>
              <w:rPr>
                <w:b w:val="0"/>
                <w:i w:val="0"/>
                <w:color w:val="1C3A36"/>
                <w:sz w:val="18"/>
              </w:rPr>
              <w:t>Expert 3</w:t>
            </w:r>
          </w:p>
        </w:tc>
        <w:tc>
          <w:tcPr>
            <w:tcW w:type="dxa" w:w="2592"/>
          </w:tcPr>
          <w:p>
            <w:pPr>
              <w:spacing w:line="264" w:lineRule="auto"/>
              <w:jc w:val="right"/>
            </w:pPr>
            <w:r>
              <w:rPr>
                <w:b w:val="0"/>
                <w:i w:val="0"/>
                <w:sz w:val="18"/>
              </w:rPr>
              <w:t>Policy triangle</w:t>
            </w:r>
          </w:p>
        </w:tc>
        <w:tc>
          <w:tcPr>
            <w:tcW w:type="dxa" w:w="2304"/>
          </w:tcPr>
          <w:p>
            <w:pPr>
              <w:spacing w:line="264" w:lineRule="auto"/>
              <w:jc w:val="right"/>
            </w:pPr>
            <w:r>
              <w:rPr>
                <w:b w:val="0"/>
                <w:i w:val="0"/>
                <w:sz w:val="18"/>
              </w:rPr>
              <w:t>21.6 (15-28)</w:t>
            </w:r>
          </w:p>
        </w:tc>
        <w:tc>
          <w:tcPr>
            <w:tcW w:type="dxa" w:w="3168"/>
          </w:tcPr>
          <w:p>
            <w:pPr>
              <w:spacing w:line="264" w:lineRule="auto"/>
              <w:jc w:val="right"/>
            </w:pPr>
            <w:r>
              <w:rPr>
                <w:b w:val="0"/>
                <w:i w:val="0"/>
                <w:sz w:val="18"/>
              </w:rPr>
              <w:t>EGP x rebates x tariffs</w:t>
            </w:r>
          </w:p>
        </w:tc>
      </w:tr>
    </w:tbl>
    <w:p>
      <w:pPr>
        <w:spacing w:after="40"/>
      </w:pPr>
    </w:p>
    <w:p>
      <w:pPr>
        <w:jc w:val="center"/>
      </w:pPr>
      <w:r>
        <w:drawing>
          <wp:inline xmlns:a="http://schemas.openxmlformats.org/drawingml/2006/main" xmlns:pic="http://schemas.openxmlformats.org/drawingml/2006/picture">
            <wp:extent cx="5760720" cy="2541493"/>
            <wp:docPr id="9" name="Picture 9"/>
            <wp:cNvGraphicFramePr>
              <a:graphicFrameLocks noChangeAspect="1"/>
            </wp:cNvGraphicFramePr>
            <a:graphic>
              <a:graphicData uri="http://schemas.openxmlformats.org/drawingml/2006/picture">
                <pic:pic>
                  <pic:nvPicPr>
                    <pic:cNvPr id="0" name="ORWE_football.png"/>
                    <pic:cNvPicPr/>
                  </pic:nvPicPr>
                  <pic:blipFill>
                    <a:blip r:embed="rId9"/>
                    <a:stretch>
                      <a:fillRect/>
                    </a:stretch>
                  </pic:blipFill>
                  <pic:spPr>
                    <a:xfrm>
                      <a:off x="0" y="0"/>
                      <a:ext cx="5760720" cy="2541493"/>
                    </a:xfrm>
                    <a:prstGeom prst="rect"/>
                  </pic:spPr>
                </pic:pic>
              </a:graphicData>
            </a:graphic>
          </wp:inline>
        </w:drawing>
      </w:r>
    </w:p>
    <w:p>
      <w:pPr>
        <w:spacing w:line="264" w:lineRule="auto"/>
        <w:jc w:val="center"/>
      </w:pPr>
      <w:r>
        <w:rPr>
          <w:b w:val="0"/>
          <w:i/>
          <w:color w:val="666666"/>
          <w:sz w:val="16"/>
        </w:rPr>
        <w:t>Expert fair values vs spot</w:t>
      </w:r>
    </w:p>
    <w:p>
      <w:pPr>
        <w:spacing w:before="160" w:after="120" w:line="264" w:lineRule="auto"/>
      </w:pPr>
      <w:r>
        <w:rPr>
          <w:b/>
          <w:i w:val="0"/>
          <w:color w:val="1C3A36"/>
          <w:sz w:val="30"/>
        </w:rPr>
        <w:t>About this series</w:t>
      </w:r>
    </w:p>
    <w:p>
      <w:pPr>
        <w:spacing w:after="120" w:line="264" w:lineRule="auto"/>
      </w:pPr>
      <w:r>
        <w:rPr>
          <w:b w:val="0"/>
          <w:i w:val="0"/>
          <w:sz w:val="21"/>
        </w:rPr>
        <w:t>Testahil publishes independent, educational valuation studies. The house style is distributions, not tips: we describe ranges and probabilities, not targets. Studies are framed as educational analysis, the preparer is not licensed by any securities regulator, and holdings are disclosed.</w:t>
      </w:r>
    </w:p>
    <w:p>
      <w:pPr>
        <w:spacing w:before="160" w:after="120" w:line="264" w:lineRule="auto"/>
      </w:pPr>
      <w:r>
        <w:rPr>
          <w:b/>
          <w:i w:val="0"/>
          <w:color w:val="1C3A36"/>
          <w:sz w:val="30"/>
        </w:rPr>
        <w:t>Disclosure &amp; Disclaimer</w:t>
      </w:r>
    </w:p>
    <w:p>
      <w:pPr>
        <w:spacing w:after="120" w:line="264" w:lineRule="auto"/>
      </w:pPr>
      <w:r>
        <w:rPr>
          <w:b/>
          <w:i w:val="0"/>
          <w:color w:val="1C3A36"/>
          <w:sz w:val="18"/>
        </w:rPr>
        <w:t xml:space="preserve">Not investment advice. </w:t>
      </w:r>
      <w:r>
        <w:rPr>
          <w:b w:val="0"/>
          <w:i w:val="0"/>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20" w:line="264" w:lineRule="auto"/>
      </w:pPr>
      <w:r>
        <w:rPr>
          <w:b/>
          <w:i w:val="0"/>
          <w:color w:val="1C3A36"/>
          <w:sz w:val="18"/>
        </w:rPr>
        <w:t xml:space="preserve">No licence; no advisory relationship. </w:t>
      </w:r>
      <w:r>
        <w:rPr>
          <w:b w:val="0"/>
          <w:i w:val="0"/>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20" w:line="264" w:lineRule="auto"/>
      </w:pPr>
      <w:r>
        <w:rPr>
          <w:b/>
          <w:i w:val="0"/>
          <w:color w:val="1C3A36"/>
          <w:sz w:val="18"/>
        </w:rPr>
        <w:t xml:space="preserve">Holdings disclosure. </w:t>
      </w:r>
      <w:r>
        <w:rPr>
          <w:b w:val="0"/>
          <w:i w:val="0"/>
          <w:sz w:val="18"/>
        </w:rPr>
        <w:t>The preparer may hold, and may in the future take or dispose of, a position in the security discussed in this report, and may transact at any time without notice. This is a potential conflict of interest you should weigh.</w:t>
      </w:r>
    </w:p>
    <w:p>
      <w:pPr>
        <w:spacing w:after="120" w:line="264" w:lineRule="auto"/>
      </w:pPr>
      <w:r>
        <w:rPr>
          <w:b/>
          <w:i w:val="0"/>
          <w:color w:val="1C3A36"/>
          <w:sz w:val="18"/>
        </w:rPr>
        <w:t xml:space="preserve">Sources &amp; accuracy. </w:t>
      </w:r>
      <w:r>
        <w:rPr>
          <w:b w:val="0"/>
          <w:i w:val="0"/>
          <w:sz w:val="18"/>
        </w:rPr>
        <w:t>Reported financial and operating figures are drawn from the company's public disclosure and other public sources believed reliable but not independently verified; they may contain errors or be superseded. Forward-looking inputs are the preparer's own judgments and are inherently uncertain.</w:t>
      </w:r>
    </w:p>
    <w:p>
      <w:pPr>
        <w:spacing w:after="120" w:line="264" w:lineRule="auto"/>
      </w:pPr>
      <w:r>
        <w:rPr>
          <w:b/>
          <w:i w:val="0"/>
          <w:color w:val="1C3A36"/>
          <w:sz w:val="18"/>
        </w:rPr>
        <w:t xml:space="preserve">Forward-looking statements. </w:t>
      </w:r>
      <w:r>
        <w:rPr>
          <w:b w:val="0"/>
          <w:i w:val="0"/>
          <w:sz w:val="18"/>
        </w:rPr>
        <w:t>Any statements about the future are estimates subject to risks and uncertainties; actual results may differ materially. The Monte Carlo models price, not value, and encodes subjective probabilities for events that have not occurred.</w:t>
      </w:r>
    </w:p>
    <w:p>
      <w:pPr>
        <w:spacing w:after="120" w:line="264" w:lineRule="auto"/>
      </w:pPr>
      <w:r>
        <w:rPr>
          <w:b/>
          <w:i w:val="0"/>
          <w:color w:val="1C3A36"/>
          <w:sz w:val="18"/>
        </w:rPr>
        <w:t xml:space="preserve">No reliance; your responsibility. </w:t>
      </w:r>
      <w:r>
        <w:rPr>
          <w:b w:val="0"/>
          <w:i w:val="0"/>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20" w:line="264" w:lineRule="auto"/>
      </w:pPr>
      <w:r>
        <w:rPr>
          <w:b/>
          <w:i w:val="0"/>
          <w:color w:val="1C3A36"/>
          <w:sz w:val="18"/>
        </w:rPr>
        <w:t xml:space="preserve">Currency &amp; figures. </w:t>
      </w:r>
      <w:r>
        <w:rPr>
          <w:b w:val="0"/>
          <w:i w:val="0"/>
          <w:sz w:val="18"/>
        </w:rPr>
        <w:t>Group figures are in EGP. Rounding may cause totals to differ slightly. Spot price and market data are as of the study date and change continuously.</w:t>
      </w:r>
    </w:p>
    <w:p>
      <w:pPr>
        <w:spacing w:line="264" w:lineRule="auto"/>
      </w:pPr>
      <w:r>
        <w:rPr>
          <w:b w:val="0"/>
          <w:i/>
          <w:color w:val="666666"/>
          <w:sz w:val="16"/>
        </w:rPr>
        <w:t>TESTAHIL · Independent Valuation Study · Educational Analysis · Oriental Weavers Carpet Company (S.A.E.) (EGX: ORWE) · edition 01-07-2026 · reporting currency EGP</w:t>
      </w:r>
    </w:p>
    <w:sectPr w:rsidR="00FC693F" w:rsidRPr="0006063C" w:rsidSect="00034616">
      <w:pgSz w:w="12240" w:h="15840"/>
      <w:pgMar w:top="1181" w:right="1440" w:bottom="118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