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04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217</w:t>
            </w:r>
          </w:p>
        </w:tc>
      </w:tr>
      <w:tr>
        <w:tc>
          <w:tcPr>
            <w:tcW w:type="dxa" w:w="6236"/>
          </w:tcPr>
          <w:p>
            <w:r/>
            <w:r>
              <w:rPr>
                <w:color w:val="1A1D21"/>
                <w:sz w:val="18"/>
              </w:rPr>
              <w:t>Bind on a class of company (CLASS)</w:t>
            </w:r>
          </w:p>
        </w:tc>
        <w:tc>
          <w:tcPr>
            <w:tcW w:type="dxa" w:w="2721"/>
          </w:tcPr>
          <w:p>
            <w:r/>
            <w:r>
              <w:rPr>
                <w:color w:val="1A1D21"/>
                <w:sz w:val="18"/>
              </w:rPr>
              <w:t>25</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249</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174</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pPr>
        <w:keepNext/>
        <w:spacing w:before="240" w:after="60"/>
      </w:pPr>
      <w:r>
        <w:rPr>
          <w:b/>
          <w:color w:val="1A1D21"/>
          <w:sz w:val="22"/>
        </w:rPr>
        <w:t>L-328  Accumulated depreciation over the charge is the average age only where the charge is cost over life, and two DISCLOSED conditions break that</w:t>
      </w:r>
    </w:p>
    <w:p>
      <w:pPr>
        <w:keepNext/>
        <w:spacing w:after="100"/>
      </w:pPr>
      <w:r>
        <w:rPr>
          <w:b/>
          <w:color w:val="1D6FA3"/>
          <w:sz w:val="16"/>
        </w:rPr>
        <w:t>EVERY STUDY</w:t>
      </w:r>
      <w:r>
        <w:rPr>
          <w:color w:val="5B6570"/>
          <w:sz w:val="16"/>
        </w:rPr>
        <w:t xml:space="preserve">   applies to every study   ·   learned from a found while building, AIRARABIA, the third name the measured age was tried on, 4 September 2026</w:t>
      </w:r>
    </w:p>
    <w:p>
      <w:pPr>
        <w:spacing w:after="100"/>
      </w:pPr>
      <w:r>
        <w:rPr>
          <w:b w:val="0"/>
          <w:i w:val="0"/>
          <w:color w:val="1A1D21"/>
          <w:sz w:val="21"/>
        </w:rPr>
        <w:t>The identity holds because accumulated equals age times charge, which needs the annual charge to be cost divided by life. Where assets are depreciated to a RESIDUAL VALUE the charge is (cost less residual) over life, so the same accumulated balance buys more years and the ratio OVERSTATES the age; where a useful life has been REASSESSED mid-life the charge is not level across the base's history and the identity is broken outright rather than merely biased. Both are disclosed in the accounting-policies note, so both are checkable before the number is used. AND THE DISAGREEMENT ANNOUNCES ITSELF BEFORE THE NOTE DOES: compare the identity's implied life — depreciable gross cost over the charge — with the life the disclosed class rates weight to, and a large gap IS the accounts saying the charge is not cost over life. THE CHECK IS CIRCULAR WHERE A STUDY DERIVED ITS LIFE BY THE SAME IDENTITY, which is most of them, and saying so is part of running it — what does the work there is separate evidence that the charge is cost over life: a policy note writing off cost with no residual mentioned, a leg whose single disclosed life the identity reproduces, an implied life inside the disclosed range rather than outside it. AND THE ARITHMETIC IS NOT THE TEST, WHICH TOOK TWO MORE NAMES TO LEARN: SAVOLA's cross-check passes at 0.0% — it derived its life by the same identity — while its policy note says outright that the depreciable amount is cost LESS ITS RESIDUAL VALUE, and EMPOWER's age was APPLIED for part of a day before its own note was read and said the same thing. THREE OF THE FIVE NAMES TRIED FAIL THIS CONDITION and two pass, so a measured age is the exception rather than the rule. Read the note first; the arithmetic corroborates and only sometimes. And a safe error direction is not a reason to keep a number the accounts say is not measuring what it claims — EMPOWER's overstated age overstated maintenance and understated the value, and it was withdrawn anyway.</w:t>
      </w:r>
    </w:p>
    <w:p>
      <w:pPr>
        <w:spacing w:after="60"/>
        <w:ind w:left="283"/>
      </w:pPr>
      <w:r>
        <w:rPr>
          <w:b w:val="0"/>
          <w:i w:val="0"/>
          <w:color w:val="5B6570"/>
          <w:sz w:val="19"/>
        </w:rPr>
        <w:t>How we know.  AIRARABIA's identity-implied life came to 26.42 years against the 17.84 its own disclosed class lives weight to — 48% apart, which no rounding explains. Its policy note then says both things outright: depreciation writes off cost 'less their estimated residual values', and the group 'changed the estimated useful life applied to certain assets' during the year. The measured age of 14.32 years is therefore not that fleet's age, and applying it would have moved the study -9.7% on a terminal carrying 95% of enterprise value. Built, run, and NOT APPLIED. The three names that do carry the measured age all reproduce their adopted life to 0.0%, and that agreement proves nothing because they derived it the same way.</w:t>
      </w:r>
    </w:p>
    <w:p>
      <w:pPr>
        <w:spacing w:after="160"/>
        <w:ind w:left="283"/>
      </w:pPr>
      <w:r>
        <w:rPr>
          <w:b w:val="0"/>
          <w:i w:val="0"/>
          <w:color w:val="5B6570"/>
          <w:sz w:val="19"/>
        </w:rPr>
        <w:t>What would overturn it.  A residual small enough to be immaterial, or a reassessment old enough that the base has turned over since — in which case the identity is usable again, though the POLICY NOTE and not the cross-check is what would say so.</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