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28.56 – 137.73</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28.56 – 137.73</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28.56</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137.73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28.56</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137.73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142.93. What it takes to get there is the point: a terminal rate 200bp below the adopted one at the same time as terminal growth at the top of the tested range.</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84.85 – 108.12</w:t>
            </w:r>
          </w:p>
        </w:tc>
        <w:tc>
          <w:tcPr>
            <w:tcW w:type="dxa" w:w="1944"/>
          </w:tcPr>
          <w:p>
            <w:pPr>
              <w:spacing w:after="20"/>
              <w:jc w:val="right"/>
            </w:pPr>
            <w:r>
              <w:rPr>
                <w:color w:val="1C3A36"/>
                <w:sz w:val="17"/>
              </w:rPr>
              <w:t>23.27</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83.40 – 92.13</w:t>
            </w:r>
          </w:p>
        </w:tc>
        <w:tc>
          <w:tcPr>
            <w:tcW w:type="dxa" w:w="1944"/>
          </w:tcPr>
          <w:p>
            <w:pPr>
              <w:spacing w:after="20"/>
              <w:jc w:val="right"/>
            </w:pPr>
            <w:r>
              <w:rPr>
                <w:color w:val="1C3A36"/>
                <w:sz w:val="17"/>
              </w:rPr>
              <w:t>8.73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8.73 a share across a ±15% move, and it runs upward throughout: a higher metal price raises Cables' revenue and its working capital together, and raises the profit earned on that revenue hardly at all. Ranked by single-row swing, the segment-margin row is the LARGEST at EGP 73.70 a share, ahead of the terminal return-on-capital row at EGP 49.71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+0.0%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55,346</w:t>
            </w:r>
          </w:p>
        </w:tc>
        <w:tc>
          <w:tcPr>
            <w:tcW w:type="dxa" w:w="950"/>
            <w:shd w:val="clear" w:color="auto" w:fill="F6F1E6"/>
          </w:tcPr>
          <w:p>
            <w:pPr>
              <w:spacing w:after="20"/>
              <w:jc w:val="right"/>
            </w:pPr>
            <w:r>
              <w:rPr>
                <w:b/>
                <w:color w:val="1C3A36"/>
                <w:sz w:val="15"/>
              </w:rPr>
              <w:t>64,177</w:t>
            </w:r>
          </w:p>
        </w:tc>
        <w:tc>
          <w:tcPr>
            <w:tcW w:type="dxa" w:w="950"/>
            <w:shd w:val="clear" w:color="auto" w:fill="F6F1E6"/>
          </w:tcPr>
          <w:p>
            <w:pPr>
              <w:spacing w:after="20"/>
              <w:jc w:val="right"/>
            </w:pPr>
            <w:r>
              <w:rPr>
                <w:b/>
                <w:color w:val="1C3A36"/>
                <w:sz w:val="15"/>
              </w:rPr>
              <w:t>72,980</w:t>
            </w:r>
          </w:p>
        </w:tc>
        <w:tc>
          <w:tcPr>
            <w:tcW w:type="dxa" w:w="950"/>
            <w:shd w:val="clear" w:color="auto" w:fill="F6F1E6"/>
          </w:tcPr>
          <w:p>
            <w:pPr>
              <w:spacing w:after="20"/>
              <w:jc w:val="right"/>
            </w:pPr>
            <w:r>
              <w:rPr>
                <w:b/>
                <w:color w:val="1C3A36"/>
                <w:sz w:val="15"/>
              </w:rPr>
              <w:t>81,828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46,512</w:t>
            </w:r>
          </w:p>
        </w:tc>
        <w:tc>
          <w:tcPr>
            <w:tcW w:type="dxa" w:w="950"/>
          </w:tcPr>
          <w:p>
            <w:pPr>
              <w:spacing w:after="20"/>
              <w:jc w:val="right"/>
            </w:pPr>
            <w:r>
              <w:rPr>
                <w:color w:val="1C3A36"/>
                <w:sz w:val="15"/>
              </w:rPr>
              <w:t>54,041</w:t>
            </w:r>
          </w:p>
        </w:tc>
        <w:tc>
          <w:tcPr>
            <w:tcW w:type="dxa" w:w="950"/>
          </w:tcPr>
          <w:p>
            <w:pPr>
              <w:spacing w:after="20"/>
              <w:jc w:val="right"/>
            </w:pPr>
            <w:r>
              <w:rPr>
                <w:color w:val="1C3A36"/>
                <w:sz w:val="15"/>
              </w:rPr>
              <w:t>61,508</w:t>
            </w:r>
          </w:p>
        </w:tc>
        <w:tc>
          <w:tcPr>
            <w:tcW w:type="dxa" w:w="950"/>
          </w:tcPr>
          <w:p>
            <w:pPr>
              <w:spacing w:after="20"/>
              <w:jc w:val="right"/>
            </w:pPr>
            <w:r>
              <w:rPr>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(4,726)</w:t>
            </w:r>
          </w:p>
        </w:tc>
        <w:tc>
          <w:tcPr>
            <w:tcW w:type="dxa" w:w="950"/>
            <w:shd w:val="clear" w:color="auto" w:fill="F6F1E6"/>
          </w:tcPr>
          <w:p>
            <w:pPr>
              <w:spacing w:after="20"/>
              <w:jc w:val="right"/>
            </w:pPr>
            <w:r>
              <w:rPr>
                <w:b/>
                <w:color w:val="1C3A36"/>
                <w:sz w:val="15"/>
              </w:rPr>
              <w:t>(5,423)</w:t>
            </w:r>
          </w:p>
        </w:tc>
        <w:tc>
          <w:tcPr>
            <w:tcW w:type="dxa" w:w="950"/>
            <w:shd w:val="clear" w:color="auto" w:fill="F6F1E6"/>
          </w:tcPr>
          <w:p>
            <w:pPr>
              <w:spacing w:after="20"/>
              <w:jc w:val="right"/>
            </w:pPr>
            <w:r>
              <w:rPr>
                <w:b/>
                <w:color w:val="1C3A36"/>
                <w:sz w:val="15"/>
              </w:rPr>
              <w:t>(6,137)</w:t>
            </w:r>
          </w:p>
        </w:tc>
        <w:tc>
          <w:tcPr>
            <w:tcW w:type="dxa" w:w="950"/>
            <w:shd w:val="clear" w:color="auto" w:fill="F6F1E6"/>
          </w:tcPr>
          <w:p>
            <w:pPr>
              <w:spacing w:after="20"/>
              <w:jc w:val="right"/>
            </w:pPr>
            <w:r>
              <w:rPr>
                <w:b/>
                <w:color w:val="1C3A36"/>
                <w:sz w:val="15"/>
              </w:rPr>
              <w:t>(6,881)</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41,785</w:t>
            </w:r>
          </w:p>
        </w:tc>
        <w:tc>
          <w:tcPr>
            <w:tcW w:type="dxa" w:w="950"/>
          </w:tcPr>
          <w:p>
            <w:pPr>
              <w:spacing w:after="20"/>
              <w:jc w:val="right"/>
            </w:pPr>
            <w:r>
              <w:rPr>
                <w:color w:val="1C3A36"/>
                <w:sz w:val="15"/>
              </w:rPr>
              <w:t>48,618</w:t>
            </w:r>
          </w:p>
        </w:tc>
        <w:tc>
          <w:tcPr>
            <w:tcW w:type="dxa" w:w="950"/>
          </w:tcPr>
          <w:p>
            <w:pPr>
              <w:spacing w:after="20"/>
              <w:jc w:val="right"/>
            </w:pPr>
            <w:r>
              <w:rPr>
                <w:color w:val="1C3A36"/>
                <w:sz w:val="15"/>
              </w:rPr>
              <w:t>55,371</w:t>
            </w:r>
          </w:p>
        </w:tc>
        <w:tc>
          <w:tcPr>
            <w:tcW w:type="dxa" w:w="950"/>
          </w:tcPr>
          <w:p>
            <w:pPr>
              <w:spacing w:after="20"/>
              <w:jc w:val="right"/>
            </w:pPr>
            <w:r>
              <w:rPr>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(3,031)</w:t>
            </w:r>
          </w:p>
        </w:tc>
        <w:tc>
          <w:tcPr>
            <w:tcW w:type="dxa" w:w="950"/>
            <w:shd w:val="clear" w:color="auto" w:fill="F6F1E6"/>
          </w:tcPr>
          <w:p>
            <w:pPr>
              <w:spacing w:after="20"/>
              <w:jc w:val="right"/>
            </w:pPr>
            <w:r>
              <w:rPr>
                <w:b/>
                <w:color w:val="1C3A36"/>
                <w:sz w:val="15"/>
              </w:rPr>
              <w:t>(3,547)</w:t>
            </w:r>
          </w:p>
        </w:tc>
        <w:tc>
          <w:tcPr>
            <w:tcW w:type="dxa" w:w="950"/>
            <w:shd w:val="clear" w:color="auto" w:fill="F6F1E6"/>
          </w:tcPr>
          <w:p>
            <w:pPr>
              <w:spacing w:after="20"/>
              <w:jc w:val="right"/>
            </w:pPr>
            <w:r>
              <w:rPr>
                <w:b/>
                <w:color w:val="1C3A36"/>
                <w:sz w:val="15"/>
              </w:rPr>
              <w:t>(4,081)</w:t>
            </w:r>
          </w:p>
        </w:tc>
        <w:tc>
          <w:tcPr>
            <w:tcW w:type="dxa" w:w="950"/>
            <w:shd w:val="clear" w:color="auto" w:fill="F6F1E6"/>
          </w:tcPr>
          <w:p>
            <w:pPr>
              <w:spacing w:after="20"/>
              <w:jc w:val="right"/>
            </w:pPr>
            <w:r>
              <w:rPr>
                <w:b/>
                <w:color w:val="1C3A36"/>
                <w:sz w:val="15"/>
              </w:rPr>
              <w:t>(4,623)</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28,300</w:t>
            </w:r>
          </w:p>
        </w:tc>
        <w:tc>
          <w:tcPr>
            <w:tcW w:type="dxa" w:w="950"/>
          </w:tcPr>
          <w:p>
            <w:pPr>
              <w:spacing w:after="20"/>
              <w:jc w:val="right"/>
            </w:pPr>
            <w:r>
              <w:rPr>
                <w:color w:val="1C3A36"/>
                <w:sz w:val="15"/>
              </w:rPr>
              <w:t>33,119</w:t>
            </w:r>
          </w:p>
        </w:tc>
        <w:tc>
          <w:tcPr>
            <w:tcW w:type="dxa" w:w="950"/>
          </w:tcPr>
          <w:p>
            <w:pPr>
              <w:spacing w:after="20"/>
              <w:jc w:val="right"/>
            </w:pPr>
            <w:r>
              <w:rPr>
                <w:color w:val="1C3A36"/>
                <w:sz w:val="15"/>
              </w:rPr>
              <w:t>38,098</w:t>
            </w:r>
          </w:p>
        </w:tc>
        <w:tc>
          <w:tcPr>
            <w:tcW w:type="dxa" w:w="950"/>
          </w:tcPr>
          <w:p>
            <w:pPr>
              <w:spacing w:after="20"/>
              <w:jc w:val="right"/>
            </w:pPr>
            <w:r>
              <w:rPr>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23.27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67.00 – 154.52</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112.03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