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9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164</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165</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90"/>
          </w:tcPr>
          <w:p>
            <w:pPr>
              <w:spacing w:after="20"/>
            </w:pPr>
            <w:r>
              <w:rPr>
                <w:color w:val="1C3A36"/>
                <w:sz w:val="14"/>
              </w:rPr>
              <w:t>166</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167</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168</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169</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170</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171</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172</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173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174</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175</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176</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177</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178</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179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180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181</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182</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183</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184</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185</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186</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187</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188</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189</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190</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191</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192</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193</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194</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195</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197</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198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199</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200</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201</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202</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203</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204</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205</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208</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210</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14"/>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10.52%</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11.3%, which grows the profit by a year of terminal growth and leaves the capital base ungrown; that mismatch flatters the return by 74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