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50" w:type="dxa"/>
          <w:bottom w:w="90" w:type="dxa"/>
          <w:right w:w="150" w:type="dxa"/>
        </w:tblCellMar>
        <w:tblLook w:firstColumn="1" w:firstRow="1" w:lastColumn="0" w:lastRow="0" w:noHBand="0" w:noVBand="1" w:val="04A0"/>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 · revised 17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and revised 17 August 2026 following an external audit — the findings, dispositions and prices are catalogued in the accompanying critique-response note, and the register below reflects the revised inputs and constructions.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 85% of DXB CoolCo with the seller (Dubai Aviation City) retaining the 15% minority recognised at AED 157.5m, accounted for as a service concession under IFRIC 12 with a financial-asset receivable of AED 1,050.0m recovered over the concession, stated as "a term of 35 years from the commencement date (5 July 2023)" —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1.57</w:t>
            </w:r>
          </w:p>
        </w:tc>
        <w:tc>
          <w:tcPr>
            <w:tcW w:type="dxa" w:w="893"/>
          </w:tcPr>
          <w:p>
            <w:pPr>
              <w:spacing w:after="20"/>
            </w:pPr>
            <w:r>
              <w:rPr>
                <w:color w:val="1C3A36"/>
                <w:sz w:val="15"/>
              </w:rPr>
              <w:t>Market</w:t>
            </w:r>
          </w:p>
        </w:tc>
        <w:tc>
          <w:tcPr>
            <w:tcW w:type="dxa" w:w="1123"/>
          </w:tcPr>
          <w:p>
            <w:pPr>
              <w:spacing w:after="20"/>
            </w:pPr>
            <w:r>
              <w:rPr>
                <w:color w:val="1C3A36"/>
                <w:sz w:val="15"/>
              </w:rPr>
              <w:t>2026-09-03</w:t>
            </w:r>
          </w:p>
        </w:tc>
        <w:tc>
          <w:tcPr>
            <w:tcW w:type="dxa" w:w="7920"/>
          </w:tcPr>
          <w:p>
            <w:pPr>
              <w:spacing w:after="20"/>
            </w:pPr>
            <w:r>
              <w:rPr>
                <w:color w:val="1C3A36"/>
                <w:sz w:val="15"/>
              </w:rPr>
              <w:t>DFM close for EMPOWER, 3 September 2026, from the price file the principal supplied that day and committed to the repository. THE STUDY IS RE-STRUCK ON IT because no study is delivered against a stale price: the prior edition stood on the 7-August close of 1.50, and the stock has since risen 4.7%</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(the related-party acquisition receivables — concession-grantor financial asset under IFRIC 12 from Dubai Aviation City, and the Nakheel minimum-demand commitment),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256.4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 statement face (OCR, verified against the operating-profit identity to the dirham; CORRECTED 17-Aug-2026 — a first-pass extraction carried 246.577, which also closed the identity because 9.806 had been shifted between G&amp;A and other income)</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24.43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 statement face; note 29 composition: rental income 18.094 + government grant 2.780 + scrap 1.482 + others 2.074 (CORRECTED 17-Aug-2026 from a first-pass 14.624)</w:t>
            </w:r>
          </w:p>
        </w:tc>
      </w:tr>
      <w:tr>
        <w:tc>
          <w:tcPr>
            <w:tcW w:type="dxa" w:w="1872"/>
          </w:tcPr>
          <w:p>
            <w:pPr>
              <w:spacing w:after="20"/>
            </w:pPr>
            <w:r>
              <w:rPr>
                <w:color w:val="1C3A36"/>
                <w:sz w:val="15"/>
              </w:rPr>
              <w:t>rental fy25</w:t>
            </w:r>
          </w:p>
        </w:tc>
        <w:tc>
          <w:tcPr>
            <w:tcW w:type="dxa" w:w="2304"/>
          </w:tcPr>
          <w:p>
            <w:pPr>
              <w:spacing w:after="20"/>
            </w:pPr>
            <w:r>
              <w:rPr>
                <w:color w:val="1C3A36"/>
                <w:sz w:val="15"/>
              </w:rPr>
              <w:t>18.094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Rental income inside other income, FY2025 note 29 — the return on the investment properties the bridge adds at book, so it is EXCLUDED from operating EBITDA (double-count fix, critique CCU6 confirmed against the note)</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(15% of DXB CoolCo et al. — the H1-2026 subsidiary note shows Dxb CoolCo FZCO at 85%/85%), 30-Jun-2026 reviewed BS</w:t>
            </w:r>
          </w:p>
        </w:tc>
      </w:tr>
      <w:tr>
        <w:tc>
          <w:tcPr>
            <w:tcW w:type="dxa" w:w="1872"/>
          </w:tcPr>
          <w:p>
            <w:pPr>
              <w:spacing w:after="20"/>
            </w:pPr>
            <w:r>
              <w:rPr>
                <w:color w:val="1C3A36"/>
                <w:sz w:val="15"/>
              </w:rPr>
              <w:t>recv jun26</w:t>
            </w:r>
          </w:p>
        </w:tc>
        <w:tc>
          <w:tcPr>
            <w:tcW w:type="dxa" w:w="2304"/>
          </w:tcPr>
          <w:p>
            <w:pPr>
              <w:spacing w:after="20"/>
            </w:pPr>
            <w:r>
              <w:rPr>
                <w:color w:val="1C3A36"/>
                <w:sz w:val="15"/>
              </w:rPr>
              <w:t>1,294.4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amortised cost, 30-Jun-2026 reviewed BS: non-current 1,273.130 + current 21.312. Note 8 composition: AED 1,005.030 from Dubai Aviation City Corporation (DXB CoolCo acquisition, 2023) + AED 289.412 from Nakheel PJSC (Empower Snow acquisition, 2021) — related-party acquisition receivables under common control, NOT an operating concession asset. Clean financial-asset treatment adopted per critique (17-Aug-2026): interest income excluded from operating EBITDA/FCFF, asset added at book in the EV-to-equity bridge, and excluded from terminal invested capital</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0.863</w:t>
            </w:r>
          </w:p>
        </w:tc>
        <w:tc>
          <w:tcPr>
            <w:tcW w:type="dxa" w:w="893"/>
          </w:tcPr>
          <w:p>
            <w:pPr>
              <w:spacing w:after="20"/>
            </w:pPr>
            <w:r>
              <w:rPr>
                <w:color w:val="1C3A36"/>
                <w:sz w:val="15"/>
              </w:rPr>
              <w:t>Company</w:t>
            </w:r>
          </w:p>
        </w:tc>
        <w:tc>
          <w:tcPr>
            <w:tcW w:type="dxa" w:w="1123"/>
          </w:tcPr>
          <w:p>
            <w:pPr>
              <w:spacing w:after="20"/>
            </w:pPr>
            <w:r>
              <w:rPr>
                <w:color w:val="1C3A36"/>
                <w:sz w:val="15"/>
              </w:rPr>
              <w:t>2026-08-10</w:t>
            </w:r>
          </w:p>
        </w:tc>
        <w:tc>
          <w:tcPr>
            <w:tcW w:type="dxa" w:w="7920"/>
          </w:tcPr>
          <w:p>
            <w:pPr>
              <w:spacing w:after="20"/>
            </w:pPr>
            <w:r>
              <w:rPr>
                <w:color w:val="1C3A36"/>
                <w:sz w:val="15"/>
              </w:rPr>
              <w:t>Own-stock weekly regression vs the FTSE ADX General Index — the UAE base market index PER EXPLICIT INSTRUCTION 10-Aug-2026, replacing the listing exchange's own DFM General Index (that regression, beta 0.652, is retained as the archived comparison regression — priced as a full parallel valuation since the 17-Aug revision). User-supplied FADGI history 2011-2026; regression window 25-Nov-2022..24-Jul-2026 (3.66y, clipped at the index file's endpoint two weeks before the anchor): beta 0.863, R2 0.103, n 189, SE 0.186, CI90 [0.56, 1.17]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Cost-of-debt anchor = the company's own disclosed all-in borrowing cost (the accounting capitalisation rate on general borrowings, note 30 — an average, not a marginal print), struck after the 2025 refinancing into two AED 2.75bn revolving tranches at EIBOR + a REDUCED margin; per the H1-2026 borrowings note only ONE tranche has been extended (to Feb-2028) — the other still matures Sep-2027, a dated roll risk stated in the study; sits above the 4.48% AED sovereign as a same-currency corporate must (2024 comparison: 5.993%; 3M EIBOR ~3.9% in Aug-2026, 3.66% at end-March, + implied margin ~0.9-1.3%)</w:t>
            </w:r>
          </w:p>
        </w:tc>
      </w:tr>
      <w:tr>
        <w:tc>
          <w:tcPr>
            <w:tcW w:type="dxa" w:w="1872"/>
          </w:tcPr>
          <w:p>
            <w:pPr>
              <w:spacing w:after="20"/>
            </w:pPr>
            <w:r>
              <w:rPr>
                <w:color w:val="1C3A36"/>
                <w:sz w:val="15"/>
              </w:rPr>
              <w:t>asset life years</w:t>
            </w:r>
          </w:p>
        </w:tc>
        <w:tc>
          <w:tcPr>
            <w:tcW w:type="dxa" w:w="2304"/>
          </w:tcPr>
          <w:p>
            <w:pPr>
              <w:spacing w:after="20"/>
            </w:pPr>
            <w:r>
              <w:rPr>
                <w:color w:val="1C3A36"/>
                <w:sz w:val="15"/>
              </w:rPr>
              <w:t>28.0984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DERIVED BY IDENTITY from those notes' own cost and charge columns and LABELLED as derived, and READ BY OCR OFF THE RENDERED PIXELS because the filing carries no usable text layer (85 bytes across 85 pages) and its property note is printed landscape, so the page was rotated before it could be read. ARITHMETIC IS THE ARBITER AND THE EXTRACTION FOOTS FOUR WAYS: the cost columns sum to the printed total of 10,929,327; the accumulated-depreciation columns to 3,734,337; cost less accumulated reproduces the balance sheet's 7,194,990; and the year's charge of 352,199 splits to the 341,696 in cost of sales and 10,503 in general and administrative expenses the notes state separately. Property, plant and equipment 10,001,105 (total less land, which is never depreciated, and less capital work in progress, whose accumulated column is impairment rather than depreciation) over 352,199 gives 28.40 years; right-of-use 22,649 over 5,361 gives 4.22; intangibles are DISCLOSED at 30 years outright and their gross cost follows from the flat charge. Blended, 28.10 years, cross-checked at 27.88 on FY2024's own columns. The right-of-use figure does NOT match the 15-year equipment lease the note names, and the note explains why rather than contradicting it: the book is 19,997 of buildings against 2,652 of equipment, and the buildings are a head office and labour accommodation on ONE-YEAR terms</w:t>
            </w:r>
          </w:p>
        </w:tc>
      </w:tr>
      <w:tr>
        <w:tc>
          <w:tcPr>
            <w:tcW w:type="dxa" w:w="1872"/>
          </w:tcPr>
          <w:p>
            <w:pPr>
              <w:spacing w:after="20"/>
            </w:pPr>
            <w:r>
              <w:rPr>
                <w:color w:val="1C3A36"/>
                <w:sz w:val="15"/>
              </w:rPr>
              <w:t>accum dep fy25</w:t>
            </w:r>
          </w:p>
        </w:tc>
        <w:tc>
          <w:tcPr>
            <w:tcW w:type="dxa" w:w="2304"/>
          </w:tcPr>
          <w:p>
            <w:pPr>
              <w:spacing w:after="20"/>
            </w:pPr>
            <w:r>
              <w:rPr>
                <w:color w:val="1C3A36"/>
                <w:sz w:val="15"/>
              </w:rPr>
              <w:t>3,737.1</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and 6: accumulated depreciation at 31-Dec-2025 across the depreciable classes, less the capital-work-in-progress column which is impairment rather than depreciation. AED mn</w:t>
            </w:r>
          </w:p>
        </w:tc>
      </w:tr>
      <w:tr>
        <w:tc>
          <w:tcPr>
            <w:tcW w:type="dxa" w:w="1872"/>
          </w:tcPr>
          <w:p>
            <w:pPr>
              <w:spacing w:after="20"/>
            </w:pPr>
            <w:r>
              <w:rPr>
                <w:color w:val="1C3A36"/>
                <w:sz w:val="15"/>
              </w:rPr>
              <w:t>dep charge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Audited consolidated financial statements for the year ended 31 December 2025, signed 9 February 2026, obtained from the company's own investor-relations page, notes 5, 6 and 7: the year's own depreciation and amortisation charge on those classes. AED mn</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most RECENT AED sovereign print (4.50-year tenor; a longer Feb-2033 T-Sukuk exists — first 7-year AED tranche, AED 1,650m, ISIN AED01889C262 — whose last print, 4.13% in the April tap, predates the July repricing and is therefore not the anchor; both stated in the study. The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g1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Stage-one REAL growth, and it is the RESIDUE of a volume assumption rather than a rate anybody set: this company's tariff is REGULATED AND NOT INDEXED, so nominal revenue growth IS volume growth. The previous edition typed 2.5% nominal as the Dubai build-out rate (connected 1.7m of ~2.0m RT contracted), and on the house terminal inflation of 2.0% that is +0.49% real. STORING IT THIS WAY MOVES NO NUMBER HERE, which is the point worth recording: on a frozen-tariff business a typed nominal rate carries a meaning it does not carry elsewhere, and the storage rule makes that visible instead of leaving a reader to compute it</w:t>
            </w:r>
          </w:p>
        </w:tc>
      </w:tr>
      <w:tr>
        <w:tc>
          <w:tcPr>
            <w:tcW w:type="dxa" w:w="1872"/>
          </w:tcPr>
          <w:p>
            <w:pPr>
              <w:spacing w:after="20"/>
            </w:pPr>
            <w:r>
              <w:rPr>
                <w:color w:val="1C3A36"/>
                <w:sz w:val="15"/>
              </w:rPr>
              <w:t>g2 real</w:t>
            </w:r>
          </w:p>
        </w:tc>
        <w:tc>
          <w:tcPr>
            <w:tcW w:type="dxa" w:w="2304"/>
          </w:tcPr>
          <w:p>
            <w:pPr>
              <w:spacing w:after="20"/>
            </w:pPr>
            <w:r>
              <w:rPr>
                <w:color w:val="1C3A36"/>
                <w:sz w:val="15"/>
              </w:rPr>
              <w:t>-0.0049</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Stage-two REAL growth, and it is NEGATIVE — written down as the real number it is rather than left inside a nominal 1.5%. The previous edition set stage two at 1.5% nominal for 'long-run densification with about zero real tariff growth', and against 2.0% inflation that is a real DECLINE of 0.49% a year for ever. Under a tariff the regulator does not index, a business whose volume grows more slowly than prices shrinks in real terms by construction, and this rate says so</w:t>
            </w:r>
          </w:p>
        </w:tc>
      </w:tr>
      <w:tr>
        <w:tc>
          <w:tcPr>
            <w:tcW w:type="dxa" w:w="1872"/>
          </w:tcPr>
          <w:p>
            <w:pPr>
              <w:spacing w:after="20"/>
            </w:pPr>
            <w:r>
              <w:rPr>
                <w:color w:val="1C3A36"/>
                <w:sz w:val="15"/>
              </w:rPr>
              <w:t>g term derived</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Terminal growth, two-stage and now DERIVED from real rates rather than typed: 2.5% nominal for a ten-year second stage, which under the regulator's no-indexation rule is a VOLUME-ONLY figure (Dubai 2040 build-out, the contracted backlog and the 163-186 new-contracts/yr signing run-rate) and is +0.49% in real terms on the house long-run inflation of 2.0%; then a 1.5% perpetuity, which is -0.49% real — a real DECLINE, stated as one, for long-run densification with no real tariff growth. The published grid extends to 0% so the flat-everything end is visible. The former "long-run UAE nominal-GDP-consistent" label was wrong in the conservative direction (UAE nominal GDP CAGR 2024-29 about 5.7%) and is withdrawn</w:t>
            </w:r>
          </w:p>
        </w:tc>
      </w:tr>
      <w:tr>
        <w:tc>
          <w:tcPr>
            <w:tcW w:type="dxa" w:w="1872"/>
          </w:tcPr>
          <w:p>
            <w:pPr>
              <w:spacing w:after="20"/>
            </w:pPr>
            <w:r>
              <w:rPr>
                <w:color w:val="1C3A36"/>
                <w:sz w:val="15"/>
              </w:rPr>
              <w:t>g term2 derived</w:t>
            </w:r>
          </w:p>
        </w:tc>
        <w:tc>
          <w:tcPr>
            <w:tcW w:type="dxa" w:w="2304"/>
          </w:tcPr>
          <w:p>
            <w:pPr>
              <w:spacing w:after="20"/>
            </w:pPr>
            <w:r>
              <w:rPr>
                <w:color w:val="1C3A36"/>
                <w:sz w:val="15"/>
              </w:rPr>
              <w:t>0.015</w:t>
            </w:r>
          </w:p>
        </w:tc>
        <w:tc>
          <w:tcPr>
            <w:tcW w:type="dxa" w:w="893"/>
          </w:tcPr>
          <w:p>
            <w:pPr>
              <w:spacing w:after="20"/>
            </w:pPr>
            <w:r>
              <w:rPr>
                <w:color w:val="1C3A36"/>
                <w:sz w:val="15"/>
              </w:rPr>
              <w:t>House</w:t>
            </w:r>
          </w:p>
        </w:tc>
        <w:tc>
          <w:tcPr>
            <w:tcW w:type="dxa" w:w="1123"/>
          </w:tcPr>
          <w:p>
            <w:pPr>
              <w:spacing w:after="20"/>
            </w:pPr>
            <w:r>
              <w:rPr>
                <w:color w:val="1C3A36"/>
                <w:sz w:val="15"/>
              </w:rPr>
              <w:t>2026-09-03</w:t>
            </w:r>
          </w:p>
        </w:tc>
        <w:tc>
          <w:tcPr>
            <w:tcW w:type="dxa" w:w="7920"/>
          </w:tcPr>
          <w:p>
            <w:pPr>
              <w:spacing w:after="20"/>
            </w:pPr>
            <w:r>
              <w:rPr>
                <w:color w:val="1C3A36"/>
                <w:sz w:val="15"/>
              </w:rPr>
              <w:t>DERIVED: the same identity on the stage-two real rate, reproducing the previous edition's typed 1.50%%. A real DECLINE, stated as one.</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 — DUAL-FRAMED since the 17-Aug revision</w:t>
            </w:r>
          </w:p>
        </w:tc>
        <w:tc>
          <w:tcPr>
            <w:tcW w:type="dxa" w:w="4176"/>
          </w:tcPr>
          <w:p>
            <w:pPr>
              <w:spacing w:after="20"/>
            </w:pPr>
            <w:r>
              <w:rPr>
                <w:color w:val="1C3A36"/>
                <w:sz w:val="15"/>
              </w:rPr>
              <w:t>Usage per connected ton carries a 6% shock in 2026. The recovery (de-escalation) case restores the 2025 level through 2027; the continuation case — the world as it stood on the published facts at the anchor — is a full parallel model (2.041 against 2.100 per share on the primary lens; weighted centrals 1.81/1.84 at 9% tax). NEITHER is privileged as the base: the external audit established that the de-escalation the recovery case requires had not occurred at the anchor date, so the two are published side by side like the tax framings</w:t>
            </w:r>
          </w:p>
        </w:tc>
        <w:tc>
          <w:tcPr>
            <w:tcW w:type="dxa" w:w="3960"/>
          </w:tcPr>
          <w:p>
            <w:pPr>
              <w:spacing w:after="20"/>
            </w:pPr>
            <w:r>
              <w:rPr>
                <w:color w:val="1C3A36"/>
                <w:sz w:val="15"/>
              </w:rPr>
              <w:t>The interim notes tie the usage fall mainly to lower hospitality activity (the company's own attribution; weather minor); capacity connections kept growing through the same half, so the loss reads as demand-cyclical, not structural — but the macro condition for recovery is a fact about the war, not the company, and is not asserted</w:t>
            </w:r>
          </w:p>
        </w:tc>
        <w:tc>
          <w:tcPr>
            <w:tcW w:type="dxa" w:w="3816"/>
          </w:tcPr>
          <w:p>
            <w:pPr>
              <w:spacing w:after="20"/>
            </w:pPr>
            <w:r>
              <w:rPr>
                <w:color w:val="1C3A36"/>
                <w:sz w:val="15"/>
              </w:rPr>
              <w:t>De-escalation implemented (strait reopened, attack tempo fading) promotes the recovery case; two consecutive half-years with equivalent full-load hours below the 2026 trough retire it</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(1.944 against 2.100)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 — RELABELLED and RESTRUCTURED in the 17-Aug revision</w:t>
            </w:r>
          </w:p>
        </w:tc>
        <w:tc>
          <w:tcPr>
            <w:tcW w:type="dxa" w:w="4176"/>
          </w:tcPr>
          <w:p>
            <w:pPr>
              <w:spacing w:after="20"/>
            </w:pPr>
            <w:r>
              <w:rPr>
                <w:color w:val="1C3A36"/>
                <w:sz w:val="15"/>
              </w:rPr>
              <w:t>Two-stage: 2.5% VOLUME-ONLY for ten further years, then a 1.5% perpetuity; the published grid extends to 0.0%</w:t>
            </w:r>
          </w:p>
        </w:tc>
        <w:tc>
          <w:tcPr>
            <w:tcW w:type="dxa" w:w="3960"/>
          </w:tcPr>
          <w:p>
            <w:pPr>
              <w:spacing w:after="20"/>
            </w:pPr>
            <w:r>
              <w:rPr>
                <w:color w:val="1C3A36"/>
                <w:sz w:val="15"/>
              </w:rPr>
              <w:t>The regulator's tariff instrument bars indexation of capacity charges, so any perpetual growth must be volume; the ten-year stage rests on the Dubai 2040 build-out, the contracted backlog and the disclosed signing run-rate, and the former "nominal-GDP-consistent" label is withdrawn (it understated nominal GDP growth — an error in the conservative direction). The tension is stated: 2.5% volume growth forever would double the connected base every ~28 years, which is why the perpetuity steps down</w:t>
            </w:r>
          </w:p>
        </w:tc>
        <w:tc>
          <w:tcPr>
            <w:tcW w:type="dxa" w:w="3816"/>
          </w:tcPr>
          <w:p>
            <w:pPr>
              <w:spacing w:after="20"/>
            </w:pPr>
            <w:r>
              <w:rPr>
                <w:color w:val="1C3A36"/>
                <w:sz w:val="15"/>
              </w:rPr>
              <w:t>A new-emirate or acquisition-led expansion commitment (raises the bound), a tariff regime with escalation (impossible under the current instrument without a rule change), or connections stalling below the signing run-rate (lowers it)</w:t>
            </w:r>
          </w:p>
        </w:tc>
      </w:tr>
      <w:tr>
        <w:tc>
          <w:tcPr>
            <w:tcW w:type="dxa" w:w="2160"/>
          </w:tcPr>
          <w:p>
            <w:pPr>
              <w:spacing w:after="20"/>
            </w:pPr>
            <w:r>
              <w:rPr>
                <w:color w:val="1C3A36"/>
                <w:sz w:val="15"/>
              </w:rPr>
              <w:t>The valuation clock (stub convention) — ADOPTED in the 17-Aug revision</w:t>
            </w:r>
          </w:p>
        </w:tc>
        <w:tc>
          <w:tcPr>
            <w:tcW w:type="dxa" w:w="4176"/>
          </w:tcPr>
          <w:p>
            <w:pPr>
              <w:spacing w:after="20"/>
            </w:pPr>
            <w:r>
              <w:rPr>
                <w:color w:val="1C3A36"/>
                <w:sz w:val="15"/>
              </w:rPr>
              <w:t>Bridge and cash-flow clock BOTH at 30-Jun-2026: 2026 contributes its second half only, discounted at half a year; later year-ends at 1.5-4.5 years; terminal at 4.5</w:t>
            </w:r>
          </w:p>
        </w:tc>
        <w:tc>
          <w:tcPr>
            <w:tcW w:type="dxa" w:w="3960"/>
          </w:tcPr>
          <w:p>
            <w:pPr>
              <w:spacing w:after="20"/>
            </w:pPr>
            <w:r>
              <w:rPr>
                <w:color w:val="1C3A36"/>
                <w:sz w:val="15"/>
              </w:rPr>
              <w:t>The prior convention discounted the full 2026 year against the June balance sheet and so double-counted roughly AED 200m of first-half cash — the audit's finding, confirmed and repriced</w:t>
            </w:r>
          </w:p>
        </w:tc>
        <w:tc>
          <w:tcPr>
            <w:tcW w:type="dxa" w:w="3816"/>
          </w:tcPr>
          <w:p>
            <w:pPr>
              <w:spacing w:after="20"/>
            </w:pPr>
            <w:r>
              <w:rPr>
                <w:color w:val="1C3A36"/>
                <w:sz w:val="15"/>
              </w:rPr>
              <w:t>Nothing — this is now the dating convention, stated so the reader can reproduce the discounting</w:t>
            </w:r>
          </w:p>
        </w:tc>
      </w:tr>
      <w:tr>
        <w:tc>
          <w:tcPr>
            <w:tcW w:type="dxa" w:w="2160"/>
          </w:tcPr>
          <w:p>
            <w:pPr>
              <w:spacing w:after="20"/>
            </w:pPr>
            <w:r>
              <w:rPr>
                <w:color w:val="1C3A36"/>
                <w:sz w:val="15"/>
              </w:rPr>
              <w:t>The related-party acquisition receivables — CLEAN treatment since the 17-Aug revision</w:t>
            </w:r>
          </w:p>
        </w:tc>
        <w:tc>
          <w:tcPr>
            <w:tcW w:type="dxa" w:w="4176"/>
          </w:tcPr>
          <w:p>
            <w:pPr>
              <w:spacing w:after="20"/>
            </w:pPr>
            <w:r>
              <w:rPr>
                <w:color w:val="1C3A36"/>
                <w:sz w:val="15"/>
              </w:rPr>
              <w:t>Interest income excluded from operating EBITDA and free cash flow; the asset (AED 1,294.4m at 30-Jun-2026: Dubai Aviation City 1,005.0 + Nakheel 289.4) added at BOOK in the bridge; excluded from terminal invested capital. Rental income on the investment properties treated identically (excluded from operating earnings; the properties sit in the bridge at book)</w:t>
            </w:r>
          </w:p>
        </w:tc>
        <w:tc>
          <w:tcPr>
            <w:tcW w:type="dxa" w:w="3960"/>
          </w:tcPr>
          <w:p>
            <w:pPr>
              <w:spacing w:after="20"/>
            </w:pPr>
            <w:r>
              <w:rPr>
                <w:color w:val="1C3A36"/>
                <w:sz w:val="15"/>
              </w:rPr>
              <w:t>A financial asset's return cannot be capitalised as an operating perpetuity while the asset is also added — that prices it twice. The first edition's treatment was incoherent in exactly that way (audit finding, conceded); rental income was the same defect found by the re-check against the other-income note</w:t>
            </w:r>
          </w:p>
        </w:tc>
        <w:tc>
          <w:tcPr>
            <w:tcW w:type="dxa" w:w="3816"/>
          </w:tcPr>
          <w:p>
            <w:pPr>
              <w:spacing w:after="20"/>
            </w:pPr>
            <w:r>
              <w:rPr>
                <w:color w:val="1C3A36"/>
                <w:sz w:val="15"/>
              </w:rPr>
              <w:t>A disclosed impairment, restructuring or prepayment of either receivable — the book-value leg would then be re-marked</w:t>
            </w:r>
          </w:p>
        </w:tc>
      </w:tr>
      <w:tr>
        <w:tc>
          <w:tcPr>
            <w:tcW w:type="dxa" w:w="2160"/>
          </w:tcPr>
          <w:p>
            <w:pPr>
              <w:spacing w:after="20"/>
            </w:pPr>
            <w:r>
              <w:rPr>
                <w:color w:val="1C3A36"/>
                <w:sz w:val="15"/>
              </w:rPr>
              <w:t>The cost-of-capital construction — DUAL-FRAMED since the 17-Aug revision</w:t>
            </w:r>
          </w:p>
        </w:tc>
        <w:tc>
          <w:tcPr>
            <w:tcW w:type="dxa" w:w="4176"/>
          </w:tcPr>
          <w:p>
            <w:pPr>
              <w:spacing w:after="20"/>
            </w:pPr>
            <w:r>
              <w:rPr>
                <w:color w:val="1C3A36"/>
                <w:sz w:val="15"/>
              </w:rPr>
              <w:t>Base: target net-debt weights at 7.64%. Priced alternatives, each a full parallel valuation: gross-debt weights (7.26%, 2.251/share), net debt at its negative carry (7.81%, 2.036), and the listing-exchange (DFM) index beta (6.78%, 2.475)</w:t>
            </w:r>
          </w:p>
        </w:tc>
        <w:tc>
          <w:tcPr>
            <w:tcW w:type="dxa" w:w="3960"/>
          </w:tcPr>
          <w:p>
            <w:pPr>
              <w:spacing w:after="20"/>
            </w:pPr>
            <w:r>
              <w:rPr>
                <w:color w:val="1C3A36"/>
                <w:sz w:val="15"/>
              </w:rPr>
              <w:t>The audit's largest contested findings were constructions of the discount rate pulling in opposite directions; arbitration on coherence and company policy (net-debt target ~2x EBITDA, payout ≈ free cash flow to equity, so surplus cash is transient) keeps the target-net base — and every alternative is priced instead of argued away</w:t>
            </w:r>
          </w:p>
        </w:tc>
        <w:tc>
          <w:tcPr>
            <w:tcW w:type="dxa" w:w="3816"/>
          </w:tcPr>
          <w:p>
            <w:pPr>
              <w:spacing w:after="20"/>
            </w:pPr>
            <w:r>
              <w:rPr>
                <w:color w:val="1C3A36"/>
                <w:sz w:val="15"/>
              </w:rPr>
              <w:t>The company running a durable structural cash pile (promotes the carry construction) or de-rating its net-debt policy (promotes gross weights)</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most recent dirham sovereign print less the UAE's own default spread; beta 0.863 from the stock's own weekly history against the FTSE ADX General Index (adopted as the UAE market index by explicit instruction; the DFM-index regression, 0.652, is priced as a full parallel valuation since the 17-Aug revision); the published UAE equity risk premium; both spread bases computed (they converge: 8.24% against 8.28%)</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 The beta-index choice, by contrast, is worth a fifth of the primary lens and is therefore priced, not footnoted</w:t>
            </w:r>
          </w:p>
        </w:tc>
        <w:tc>
          <w:tcPr>
            <w:tcW w:type="dxa" w:w="3816"/>
          </w:tcPr>
          <w:p>
            <w:pPr>
              <w:spacing w:after="20"/>
            </w:pPr>
            <w:r>
              <w:rPr>
                <w:color w:val="1C3A36"/>
                <w:sz w:val="15"/>
              </w:rPr>
              <w:t>A longer LIQUID dirham sovereign print post-repricing (the stale Feb-2033 tap does not qualify and is named as such)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The tax framing keeps the interest shield in BOTH columns</w:t>
            </w:r>
          </w:p>
        </w:tc>
        <w:tc>
          <w:tcPr>
            <w:tcW w:type="dxa" w:w="4176"/>
          </w:tcPr>
          <w:p>
            <w:pPr>
              <w:spacing w:after="20"/>
            </w:pPr>
            <w:r>
              <w:rPr>
                <w:color w:val="1C3A36"/>
                <w:sz w:val="15"/>
              </w:rPr>
              <w:t>Both framings discount at 7.64%: the 15% minimum top-up is a minimum-effective-rate charge, not a higher statutory rate, so the 9% interest shield survives in the 15% column</w:t>
            </w:r>
          </w:p>
        </w:tc>
        <w:tc>
          <w:tcPr>
            <w:tcW w:type="dxa" w:w="3960"/>
          </w:tcPr>
          <w:p>
            <w:pPr>
              <w:spacing w:after="20"/>
            </w:pPr>
            <w:r>
              <w:rPr>
                <w:color w:val="1C3A36"/>
                <w:sz w:val="15"/>
              </w:rPr>
              <w:t>Pillar-Two mechanics: the top-up restores the effective rate to the minimum; it does not change the statutory deductibility of interest — the audit's point, accepted and implemented</w:t>
            </w:r>
          </w:p>
        </w:tc>
        <w:tc>
          <w:tcPr>
            <w:tcW w:type="dxa" w:w="3816"/>
          </w:tcPr>
          <w:p>
            <w:pPr>
              <w:spacing w:after="20"/>
            </w:pPr>
            <w:r>
              <w:rPr>
                <w:color w:val="1C3A36"/>
                <w:sz w:val="15"/>
              </w:rPr>
              <w:t>UAE implementing rules explicitly recomputing the debt shield at the top-up rate for in-scope entities</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80" w:type="dxa"/>
          <w:bottom w:w="40" w:type="dxa"/>
          <w:right w:w="80" w:type="dxa"/>
        </w:tblCellMar>
        <w:tblLook w:firstColumn="1" w:firstRow="1" w:lastColumn="0" w:lastRow="0" w:noHBand="0" w:noVBand="1" w:val="04A0"/>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Market index series for the beta regression</w:t>
            </w:r>
          </w:p>
        </w:tc>
        <w:tc>
          <w:tcPr>
            <w:tcW w:type="dxa" w:w="6048"/>
          </w:tcPr>
          <w:p>
            <w:pPr>
              <w:spacing w:after="20"/>
            </w:pPr>
            <w:r>
              <w:rPr>
                <w:color w:val="1C3A36"/>
                <w:sz w:val="16"/>
              </w:rPr>
              <w:t>The FTSE ADX General Index history used (supplied export) ends at 24-Jul-2026, two weeks before the anchor date, so the regression window clips there. The previously used DFM General Index series (an aggregator pull, ~a fifth of sessions missing, ending 16-Jul-2026) is retained only as the archived comparison regression (beta 0.652 against 0.863 adopted)</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 — RESOLVED in the 17-Aug revision</w:t>
            </w:r>
          </w:p>
        </w:tc>
        <w:tc>
          <w:tcPr>
            <w:tcW w:type="dxa" w:w="6048"/>
          </w:tcPr>
          <w:p>
            <w:pPr>
              <w:spacing w:after="20"/>
            </w:pPr>
            <w:r>
              <w:rPr>
                <w:color w:val="1C3A36"/>
                <w:sz w:val="16"/>
              </w:rPr>
              <w:t>The first edition treated the truce status as an unresolved disagreement between sources and leaned on the stale reading ("holding since 8 April"). The dated timeline record, externally re-verified for the revision, is unambiguous: the ceasefire was declared over on 8 July, the Strait of Hormuz was closed from 11 July (US blockade 14 July) and remained closed at the 7 August anchor, and an ADNOC tanker was attacked at sea on 8 August</w:t>
            </w:r>
          </w:p>
        </w:tc>
        <w:tc>
          <w:tcPr>
            <w:tcW w:type="dxa" w:w="5328"/>
          </w:tcPr>
          <w:p>
            <w:pPr>
              <w:spacing w:after="20"/>
            </w:pPr>
            <w:r>
              <w:rPr>
                <w:color w:val="1C3A36"/>
                <w:sz w:val="16"/>
              </w:rPr>
              <w:t>The study now states the anchor-date facts plainly, relabels the cases so that recovery is conditioned on a de-escalation that had not occurred, publishes the continuation central beside it, and carries a dated 17-August postscript for the newest events (tankers hit 12/14 August; Iran-Oman reopening agreement announced and the formal ceasefire ended 17 August)</w:t>
            </w:r>
          </w:p>
        </w:tc>
      </w:tr>
      <w:tr>
        <w:tc>
          <w:tcPr>
            <w:tcW w:type="dxa" w:w="2736"/>
          </w:tcPr>
          <w:p>
            <w:pPr>
              <w:spacing w:after="20"/>
            </w:pPr>
            <w:r>
              <w:rPr>
                <w:color w:val="1C3A36"/>
                <w:sz w:val="16"/>
              </w:rPr>
              <w:t>The study's own first edition vs the external audit — recorded on the same terms as any other source discrepancy</w:t>
            </w:r>
          </w:p>
        </w:tc>
        <w:tc>
          <w:tcPr>
            <w:tcW w:type="dxa" w:w="6048"/>
          </w:tcPr>
          <w:p>
            <w:pPr>
              <w:spacing w:after="20"/>
            </w:pPr>
            <w:r>
              <w:rPr>
                <w:color w:val="1C3A36"/>
                <w:sz w:val="16"/>
              </w:rPr>
              <w:t>The audit found the first edition carrying a stale ceasefire reading (above); missing the regulator's current tariff instrument (v1.3 of 17-Sep-2025 and v1.4 of 6-Feb-2026, with explicit caps and the no-indexation rule) and the Nov-2025 fees-and-fines resolution; overstating the refinancing scope (one tranche extended, not both); a receivable shown at its current portion in three balance-sheet columns; and a stale peer mark. The re-check that followed also found, and this register discloses, a FY2025 statement-face mis-split (G&amp;A 256.383 / other income 24.430, where the first pass carried 246.577 / 14.624 — both pairs close the operating-profit identity, which is why the assertion never caught it) and a rental-income double-count against the investment properties</w:t>
            </w:r>
          </w:p>
        </w:tc>
        <w:tc>
          <w:tcPr>
            <w:tcW w:type="dxa" w:w="5328"/>
          </w:tcPr>
          <w:p>
            <w:pPr>
              <w:spacing w:after="20"/>
            </w:pPr>
            <w:r>
              <w:rPr>
                <w:color w:val="1C3A36"/>
                <w:sz w:val="16"/>
              </w:rPr>
              <w:t>Every item is corrected in the revised deliverables; the full list with prices is in the accompanying critique-response note. The mis-split is a reminder that an identity check constrains SUMS, not splits — the note-level composition (note 29) is now the control</w:t>
            </w:r>
          </w:p>
        </w:tc>
      </w:tr>
      <w:tr>
        <w:tc>
          <w:tcPr>
            <w:tcW w:type="dxa" w:w="2736"/>
          </w:tcPr>
          <w:p>
            <w:pPr>
              <w:spacing w:after="20"/>
            </w:pPr>
            <w:r>
              <w:rPr>
                <w:color w:val="1C3A36"/>
                <w:sz w:val="16"/>
              </w:rPr>
              <w:t>Peer market value dating</w:t>
            </w:r>
          </w:p>
        </w:tc>
        <w:tc>
          <w:tcPr>
            <w:tcW w:type="dxa" w:w="6048"/>
          </w:tcPr>
          <w:p>
            <w:pPr>
              <w:spacing w:after="20"/>
            </w:pPr>
            <w:r>
              <w:rPr>
                <w:color w:val="1C3A36"/>
                <w:sz w:val="16"/>
              </w:rPr>
              <w:t>The relative lens was originally struck on a data-provider mark dated 22-Jun-2026 while the study anchored 7-Aug-2026 — the same input carrying two dates inside one document set, and the peer had itself sold off ~10% between them</w:t>
            </w:r>
          </w:p>
        </w:tc>
        <w:tc>
          <w:tcPr>
            <w:tcW w:type="dxa" w:w="5328"/>
          </w:tcPr>
          <w:p>
            <w:pPr>
              <w:spacing w:after="20"/>
            </w:pPr>
            <w:r>
              <w:rPr>
                <w:color w:val="1C3A36"/>
                <w:sz w:val="16"/>
              </w:rPr>
              <w:t>Peer marks are restruck on the anchor dates (Tabreed 2.46 on 6/7-Aug-2026; trailing multiple on trailing operating EBITDA, like-for-like) and the dating rule — one anchor for every market input — is stated</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