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10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wc_cr_fy24</w:t>
            </w:r>
          </w:p>
        </w:tc>
        <w:tc>
          <w:tcPr>
            <w:tcW w:type="dxa" w:w="1325"/>
          </w:tcPr>
          <w:p>
            <w:pPr>
              <w:spacing w:after="20"/>
            </w:pPr>
            <w:r>
              <w:rPr>
                <w:color w:val="1C3A36"/>
                <w:sz w:val="14"/>
              </w:rPr>
              <w:t>22.8536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164</w:t>
            </w:r>
          </w:p>
        </w:tc>
        <w:tc>
          <w:tcPr>
            <w:tcW w:type="dxa" w:w="2448"/>
          </w:tcPr>
          <w:p>
            <w:pPr>
              <w:spacing w:after="20"/>
            </w:pPr>
            <w:r>
              <w:rPr>
                <w:color w:val="1C3A36"/>
                <w:sz w:val="14"/>
              </w:rPr>
              <w:t>wc_cr_fy25</w:t>
            </w:r>
          </w:p>
        </w:tc>
        <w:tc>
          <w:tcPr>
            <w:tcW w:type="dxa" w:w="1325"/>
          </w:tcPr>
          <w:p>
            <w:pPr>
              <w:spacing w:after="20"/>
            </w:pPr>
            <w:r>
              <w:rPr>
                <w:color w:val="1C3A36"/>
                <w:sz w:val="14"/>
              </w:rPr>
              <w:t>471.358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creditors and other credit balances'</w:t>
            </w:r>
          </w:p>
        </w:tc>
        <w:tc>
          <w:tcPr>
            <w:tcW w:type="dxa" w:w="1210"/>
          </w:tcPr>
          <w:p>
            <w:pPr>
              <w:spacing w:after="20"/>
            </w:pPr>
            <w:r>
              <w:rPr>
                <w:color w:val="1C3A36"/>
                <w:sz w:val="14"/>
              </w:rPr>
              <w:t>2025-12-31</w:t>
            </w:r>
          </w:p>
        </w:tc>
      </w:tr>
      <w:tr>
        <w:tc>
          <w:tcPr>
            <w:tcW w:type="dxa" w:w="490"/>
          </w:tcPr>
          <w:p>
            <w:pPr>
              <w:spacing w:after="20"/>
            </w:pPr>
            <w:r>
              <w:rPr>
                <w:color w:val="1C3A36"/>
                <w:sz w:val="14"/>
              </w:rPr>
              <w:t>165</w:t>
            </w:r>
          </w:p>
        </w:tc>
        <w:tc>
          <w:tcPr>
            <w:tcW w:type="dxa" w:w="2448"/>
          </w:tcPr>
          <w:p>
            <w:pPr>
              <w:spacing w:after="20"/>
            </w:pPr>
            <w:r>
              <w:rPr>
                <w:color w:val="1C3A36"/>
                <w:sz w:val="14"/>
              </w:rPr>
              <w:t>wc_dr_fy24</w:t>
            </w:r>
          </w:p>
        </w:tc>
        <w:tc>
          <w:tcPr>
            <w:tcW w:type="dxa" w:w="1325"/>
          </w:tcPr>
          <w:p>
            <w:pPr>
              <w:spacing w:after="20"/>
            </w:pPr>
            <w:r>
              <w:rPr>
                <w:color w:val="1C3A36"/>
                <w:sz w:val="14"/>
              </w:rPr>
              <w:t>-412.5704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166</w:t>
            </w:r>
          </w:p>
        </w:tc>
        <w:tc>
          <w:tcPr>
            <w:tcW w:type="dxa" w:w="2448"/>
          </w:tcPr>
          <w:p>
            <w:pPr>
              <w:spacing w:after="20"/>
            </w:pPr>
            <w:r>
              <w:rPr>
                <w:color w:val="1C3A36"/>
                <w:sz w:val="14"/>
              </w:rPr>
              <w:t>wc_dr_fy25</w:t>
            </w:r>
          </w:p>
        </w:tc>
        <w:tc>
          <w:tcPr>
            <w:tcW w:type="dxa" w:w="1325"/>
          </w:tcPr>
          <w:p>
            <w:pPr>
              <w:spacing w:after="20"/>
            </w:pPr>
            <w:r>
              <w:rPr>
                <w:color w:val="1C3A36"/>
                <w:sz w:val="14"/>
              </w:rPr>
              <w:t>-433.3856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debtors and other debit balances'</w:t>
            </w:r>
          </w:p>
        </w:tc>
        <w:tc>
          <w:tcPr>
            <w:tcW w:type="dxa" w:w="1210"/>
          </w:tcPr>
          <w:p>
            <w:pPr>
              <w:spacing w:after="20"/>
            </w:pPr>
            <w:r>
              <w:rPr>
                <w:color w:val="1C3A36"/>
                <w:sz w:val="14"/>
              </w:rPr>
              <w:t>2025-12-31</w:t>
            </w:r>
          </w:p>
        </w:tc>
      </w:tr>
      <w:tr>
        <w:tc>
          <w:tcPr>
            <w:tcW w:type="dxa" w:w="490"/>
          </w:tcPr>
          <w:p>
            <w:pPr>
              <w:spacing w:after="20"/>
            </w:pPr>
            <w:r>
              <w:rPr>
                <w:color w:val="1C3A36"/>
                <w:sz w:val="14"/>
              </w:rPr>
              <w:t>167</w:t>
            </w:r>
          </w:p>
        </w:tc>
        <w:tc>
          <w:tcPr>
            <w:tcW w:type="dxa" w:w="2448"/>
          </w:tcPr>
          <w:p>
            <w:pPr>
              <w:spacing w:after="20"/>
            </w:pPr>
            <w:r>
              <w:rPr>
                <w:color w:val="1C3A36"/>
                <w:sz w:val="14"/>
              </w:rPr>
              <w:t>wc_inv_fy24</w:t>
            </w:r>
          </w:p>
        </w:tc>
        <w:tc>
          <w:tcPr>
            <w:tcW w:type="dxa" w:w="1325"/>
          </w:tcPr>
          <w:p>
            <w:pPr>
              <w:spacing w:after="20"/>
            </w:pPr>
            <w:r>
              <w:rPr>
                <w:color w:val="1C3A36"/>
                <w:sz w:val="14"/>
              </w:rPr>
              <w:t>133.616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168</w:t>
            </w:r>
          </w:p>
        </w:tc>
        <w:tc>
          <w:tcPr>
            <w:tcW w:type="dxa" w:w="2448"/>
          </w:tcPr>
          <w:p>
            <w:pPr>
              <w:spacing w:after="20"/>
            </w:pPr>
            <w:r>
              <w:rPr>
                <w:color w:val="1C3A36"/>
                <w:sz w:val="14"/>
              </w:rPr>
              <w:t>wc_inv_fy25</w:t>
            </w:r>
          </w:p>
        </w:tc>
        <w:tc>
          <w:tcPr>
            <w:tcW w:type="dxa" w:w="1325"/>
          </w:tcPr>
          <w:p>
            <w:pPr>
              <w:spacing w:after="20"/>
            </w:pPr>
            <w:r>
              <w:rPr>
                <w:color w:val="1C3A36"/>
                <w:sz w:val="14"/>
              </w:rPr>
              <w:t>-201.1562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inventories'</w:t>
            </w:r>
          </w:p>
        </w:tc>
        <w:tc>
          <w:tcPr>
            <w:tcW w:type="dxa" w:w="1210"/>
          </w:tcPr>
          <w:p>
            <w:pPr>
              <w:spacing w:after="20"/>
            </w:pPr>
            <w:r>
              <w:rPr>
                <w:color w:val="1C3A36"/>
                <w:sz w:val="14"/>
              </w:rPr>
              <w:t>2025-12-31</w:t>
            </w:r>
          </w:p>
        </w:tc>
      </w:tr>
      <w:tr>
        <w:tc>
          <w:tcPr>
            <w:tcW w:type="dxa" w:w="490"/>
          </w:tcPr>
          <w:p>
            <w:pPr>
              <w:spacing w:after="20"/>
            </w:pPr>
            <w:r>
              <w:rPr>
                <w:color w:val="1C3A36"/>
                <w:sz w:val="14"/>
              </w:rPr>
              <w:t>169</w:t>
            </w:r>
          </w:p>
        </w:tc>
        <w:tc>
          <w:tcPr>
            <w:tcW w:type="dxa" w:w="2448"/>
          </w:tcPr>
          <w:p>
            <w:pPr>
              <w:spacing w:after="20"/>
            </w:pPr>
            <w:r>
              <w:rPr>
                <w:color w:val="1C3A36"/>
                <w:sz w:val="14"/>
              </w:rPr>
              <w:t>wc_pct_drev</w:t>
            </w:r>
          </w:p>
        </w:tc>
        <w:tc>
          <w:tcPr>
            <w:tcW w:type="dxa" w:w="1325"/>
          </w:tcPr>
          <w:p>
            <w:pPr>
              <w:spacing w:after="20"/>
            </w:pPr>
            <w:r>
              <w:rPr>
                <w:color w:val="1C3A36"/>
                <w:sz w:val="14"/>
              </w:rPr>
              <w:t>0.1228</w:t>
            </w:r>
          </w:p>
        </w:tc>
        <w:tc>
          <w:tcPr>
            <w:tcW w:type="dxa" w:w="1066"/>
          </w:tcPr>
          <w:p>
            <w:pPr>
              <w:spacing w:after="20"/>
            </w:pPr>
            <w:r>
              <w:rPr>
                <w:color w:val="1C3A36"/>
                <w:sz w:val="14"/>
              </w:rPr>
              <w:t>Company</w:t>
            </w:r>
          </w:p>
        </w:tc>
        <w:tc>
          <w:tcPr>
            <w:tcW w:type="dxa" w:w="7114"/>
          </w:tcPr>
          <w:p>
            <w:pPr>
              <w:spacing w:after="20"/>
            </w:pPr>
            <w:r>
              <w:rPr>
                <w:color w:val="1C3A36"/>
                <w:sz w:val="14"/>
              </w:rPr>
              <w:t>Change in working capital over change in revenue, DERIVED from the six working-capital movement lines the issuer's own statement of cash flows discloses for FY2025 and FY2024, pooled and divided by the revenue growth of the same two years: EGP 786.764mn invested against EGP 6404.489mn of revenue growth. The two years SEPARATELY are 4.30% and 18.06%, which is why neither is used alone. Revisions 1-4 typed 0.12 and justified it as the FY2025 outturn; the FY2025 outturn is 18.06%</w:t>
            </w:r>
          </w:p>
        </w:tc>
        <w:tc>
          <w:tcPr>
            <w:tcW w:type="dxa" w:w="1210"/>
          </w:tcPr>
          <w:p>
            <w:pPr>
              <w:spacing w:after="20"/>
            </w:pPr>
            <w:r>
              <w:rPr>
                <w:color w:val="1C3A36"/>
                <w:sz w:val="14"/>
              </w:rPr>
              <w:t>2025-12-31</w:t>
            </w:r>
          </w:p>
        </w:tc>
      </w:tr>
      <w:tr>
        <w:tc>
          <w:tcPr>
            <w:tcW w:type="dxa" w:w="490"/>
          </w:tcPr>
          <w:p>
            <w:pPr>
              <w:spacing w:after="20"/>
            </w:pPr>
            <w:r>
              <w:rPr>
                <w:color w:val="1C3A36"/>
                <w:sz w:val="14"/>
              </w:rPr>
              <w:t>170</w:t>
            </w:r>
          </w:p>
        </w:tc>
        <w:tc>
          <w:tcPr>
            <w:tcW w:type="dxa" w:w="2448"/>
          </w:tcPr>
          <w:p>
            <w:pPr>
              <w:spacing w:after="20"/>
            </w:pPr>
            <w:r>
              <w:rPr>
                <w:color w:val="1C3A36"/>
                <w:sz w:val="14"/>
              </w:rPr>
              <w:t>wc_pct_drev_fy24</w:t>
            </w:r>
          </w:p>
        </w:tc>
        <w:tc>
          <w:tcPr>
            <w:tcW w:type="dxa" w:w="1325"/>
          </w:tcPr>
          <w:p>
            <w:pPr>
              <w:spacing w:after="20"/>
            </w:pPr>
            <w:r>
              <w:rPr>
                <w:color w:val="1C3A36"/>
                <w:sz w:val="14"/>
              </w:rPr>
              <w:t>0.043</w:t>
            </w:r>
          </w:p>
        </w:tc>
        <w:tc>
          <w:tcPr>
            <w:tcW w:type="dxa" w:w="1066"/>
          </w:tcPr>
          <w:p>
            <w:pPr>
              <w:spacing w:after="20"/>
            </w:pPr>
            <w:r>
              <w:rPr>
                <w:color w:val="1C3A36"/>
                <w:sz w:val="14"/>
              </w:rPr>
              <w:t>Company</w:t>
            </w:r>
          </w:p>
        </w:tc>
        <w:tc>
          <w:tcPr>
            <w:tcW w:type="dxa" w:w="7114"/>
          </w:tcPr>
          <w:p>
            <w:pPr>
              <w:spacing w:after="20"/>
            </w:pPr>
            <w:r>
              <w:rPr>
                <w:color w:val="1C3A36"/>
                <w:sz w:val="14"/>
              </w:rPr>
              <w:t>The FY2024 outturn alone: EGP 115.488mn against EGP 2686.951mn. NOT USED — it is a quarter of the FY2025 figure, and two years that disagree four-fold are why neither is a basis on its own</w:t>
            </w:r>
          </w:p>
        </w:tc>
        <w:tc>
          <w:tcPr>
            <w:tcW w:type="dxa" w:w="1210"/>
          </w:tcPr>
          <w:p>
            <w:pPr>
              <w:spacing w:after="20"/>
            </w:pPr>
            <w:r>
              <w:rPr>
                <w:color w:val="1C3A36"/>
                <w:sz w:val="14"/>
              </w:rPr>
              <w:t>2024-12-31</w:t>
            </w:r>
          </w:p>
        </w:tc>
      </w:tr>
      <w:tr>
        <w:tc>
          <w:tcPr>
            <w:tcW w:type="dxa" w:w="490"/>
          </w:tcPr>
          <w:p>
            <w:pPr>
              <w:spacing w:after="20"/>
            </w:pPr>
            <w:r>
              <w:rPr>
                <w:color w:val="1C3A36"/>
                <w:sz w:val="14"/>
              </w:rPr>
              <w:t>171</w:t>
            </w:r>
          </w:p>
        </w:tc>
        <w:tc>
          <w:tcPr>
            <w:tcW w:type="dxa" w:w="2448"/>
          </w:tcPr>
          <w:p>
            <w:pPr>
              <w:spacing w:after="20"/>
            </w:pPr>
            <w:r>
              <w:rPr>
                <w:color w:val="1C3A36"/>
                <w:sz w:val="14"/>
              </w:rPr>
              <w:t>wc_pct_drev_fy25</w:t>
            </w:r>
          </w:p>
        </w:tc>
        <w:tc>
          <w:tcPr>
            <w:tcW w:type="dxa" w:w="1325"/>
          </w:tcPr>
          <w:p>
            <w:pPr>
              <w:spacing w:after="20"/>
            </w:pPr>
            <w:r>
              <w:rPr>
                <w:color w:val="1C3A36"/>
                <w:sz w:val="14"/>
              </w:rPr>
              <w:t>0.1806</w:t>
            </w:r>
          </w:p>
        </w:tc>
        <w:tc>
          <w:tcPr>
            <w:tcW w:type="dxa" w:w="1066"/>
          </w:tcPr>
          <w:p>
            <w:pPr>
              <w:spacing w:after="20"/>
            </w:pPr>
            <w:r>
              <w:rPr>
                <w:color w:val="1C3A36"/>
                <w:sz w:val="14"/>
              </w:rPr>
              <w:t>Company</w:t>
            </w:r>
          </w:p>
        </w:tc>
        <w:tc>
          <w:tcPr>
            <w:tcW w:type="dxa" w:w="7114"/>
          </w:tcPr>
          <w:p>
            <w:pPr>
              <w:spacing w:after="20"/>
            </w:pPr>
            <w:r>
              <w:rPr>
                <w:color w:val="1C3A36"/>
                <w:sz w:val="14"/>
              </w:rPr>
              <w:t>The FY2025 outturn alone: EGP 671.276mn invested in working capital against EGP 3717.537mn of revenue growth. NOT USED — it is half again the pooled rate and the sentence claiming 12% was close to it was false</w:t>
            </w:r>
          </w:p>
        </w:tc>
        <w:tc>
          <w:tcPr>
            <w:tcW w:type="dxa" w:w="1210"/>
          </w:tcPr>
          <w:p>
            <w:pPr>
              <w:spacing w:after="20"/>
            </w:pPr>
            <w:r>
              <w:rPr>
                <w:color w:val="1C3A36"/>
                <w:sz w:val="14"/>
              </w:rPr>
              <w:t>2025-12-31</w:t>
            </w:r>
          </w:p>
        </w:tc>
      </w:tr>
      <w:tr>
        <w:tc>
          <w:tcPr>
            <w:tcW w:type="dxa" w:w="490"/>
          </w:tcPr>
          <w:p>
            <w:pPr>
              <w:spacing w:after="20"/>
            </w:pPr>
            <w:r>
              <w:rPr>
                <w:color w:val="1C3A36"/>
                <w:sz w:val="14"/>
              </w:rPr>
              <w:t>172</w:t>
            </w:r>
          </w:p>
        </w:tc>
        <w:tc>
          <w:tcPr>
            <w:tcW w:type="dxa" w:w="2448"/>
          </w:tcPr>
          <w:p>
            <w:pPr>
              <w:spacing w:after="20"/>
            </w:pPr>
            <w:r>
              <w:rPr>
                <w:color w:val="1C3A36"/>
                <w:sz w:val="14"/>
              </w:rPr>
              <w:t>wc_rp_fy24</w:t>
            </w:r>
          </w:p>
        </w:tc>
        <w:tc>
          <w:tcPr>
            <w:tcW w:type="dxa" w:w="1325"/>
          </w:tcPr>
          <w:p>
            <w:pPr>
              <w:spacing w:after="20"/>
            </w:pPr>
            <w:r>
              <w:rPr>
                <w:color w:val="1C3A36"/>
                <w:sz w:val="14"/>
              </w:rPr>
              <w:t>-0.0613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173</w:t>
            </w:r>
          </w:p>
        </w:tc>
        <w:tc>
          <w:tcPr>
            <w:tcW w:type="dxa" w:w="2448"/>
          </w:tcPr>
          <w:p>
            <w:pPr>
              <w:spacing w:after="20"/>
            </w:pPr>
            <w:r>
              <w:rPr>
                <w:color w:val="1C3A36"/>
                <w:sz w:val="14"/>
              </w:rPr>
              <w:t>wc_rp_fy25</w:t>
            </w:r>
          </w:p>
        </w:tc>
        <w:tc>
          <w:tcPr>
            <w:tcW w:type="dxa" w:w="1325"/>
          </w:tcPr>
          <w:p>
            <w:pPr>
              <w:spacing w:after="20"/>
            </w:pPr>
            <w:r>
              <w:rPr>
                <w:color w:val="1C3A36"/>
                <w:sz w:val="14"/>
              </w:rPr>
              <w:t>0.1567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amounts due from related parties'</w:t>
            </w:r>
          </w:p>
        </w:tc>
        <w:tc>
          <w:tcPr>
            <w:tcW w:type="dxa" w:w="1210"/>
          </w:tcPr>
          <w:p>
            <w:pPr>
              <w:spacing w:after="20"/>
            </w:pPr>
            <w:r>
              <w:rPr>
                <w:color w:val="1C3A36"/>
                <w:sz w:val="14"/>
              </w:rPr>
              <w:t>2025-12-31</w:t>
            </w:r>
          </w:p>
        </w:tc>
      </w:tr>
      <w:tr>
        <w:tc>
          <w:tcPr>
            <w:tcW w:type="dxa" w:w="490"/>
          </w:tcPr>
          <w:p>
            <w:pPr>
              <w:spacing w:after="20"/>
            </w:pPr>
            <w:r>
              <w:rPr>
                <w:color w:val="1C3A36"/>
                <w:sz w:val="14"/>
              </w:rPr>
              <w:t>174</w:t>
            </w:r>
          </w:p>
        </w:tc>
        <w:tc>
          <w:tcPr>
            <w:tcW w:type="dxa" w:w="2448"/>
          </w:tcPr>
          <w:p>
            <w:pPr>
              <w:spacing w:after="20"/>
            </w:pPr>
            <w:r>
              <w:rPr>
                <w:color w:val="1C3A36"/>
                <w:sz w:val="14"/>
              </w:rPr>
              <w:t>wc_tp_fy24</w:t>
            </w:r>
          </w:p>
        </w:tc>
        <w:tc>
          <w:tcPr>
            <w:tcW w:type="dxa" w:w="1325"/>
          </w:tcPr>
          <w:p>
            <w:pPr>
              <w:spacing w:after="20"/>
            </w:pPr>
            <w:r>
              <w:rPr>
                <w:color w:val="1C3A36"/>
                <w:sz w:val="14"/>
              </w:rPr>
              <w:t>71.0001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175</w:t>
            </w:r>
          </w:p>
        </w:tc>
        <w:tc>
          <w:tcPr>
            <w:tcW w:type="dxa" w:w="2448"/>
          </w:tcPr>
          <w:p>
            <w:pPr>
              <w:spacing w:after="20"/>
            </w:pPr>
            <w:r>
              <w:rPr>
                <w:color w:val="1C3A36"/>
                <w:sz w:val="14"/>
              </w:rPr>
              <w:t>wc_tp_fy25</w:t>
            </w:r>
          </w:p>
        </w:tc>
        <w:tc>
          <w:tcPr>
            <w:tcW w:type="dxa" w:w="1325"/>
          </w:tcPr>
          <w:p>
            <w:pPr>
              <w:spacing w:after="20"/>
            </w:pPr>
            <w:r>
              <w:rPr>
                <w:color w:val="1C3A36"/>
                <w:sz w:val="14"/>
              </w:rPr>
              <w:t>-420.2775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trade and notes payable'</w:t>
            </w:r>
          </w:p>
        </w:tc>
        <w:tc>
          <w:tcPr>
            <w:tcW w:type="dxa" w:w="1210"/>
          </w:tcPr>
          <w:p>
            <w:pPr>
              <w:spacing w:after="20"/>
            </w:pPr>
            <w:r>
              <w:rPr>
                <w:color w:val="1C3A36"/>
                <w:sz w:val="14"/>
              </w:rPr>
              <w:t>2025-12-31</w:t>
            </w:r>
          </w:p>
        </w:tc>
      </w:tr>
      <w:tr>
        <w:tc>
          <w:tcPr>
            <w:tcW w:type="dxa" w:w="490"/>
          </w:tcPr>
          <w:p>
            <w:pPr>
              <w:spacing w:after="20"/>
            </w:pPr>
            <w:r>
              <w:rPr>
                <w:color w:val="1C3A36"/>
                <w:sz w:val="14"/>
              </w:rPr>
              <w:t>176</w:t>
            </w:r>
          </w:p>
        </w:tc>
        <w:tc>
          <w:tcPr>
            <w:tcW w:type="dxa" w:w="2448"/>
          </w:tcPr>
          <w:p>
            <w:pPr>
              <w:spacing w:after="20"/>
            </w:pPr>
            <w:r>
              <w:rPr>
                <w:color w:val="1C3A36"/>
                <w:sz w:val="14"/>
              </w:rPr>
              <w:t>wc_tr_fy24</w:t>
            </w:r>
          </w:p>
        </w:tc>
        <w:tc>
          <w:tcPr>
            <w:tcW w:type="dxa" w:w="1325"/>
          </w:tcPr>
          <w:p>
            <w:pPr>
              <w:spacing w:after="20"/>
            </w:pPr>
            <w:r>
              <w:rPr>
                <w:color w:val="1C3A36"/>
                <w:sz w:val="14"/>
              </w:rPr>
              <w:t>69.6742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177</w:t>
            </w:r>
          </w:p>
        </w:tc>
        <w:tc>
          <w:tcPr>
            <w:tcW w:type="dxa" w:w="2448"/>
          </w:tcPr>
          <w:p>
            <w:pPr>
              <w:spacing w:after="20"/>
            </w:pPr>
            <w:r>
              <w:rPr>
                <w:color w:val="1C3A36"/>
                <w:sz w:val="14"/>
              </w:rPr>
              <w:t>wc_tr_fy25</w:t>
            </w:r>
          </w:p>
        </w:tc>
        <w:tc>
          <w:tcPr>
            <w:tcW w:type="dxa" w:w="1325"/>
          </w:tcPr>
          <w:p>
            <w:pPr>
              <w:spacing w:after="20"/>
            </w:pPr>
            <w:r>
              <w:rPr>
                <w:color w:val="1C3A36"/>
                <w:sz w:val="14"/>
              </w:rPr>
              <w:t>-87.9718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trade receivables'</w:t>
            </w:r>
          </w:p>
        </w:tc>
        <w:tc>
          <w:tcPr>
            <w:tcW w:type="dxa" w:w="1210"/>
          </w:tcPr>
          <w:p>
            <w:pPr>
              <w:spacing w:after="20"/>
            </w:pPr>
            <w:r>
              <w:rPr>
                <w:color w:val="1C3A36"/>
                <w:sz w:val="14"/>
              </w:rPr>
              <w:t>2025-12-31</w:t>
            </w:r>
          </w:p>
        </w:tc>
      </w:tr>
      <w:tr>
        <w:tc>
          <w:tcPr>
            <w:tcW w:type="dxa" w:w="490"/>
          </w:tcPr>
          <w:p>
            <w:pPr>
              <w:spacing w:after="20"/>
            </w:pPr>
            <w:r>
              <w:rPr>
                <w:color w:val="1C3A36"/>
                <w:sz w:val="14"/>
              </w:rPr>
              <w:t>178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179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180</w:t>
            </w:r>
          </w:p>
        </w:tc>
        <w:tc>
          <w:tcPr>
            <w:tcW w:type="dxa" w:w="2448"/>
          </w:tcPr>
          <w:p>
            <w:pPr>
              <w:spacing w:after="20"/>
            </w:pPr>
            <w:r>
              <w:rPr>
                <w:color w:val="1C3A36"/>
                <w:sz w:val="14"/>
              </w:rPr>
              <w:t>egy_new_licence_mt</w:t>
            </w:r>
          </w:p>
        </w:tc>
        <w:tc>
          <w:tcPr>
            <w:tcW w:type="dxa" w:w="1325"/>
          </w:tcPr>
          <w:p>
            <w:pPr>
              <w:spacing w:after="20"/>
            </w:pPr>
            <w:r>
              <w:rPr>
                <w:color w:val="1C3A36"/>
                <w:sz w:val="14"/>
              </w:rPr>
              <w:t>3.5</w:t>
            </w:r>
          </w:p>
        </w:tc>
        <w:tc>
          <w:tcPr>
            <w:tcW w:type="dxa" w:w="1066"/>
          </w:tcPr>
          <w:p>
            <w:pPr>
              <w:spacing w:after="20"/>
            </w:pPr>
            <w:r>
              <w:rPr>
                <w:color w:val="1C3A36"/>
                <w:sz w:val="14"/>
              </w:rPr>
              <w:t>Industry</w:t>
            </w:r>
          </w:p>
        </w:tc>
        <w:tc>
          <w:tcPr>
            <w:tcW w:type="dxa" w:w="7114"/>
          </w:tcPr>
          <w:p>
            <w:pPr>
              <w:spacing w:after="20"/>
            </w:pPr>
            <w:r>
              <w:rPr>
                <w:color w:val="1C3A36"/>
                <w:sz w:val="14"/>
              </w:rPr>
              <w:t>NEW SUPPLY THIS STUDY DID NOT CARRY: two production licences planned from October 2025, each stated at 1.5-2.0 million tonnes a year, so 3.0 to 4.0 million and 3.5 at the midpoint. It sits ON TOP of the 12.6 million tonnes of revival above, which is dormant capacity coming back rather than capacity being created. Industry reporting of 11 November 2025 puts Egyptian nameplate heading toward 82-83 million tonnes on the back of it, against the 76.0 this study registers for 2025. NO WINNER, LOCATION OR COMMISSIONING DATE HAS BEEN ANNOUNCED, and nothing was located awarding either licence to this company, so it enters as sector supply and never as this company's volume</w:t>
            </w:r>
          </w:p>
        </w:tc>
        <w:tc>
          <w:tcPr>
            <w:tcW w:type="dxa" w:w="1210"/>
          </w:tcPr>
          <w:p>
            <w:pPr>
              <w:spacing w:after="20"/>
            </w:pPr>
            <w:r>
              <w:rPr>
                <w:color w:val="1C3A36"/>
                <w:sz w:val="14"/>
              </w:rPr>
              <w:t>2025-10-19</w:t>
            </w:r>
          </w:p>
        </w:tc>
      </w:tr>
      <w:tr>
        <w:tc>
          <w:tcPr>
            <w:tcW w:type="dxa" w:w="490"/>
          </w:tcPr>
          <w:p>
            <w:pPr>
              <w:spacing w:after="20"/>
            </w:pPr>
            <w:r>
              <w:rPr>
                <w:color w:val="1C3A36"/>
                <w:sz w:val="14"/>
              </w:rPr>
              <w:t>181</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 CORROBORATED 10-Sep-2026 by an external research pass at exactly this figure: the Ministry of Trade and Industry ordered nine idled lines restarted in July 2025, seven of them due back within a year, and licence-modification fees were halved to EGP 130 a tonne to help them return</w:t>
            </w:r>
          </w:p>
        </w:tc>
        <w:tc>
          <w:tcPr>
            <w:tcW w:type="dxa" w:w="1210"/>
          </w:tcPr>
          <w:p>
            <w:pPr>
              <w:spacing w:after="20"/>
            </w:pPr>
            <w:r>
              <w:rPr>
                <w:color w:val="1C3A36"/>
                <w:sz w:val="14"/>
              </w:rPr>
              <w:t>2025-10-01</w:t>
            </w:r>
          </w:p>
        </w:tc>
      </w:tr>
      <w:tr>
        <w:tc>
          <w:tcPr>
            <w:tcW w:type="dxa" w:w="490"/>
          </w:tcPr>
          <w:p>
            <w:pPr>
              <w:spacing w:after="20"/>
            </w:pPr>
            <w:r>
              <w:rPr>
                <w:color w:val="1C3A36"/>
                <w:sz w:val="14"/>
              </w:rPr>
              <w:t>182</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183</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184</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185</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186</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187</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188</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189</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190</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191</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192</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193</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194</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195</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197</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198</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199</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200</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201</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202</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203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204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205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208</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210</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218</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219</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220</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221</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222</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223</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224</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225</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226</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227</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228</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229</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230</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231</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232</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11.73%</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12.6%, which grows the profit by a year of terminal growth and leaves the capital base ungrown; that mismatch flatters the return by 82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0.927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4.94 years give a beta of 0.699 on 256 observations with an R-squared of 0.047 and a standard error of 0.231.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0.814, 0.919, 0.935, 1.020 — giving 0.927.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27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40.64%</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announced projects, ventures and capacity (entity verified as the listed issuer)</w:t>
            </w:r>
          </w:p>
        </w:tc>
        <w:tc>
          <w:tcPr>
            <w:tcW w:type="dxa" w:w="5846"/>
          </w:tcPr>
          <w:p>
            <w:pPr>
              <w:spacing w:after="20"/>
            </w:pPr>
            <w:r>
              <w:rPr>
                <w:color w:val="1C3A36"/>
                <w:sz w:val="14"/>
              </w:rPr>
              <w:t>FORWARD PLANS EXIST AND THE COMPANY HAS NOT DATED ANY OF THEM. Six are attributed to Arabian Cement Company by its own chief executive in an International Cement Review interview, relayed by HC Securities: hydrogen injection to a thermal substitution rate of about 55% by 2031; a multi-phase alternative-fuel programme to 2030 raising injection capacity on both clinker lines and adding shredding plant; 24 MWh of solar covering about 11% of power; a waste-heat recovery unit; a cement-mill optimiser; and a silo enabling calcined clay clinker and CEM III. THE COMPANY'S OWN CHANNEL CARRIES NONE OF THEM: its published timeline runs to 2024 and lists completed works only, the most recent being a Line 1 baghouse filter and the introduction of hydrogen injection. So the entity is the listed issuer and the plans are real, and there is no company-signed date behind any of them.</w:t>
            </w:r>
          </w:p>
        </w:tc>
        <w:tc>
          <w:tcPr>
            <w:tcW w:type="dxa" w:w="3053"/>
          </w:tcPr>
          <w:p>
            <w:pPr>
              <w:spacing w:after="20"/>
            </w:pPr>
            <w:r>
              <w:rPr>
                <w:color w:val="1C3A36"/>
                <w:sz w:val="14"/>
              </w:rPr>
              <w:t>HC Securities &amp; Investment, "Arabian Cement shows agility amid changing industry dynamics", relaying an International Cement Review interview with the chief executive; checked against the company's own published corporate timeline at arabiancementcompany.com/en/about-us, which carries no forward-dated announcement</w:t>
            </w:r>
          </w:p>
        </w:tc>
        <w:tc>
          <w:tcPr>
            <w:tcW w:type="dxa" w:w="1267"/>
          </w:tcPr>
          <w:p>
            <w:pPr>
              <w:spacing w:after="20"/>
            </w:pPr>
            <w:r>
              <w:rPr>
                <w:color w:val="1C3A36"/>
                <w:sz w:val="14"/>
              </w:rPr>
              <w:t>2026-09-10</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