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4.07 and AED 5.73 a share. Because the contested judgement below is carried BOTH ways and the two are never averaged, this study publishes TWO weighted centres: AED 4.79 a share on the normalising reading of inventory movements and AED 4.98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4.74 a share against a traded price of AED 4.07. So the disagreement is not about the windfall. It is about the long run, where 76%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-0.15%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4.07 and AED 5.73, with weighted centres of AED 4.79 and AED 4.98 on the two framings of the inventory judgement. A fifth reading — capitalising the fixed policy dividend — lands at AED 4.14, within a few fils of the traded price. That is not a coincidence, and section 4 explains why: the market appears to be pricing the dividend the company pays rather than the cash the business generates.</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4.79</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76.1%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5.13</w:t>
            </w:r>
          </w:p>
        </w:tc>
        <w:tc>
          <w:tcPr>
            <w:tcW w:type="dxa" w:w="1224"/>
          </w:tcPr>
          <w:p>
            <w:pPr>
              <w:spacing w:after="20"/>
              <w:jc w:val="right"/>
            </w:pPr>
            <w:r>
              <w:rPr>
                <w:color w:val="1C3A36"/>
                <w:sz w:val="17"/>
              </w:rPr>
              <w:t>26%</w:t>
            </w:r>
          </w:p>
        </w:tc>
        <w:tc>
          <w:tcPr>
            <w:tcW w:type="dxa" w:w="3960"/>
          </w:tcPr>
          <w:p>
            <w:pPr>
              <w:spacing w:after="20"/>
              <w:jc w:val="right"/>
            </w:pPr>
            <w:r>
              <w:rPr>
                <w:color w:val="1C3A36"/>
                <w:sz w:val="17"/>
              </w:rPr>
              <w:t>terminal value 76.1%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4.82</w:t>
            </w:r>
          </w:p>
        </w:tc>
        <w:tc>
          <w:tcPr>
            <w:tcW w:type="dxa" w:w="1224"/>
          </w:tcPr>
          <w:p>
            <w:pPr>
              <w:spacing w:after="20"/>
              <w:jc w:val="right"/>
            </w:pPr>
            <w:r>
              <w:rPr>
                <w:color w:val="1C3A36"/>
                <w:sz w:val="17"/>
              </w:rPr>
              <w:t>19%</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5.30</w:t>
            </w:r>
          </w:p>
        </w:tc>
        <w:tc>
          <w:tcPr>
            <w:tcW w:type="dxa" w:w="1224"/>
          </w:tcPr>
          <w:p>
            <w:pPr>
              <w:spacing w:after="20"/>
              <w:jc w:val="right"/>
            </w:pPr>
            <w:r>
              <w:rPr>
                <w:color w:val="1C3A36"/>
                <w:sz w:val="17"/>
              </w:rPr>
              <w:t>30%</w:t>
            </w:r>
          </w:p>
        </w:tc>
        <w:tc>
          <w:tcPr>
            <w:tcW w:type="dxa" w:w="3960"/>
          </w:tcPr>
          <w:p>
            <w:pPr>
              <w:spacing w:after="20"/>
              <w:jc w:val="right"/>
            </w:pPr>
            <w:r>
              <w:rPr>
                <w:color w:val="1C3A36"/>
                <w:sz w:val="17"/>
              </w:rPr>
              <w:t>18.8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5.56</w:t>
            </w:r>
          </w:p>
        </w:tc>
        <w:tc>
          <w:tcPr>
            <w:tcW w:type="dxa" w:w="1224"/>
          </w:tcPr>
          <w:p>
            <w:pPr>
              <w:spacing w:after="20"/>
              <w:jc w:val="right"/>
            </w:pPr>
            <w:r>
              <w:rPr>
                <w:color w:val="1C3A36"/>
                <w:sz w:val="17"/>
              </w:rPr>
              <w:t>37%</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4.07</w:t>
            </w:r>
          </w:p>
        </w:tc>
        <w:tc>
          <w:tcPr>
            <w:tcW w:type="dxa" w:w="1224"/>
          </w:tcPr>
          <w:p>
            <w:pPr>
              <w:spacing w:after="20"/>
              <w:jc w:val="right"/>
            </w:pPr>
            <w:r>
              <w:rPr>
                <w:color w:val="1C3A36"/>
                <w:sz w:val="17"/>
              </w:rPr>
              <w:t>-0%</w:t>
            </w:r>
          </w:p>
        </w:tc>
        <w:tc>
          <w:tcPr>
            <w:tcW w:type="dxa" w:w="3960"/>
          </w:tcPr>
          <w:p>
            <w:pPr>
              <w:spacing w:after="20"/>
              <w:jc w:val="right"/>
            </w:pPr>
            <w:r>
              <w:rPr>
                <w:color w:val="1C3A36"/>
                <w:sz w:val="17"/>
              </w:rPr>
              <w:t>justified 15.7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4.14</w:t>
            </w:r>
          </w:p>
        </w:tc>
        <w:tc>
          <w:tcPr>
            <w:tcW w:type="dxa" w:w="1224"/>
          </w:tcPr>
          <w:p>
            <w:pPr>
              <w:spacing w:after="20"/>
              <w:jc w:val="right"/>
            </w:pPr>
            <w:r>
              <w:rPr>
                <w:color w:val="1C3A36"/>
                <w:sz w:val="17"/>
              </w:rPr>
              <w:t>2%</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4.79</w:t>
            </w:r>
          </w:p>
        </w:tc>
        <w:tc>
          <w:tcPr>
            <w:tcW w:type="dxa" w:w="1224"/>
            <w:shd w:val="clear" w:color="auto" w:fill="F6F1E6"/>
          </w:tcPr>
          <w:p>
            <w:pPr>
              <w:spacing w:after="20"/>
              <w:jc w:val="right"/>
            </w:pPr>
            <w:r>
              <w:rPr>
                <w:b/>
                <w:color w:val="1C3A36"/>
                <w:sz w:val="17"/>
              </w:rPr>
              <w:t>18%</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4.98</w:t>
            </w:r>
          </w:p>
        </w:tc>
        <w:tc>
          <w:tcPr>
            <w:tcW w:type="dxa" w:w="1224"/>
            <w:shd w:val="clear" w:color="auto" w:fill="F6F1E6"/>
          </w:tcPr>
          <w:p>
            <w:pPr>
              <w:spacing w:after="20"/>
              <w:jc w:val="right"/>
            </w:pPr>
            <w:r>
              <w:rPr>
                <w:b/>
                <w:color w:val="1C3A36"/>
                <w:sz w:val="17"/>
              </w:rPr>
              <w:t>22%</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4.07 – 5.73</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76.1% of enterprise value on Frame A and 76.1%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6.54%</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6.58%</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7.18%</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43,669</w:t>
            </w:r>
          </w:p>
        </w:tc>
        <w:tc>
          <w:tcPr>
            <w:tcW w:type="dxa" w:w="1325"/>
          </w:tcPr>
          <w:p>
            <w:pPr>
              <w:spacing w:after="20"/>
              <w:jc w:val="right"/>
            </w:pPr>
            <w:r>
              <w:rPr>
                <w:color w:val="1C3A36"/>
                <w:sz w:val="17"/>
              </w:rPr>
              <w:t>43,368</w:t>
            </w:r>
          </w:p>
        </w:tc>
        <w:tc>
          <w:tcPr>
            <w:tcW w:type="dxa" w:w="1325"/>
          </w:tcPr>
          <w:p>
            <w:pPr>
              <w:spacing w:after="20"/>
              <w:jc w:val="right"/>
            </w:pPr>
            <w:r>
              <w:rPr>
                <w:color w:val="1C3A36"/>
                <w:sz w:val="17"/>
              </w:rPr>
              <w:t>44,751</w:t>
            </w:r>
          </w:p>
        </w:tc>
        <w:tc>
          <w:tcPr>
            <w:tcW w:type="dxa" w:w="1325"/>
          </w:tcPr>
          <w:p>
            <w:pPr>
              <w:spacing w:after="20"/>
              <w:jc w:val="right"/>
            </w:pPr>
            <w:r>
              <w:rPr>
                <w:color w:val="1C3A36"/>
                <w:sz w:val="17"/>
              </w:rPr>
              <w:t>46,056</w:t>
            </w:r>
          </w:p>
        </w:tc>
        <w:tc>
          <w:tcPr>
            <w:tcW w:type="dxa" w:w="1325"/>
          </w:tcPr>
          <w:p>
            <w:pPr>
              <w:spacing w:after="20"/>
              <w:jc w:val="right"/>
            </w:pPr>
            <w:r>
              <w:rPr>
                <w:color w:val="1C3A36"/>
                <w:sz w:val="17"/>
              </w:rPr>
              <w:t>47,270</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7,966</w:t>
            </w:r>
          </w:p>
        </w:tc>
        <w:tc>
          <w:tcPr>
            <w:tcW w:type="dxa" w:w="1325"/>
          </w:tcPr>
          <w:p>
            <w:pPr>
              <w:spacing w:after="20"/>
              <w:jc w:val="right"/>
            </w:pPr>
            <w:r>
              <w:rPr>
                <w:color w:val="1C3A36"/>
                <w:sz w:val="17"/>
              </w:rPr>
              <w:t>7,571</w:t>
            </w:r>
          </w:p>
        </w:tc>
        <w:tc>
          <w:tcPr>
            <w:tcW w:type="dxa" w:w="1325"/>
          </w:tcPr>
          <w:p>
            <w:pPr>
              <w:spacing w:after="20"/>
              <w:jc w:val="right"/>
            </w:pPr>
            <w:r>
              <w:rPr>
                <w:color w:val="1C3A36"/>
                <w:sz w:val="17"/>
              </w:rPr>
              <w:t>7,928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8,615</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5,129</w:t>
            </w:r>
          </w:p>
        </w:tc>
        <w:tc>
          <w:tcPr>
            <w:tcW w:type="dxa" w:w="1325"/>
            <w:shd w:val="clear" w:color="auto" w:fill="F6F1E6"/>
          </w:tcPr>
          <w:p>
            <w:pPr>
              <w:spacing w:after="20"/>
              <w:jc w:val="right"/>
            </w:pPr>
            <w:r>
              <w:rPr>
                <w:b/>
                <w:color w:val="1C3A36"/>
                <w:sz w:val="17"/>
              </w:rPr>
              <w:t>4,773</w:t>
            </w:r>
          </w:p>
        </w:tc>
        <w:tc>
          <w:tcPr>
            <w:tcW w:type="dxa" w:w="1325"/>
            <w:shd w:val="clear" w:color="auto" w:fill="F6F1E6"/>
          </w:tcPr>
          <w:p>
            <w:pPr>
              <w:spacing w:after="20"/>
              <w:jc w:val="right"/>
            </w:pPr>
            <w:r>
              <w:rPr>
                <w:b/>
                <w:color w:val="1C3A36"/>
                <w:sz w:val="17"/>
              </w:rPr>
              <w:t>5,020</w:t>
            </w:r>
          </w:p>
        </w:tc>
        <w:tc>
          <w:tcPr>
            <w:tcW w:type="dxa" w:w="1325"/>
            <w:shd w:val="clear" w:color="auto" w:fill="F6F1E6"/>
          </w:tcPr>
          <w:p>
            <w:pPr>
              <w:spacing w:after="20"/>
              <w:jc w:val="right"/>
            </w:pPr>
            <w:r>
              <w:rPr>
                <w:b/>
                <w:color w:val="1C3A36"/>
                <w:sz w:val="17"/>
              </w:rPr>
              <w:t>5,252</w:t>
            </w:r>
          </w:p>
        </w:tc>
        <w:tc>
          <w:tcPr>
            <w:tcW w:type="dxa" w:w="1325"/>
            <w:shd w:val="clear" w:color="auto" w:fill="F6F1E6"/>
          </w:tcPr>
          <w:p>
            <w:pPr>
              <w:spacing w:after="20"/>
              <w:jc w:val="right"/>
            </w:pPr>
            <w:r>
              <w:rPr>
                <w:b/>
                <w:color w:val="1C3A36"/>
                <w:sz w:val="17"/>
              </w:rPr>
              <w:t>5,475</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11.7%</w:t>
            </w:r>
          </w:p>
        </w:tc>
        <w:tc>
          <w:tcPr>
            <w:tcW w:type="dxa" w:w="1325"/>
          </w:tcPr>
          <w:p>
            <w:pPr>
              <w:spacing w:after="20"/>
              <w:jc w:val="right"/>
            </w:pPr>
            <w:r>
              <w:rPr>
                <w:color w:val="1C3A36"/>
                <w:sz w:val="17"/>
              </w:rPr>
              <w:t>11.0%</w:t>
            </w:r>
          </w:p>
        </w:tc>
        <w:tc>
          <w:tcPr>
            <w:tcW w:type="dxa" w:w="1325"/>
          </w:tcPr>
          <w:p>
            <w:pPr>
              <w:spacing w:after="20"/>
              <w:jc w:val="right"/>
            </w:pPr>
            <w:r>
              <w:rPr>
                <w:color w:val="1C3A36"/>
                <w:sz w:val="17"/>
              </w:rPr>
              <w:t>11.2%</w:t>
            </w:r>
          </w:p>
        </w:tc>
        <w:tc>
          <w:tcPr>
            <w:tcW w:type="dxa" w:w="1325"/>
          </w:tcPr>
          <w:p>
            <w:pPr>
              <w:spacing w:after="20"/>
              <w:jc w:val="right"/>
            </w:pPr>
            <w:r>
              <w:rPr>
                <w:color w:val="1C3A36"/>
                <w:sz w:val="17"/>
              </w:rPr>
              <w:t>11.4%</w:t>
            </w:r>
          </w:p>
        </w:tc>
        <w:tc>
          <w:tcPr>
            <w:tcW w:type="dxa" w:w="1325"/>
          </w:tcPr>
          <w:p>
            <w:pPr>
              <w:spacing w:after="20"/>
              <w:jc w:val="right"/>
            </w:pPr>
            <w:r>
              <w:rPr>
                <w:color w:val="1C3A36"/>
                <w:sz w:val="17"/>
              </w:rPr>
              <w:t>11.6%</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4,329</w:t>
            </w:r>
          </w:p>
        </w:tc>
        <w:tc>
          <w:tcPr>
            <w:tcW w:type="dxa" w:w="1325"/>
          </w:tcPr>
          <w:p>
            <w:pPr>
              <w:spacing w:after="20"/>
              <w:jc w:val="right"/>
            </w:pPr>
            <w:r>
              <w:rPr>
                <w:color w:val="1C3A36"/>
                <w:sz w:val="17"/>
              </w:rPr>
              <w:t>3,943</w:t>
            </w:r>
          </w:p>
        </w:tc>
        <w:tc>
          <w:tcPr>
            <w:tcW w:type="dxa" w:w="1325"/>
          </w:tcPr>
          <w:p>
            <w:pPr>
              <w:spacing w:after="20"/>
              <w:jc w:val="right"/>
            </w:pPr>
            <w:r>
              <w:rPr>
                <w:color w:val="1C3A36"/>
                <w:sz w:val="17"/>
              </w:rPr>
              <w:t>4,158</w:t>
            </w:r>
          </w:p>
        </w:tc>
        <w:tc>
          <w:tcPr>
            <w:tcW w:type="dxa" w:w="1325"/>
          </w:tcPr>
          <w:p>
            <w:pPr>
              <w:spacing w:after="20"/>
              <w:jc w:val="right"/>
            </w:pPr>
            <w:r>
              <w:rPr>
                <w:color w:val="1C3A36"/>
                <w:sz w:val="17"/>
              </w:rPr>
              <w:t>4,358</w:t>
            </w:r>
          </w:p>
        </w:tc>
        <w:tc>
          <w:tcPr>
            <w:tcW w:type="dxa" w:w="1325"/>
          </w:tcPr>
          <w:p>
            <w:pPr>
              <w:spacing w:after="20"/>
              <w:jc w:val="right"/>
            </w:pPr>
            <w:r>
              <w:rPr>
                <w:color w:val="1C3A36"/>
                <w:sz w:val="17"/>
              </w:rPr>
              <w:t>4,549</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3,889</w:t>
            </w:r>
          </w:p>
        </w:tc>
        <w:tc>
          <w:tcPr>
            <w:tcW w:type="dxa" w:w="1325"/>
            <w:shd w:val="clear" w:color="auto" w:fill="F6F1E6"/>
          </w:tcPr>
          <w:p>
            <w:pPr>
              <w:spacing w:after="20"/>
              <w:jc w:val="right"/>
            </w:pPr>
            <w:r>
              <w:rPr>
                <w:b/>
                <w:color w:val="1C3A36"/>
                <w:sz w:val="17"/>
              </w:rPr>
              <w:t>3,542</w:t>
            </w:r>
          </w:p>
        </w:tc>
        <w:tc>
          <w:tcPr>
            <w:tcW w:type="dxa" w:w="1325"/>
            <w:shd w:val="clear" w:color="auto" w:fill="F6F1E6"/>
          </w:tcPr>
          <w:p>
            <w:pPr>
              <w:spacing w:after="20"/>
              <w:jc w:val="right"/>
            </w:pPr>
            <w:r>
              <w:rPr>
                <w:b/>
                <w:color w:val="1C3A36"/>
                <w:sz w:val="17"/>
              </w:rPr>
              <w:t>3,736</w:t>
            </w:r>
          </w:p>
        </w:tc>
        <w:tc>
          <w:tcPr>
            <w:tcW w:type="dxa" w:w="1325"/>
            <w:shd w:val="clear" w:color="auto" w:fill="F6F1E6"/>
          </w:tcPr>
          <w:p>
            <w:pPr>
              <w:spacing w:after="20"/>
              <w:jc w:val="right"/>
            </w:pPr>
            <w:r>
              <w:rPr>
                <w:b/>
                <w:color w:val="1C3A36"/>
                <w:sz w:val="17"/>
              </w:rPr>
              <w:t>3,915</w:t>
            </w:r>
          </w:p>
        </w:tc>
        <w:tc>
          <w:tcPr>
            <w:tcW w:type="dxa" w:w="1325"/>
            <w:shd w:val="clear" w:color="auto" w:fill="F6F1E6"/>
          </w:tcPr>
          <w:p>
            <w:pPr>
              <w:spacing w:after="20"/>
              <w:jc w:val="right"/>
            </w:pPr>
            <w:r>
              <w:rPr>
                <w:b/>
                <w:color w:val="1C3A36"/>
                <w:sz w:val="17"/>
              </w:rPr>
              <w:t>4,087</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(1,010)</w:t>
            </w:r>
          </w:p>
        </w:tc>
        <w:tc>
          <w:tcPr>
            <w:tcW w:type="dxa" w:w="1325"/>
          </w:tcPr>
          <w:p>
            <w:pPr>
              <w:spacing w:after="20"/>
              <w:jc w:val="right"/>
            </w:pPr>
            <w:r>
              <w:rPr>
                <w:color w:val="1C3A36"/>
                <w:sz w:val="17"/>
              </w:rPr>
              <w:t>(1,060)</w:t>
            </w:r>
          </w:p>
        </w:tc>
        <w:tc>
          <w:tcPr>
            <w:tcW w:type="dxa" w:w="1325"/>
          </w:tcPr>
          <w:p>
            <w:pPr>
              <w:spacing w:after="20"/>
              <w:jc w:val="right"/>
            </w:pPr>
            <w:r>
              <w:rPr>
                <w:color w:val="1C3A36"/>
                <w:sz w:val="17"/>
              </w:rPr>
              <w:t>(1,100)</w:t>
            </w:r>
          </w:p>
        </w:tc>
        <w:tc>
          <w:tcPr>
            <w:tcW w:type="dxa" w:w="1325"/>
          </w:tcPr>
          <w:p>
            <w:pPr>
              <w:spacing w:after="20"/>
              <w:jc w:val="right"/>
            </w:pPr>
            <w:r>
              <w:rPr>
                <w:color w:val="1C3A36"/>
                <w:sz w:val="17"/>
              </w:rPr>
              <w:t>(1,140)</w:t>
            </w:r>
          </w:p>
        </w:tc>
        <w:tc>
          <w:tcPr>
            <w:tcW w:type="dxa" w:w="1325"/>
          </w:tcPr>
          <w:p>
            <w:pPr>
              <w:spacing w:after="20"/>
              <w:jc w:val="right"/>
            </w:pPr>
            <w:r>
              <w:rPr>
                <w:color w:val="1C3A36"/>
                <w:sz w:val="17"/>
              </w:rPr>
              <w:t>(1,180)</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476</w:t>
            </w:r>
          </w:p>
        </w:tc>
        <w:tc>
          <w:tcPr>
            <w:tcW w:type="dxa" w:w="1325"/>
          </w:tcPr>
          <w:p>
            <w:pPr>
              <w:spacing w:after="20"/>
              <w:jc w:val="right"/>
            </w:pPr>
            <w:r>
              <w:rPr>
                <w:color w:val="1C3A36"/>
                <w:sz w:val="17"/>
              </w:rPr>
              <w:t>45</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49</w:t>
            </w:r>
          </w:p>
        </w:tc>
        <w:tc>
          <w:tcPr>
            <w:tcW w:type="dxa" w:w="1325"/>
          </w:tcPr>
          <w:p>
            <w:pPr>
              <w:spacing w:after="20"/>
              <w:jc w:val="right"/>
            </w:pPr>
            <w:r>
              <w:rPr>
                <w:color w:val="1C3A36"/>
                <w:sz w:val="17"/>
              </w:rPr>
              <w:t>42</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4,154</w:t>
            </w:r>
          </w:p>
        </w:tc>
        <w:tc>
          <w:tcPr>
            <w:tcW w:type="dxa" w:w="1325"/>
            <w:shd w:val="clear" w:color="auto" w:fill="F6F1E6"/>
          </w:tcPr>
          <w:p>
            <w:pPr>
              <w:spacing w:after="20"/>
              <w:jc w:val="right"/>
            </w:pPr>
            <w:r>
              <w:rPr>
                <w:b/>
                <w:color w:val="1C3A36"/>
                <w:sz w:val="17"/>
              </w:rPr>
              <w:t>3,357</w:t>
            </w:r>
          </w:p>
        </w:tc>
        <w:tc>
          <w:tcPr>
            <w:tcW w:type="dxa" w:w="1325"/>
            <w:shd w:val="clear" w:color="auto" w:fill="F6F1E6"/>
          </w:tcPr>
          <w:p>
            <w:pPr>
              <w:spacing w:after="20"/>
              <w:jc w:val="right"/>
            </w:pPr>
            <w:r>
              <w:rPr>
                <w:b/>
                <w:color w:val="1C3A36"/>
                <w:sz w:val="17"/>
              </w:rPr>
              <w:t>3,551</w:t>
            </w:r>
          </w:p>
        </w:tc>
        <w:tc>
          <w:tcPr>
            <w:tcW w:type="dxa" w:w="1325"/>
            <w:shd w:val="clear" w:color="auto" w:fill="F6F1E6"/>
          </w:tcPr>
          <w:p>
            <w:pPr>
              <w:spacing w:after="20"/>
              <w:jc w:val="right"/>
            </w:pPr>
            <w:r>
              <w:rPr>
                <w:b/>
                <w:color w:val="1C3A36"/>
                <w:sz w:val="17"/>
              </w:rPr>
              <w:t>3,717</w:t>
            </w:r>
          </w:p>
        </w:tc>
        <w:tc>
          <w:tcPr>
            <w:tcW w:type="dxa" w:w="1325"/>
            <w:shd w:val="clear" w:color="auto" w:fill="F6F1E6"/>
          </w:tcPr>
          <w:p>
            <w:pPr>
              <w:spacing w:after="20"/>
              <w:jc w:val="right"/>
            </w:pPr>
            <w:r>
              <w:rPr>
                <w:b/>
                <w:color w:val="1C3A36"/>
                <w:sz w:val="17"/>
              </w:rPr>
              <w:t>3,874</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6.58%</w:t>
            </w:r>
          </w:p>
        </w:tc>
        <w:tc>
          <w:tcPr>
            <w:tcW w:type="dxa" w:w="1325"/>
          </w:tcPr>
          <w:p>
            <w:pPr>
              <w:spacing w:after="20"/>
              <w:jc w:val="right"/>
            </w:pPr>
            <w:r>
              <w:rPr>
                <w:color w:val="1C3A36"/>
                <w:sz w:val="17"/>
              </w:rPr>
              <w:t>6.73%</w:t>
            </w:r>
          </w:p>
        </w:tc>
        <w:tc>
          <w:tcPr>
            <w:tcW w:type="dxa" w:w="1325"/>
          </w:tcPr>
          <w:p>
            <w:pPr>
              <w:spacing w:after="20"/>
              <w:jc w:val="right"/>
            </w:pPr>
            <w:r>
              <w:rPr>
                <w:color w:val="1C3A36"/>
                <w:sz w:val="17"/>
              </w:rPr>
              <w:t>6.88%</w:t>
            </w:r>
          </w:p>
        </w:tc>
        <w:tc>
          <w:tcPr>
            <w:tcW w:type="dxa" w:w="1325"/>
          </w:tcPr>
          <w:p>
            <w:pPr>
              <w:spacing w:after="20"/>
              <w:jc w:val="right"/>
            </w:pPr>
            <w:r>
              <w:rPr>
                <w:color w:val="1C3A36"/>
                <w:sz w:val="17"/>
              </w:rPr>
              <w:t>7.03%</w:t>
            </w:r>
          </w:p>
        </w:tc>
        <w:tc>
          <w:tcPr>
            <w:tcW w:type="dxa" w:w="1325"/>
          </w:tcPr>
          <w:p>
            <w:pPr>
              <w:spacing w:after="20"/>
              <w:jc w:val="right"/>
            </w:pPr>
            <w:r>
              <w:rPr>
                <w:color w:val="1C3A36"/>
                <w:sz w:val="17"/>
              </w:rPr>
              <w:t>7.18%</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0.94</w:t>
            </w:r>
          </w:p>
        </w:tc>
        <w:tc>
          <w:tcPr>
            <w:tcW w:type="dxa" w:w="1325"/>
          </w:tcPr>
          <w:p>
            <w:pPr>
              <w:spacing w:after="20"/>
              <w:jc w:val="right"/>
            </w:pPr>
            <w:r>
              <w:rPr>
                <w:color w:val="1C3A36"/>
                <w:sz w:val="17"/>
              </w:rPr>
              <w:t>0.88</w:t>
            </w:r>
          </w:p>
        </w:tc>
        <w:tc>
          <w:tcPr>
            <w:tcW w:type="dxa" w:w="1325"/>
          </w:tcPr>
          <w:p>
            <w:pPr>
              <w:spacing w:after="20"/>
              <w:jc w:val="right"/>
            </w:pPr>
            <w:r>
              <w:rPr>
                <w:color w:val="1C3A36"/>
                <w:sz w:val="17"/>
              </w:rPr>
              <w:t>0.82</w:t>
            </w:r>
          </w:p>
        </w:tc>
        <w:tc>
          <w:tcPr>
            <w:tcW w:type="dxa" w:w="1325"/>
          </w:tcPr>
          <w:p>
            <w:pPr>
              <w:spacing w:after="20"/>
              <w:jc w:val="right"/>
            </w:pPr>
            <w:r>
              <w:rPr>
                <w:color w:val="1C3A36"/>
                <w:sz w:val="17"/>
              </w:rPr>
              <w:t>0.77</w:t>
            </w:r>
          </w:p>
        </w:tc>
        <w:tc>
          <w:tcPr>
            <w:tcW w:type="dxa" w:w="1325"/>
          </w:tcPr>
          <w:p>
            <w:pPr>
              <w:spacing w:after="20"/>
              <w:jc w:val="right"/>
            </w:pPr>
            <w:r>
              <w:rPr>
                <w:color w:val="1C3A36"/>
                <w:sz w:val="17"/>
              </w:rPr>
              <w:t>0.72</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3,898</w:t>
            </w:r>
          </w:p>
        </w:tc>
        <w:tc>
          <w:tcPr>
            <w:tcW w:type="dxa" w:w="1325"/>
            <w:shd w:val="clear" w:color="auto" w:fill="F6F1E6"/>
          </w:tcPr>
          <w:p>
            <w:pPr>
              <w:spacing w:after="20"/>
              <w:jc w:val="right"/>
            </w:pPr>
            <w:r>
              <w:rPr>
                <w:b/>
                <w:color w:val="1C3A36"/>
                <w:sz w:val="17"/>
              </w:rPr>
              <w:t>2,951</w:t>
            </w:r>
          </w:p>
        </w:tc>
        <w:tc>
          <w:tcPr>
            <w:tcW w:type="dxa" w:w="1325"/>
            <w:shd w:val="clear" w:color="auto" w:fill="F6F1E6"/>
          </w:tcPr>
          <w:p>
            <w:pPr>
              <w:spacing w:after="20"/>
              <w:jc w:val="right"/>
            </w:pPr>
            <w:r>
              <w:rPr>
                <w:b/>
                <w:color w:val="1C3A36"/>
                <w:sz w:val="17"/>
              </w:rPr>
              <w:t>2,920</w:t>
            </w:r>
          </w:p>
        </w:tc>
        <w:tc>
          <w:tcPr>
            <w:tcW w:type="dxa" w:w="1325"/>
            <w:shd w:val="clear" w:color="auto" w:fill="F6F1E6"/>
          </w:tcPr>
          <w:p>
            <w:pPr>
              <w:spacing w:after="20"/>
              <w:jc w:val="right"/>
            </w:pPr>
            <w:r>
              <w:rPr>
                <w:b/>
                <w:color w:val="1C3A36"/>
                <w:sz w:val="17"/>
              </w:rPr>
              <w:t>2,856</w:t>
            </w:r>
          </w:p>
        </w:tc>
        <w:tc>
          <w:tcPr>
            <w:tcW w:type="dxa" w:w="1325"/>
            <w:shd w:val="clear" w:color="auto" w:fill="F6F1E6"/>
          </w:tcPr>
          <w:p>
            <w:pPr>
              <w:spacing w:after="20"/>
              <w:jc w:val="right"/>
            </w:pPr>
            <w:r>
              <w:rPr>
                <w:b/>
                <w:color w:val="1C3A36"/>
                <w:sz w:val="17"/>
              </w:rPr>
              <w:t>2,777</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15,403</w:t>
            </w:r>
          </w:p>
        </w:tc>
        <w:tc>
          <w:tcPr>
            <w:tcW w:type="dxa" w:w="2232"/>
          </w:tcPr>
          <w:p>
            <w:pPr>
              <w:spacing w:after="20"/>
              <w:jc w:val="right"/>
            </w:pPr>
            <w:r>
              <w:rPr>
                <w:color w:val="1C3A36"/>
                <w:sz w:val="18"/>
              </w:rPr>
              <w:t>1.23</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3,899</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7.18% − 1.5%</w:t>
            </w:r>
          </w:p>
        </w:tc>
        <w:tc>
          <w:tcPr>
            <w:tcW w:type="dxa" w:w="2304"/>
          </w:tcPr>
          <w:p>
            <w:pPr>
              <w:spacing w:after="20"/>
              <w:jc w:val="right"/>
            </w:pPr>
            <w:r>
              <w:rPr>
                <w:color w:val="1C3A36"/>
                <w:sz w:val="18"/>
              </w:rPr>
              <w:t>5.68%</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68,592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49,172</w:t>
            </w:r>
          </w:p>
        </w:tc>
        <w:tc>
          <w:tcPr>
            <w:tcW w:type="dxa" w:w="2232"/>
          </w:tcPr>
          <w:p>
            <w:pPr>
              <w:spacing w:after="20"/>
              <w:jc w:val="right"/>
            </w:pPr>
            <w:r>
              <w:rPr>
                <w:color w:val="1C3A36"/>
                <w:sz w:val="18"/>
              </w:rPr>
              <w:t>3.93</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64,575</w:t>
            </w:r>
          </w:p>
        </w:tc>
        <w:tc>
          <w:tcPr>
            <w:tcW w:type="dxa" w:w="2232"/>
            <w:shd w:val="clear" w:color="auto" w:fill="F6F1E6"/>
          </w:tcPr>
          <w:p>
            <w:pPr>
              <w:spacing w:after="20"/>
              <w:jc w:val="right"/>
            </w:pPr>
            <w:r>
              <w:rPr>
                <w:b/>
                <w:color w:val="1C3A36"/>
                <w:sz w:val="18"/>
              </w:rPr>
              <w:t>5.17</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76.1%</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59,913</w:t>
            </w:r>
          </w:p>
        </w:tc>
        <w:tc>
          <w:tcPr>
            <w:tcW w:type="dxa" w:w="2232"/>
            <w:shd w:val="clear" w:color="auto" w:fill="F6F1E6"/>
          </w:tcPr>
          <w:p>
            <w:pPr>
              <w:spacing w:after="20"/>
              <w:jc w:val="right"/>
            </w:pPr>
            <w:r>
              <w:rPr>
                <w:b/>
                <w:color w:val="1C3A36"/>
                <w:sz w:val="18"/>
              </w:rPr>
              <w:t>4.79</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64,105</w:t>
            </w:r>
          </w:p>
        </w:tc>
        <w:tc>
          <w:tcPr>
            <w:tcW w:type="dxa" w:w="2232"/>
            <w:shd w:val="clear" w:color="auto" w:fill="F6F1E6"/>
          </w:tcPr>
          <w:p>
            <w:pPr>
              <w:spacing w:after="20"/>
              <w:jc w:val="right"/>
            </w:pPr>
            <w:r>
              <w:rPr>
                <w:b/>
                <w:color w:val="1C3A36"/>
                <w:sz w:val="18"/>
              </w:rPr>
              <w:t>5.13</w:t>
            </w:r>
          </w:p>
        </w:tc>
      </w:tr>
    </w:tbl>
    <w:p>
      <w:pPr>
        <w:spacing w:after="40"/>
      </w:pPr>
    </w:p>
    <w:p>
      <w:pPr>
        <w:spacing w:after="200" w:before="0"/>
      </w:pPr>
      <w:r>
        <w:rPr>
          <w:b w:val="0"/>
          <w:i/>
          <w:color w:val="6E7B77"/>
          <w:sz w:val="17"/>
        </w:rPr>
        <w:t>Table 6 — the enterprise-to-equity bridge. The terminal share is a LINE of the bridge rather than a footnote: 76.1%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5,129</w:t>
            </w:r>
          </w:p>
        </w:tc>
        <w:tc>
          <w:tcPr>
            <w:tcW w:type="dxa" w:w="1872"/>
          </w:tcPr>
          <w:p>
            <w:pPr>
              <w:spacing w:after="20"/>
              <w:jc w:val="right"/>
            </w:pPr>
            <w:r>
              <w:rPr>
                <w:color w:val="1C3A36"/>
                <w:sz w:val="17"/>
              </w:rPr>
              <w:t>5,317</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5,475</w:t>
            </w:r>
          </w:p>
        </w:tc>
        <w:tc>
          <w:tcPr>
            <w:tcW w:type="dxa" w:w="1872"/>
          </w:tcPr>
          <w:p>
            <w:pPr>
              <w:spacing w:after="20"/>
              <w:jc w:val="right"/>
            </w:pPr>
            <w:r>
              <w:rPr>
                <w:color w:val="1C3A36"/>
                <w:sz w:val="17"/>
              </w:rPr>
              <w:t>5,770</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15,403</w:t>
            </w:r>
          </w:p>
        </w:tc>
        <w:tc>
          <w:tcPr>
            <w:tcW w:type="dxa" w:w="1872"/>
          </w:tcPr>
          <w:p>
            <w:pPr>
              <w:spacing w:after="20"/>
              <w:jc w:val="right"/>
            </w:pPr>
            <w:r>
              <w:rPr>
                <w:color w:val="1C3A36"/>
                <w:sz w:val="17"/>
              </w:rPr>
              <w:t>16,406</w:t>
            </w:r>
          </w:p>
        </w:tc>
        <w:tc>
          <w:tcPr>
            <w:tcW w:type="dxa" w:w="1800"/>
          </w:tcPr>
          <w:p>
            <w:pPr>
              <w:spacing w:after="20"/>
              <w:jc w:val="right"/>
            </w:pPr>
            <w:r>
              <w:rPr>
                <w:color w:val="1C3A36"/>
                <w:sz w:val="17"/>
              </w:rPr>
              <w:t>1,003</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49,172</w:t>
            </w:r>
          </w:p>
        </w:tc>
        <w:tc>
          <w:tcPr>
            <w:tcW w:type="dxa" w:w="1872"/>
          </w:tcPr>
          <w:p>
            <w:pPr>
              <w:spacing w:after="20"/>
              <w:jc w:val="right"/>
            </w:pPr>
            <w:r>
              <w:rPr>
                <w:color w:val="1C3A36"/>
                <w:sz w:val="17"/>
              </w:rPr>
              <w:t>52,361</w:t>
            </w:r>
          </w:p>
        </w:tc>
        <w:tc>
          <w:tcPr>
            <w:tcW w:type="dxa" w:w="1800"/>
          </w:tcPr>
          <w:p>
            <w:pPr>
              <w:spacing w:after="20"/>
              <w:jc w:val="right"/>
            </w:pPr>
            <w:r>
              <w:rPr>
                <w:color w:val="1C3A36"/>
                <w:sz w:val="17"/>
              </w:rPr>
              <w:t>3,189</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76.1%</w:t>
            </w:r>
          </w:p>
        </w:tc>
        <w:tc>
          <w:tcPr>
            <w:tcW w:type="dxa" w:w="1872"/>
          </w:tcPr>
          <w:p>
            <w:pPr>
              <w:spacing w:after="20"/>
              <w:jc w:val="right"/>
            </w:pPr>
            <w:r>
              <w:rPr>
                <w:color w:val="1C3A36"/>
                <w:sz w:val="17"/>
              </w:rPr>
              <w:t>76.1%</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4.79</w:t>
            </w:r>
          </w:p>
        </w:tc>
        <w:tc>
          <w:tcPr>
            <w:tcW w:type="dxa" w:w="1872"/>
            <w:shd w:val="clear" w:color="auto" w:fill="F6F1E6"/>
          </w:tcPr>
          <w:p>
            <w:pPr>
              <w:spacing w:after="20"/>
              <w:jc w:val="right"/>
            </w:pPr>
            <w:r>
              <w:rPr>
                <w:b/>
                <w:color w:val="1C3A36"/>
                <w:sz w:val="17"/>
              </w:rPr>
              <w:t>5.13</w:t>
            </w:r>
          </w:p>
        </w:tc>
        <w:tc>
          <w:tcPr>
            <w:tcW w:type="dxa" w:w="1800"/>
            <w:shd w:val="clear" w:color="auto" w:fill="F6F1E6"/>
          </w:tcPr>
          <w:p>
            <w:pPr>
              <w:spacing w:after="20"/>
              <w:jc w:val="right"/>
            </w:pPr>
            <w:r>
              <w:rPr>
                <w:b/>
                <w:color w:val="1C3A36"/>
                <w:sz w:val="17"/>
              </w:rPr>
              <w:t>0.34</w:t>
            </w:r>
          </w:p>
        </w:tc>
      </w:tr>
    </w:tbl>
    <w:p>
      <w:pPr>
        <w:spacing w:after="40"/>
      </w:pPr>
    </w:p>
    <w:p>
      <w:pPr>
        <w:spacing w:after="200" w:before="0"/>
      </w:pPr>
      <w:r>
        <w:rPr>
          <w:b w:val="0"/>
          <w:i/>
          <w:color w:val="6E7B77"/>
          <w:sz w:val="17"/>
        </w:rPr>
        <w:t>Table 7 — the contested judgement isolated. Everything else in the two models is identical, so the AED 0.34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6.54% is worth a large multiple of its book. The multiple that relationship justifies is (return less growth) divided by (cost of equity less growth): (80.8% − 1.5%) ÷ (6.54% − 1.5%) = 15.7 times book, or AED 4.07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6.54%</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15.7x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4.07</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18.8 times forward earnings. On the model's own FY2026 earnings of AED 0.28 a share on Frame A and AED 0.30 on Frame B, that gives AED 5.30 and AED 5.56.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18.8x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4,367 million and EBIT of AED 3,567 million. Taxed at the statutory 9% it is AED 3,204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7,204</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4,367</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(800)</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3,567</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(363)</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3,204</w:t>
            </w:r>
          </w:p>
        </w:tc>
      </w:tr>
      <w:tr>
        <w:trPr>
          <w:cantSplit/>
        </w:trPr>
        <w:tc>
          <w:tcPr>
            <w:tcW w:type="dxa" w:w="7416"/>
          </w:tcPr>
          <w:p>
            <w:pPr>
              <w:spacing w:after="20"/>
            </w:pPr>
            <w:r>
              <w:rPr>
                <w:color w:val="1C3A36"/>
                <w:sz w:val="17"/>
              </w:rPr>
              <w:t>Capitalised at 6.43% less 1.5% growth</w:t>
            </w:r>
          </w:p>
        </w:tc>
        <w:tc>
          <w:tcPr>
            <w:tcW w:type="dxa" w:w="1656"/>
          </w:tcPr>
          <w:p>
            <w:pPr>
              <w:spacing w:after="20"/>
              <w:jc w:val="right"/>
            </w:pPr>
            <w:r>
              <w:rPr>
                <w:color w:val="1C3A36"/>
                <w:sz w:val="17"/>
              </w:rPr>
              <w:t>64,957</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60,295</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4.82</w:t>
            </w:r>
          </w:p>
        </w:tc>
      </w:tr>
    </w:tbl>
    <w:p>
      <w:pPr>
        <w:spacing w:after="40"/>
      </w:pPr>
    </w:p>
    <w:p>
      <w:pPr>
        <w:spacing w:after="200" w:before="0"/>
      </w:pPr>
      <w:r>
        <w:rPr>
          <w:b w:val="0"/>
          <w:i/>
          <w:color w:val="6E7B77"/>
          <w:sz w:val="17"/>
        </w:rPr>
        <w:t>Table 10 — normalised earnings power. This reading is capitalised at TODAY's cost of capital of 6.43% rather than the terminal 7.18%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4.79</w:t>
            </w:r>
          </w:p>
        </w:tc>
        <w:tc>
          <w:tcPr>
            <w:tcW w:type="dxa" w:w="1440"/>
          </w:tcPr>
          <w:p>
            <w:pPr>
              <w:spacing w:after="20"/>
              <w:jc w:val="right"/>
            </w:pPr>
            <w:r>
              <w:rPr>
                <w:color w:val="1C3A36"/>
                <w:sz w:val="17"/>
              </w:rPr>
              <w:t>5.13</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4.82</w:t>
            </w:r>
          </w:p>
        </w:tc>
        <w:tc>
          <w:tcPr>
            <w:tcW w:type="dxa" w:w="1440"/>
          </w:tcPr>
          <w:p>
            <w:pPr>
              <w:spacing w:after="20"/>
              <w:jc w:val="right"/>
            </w:pPr>
            <w:r>
              <w:rPr>
                <w:color w:val="1C3A36"/>
                <w:sz w:val="17"/>
              </w:rPr>
              <w:t>4.82</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5.30</w:t>
            </w:r>
          </w:p>
        </w:tc>
        <w:tc>
          <w:tcPr>
            <w:tcW w:type="dxa" w:w="1440"/>
          </w:tcPr>
          <w:p>
            <w:pPr>
              <w:spacing w:after="20"/>
              <w:jc w:val="right"/>
            </w:pPr>
            <w:r>
              <w:rPr>
                <w:color w:val="1C3A36"/>
                <w:sz w:val="17"/>
              </w:rPr>
              <w:t>5.56</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4.07</w:t>
            </w:r>
          </w:p>
        </w:tc>
        <w:tc>
          <w:tcPr>
            <w:tcW w:type="dxa" w:w="1440"/>
          </w:tcPr>
          <w:p>
            <w:pPr>
              <w:spacing w:after="20"/>
              <w:jc w:val="right"/>
            </w:pPr>
            <w:r>
              <w:rPr>
                <w:color w:val="1C3A36"/>
                <w:sz w:val="17"/>
              </w:rPr>
              <w:t>4.07</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4.79</w:t>
            </w:r>
          </w:p>
        </w:tc>
        <w:tc>
          <w:tcPr>
            <w:tcW w:type="dxa" w:w="1440"/>
            <w:shd w:val="clear" w:color="auto" w:fill="F6F1E6"/>
          </w:tcPr>
          <w:p>
            <w:pPr>
              <w:spacing w:after="20"/>
              <w:jc w:val="right"/>
            </w:pPr>
            <w:r>
              <w:rPr>
                <w:b/>
                <w:color w:val="1C3A36"/>
                <w:sz w:val="17"/>
              </w:rPr>
              <w:t>4.98</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4.14</w:t>
            </w:r>
          </w:p>
        </w:tc>
        <w:tc>
          <w:tcPr>
            <w:tcW w:type="dxa" w:w="1440"/>
          </w:tcPr>
          <w:p>
            <w:pPr>
              <w:spacing w:after="20"/>
              <w:jc w:val="right"/>
            </w:pPr>
            <w:r>
              <w:rPr>
                <w:color w:val="1C3A36"/>
                <w:sz w:val="17"/>
              </w:rPr>
              <w:t>4.14</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4.07 to AED 5.56 across the individual readings; the published low and high of AED 4.07 to AED 5.73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11,175</w:t>
            </w:r>
          </w:p>
        </w:tc>
        <w:tc>
          <w:tcPr>
            <w:tcW w:type="dxa" w:w="1138"/>
          </w:tcPr>
          <w:p>
            <w:pPr>
              <w:spacing w:after="20"/>
              <w:jc w:val="right"/>
            </w:pPr>
            <w:r>
              <w:rPr>
                <w:color w:val="1C3A36"/>
                <w:sz w:val="16"/>
              </w:rPr>
              <w:t>11,398</w:t>
            </w:r>
          </w:p>
        </w:tc>
        <w:tc>
          <w:tcPr>
            <w:tcW w:type="dxa" w:w="1138"/>
          </w:tcPr>
          <w:p>
            <w:pPr>
              <w:spacing w:after="20"/>
              <w:jc w:val="right"/>
            </w:pPr>
            <w:r>
              <w:rPr>
                <w:color w:val="1C3A36"/>
                <w:sz w:val="16"/>
              </w:rPr>
              <w:t>11,603</w:t>
            </w:r>
          </w:p>
        </w:tc>
        <w:tc>
          <w:tcPr>
            <w:tcW w:type="dxa" w:w="1138"/>
          </w:tcPr>
          <w:p>
            <w:pPr>
              <w:spacing w:after="20"/>
              <w:jc w:val="right"/>
            </w:pPr>
            <w:r>
              <w:rPr>
                <w:color w:val="1C3A36"/>
                <w:sz w:val="16"/>
              </w:rPr>
              <w:t>11,777</w:t>
            </w:r>
          </w:p>
        </w:tc>
        <w:tc>
          <w:tcPr>
            <w:tcW w:type="dxa" w:w="1138"/>
          </w:tcPr>
          <w:p>
            <w:pPr>
              <w:spacing w:after="20"/>
              <w:jc w:val="right"/>
            </w:pPr>
            <w:r>
              <w:rPr>
                <w:color w:val="1C3A36"/>
                <w:sz w:val="16"/>
              </w:rPr>
              <w:t>11,919</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4,808</w:t>
            </w:r>
          </w:p>
        </w:tc>
        <w:tc>
          <w:tcPr>
            <w:tcW w:type="dxa" w:w="1138"/>
          </w:tcPr>
          <w:p>
            <w:pPr>
              <w:spacing w:after="20"/>
              <w:jc w:val="right"/>
            </w:pPr>
            <w:r>
              <w:rPr>
                <w:color w:val="1C3A36"/>
                <w:sz w:val="16"/>
              </w:rPr>
              <w:t>4,928</w:t>
            </w:r>
          </w:p>
        </w:tc>
        <w:tc>
          <w:tcPr>
            <w:tcW w:type="dxa" w:w="1138"/>
          </w:tcPr>
          <w:p>
            <w:pPr>
              <w:spacing w:after="20"/>
              <w:jc w:val="right"/>
            </w:pPr>
            <w:r>
              <w:rPr>
                <w:color w:val="1C3A36"/>
                <w:sz w:val="16"/>
              </w:rPr>
              <w:t>5,027</w:t>
            </w:r>
          </w:p>
        </w:tc>
        <w:tc>
          <w:tcPr>
            <w:tcW w:type="dxa" w:w="1138"/>
          </w:tcPr>
          <w:p>
            <w:pPr>
              <w:spacing w:after="20"/>
              <w:jc w:val="right"/>
            </w:pPr>
            <w:r>
              <w:rPr>
                <w:color w:val="1C3A36"/>
                <w:sz w:val="16"/>
              </w:rPr>
              <w:t>5,117</w:t>
            </w:r>
          </w:p>
        </w:tc>
        <w:tc>
          <w:tcPr>
            <w:tcW w:type="dxa" w:w="1138"/>
          </w:tcPr>
          <w:p>
            <w:pPr>
              <w:spacing w:after="20"/>
              <w:jc w:val="right"/>
            </w:pPr>
            <w:r>
              <w:rPr>
                <w:color w:val="1C3A36"/>
                <w:sz w:val="16"/>
              </w:rPr>
              <w:t>5,194</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3.05</w:t>
            </w:r>
          </w:p>
        </w:tc>
        <w:tc>
          <w:tcPr>
            <w:tcW w:type="dxa" w:w="1138"/>
          </w:tcPr>
          <w:p>
            <w:pPr>
              <w:spacing w:after="20"/>
              <w:jc w:val="right"/>
            </w:pPr>
            <w:r>
              <w:rPr>
                <w:color w:val="1C3A36"/>
                <w:sz w:val="16"/>
              </w:rPr>
              <w:t>2.95</w:t>
            </w:r>
          </w:p>
        </w:tc>
        <w:tc>
          <w:tcPr>
            <w:tcW w:type="dxa" w:w="1138"/>
          </w:tcPr>
          <w:p>
            <w:pPr>
              <w:spacing w:after="20"/>
              <w:jc w:val="right"/>
            </w:pPr>
            <w:r>
              <w:rPr>
                <w:color w:val="1C3A36"/>
                <w:sz w:val="16"/>
              </w:rPr>
              <w:t>2.98</w:t>
            </w:r>
          </w:p>
        </w:tc>
        <w:tc>
          <w:tcPr>
            <w:tcW w:type="dxa" w:w="1138"/>
          </w:tcPr>
          <w:p>
            <w:pPr>
              <w:spacing w:after="20"/>
              <w:jc w:val="right"/>
            </w:pPr>
            <w:r>
              <w:rPr>
                <w:color w:val="1C3A36"/>
                <w:sz w:val="16"/>
              </w:rPr>
              <w:t>3.01</w:t>
            </w:r>
          </w:p>
        </w:tc>
        <w:tc>
          <w:tcPr>
            <w:tcW w:type="dxa" w:w="1138"/>
          </w:tcPr>
          <w:p>
            <w:pPr>
              <w:spacing w:after="20"/>
              <w:jc w:val="right"/>
            </w:pPr>
            <w:r>
              <w:rPr>
                <w:color w:val="1C3A36"/>
                <w:sz w:val="16"/>
              </w:rPr>
              <w:t>3.04</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4,038</w:t>
            </w:r>
          </w:p>
        </w:tc>
        <w:tc>
          <w:tcPr>
            <w:tcW w:type="dxa" w:w="1224"/>
          </w:tcPr>
          <w:p>
            <w:pPr>
              <w:spacing w:after="20"/>
              <w:jc w:val="right"/>
            </w:pPr>
            <w:r>
              <w:rPr>
                <w:color w:val="1C3A36"/>
                <w:sz w:val="16"/>
              </w:rPr>
              <w:t>4,201</w:t>
            </w:r>
          </w:p>
        </w:tc>
        <w:tc>
          <w:tcPr>
            <w:tcW w:type="dxa" w:w="1224"/>
          </w:tcPr>
          <w:p>
            <w:pPr>
              <w:spacing w:after="20"/>
              <w:jc w:val="right"/>
            </w:pPr>
            <w:r>
              <w:rPr>
                <w:color w:val="1C3A36"/>
                <w:sz w:val="16"/>
              </w:rPr>
              <w:t>4,362</w:t>
            </w:r>
          </w:p>
        </w:tc>
        <w:tc>
          <w:tcPr>
            <w:tcW w:type="dxa" w:w="1224"/>
          </w:tcPr>
          <w:p>
            <w:pPr>
              <w:spacing w:after="20"/>
              <w:jc w:val="right"/>
            </w:pPr>
            <w:r>
              <w:rPr>
                <w:color w:val="1C3A36"/>
                <w:sz w:val="16"/>
              </w:rPr>
              <w:t>4,516</w:t>
            </w:r>
          </w:p>
        </w:tc>
        <w:tc>
          <w:tcPr>
            <w:tcW w:type="dxa" w:w="1224"/>
          </w:tcPr>
          <w:p>
            <w:pPr>
              <w:spacing w:after="20"/>
              <w:jc w:val="right"/>
            </w:pPr>
            <w:r>
              <w:rPr>
                <w:color w:val="1C3A36"/>
                <w:sz w:val="16"/>
              </w:rPr>
              <w:t>4,662</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2,067</w:t>
            </w:r>
          </w:p>
        </w:tc>
        <w:tc>
          <w:tcPr>
            <w:tcW w:type="dxa" w:w="1224"/>
          </w:tcPr>
          <w:p>
            <w:pPr>
              <w:spacing w:after="20"/>
              <w:jc w:val="right"/>
            </w:pPr>
            <w:r>
              <w:rPr>
                <w:color w:val="1C3A36"/>
                <w:sz w:val="16"/>
              </w:rPr>
              <w:t>2,161</w:t>
            </w:r>
          </w:p>
        </w:tc>
        <w:tc>
          <w:tcPr>
            <w:tcW w:type="dxa" w:w="1224"/>
          </w:tcPr>
          <w:p>
            <w:pPr>
              <w:spacing w:after="20"/>
              <w:jc w:val="right"/>
            </w:pPr>
            <w:r>
              <w:rPr>
                <w:color w:val="1C3A36"/>
                <w:sz w:val="16"/>
              </w:rPr>
              <w:t>2,248</w:t>
            </w:r>
          </w:p>
        </w:tc>
        <w:tc>
          <w:tcPr>
            <w:tcW w:type="dxa" w:w="1224"/>
          </w:tcPr>
          <w:p>
            <w:pPr>
              <w:spacing w:after="20"/>
              <w:jc w:val="right"/>
            </w:pPr>
            <w:r>
              <w:rPr>
                <w:color w:val="1C3A36"/>
                <w:sz w:val="16"/>
              </w:rPr>
              <w:t>2,334</w:t>
            </w:r>
          </w:p>
        </w:tc>
        <w:tc>
          <w:tcPr>
            <w:tcW w:type="dxa" w:w="1224"/>
          </w:tcPr>
          <w:p>
            <w:pPr>
              <w:spacing w:after="20"/>
              <w:jc w:val="right"/>
            </w:pPr>
            <w:r>
              <w:rPr>
                <w:color w:val="1C3A36"/>
                <w:sz w:val="16"/>
              </w:rPr>
              <w:t>2,417</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1,099</w:t>
            </w:r>
          </w:p>
        </w:tc>
        <w:tc>
          <w:tcPr>
            <w:tcW w:type="dxa" w:w="1224"/>
          </w:tcPr>
          <w:p>
            <w:pPr>
              <w:spacing w:after="20"/>
              <w:jc w:val="right"/>
            </w:pPr>
            <w:r>
              <w:rPr>
                <w:color w:val="1C3A36"/>
                <w:sz w:val="16"/>
              </w:rPr>
              <w:t>1,209</w:t>
            </w:r>
          </w:p>
        </w:tc>
        <w:tc>
          <w:tcPr>
            <w:tcW w:type="dxa" w:w="1224"/>
          </w:tcPr>
          <w:p>
            <w:pPr>
              <w:spacing w:after="20"/>
              <w:jc w:val="right"/>
            </w:pPr>
            <w:r>
              <w:rPr>
                <w:color w:val="1C3A36"/>
                <w:sz w:val="16"/>
              </w:rPr>
              <w:t>1,317</w:t>
            </w:r>
          </w:p>
        </w:tc>
        <w:tc>
          <w:tcPr>
            <w:tcW w:type="dxa" w:w="1224"/>
          </w:tcPr>
          <w:p>
            <w:pPr>
              <w:spacing w:after="20"/>
              <w:jc w:val="right"/>
            </w:pPr>
            <w:r>
              <w:rPr>
                <w:color w:val="1C3A36"/>
                <w:sz w:val="16"/>
              </w:rPr>
              <w:t>1,423</w:t>
            </w:r>
          </w:p>
        </w:tc>
        <w:tc>
          <w:tcPr>
            <w:tcW w:type="dxa" w:w="1224"/>
          </w:tcPr>
          <w:p>
            <w:pPr>
              <w:spacing w:after="20"/>
              <w:jc w:val="right"/>
            </w:pPr>
            <w:r>
              <w:rPr>
                <w:color w:val="1C3A36"/>
                <w:sz w:val="16"/>
              </w:rPr>
              <w:t>1,537</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7,204</w:t>
            </w:r>
          </w:p>
        </w:tc>
        <w:tc>
          <w:tcPr>
            <w:tcW w:type="dxa" w:w="1224"/>
            <w:shd w:val="clear" w:color="auto" w:fill="F6F1E6"/>
          </w:tcPr>
          <w:p>
            <w:pPr>
              <w:spacing w:after="20"/>
              <w:jc w:val="right"/>
            </w:pPr>
            <w:r>
              <w:rPr>
                <w:b/>
                <w:color w:val="1C3A36"/>
                <w:sz w:val="16"/>
              </w:rPr>
              <w:t>7,571</w:t>
            </w:r>
          </w:p>
        </w:tc>
        <w:tc>
          <w:tcPr>
            <w:tcW w:type="dxa" w:w="1224"/>
            <w:shd w:val="clear" w:color="auto" w:fill="F6F1E6"/>
          </w:tcPr>
          <w:p>
            <w:pPr>
              <w:spacing w:after="20"/>
              <w:jc w:val="right"/>
            </w:pPr>
            <w:r>
              <w:rPr>
                <w:b/>
                <w:color w:val="1C3A36"/>
                <w:sz w:val="16"/>
              </w:rPr>
              <w:t>7,928</w:t>
            </w:r>
          </w:p>
        </w:tc>
        <w:tc>
          <w:tcPr>
            <w:tcW w:type="dxa" w:w="1224"/>
            <w:shd w:val="clear" w:color="auto" w:fill="F6F1E6"/>
          </w:tcPr>
          <w:p>
            <w:pPr>
              <w:spacing w:after="20"/>
              <w:jc w:val="right"/>
            </w:pPr>
            <w:r>
              <w:rPr>
                <w:b/>
                <w:color w:val="1C3A36"/>
                <w:sz w:val="16"/>
              </w:rPr>
              <w:t>8,274</w:t>
            </w:r>
          </w:p>
        </w:tc>
        <w:tc>
          <w:tcPr>
            <w:tcW w:type="dxa" w:w="1224"/>
            <w:shd w:val="clear" w:color="auto" w:fill="F6F1E6"/>
          </w:tcPr>
          <w:p>
            <w:pPr>
              <w:spacing w:after="20"/>
              <w:jc w:val="right"/>
            </w:pPr>
            <w:r>
              <w:rPr>
                <w:b/>
                <w:color w:val="1C3A36"/>
                <w:sz w:val="16"/>
              </w:rPr>
              <w:t>8,615</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7,966</w:t>
            </w:r>
          </w:p>
        </w:tc>
        <w:tc>
          <w:tcPr>
            <w:tcW w:type="dxa" w:w="1224"/>
          </w:tcPr>
          <w:p>
            <w:pPr>
              <w:spacing w:after="20"/>
              <w:jc w:val="right"/>
            </w:pPr>
            <w:r>
              <w:rPr>
                <w:color w:val="1C3A36"/>
                <w:sz w:val="16"/>
              </w:rPr>
              <w:t>7,571</w:t>
            </w:r>
          </w:p>
        </w:tc>
        <w:tc>
          <w:tcPr>
            <w:tcW w:type="dxa" w:w="1224"/>
          </w:tcPr>
          <w:p>
            <w:pPr>
              <w:spacing w:after="20"/>
              <w:jc w:val="right"/>
            </w:pPr>
            <w:r>
              <w:rPr>
                <w:color w:val="1C3A36"/>
                <w:sz w:val="16"/>
              </w:rPr>
              <w:t>7,928</w:t>
            </w:r>
          </w:p>
        </w:tc>
        <w:tc>
          <w:tcPr>
            <w:tcW w:type="dxa" w:w="1224"/>
          </w:tcPr>
          <w:p>
            <w:pPr>
              <w:spacing w:after="20"/>
              <w:jc w:val="right"/>
            </w:pPr>
            <w:r>
              <w:rPr>
                <w:color w:val="1C3A36"/>
                <w:sz w:val="16"/>
              </w:rPr>
              <w:t>8,274</w:t>
            </w:r>
          </w:p>
        </w:tc>
        <w:tc>
          <w:tcPr>
            <w:tcW w:type="dxa" w:w="1224"/>
          </w:tcPr>
          <w:p>
            <w:pPr>
              <w:spacing w:after="20"/>
              <w:jc w:val="right"/>
            </w:pPr>
            <w:r>
              <w:rPr>
                <w:color w:val="1C3A36"/>
                <w:sz w:val="16"/>
              </w:rPr>
              <w:t>8,615</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17.5%</w:t>
            </w:r>
          </w:p>
        </w:tc>
        <w:tc>
          <w:tcPr>
            <w:tcW w:type="dxa" w:w="1224"/>
          </w:tcPr>
          <w:p>
            <w:pPr>
              <w:spacing w:after="20"/>
              <w:jc w:val="right"/>
            </w:pPr>
            <w:r>
              <w:rPr>
                <w:color w:val="1C3A36"/>
                <w:sz w:val="16"/>
              </w:rPr>
              <w:t>17.7%</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8,154</w:t>
            </w:r>
          </w:p>
        </w:tc>
        <w:tc>
          <w:tcPr>
            <w:tcW w:type="dxa" w:w="1224"/>
          </w:tcPr>
          <w:p>
            <w:pPr>
              <w:spacing w:after="20"/>
              <w:jc w:val="right"/>
            </w:pPr>
            <w:r>
              <w:rPr>
                <w:color w:val="1C3A36"/>
                <w:sz w:val="16"/>
              </w:rPr>
              <w:t>7,866</w:t>
            </w:r>
          </w:p>
        </w:tc>
        <w:tc>
          <w:tcPr>
            <w:tcW w:type="dxa" w:w="1224"/>
          </w:tcPr>
          <w:p>
            <w:pPr>
              <w:spacing w:after="20"/>
              <w:jc w:val="right"/>
            </w:pPr>
            <w:r>
              <w:rPr>
                <w:color w:val="1C3A36"/>
                <w:sz w:val="16"/>
              </w:rPr>
              <w:t>8,223</w:t>
            </w:r>
          </w:p>
        </w:tc>
        <w:tc>
          <w:tcPr>
            <w:tcW w:type="dxa" w:w="1224"/>
          </w:tcPr>
          <w:p>
            <w:pPr>
              <w:spacing w:after="20"/>
              <w:jc w:val="right"/>
            </w:pPr>
            <w:r>
              <w:rPr>
                <w:color w:val="1C3A36"/>
                <w:sz w:val="16"/>
              </w:rPr>
              <w:t>8,569</w:t>
            </w:r>
          </w:p>
        </w:tc>
        <w:tc>
          <w:tcPr>
            <w:tcW w:type="dxa" w:w="1224"/>
          </w:tcPr>
          <w:p>
            <w:pPr>
              <w:spacing w:after="20"/>
              <w:jc w:val="right"/>
            </w:pPr>
            <w:r>
              <w:rPr>
                <w:color w:val="1C3A36"/>
                <w:sz w:val="16"/>
              </w:rPr>
              <w:t>8,910</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18.1%</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18.6%</w:t>
            </w:r>
          </w:p>
        </w:tc>
        <w:tc>
          <w:tcPr>
            <w:tcW w:type="dxa" w:w="1224"/>
          </w:tcPr>
          <w:p>
            <w:pPr>
              <w:spacing w:after="20"/>
              <w:jc w:val="right"/>
            </w:pPr>
            <w:r>
              <w:rPr>
                <w:color w:val="1C3A36"/>
                <w:sz w:val="16"/>
              </w:rPr>
              <w:t>18.9%</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83.5% of the cost base and is a globally traded input: it escalates on its own crude-linked realised-price path through the committee's formula, never on a domestic inflation series. Staff, utilities, repairs and marketing are 6.1%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bl>
    <w:p>
      <w:pPr>
        <w:spacing w:after="40"/>
      </w:pPr>
    </w:p>
    <w:p>
      <w:pPr>
        <w:spacing w:after="200" w:before="0"/>
      </w:pPr>
      <w:r>
        <w:rPr>
          <w:b w:val="0"/>
          <w:i/>
          <w:color w:val="6E7B77"/>
          <w:sz w:val="17"/>
        </w:rPr>
        <w:t>Table 14 — every external driver in the model, with the evidence behind it and the place it enters. 23 of the 55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-0.15% — a NEGATIVE number. Against the model's 1.5%, the market is not pricing a slower-growing fuel retailer. It is pricing one whose real volume base shrinks a little every year, forever.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-0.15%</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7.18%</w:t>
            </w:r>
          </w:p>
        </w:tc>
        <w:tc>
          <w:tcPr>
            <w:tcW w:type="dxa" w:w="2664"/>
          </w:tcPr>
          <w:p>
            <w:pPr>
              <w:spacing w:after="20"/>
              <w:jc w:val="right"/>
            </w:pPr>
            <w:r>
              <w:rPr>
                <w:color w:val="1C3A36"/>
                <w:sz w:val="18"/>
              </w:rPr>
              <w:t>8.23%</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0.51</w:t>
            </w:r>
          </w:p>
        </w:tc>
        <w:tc>
          <w:tcPr>
            <w:tcW w:type="dxa" w:w="2664"/>
          </w:tcPr>
          <w:p>
            <w:pPr>
              <w:spacing w:after="20"/>
              <w:jc w:val="right"/>
            </w:pPr>
            <w:r>
              <w:rPr>
                <w:color w:val="1C3A36"/>
                <w:sz w:val="18"/>
              </w:rPr>
              <w:t>0.72</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4.79</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0.72 — close to the market average — is the right one has a complete and internally consistent case for the traded price without needing volumes to decline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-0.15%</w:t>
            </w:r>
          </w:p>
        </w:tc>
      </w:tr>
      <w:tr>
        <w:trPr>
          <w:cantSplit/>
        </w:trPr>
        <w:tc>
          <w:tcPr>
            <w:tcW w:type="dxa" w:w="7416"/>
          </w:tcPr>
          <w:p>
            <w:pPr>
              <w:spacing w:after="20"/>
            </w:pPr>
            <w:r>
              <w:rPr>
                <w:color w:val="1C3A36"/>
                <w:sz w:val="17"/>
              </w:rPr>
              <w:t>Litres of retail fuel lost in the first such year</w:t>
            </w:r>
          </w:p>
        </w:tc>
        <w:tc>
          <w:tcPr>
            <w:tcW w:type="dxa" w:w="1656"/>
          </w:tcPr>
          <w:p>
            <w:pPr>
              <w:spacing w:after="20"/>
              <w:jc w:val="right"/>
            </w:pPr>
            <w:r>
              <w:rPr>
                <w:color w:val="1C3A36"/>
                <w:sz w:val="17"/>
              </w:rPr>
              <w:t>16m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Fuel transactions that disappear, per year</w:t>
            </w:r>
          </w:p>
        </w:tc>
        <w:tc>
          <w:tcPr>
            <w:tcW w:type="dxa" w:w="1656"/>
          </w:tcPr>
          <w:p>
            <w:pPr>
              <w:spacing w:after="20"/>
              <w:jc w:val="right"/>
            </w:pPr>
            <w:r>
              <w:rPr>
                <w:color w:val="1C3A36"/>
                <w:sz w:val="17"/>
              </w:rPr>
              <w:t>0.3m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0.30%</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million registered vehicles (UAE, June 2025); +9.35%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lose roughly 0.3 million fuel transactions a year,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4.79 to AED 4.56, which does NOT reach the traded price. Volume alone cannot explain the gap inside the explicit window — it has to be the terminal. Second, sensitivity to margin per litre: a 10% cut to the margin growth path across both fuel legs takes it to AED 4.26.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3.56</w:t>
            </w:r>
          </w:p>
        </w:tc>
        <w:tc>
          <w:tcPr>
            <w:tcW w:type="dxa" w:w="2304"/>
          </w:tcPr>
          <w:p>
            <w:pPr>
              <w:spacing w:after="20"/>
              <w:jc w:val="right"/>
            </w:pPr>
            <w:r>
              <w:rPr>
                <w:color w:val="1C3A36"/>
                <w:sz w:val="17"/>
              </w:rPr>
              <w:t>-13%</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3.81</w:t>
            </w:r>
          </w:p>
        </w:tc>
        <w:tc>
          <w:tcPr>
            <w:tcW w:type="dxa" w:w="2304"/>
          </w:tcPr>
          <w:p>
            <w:pPr>
              <w:spacing w:after="20"/>
              <w:jc w:val="right"/>
            </w:pPr>
            <w:r>
              <w:rPr>
                <w:color w:val="1C3A36"/>
                <w:sz w:val="17"/>
              </w:rPr>
              <w:t>-6%</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4.12</w:t>
            </w:r>
          </w:p>
        </w:tc>
        <w:tc>
          <w:tcPr>
            <w:tcW w:type="dxa" w:w="2304"/>
          </w:tcPr>
          <w:p>
            <w:pPr>
              <w:spacing w:after="20"/>
              <w:jc w:val="right"/>
            </w:pPr>
            <w:r>
              <w:rPr>
                <w:color w:val="1C3A36"/>
                <w:sz w:val="17"/>
              </w:rPr>
              <w:t>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4.53</w:t>
            </w:r>
          </w:p>
        </w:tc>
        <w:tc>
          <w:tcPr>
            <w:tcW w:type="dxa" w:w="2304"/>
          </w:tcPr>
          <w:p>
            <w:pPr>
              <w:spacing w:after="20"/>
              <w:jc w:val="right"/>
            </w:pPr>
            <w:r>
              <w:rPr>
                <w:color w:val="1C3A36"/>
                <w:sz w:val="17"/>
              </w:rPr>
              <w:t>11%</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4.79</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0.32 a share. Carrying the first-half 2026 rate of AED 762 million in perpetuity — which nobody should believe, and which is shown only to bound the question — is worth AED 0.83 a share. Setting them to zero in every year including FY2026 gives AED 4.74,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4.79</w:t>
            </w:r>
          </w:p>
        </w:tc>
        <w:tc>
          <w:tcPr>
            <w:tcW w:type="dxa" w:w="2016"/>
          </w:tcPr>
          <w:p>
            <w:pPr>
              <w:spacing w:after="20"/>
              <w:jc w:val="right"/>
            </w:pPr>
            <w:r>
              <w:rPr>
                <w:color w:val="1C3A36"/>
                <w:sz w:val="17"/>
              </w:rPr>
              <w:t>18%</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4.96</w:t>
            </w:r>
          </w:p>
        </w:tc>
        <w:tc>
          <w:tcPr>
            <w:tcW w:type="dxa" w:w="2016"/>
          </w:tcPr>
          <w:p>
            <w:pPr>
              <w:spacing w:after="20"/>
              <w:jc w:val="right"/>
            </w:pPr>
            <w:r>
              <w:rPr>
                <w:color w:val="1C3A36"/>
                <w:sz w:val="17"/>
              </w:rPr>
              <w:t>22%</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5.12</w:t>
            </w:r>
          </w:p>
        </w:tc>
        <w:tc>
          <w:tcPr>
            <w:tcW w:type="dxa" w:w="2016"/>
          </w:tcPr>
          <w:p>
            <w:pPr>
              <w:spacing w:after="20"/>
              <w:jc w:val="right"/>
            </w:pPr>
            <w:r>
              <w:rPr>
                <w:color w:val="1C3A36"/>
                <w:sz w:val="17"/>
              </w:rPr>
              <w:t>26%</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5.34</w:t>
            </w:r>
          </w:p>
        </w:tc>
        <w:tc>
          <w:tcPr>
            <w:tcW w:type="dxa" w:w="2016"/>
          </w:tcPr>
          <w:p>
            <w:pPr>
              <w:spacing w:after="20"/>
              <w:jc w:val="right"/>
            </w:pPr>
            <w:r>
              <w:rPr>
                <w:color w:val="1C3A36"/>
                <w:sz w:val="17"/>
              </w:rPr>
              <w:t>31%</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5.63</w:t>
            </w:r>
          </w:p>
        </w:tc>
        <w:tc>
          <w:tcPr>
            <w:tcW w:type="dxa" w:w="2016"/>
          </w:tcPr>
          <w:p>
            <w:pPr>
              <w:spacing w:after="20"/>
              <w:jc w:val="right"/>
            </w:pPr>
            <w:r>
              <w:rPr>
                <w:color w:val="1C3A36"/>
                <w:sz w:val="17"/>
              </w:rPr>
              <w:t>38%</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0.42% to 4.06%,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(0.42%)</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4.06%</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0.51</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6.54%</w:t>
            </w:r>
          </w:p>
        </w:tc>
        <w:tc>
          <w:tcPr>
            <w:tcW w:type="dxa" w:w="4320"/>
            <w:shd w:val="clear" w:color="auto" w:fill="F6F1E6"/>
          </w:tcPr>
          <w:p>
            <w:pPr>
              <w:spacing w:after="20"/>
              <w:jc w:val="right"/>
            </w:pPr>
            <w:r>
              <w:rPr>
                <w:b/>
                <w:color w:val="1C3A36"/>
                <w:sz w:val="16"/>
              </w:rPr>
              <w:t>4.06% + 0.51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6.43%</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0.70</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10%</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7.18%</w:t>
            </w:r>
          </w:p>
        </w:tc>
        <w:tc>
          <w:tcPr>
            <w:tcW w:type="dxa" w:w="4320"/>
            <w:shd w:val="clear" w:color="auto" w:fill="F6F1E6"/>
          </w:tcPr>
          <w:p>
            <w:pPr>
              <w:spacing w:after="20"/>
              <w:jc w:val="right"/>
            </w:pPr>
            <w:r>
              <w:rPr>
                <w:b/>
                <w:color w:val="1C3A36"/>
                <w:sz w:val="16"/>
              </w:rPr>
              <w:t>the rate that discounts 76.1% of the value</w:t>
            </w:r>
          </w:p>
        </w:tc>
      </w:tr>
    </w:tbl>
    <w:p>
      <w:pPr>
        <w:spacing w:after="40"/>
      </w:pPr>
    </w:p>
    <w:p>
      <w:pPr>
        <w:spacing w:after="200" w:before="0"/>
      </w:pPr>
      <w:r>
        <w:rPr>
          <w:b w:val="0"/>
          <w:i/>
          <w:color w:val="6E7B77"/>
          <w:sz w:val="17"/>
        </w:rPr>
        <w:t>Table 19 — the cost of capital. The discount rate is not held at 6.43%: it glides linearly to 7.18% across the five explicit years, because today's reading rests on a beta of 0.51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ADX composite (ex-subject), it is 0.51 with a standard error of 0.06 and an r-squared of 19.4% over 257 observations — a 90% interval of 0.40 to 0.62. The regression EXCLUDES the subject from the index, because a large constituent regressed against an index containing itself is mechanically pulled toward one. Including it gives 0.63; regressing against the broader all-UAE composite gives 0.51. All three are published. A beta of 0.51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4.79 to AED 4.51.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0.70 — arithmetically the same effect as a premium about forty per cent higher — gives AED 4.13</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0.35 → 5.52</w:t>
            </w:r>
          </w:p>
        </w:tc>
        <w:tc>
          <w:tcPr>
            <w:tcW w:type="dxa" w:w="1224"/>
          </w:tcPr>
          <w:p>
            <w:pPr>
              <w:spacing w:after="20"/>
              <w:jc w:val="right"/>
            </w:pPr>
            <w:r>
              <w:rPr>
                <w:color w:val="1C3A36"/>
                <w:sz w:val="17"/>
              </w:rPr>
              <w:t>0.51</w:t>
            </w:r>
          </w:p>
        </w:tc>
        <w:tc>
          <w:tcPr>
            <w:tcW w:type="dxa" w:w="1944"/>
          </w:tcPr>
          <w:p>
            <w:pPr>
              <w:spacing w:after="20"/>
              <w:jc w:val="right"/>
            </w:pPr>
            <w:r>
              <w:rPr>
                <w:color w:val="1C3A36"/>
                <w:sz w:val="17"/>
              </w:rPr>
              <w:t>1.00 → 3.37</w:t>
            </w:r>
          </w:p>
        </w:tc>
        <w:tc>
          <w:tcPr>
            <w:tcW w:type="dxa" w:w="1800"/>
          </w:tcPr>
          <w:p>
            <w:pPr>
              <w:spacing w:after="20"/>
              <w:jc w:val="right"/>
            </w:pPr>
            <w:r>
              <w:rPr>
                <w:color w:val="1C3A36"/>
                <w:sz w:val="17"/>
              </w:rPr>
              <w:t>2.15</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6.18% → 5.78</w:t>
            </w:r>
          </w:p>
        </w:tc>
        <w:tc>
          <w:tcPr>
            <w:tcW w:type="dxa" w:w="1224"/>
          </w:tcPr>
          <w:p>
            <w:pPr>
              <w:spacing w:after="20"/>
              <w:jc w:val="right"/>
            </w:pPr>
            <w:r>
              <w:rPr>
                <w:color w:val="1C3A36"/>
                <w:sz w:val="17"/>
              </w:rPr>
              <w:t>7.18%</w:t>
            </w:r>
          </w:p>
        </w:tc>
        <w:tc>
          <w:tcPr>
            <w:tcW w:type="dxa" w:w="1944"/>
          </w:tcPr>
          <w:p>
            <w:pPr>
              <w:spacing w:after="20"/>
              <w:jc w:val="right"/>
            </w:pPr>
            <w:r>
              <w:rPr>
                <w:color w:val="1C3A36"/>
                <w:sz w:val="17"/>
              </w:rPr>
              <w:t>8.18% → 4.10</w:t>
            </w:r>
          </w:p>
        </w:tc>
        <w:tc>
          <w:tcPr>
            <w:tcW w:type="dxa" w:w="1800"/>
          </w:tcPr>
          <w:p>
            <w:pPr>
              <w:spacing w:after="20"/>
              <w:jc w:val="right"/>
            </w:pPr>
            <w:r>
              <w:rPr>
                <w:color w:val="1C3A36"/>
                <w:sz w:val="17"/>
              </w:rPr>
              <w:t>1.69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4.31</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5.47</w:t>
            </w:r>
          </w:p>
        </w:tc>
        <w:tc>
          <w:tcPr>
            <w:tcW w:type="dxa" w:w="1800"/>
          </w:tcPr>
          <w:p>
            <w:pPr>
              <w:spacing w:after="20"/>
              <w:jc w:val="right"/>
            </w:pPr>
            <w:r>
              <w:rPr>
                <w:color w:val="1C3A36"/>
                <w:sz w:val="17"/>
              </w:rPr>
              <w:t>1.16</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4.26</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5.32</w:t>
            </w:r>
          </w:p>
        </w:tc>
        <w:tc>
          <w:tcPr>
            <w:tcW w:type="dxa" w:w="1800"/>
          </w:tcPr>
          <w:p>
            <w:pPr>
              <w:spacing w:after="20"/>
              <w:jc w:val="right"/>
            </w:pPr>
            <w:r>
              <w:rPr>
                <w:color w:val="1C3A36"/>
                <w:sz w:val="17"/>
              </w:rPr>
              <w:t>1.06</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4.79</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5.45</w:t>
            </w:r>
          </w:p>
        </w:tc>
        <w:tc>
          <w:tcPr>
            <w:tcW w:type="dxa" w:w="1800"/>
          </w:tcPr>
          <w:p>
            <w:pPr>
              <w:spacing w:after="20"/>
              <w:jc w:val="right"/>
            </w:pPr>
            <w:r>
              <w:rPr>
                <w:color w:val="1C3A36"/>
                <w:sz w:val="17"/>
              </w:rPr>
              <w:t>0.66</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4.86</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4.34</w:t>
            </w:r>
          </w:p>
        </w:tc>
        <w:tc>
          <w:tcPr>
            <w:tcW w:type="dxa" w:w="1800"/>
          </w:tcPr>
          <w:p>
            <w:pPr>
              <w:spacing w:after="20"/>
              <w:jc w:val="right"/>
            </w:pPr>
            <w:r>
              <w:rPr>
                <w:color w:val="1C3A36"/>
                <w:sz w:val="17"/>
              </w:rPr>
              <w:t>0.52</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4.56</w:t>
            </w:r>
          </w:p>
        </w:tc>
        <w:tc>
          <w:tcPr>
            <w:tcW w:type="dxa" w:w="1224"/>
          </w:tcPr>
          <w:p>
            <w:pPr>
              <w:spacing w:after="20"/>
              <w:jc w:val="right"/>
            </w:pPr>
            <w:r>
              <w:rPr>
                <w:color w:val="1C3A36"/>
                <w:sz w:val="17"/>
              </w:rPr>
              <w:t>0.0%</w:t>
            </w:r>
          </w:p>
        </w:tc>
        <w:tc>
          <w:tcPr>
            <w:tcW w:type="dxa" w:w="1944"/>
          </w:tcPr>
          <w:p>
            <w:pPr>
              <w:spacing w:after="20"/>
              <w:jc w:val="right"/>
            </w:pPr>
            <w:r>
              <w:rPr>
                <w:color w:val="1C3A36"/>
                <w:sz w:val="17"/>
              </w:rPr>
              <w:t>1.0% → 5.03</w:t>
            </w:r>
          </w:p>
        </w:tc>
        <w:tc>
          <w:tcPr>
            <w:tcW w:type="dxa" w:w="1800"/>
          </w:tcPr>
          <w:p>
            <w:pPr>
              <w:spacing w:after="20"/>
              <w:jc w:val="right"/>
            </w:pPr>
            <w:r>
              <w:rPr>
                <w:color w:val="1C3A36"/>
                <w:sz w:val="17"/>
              </w:rPr>
              <w:t>0.47</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4.87</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0.14</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76.1%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6.18%</w:t>
            </w:r>
          </w:p>
        </w:tc>
        <w:tc>
          <w:tcPr>
            <w:tcW w:type="dxa" w:w="1469"/>
          </w:tcPr>
          <w:p>
            <w:pPr>
              <w:spacing w:after="20"/>
              <w:jc w:val="right"/>
            </w:pPr>
            <w:r>
              <w:rPr>
                <w:color w:val="1C3A36"/>
                <w:sz w:val="17"/>
              </w:rPr>
              <w:t>5.05</w:t>
            </w:r>
          </w:p>
        </w:tc>
        <w:tc>
          <w:tcPr>
            <w:tcW w:type="dxa" w:w="1469"/>
          </w:tcPr>
          <w:p>
            <w:pPr>
              <w:spacing w:after="20"/>
              <w:jc w:val="right"/>
            </w:pPr>
            <w:r>
              <w:rPr>
                <w:color w:val="1C3A36"/>
                <w:sz w:val="17"/>
              </w:rPr>
              <w:t>5.38</w:t>
            </w:r>
          </w:p>
        </w:tc>
        <w:tc>
          <w:tcPr>
            <w:tcW w:type="dxa" w:w="1469"/>
          </w:tcPr>
          <w:p>
            <w:pPr>
              <w:spacing w:after="20"/>
              <w:jc w:val="right"/>
            </w:pPr>
            <w:r>
              <w:rPr>
                <w:color w:val="1C3A36"/>
                <w:sz w:val="17"/>
              </w:rPr>
              <w:t>5.78</w:t>
            </w:r>
          </w:p>
        </w:tc>
        <w:tc>
          <w:tcPr>
            <w:tcW w:type="dxa" w:w="1469"/>
          </w:tcPr>
          <w:p>
            <w:pPr>
              <w:spacing w:after="20"/>
              <w:jc w:val="right"/>
            </w:pPr>
            <w:r>
              <w:rPr>
                <w:color w:val="1C3A36"/>
                <w:sz w:val="17"/>
              </w:rPr>
              <w:t>6.28</w:t>
            </w:r>
          </w:p>
        </w:tc>
        <w:tc>
          <w:tcPr>
            <w:tcW w:type="dxa" w:w="1469"/>
          </w:tcPr>
          <w:p>
            <w:pPr>
              <w:spacing w:after="20"/>
              <w:jc w:val="right"/>
            </w:pPr>
            <w:r>
              <w:rPr>
                <w:color w:val="1C3A36"/>
                <w:sz w:val="17"/>
              </w:rPr>
              <w:t>6.91</w:t>
            </w:r>
          </w:p>
        </w:tc>
      </w:tr>
      <w:tr>
        <w:trPr>
          <w:cantSplit/>
        </w:trPr>
        <w:tc>
          <w:tcPr>
            <w:tcW w:type="dxa" w:w="2592"/>
          </w:tcPr>
          <w:p>
            <w:pPr>
              <w:spacing w:after="20"/>
            </w:pPr>
            <w:r>
              <w:rPr>
                <w:color w:val="1C3A36"/>
                <w:sz w:val="17"/>
              </w:rPr>
              <w:t>6.68%</w:t>
            </w:r>
          </w:p>
        </w:tc>
        <w:tc>
          <w:tcPr>
            <w:tcW w:type="dxa" w:w="1469"/>
          </w:tcPr>
          <w:p>
            <w:pPr>
              <w:spacing w:after="20"/>
              <w:jc w:val="right"/>
            </w:pPr>
            <w:r>
              <w:rPr>
                <w:color w:val="1C3A36"/>
                <w:sz w:val="17"/>
              </w:rPr>
              <w:t>4.65</w:t>
            </w:r>
          </w:p>
        </w:tc>
        <w:tc>
          <w:tcPr>
            <w:tcW w:type="dxa" w:w="1469"/>
          </w:tcPr>
          <w:p>
            <w:pPr>
              <w:spacing w:after="20"/>
              <w:jc w:val="right"/>
            </w:pPr>
            <w:r>
              <w:rPr>
                <w:color w:val="1C3A36"/>
                <w:sz w:val="17"/>
              </w:rPr>
              <w:t>4.92</w:t>
            </w:r>
          </w:p>
        </w:tc>
        <w:tc>
          <w:tcPr>
            <w:tcW w:type="dxa" w:w="1469"/>
          </w:tcPr>
          <w:p>
            <w:pPr>
              <w:spacing w:after="20"/>
              <w:jc w:val="right"/>
            </w:pPr>
            <w:r>
              <w:rPr>
                <w:color w:val="1C3A36"/>
                <w:sz w:val="17"/>
              </w:rPr>
              <w:t>5.24</w:t>
            </w:r>
          </w:p>
        </w:tc>
        <w:tc>
          <w:tcPr>
            <w:tcW w:type="dxa" w:w="1469"/>
          </w:tcPr>
          <w:p>
            <w:pPr>
              <w:spacing w:after="20"/>
              <w:jc w:val="right"/>
            </w:pPr>
            <w:r>
              <w:rPr>
                <w:color w:val="1C3A36"/>
                <w:sz w:val="17"/>
              </w:rPr>
              <w:t>5.63</w:t>
            </w:r>
          </w:p>
        </w:tc>
        <w:tc>
          <w:tcPr>
            <w:tcW w:type="dxa" w:w="1469"/>
          </w:tcPr>
          <w:p>
            <w:pPr>
              <w:spacing w:after="20"/>
              <w:jc w:val="right"/>
            </w:pPr>
            <w:r>
              <w:rPr>
                <w:color w:val="1C3A36"/>
                <w:sz w:val="17"/>
              </w:rPr>
              <w:t>6.11</w:t>
            </w:r>
          </w:p>
        </w:tc>
      </w:tr>
      <w:tr>
        <w:trPr>
          <w:cantSplit/>
        </w:trPr>
        <w:tc>
          <w:tcPr>
            <w:tcW w:type="dxa" w:w="2592"/>
          </w:tcPr>
          <w:p>
            <w:pPr>
              <w:spacing w:after="20"/>
            </w:pPr>
            <w:r>
              <w:rPr>
                <w:color w:val="1C3A36"/>
                <w:sz w:val="17"/>
              </w:rPr>
              <w:t>7.18%</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4.53</w:t>
            </w:r>
          </w:p>
        </w:tc>
        <w:tc>
          <w:tcPr>
            <w:tcW w:type="dxa" w:w="1469"/>
          </w:tcPr>
          <w:p>
            <w:pPr>
              <w:spacing w:after="20"/>
              <w:jc w:val="right"/>
            </w:pPr>
            <w:r>
              <w:rPr>
                <w:color w:val="1C3A36"/>
                <w:sz w:val="17"/>
              </w:rPr>
              <w:t>4.79</w:t>
            </w:r>
          </w:p>
        </w:tc>
        <w:tc>
          <w:tcPr>
            <w:tcW w:type="dxa" w:w="1469"/>
          </w:tcPr>
          <w:p>
            <w:pPr>
              <w:spacing w:after="20"/>
              <w:jc w:val="right"/>
            </w:pPr>
            <w:r>
              <w:rPr>
                <w:color w:val="1C3A36"/>
                <w:sz w:val="17"/>
              </w:rPr>
              <w:t>5.10</w:t>
            </w:r>
          </w:p>
        </w:tc>
        <w:tc>
          <w:tcPr>
            <w:tcW w:type="dxa" w:w="1469"/>
          </w:tcPr>
          <w:p>
            <w:pPr>
              <w:spacing w:after="20"/>
              <w:jc w:val="right"/>
            </w:pPr>
            <w:r>
              <w:rPr>
                <w:color w:val="1C3A36"/>
                <w:sz w:val="17"/>
              </w:rPr>
              <w:t>5.47</w:t>
            </w:r>
          </w:p>
        </w:tc>
      </w:tr>
      <w:tr>
        <w:trPr>
          <w:cantSplit/>
        </w:trPr>
        <w:tc>
          <w:tcPr>
            <w:tcW w:type="dxa" w:w="2592"/>
          </w:tcPr>
          <w:p>
            <w:pPr>
              <w:spacing w:after="20"/>
            </w:pPr>
            <w:r>
              <w:rPr>
                <w:color w:val="1C3A36"/>
                <w:sz w:val="17"/>
              </w:rPr>
              <w:t>7.68%</w:t>
            </w:r>
          </w:p>
        </w:tc>
        <w:tc>
          <w:tcPr>
            <w:tcW w:type="dxa" w:w="1469"/>
          </w:tcPr>
          <w:p>
            <w:pPr>
              <w:spacing w:after="20"/>
              <w:jc w:val="right"/>
            </w:pPr>
            <w:r>
              <w:rPr>
                <w:color w:val="1C3A36"/>
                <w:sz w:val="17"/>
              </w:rPr>
              <w:t>4.02</w:t>
            </w:r>
          </w:p>
        </w:tc>
        <w:tc>
          <w:tcPr>
            <w:tcW w:type="dxa" w:w="1469"/>
          </w:tcPr>
          <w:p>
            <w:pPr>
              <w:spacing w:after="20"/>
              <w:jc w:val="right"/>
            </w:pPr>
            <w:r>
              <w:rPr>
                <w:color w:val="1C3A36"/>
                <w:sz w:val="17"/>
              </w:rPr>
              <w:t>4.20</w:t>
            </w:r>
          </w:p>
        </w:tc>
        <w:tc>
          <w:tcPr>
            <w:tcW w:type="dxa" w:w="1469"/>
          </w:tcPr>
          <w:p>
            <w:pPr>
              <w:spacing w:after="20"/>
              <w:jc w:val="right"/>
            </w:pPr>
            <w:r>
              <w:rPr>
                <w:color w:val="1C3A36"/>
                <w:sz w:val="17"/>
              </w:rPr>
              <w:t>4.42</w:t>
            </w:r>
          </w:p>
        </w:tc>
        <w:tc>
          <w:tcPr>
            <w:tcW w:type="dxa" w:w="1469"/>
          </w:tcPr>
          <w:p>
            <w:pPr>
              <w:spacing w:after="20"/>
              <w:jc w:val="right"/>
            </w:pPr>
            <w:r>
              <w:rPr>
                <w:color w:val="1C3A36"/>
                <w:sz w:val="17"/>
              </w:rPr>
              <w:t>4.67</w:t>
            </w:r>
          </w:p>
        </w:tc>
        <w:tc>
          <w:tcPr>
            <w:tcW w:type="dxa" w:w="1469"/>
          </w:tcPr>
          <w:p>
            <w:pPr>
              <w:spacing w:after="20"/>
              <w:jc w:val="right"/>
            </w:pPr>
            <w:r>
              <w:rPr>
                <w:color w:val="1C3A36"/>
                <w:sz w:val="17"/>
              </w:rPr>
              <w:t>4.96</w:t>
            </w:r>
          </w:p>
        </w:tc>
      </w:tr>
      <w:tr>
        <w:trPr>
          <w:cantSplit/>
        </w:trPr>
        <w:tc>
          <w:tcPr>
            <w:tcW w:type="dxa" w:w="2592"/>
          </w:tcPr>
          <w:p>
            <w:pPr>
              <w:spacing w:after="20"/>
            </w:pPr>
            <w:r>
              <w:rPr>
                <w:color w:val="1C3A36"/>
                <w:sz w:val="17"/>
              </w:rPr>
              <w:t>8.18%</w:t>
            </w:r>
          </w:p>
        </w:tc>
        <w:tc>
          <w:tcPr>
            <w:tcW w:type="dxa" w:w="1469"/>
          </w:tcPr>
          <w:p>
            <w:pPr>
              <w:spacing w:after="20"/>
              <w:jc w:val="right"/>
            </w:pPr>
            <w:r>
              <w:rPr>
                <w:color w:val="1C3A36"/>
                <w:sz w:val="17"/>
              </w:rPr>
              <w:t>3.77</w:t>
            </w:r>
          </w:p>
        </w:tc>
        <w:tc>
          <w:tcPr>
            <w:tcW w:type="dxa" w:w="1469"/>
          </w:tcPr>
          <w:p>
            <w:pPr>
              <w:spacing w:after="20"/>
              <w:jc w:val="right"/>
            </w:pPr>
            <w:r>
              <w:rPr>
                <w:color w:val="1C3A36"/>
                <w:sz w:val="17"/>
              </w:rPr>
              <w:t>3.92</w:t>
            </w:r>
          </w:p>
        </w:tc>
        <w:tc>
          <w:tcPr>
            <w:tcW w:type="dxa" w:w="1469"/>
          </w:tcPr>
          <w:p>
            <w:pPr>
              <w:spacing w:after="20"/>
              <w:jc w:val="right"/>
            </w:pPr>
            <w:r>
              <w:rPr>
                <w:color w:val="1C3A36"/>
                <w:sz w:val="17"/>
              </w:rPr>
              <w:t>4.10</w:t>
            </w:r>
          </w:p>
        </w:tc>
        <w:tc>
          <w:tcPr>
            <w:tcW w:type="dxa" w:w="1469"/>
          </w:tcPr>
          <w:p>
            <w:pPr>
              <w:spacing w:after="20"/>
              <w:jc w:val="right"/>
            </w:pPr>
            <w:r>
              <w:rPr>
                <w:color w:val="1C3A36"/>
                <w:sz w:val="17"/>
              </w:rPr>
              <w:t>4.30</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3.77 to AED 6.91 — and the WHOLE of it is published, including the corner that sits below the traded price. The model's own combination, 7.18%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86467"/>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86467"/>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4.79</w:t>
            </w:r>
          </w:p>
        </w:tc>
        <w:tc>
          <w:tcPr>
            <w:tcW w:type="dxa" w:w="2736"/>
          </w:tcPr>
          <w:p>
            <w:pPr>
              <w:spacing w:after="20"/>
              <w:jc w:val="right"/>
            </w:pPr>
            <w:r>
              <w:rPr>
                <w:color w:val="1C3A36"/>
                <w:sz w:val="16"/>
              </w:rPr>
              <w:t>the terminal discount rate and growth — 76.1%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5.13</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4.82</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5.30</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4.07</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4.14</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4.14 — within AED 0.07 of the traded price of AED 4.07. The cash-flow model lands at AED 4.79. The gap between those two numbers, AED 0.65 a share,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4,154 million to AED 3,874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4.82 sits ABOVE the Frame A cash-flow reading despite crediting no growth whatever, because it capitalises at today's 6.43% instead of gliding to 7.18%. The relative reading at AED 5.30 and the book reading at AED 4.07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76.1%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3.77 to AED 6.91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0.51 with an r-squared of 19.4% produces a cost of equity of 6.54%. The 90% interval on that regression runs 0.40 to 0.62</w:t>
            </w:r>
          </w:p>
        </w:tc>
        <w:tc>
          <w:tcPr>
            <w:tcW w:type="dxa" w:w="3672"/>
          </w:tcPr>
          <w:p>
            <w:pPr>
              <w:spacing w:after="20"/>
              <w:jc w:val="right"/>
            </w:pPr>
            <w:r>
              <w:rPr>
                <w:color w:val="1C3A36"/>
                <w:sz w:val="16"/>
              </w:rPr>
              <w:t>a beta at the top of its own confidence interval. The model already glides to 0.70 in the terminal; at 0.70 throughout, the value is AED 4.13</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43,669</w:t>
            </w:r>
          </w:p>
        </w:tc>
        <w:tc>
          <w:tcPr>
            <w:tcW w:type="dxa" w:w="1037"/>
          </w:tcPr>
          <w:p>
            <w:pPr>
              <w:spacing w:after="20"/>
              <w:jc w:val="right"/>
            </w:pPr>
            <w:r>
              <w:rPr>
                <w:color w:val="1C3A36"/>
                <w:sz w:val="16"/>
              </w:rPr>
              <w:t>43,368</w:t>
            </w:r>
          </w:p>
        </w:tc>
        <w:tc>
          <w:tcPr>
            <w:tcW w:type="dxa" w:w="1037"/>
          </w:tcPr>
          <w:p>
            <w:pPr>
              <w:spacing w:after="20"/>
              <w:jc w:val="right"/>
            </w:pPr>
            <w:r>
              <w:rPr>
                <w:color w:val="1C3A36"/>
                <w:sz w:val="16"/>
              </w:rPr>
              <w:t>44,751</w:t>
            </w:r>
          </w:p>
        </w:tc>
        <w:tc>
          <w:tcPr>
            <w:tcW w:type="dxa" w:w="1037"/>
          </w:tcPr>
          <w:p>
            <w:pPr>
              <w:spacing w:after="20"/>
              <w:jc w:val="right"/>
            </w:pPr>
            <w:r>
              <w:rPr>
                <w:color w:val="1C3A36"/>
                <w:sz w:val="16"/>
              </w:rPr>
              <w:t>46,056</w:t>
            </w:r>
          </w:p>
        </w:tc>
        <w:tc>
          <w:tcPr>
            <w:tcW w:type="dxa" w:w="1037"/>
          </w:tcPr>
          <w:p>
            <w:pPr>
              <w:spacing w:after="20"/>
              <w:jc w:val="right"/>
            </w:pPr>
            <w:r>
              <w:rPr>
                <w:color w:val="1C3A36"/>
                <w:sz w:val="16"/>
              </w:rPr>
              <w:t>47,270</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35,703</w:t>
            </w:r>
          </w:p>
        </w:tc>
        <w:tc>
          <w:tcPr>
            <w:tcW w:type="dxa" w:w="1037"/>
          </w:tcPr>
          <w:p>
            <w:pPr>
              <w:spacing w:after="20"/>
              <w:jc w:val="right"/>
            </w:pPr>
            <w:r>
              <w:rPr>
                <w:color w:val="1C3A36"/>
                <w:sz w:val="16"/>
              </w:rPr>
              <w:t>35,797</w:t>
            </w:r>
          </w:p>
        </w:tc>
        <w:tc>
          <w:tcPr>
            <w:tcW w:type="dxa" w:w="1037"/>
          </w:tcPr>
          <w:p>
            <w:pPr>
              <w:spacing w:after="20"/>
              <w:jc w:val="right"/>
            </w:pPr>
            <w:r>
              <w:rPr>
                <w:color w:val="1C3A36"/>
                <w:sz w:val="16"/>
              </w:rPr>
              <w:t>36,823</w:t>
            </w:r>
          </w:p>
        </w:tc>
        <w:tc>
          <w:tcPr>
            <w:tcW w:type="dxa" w:w="1037"/>
          </w:tcPr>
          <w:p>
            <w:pPr>
              <w:spacing w:after="20"/>
              <w:jc w:val="right"/>
            </w:pPr>
            <w:r>
              <w:rPr>
                <w:color w:val="1C3A36"/>
                <w:sz w:val="16"/>
              </w:rPr>
              <w:t>37,782</w:t>
            </w:r>
          </w:p>
        </w:tc>
        <w:tc>
          <w:tcPr>
            <w:tcW w:type="dxa" w:w="1037"/>
          </w:tcPr>
          <w:p>
            <w:pPr>
              <w:spacing w:after="20"/>
              <w:jc w:val="right"/>
            </w:pPr>
            <w:r>
              <w:rPr>
                <w:color w:val="1C3A36"/>
                <w:sz w:val="16"/>
              </w:rPr>
              <w:t>38,654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7,966</w:t>
            </w:r>
          </w:p>
        </w:tc>
        <w:tc>
          <w:tcPr>
            <w:tcW w:type="dxa" w:w="1037"/>
            <w:shd w:val="clear" w:color="auto" w:fill="F6F1E6"/>
          </w:tcPr>
          <w:p>
            <w:pPr>
              <w:spacing w:after="20"/>
              <w:jc w:val="right"/>
            </w:pPr>
            <w:r>
              <w:rPr>
                <w:b/>
                <w:color w:val="1C3A36"/>
                <w:sz w:val="16"/>
              </w:rPr>
              <w:t>7,571</w:t>
            </w:r>
          </w:p>
        </w:tc>
        <w:tc>
          <w:tcPr>
            <w:tcW w:type="dxa" w:w="1037"/>
            <w:shd w:val="clear" w:color="auto" w:fill="F6F1E6"/>
          </w:tcPr>
          <w:p>
            <w:pPr>
              <w:spacing w:after="20"/>
              <w:jc w:val="right"/>
            </w:pPr>
            <w:r>
              <w:rPr>
                <w:b/>
                <w:color w:val="1C3A36"/>
                <w:sz w:val="16"/>
              </w:rPr>
              <w:t>7,928</w:t>
            </w:r>
          </w:p>
        </w:tc>
        <w:tc>
          <w:tcPr>
            <w:tcW w:type="dxa" w:w="1037"/>
            <w:shd w:val="clear" w:color="auto" w:fill="F6F1E6"/>
          </w:tcPr>
          <w:p>
            <w:pPr>
              <w:spacing w:after="20"/>
              <w:jc w:val="right"/>
            </w:pPr>
            <w:r>
              <w:rPr>
                <w:b/>
                <w:color w:val="1C3A36"/>
                <w:sz w:val="16"/>
              </w:rPr>
              <w:t>8,274</w:t>
            </w:r>
          </w:p>
        </w:tc>
        <w:tc>
          <w:tcPr>
            <w:tcW w:type="dxa" w:w="1037"/>
            <w:shd w:val="clear" w:color="auto" w:fill="F6F1E6"/>
          </w:tcPr>
          <w:p>
            <w:pPr>
              <w:spacing w:after="20"/>
              <w:jc w:val="right"/>
            </w:pPr>
            <w:r>
              <w:rPr>
                <w:b/>
                <w:color w:val="1C3A36"/>
                <w:sz w:val="16"/>
              </w:rPr>
              <w:t>8,615</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17.7%</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5,129</w:t>
            </w:r>
          </w:p>
        </w:tc>
        <w:tc>
          <w:tcPr>
            <w:tcW w:type="dxa" w:w="1037"/>
            <w:shd w:val="clear" w:color="auto" w:fill="F6F1E6"/>
          </w:tcPr>
          <w:p>
            <w:pPr>
              <w:spacing w:after="20"/>
              <w:jc w:val="right"/>
            </w:pPr>
            <w:r>
              <w:rPr>
                <w:b/>
                <w:color w:val="1C3A36"/>
                <w:sz w:val="16"/>
              </w:rPr>
              <w:t>4,773</w:t>
            </w:r>
          </w:p>
        </w:tc>
        <w:tc>
          <w:tcPr>
            <w:tcW w:type="dxa" w:w="1037"/>
            <w:shd w:val="clear" w:color="auto" w:fill="F6F1E6"/>
          </w:tcPr>
          <w:p>
            <w:pPr>
              <w:spacing w:after="20"/>
              <w:jc w:val="right"/>
            </w:pPr>
            <w:r>
              <w:rPr>
                <w:b/>
                <w:color w:val="1C3A36"/>
                <w:sz w:val="16"/>
              </w:rPr>
              <w:t>5,020</w:t>
            </w:r>
          </w:p>
        </w:tc>
        <w:tc>
          <w:tcPr>
            <w:tcW w:type="dxa" w:w="1037"/>
            <w:shd w:val="clear" w:color="auto" w:fill="F6F1E6"/>
          </w:tcPr>
          <w:p>
            <w:pPr>
              <w:spacing w:after="20"/>
              <w:jc w:val="right"/>
            </w:pPr>
            <w:r>
              <w:rPr>
                <w:b/>
                <w:color w:val="1C3A36"/>
                <w:sz w:val="16"/>
              </w:rPr>
              <w:t>5,252</w:t>
            </w:r>
          </w:p>
        </w:tc>
        <w:tc>
          <w:tcPr>
            <w:tcW w:type="dxa" w:w="1037"/>
            <w:shd w:val="clear" w:color="auto" w:fill="F6F1E6"/>
          </w:tcPr>
          <w:p>
            <w:pPr>
              <w:spacing w:after="20"/>
              <w:jc w:val="right"/>
            </w:pPr>
            <w:r>
              <w:rPr>
                <w:b/>
                <w:color w:val="1C3A36"/>
                <w:sz w:val="16"/>
              </w:rPr>
              <w:t>5,475</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11.7%</w:t>
            </w:r>
          </w:p>
        </w:tc>
        <w:tc>
          <w:tcPr>
            <w:tcW w:type="dxa" w:w="1037"/>
          </w:tcPr>
          <w:p>
            <w:pPr>
              <w:spacing w:after="20"/>
              <w:jc w:val="right"/>
            </w:pPr>
            <w:r>
              <w:rPr>
                <w:color w:val="1C3A36"/>
                <w:sz w:val="16"/>
              </w:rPr>
              <w:t>11.0%</w:t>
            </w:r>
          </w:p>
        </w:tc>
        <w:tc>
          <w:tcPr>
            <w:tcW w:type="dxa" w:w="1037"/>
          </w:tcPr>
          <w:p>
            <w:pPr>
              <w:spacing w:after="20"/>
              <w:jc w:val="right"/>
            </w:pPr>
            <w:r>
              <w:rPr>
                <w:color w:val="1C3A36"/>
                <w:sz w:val="16"/>
              </w:rPr>
              <w:t>11.2%</w:t>
            </w:r>
          </w:p>
        </w:tc>
        <w:tc>
          <w:tcPr>
            <w:tcW w:type="dxa" w:w="1037"/>
          </w:tcPr>
          <w:p>
            <w:pPr>
              <w:spacing w:after="20"/>
              <w:jc w:val="right"/>
            </w:pPr>
            <w:r>
              <w:rPr>
                <w:color w:val="1C3A36"/>
                <w:sz w:val="16"/>
              </w:rPr>
              <w:t>11.4%</w:t>
            </w:r>
          </w:p>
        </w:tc>
        <w:tc>
          <w:tcPr>
            <w:tcW w:type="dxa" w:w="1037"/>
          </w:tcPr>
          <w:p>
            <w:pPr>
              <w:spacing w:after="20"/>
              <w:jc w:val="right"/>
            </w:pPr>
            <w:r>
              <w:rPr>
                <w:color w:val="1C3A36"/>
                <w:sz w:val="16"/>
              </w:rPr>
              <w:t>11.6%</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800</w:t>
            </w:r>
          </w:p>
        </w:tc>
        <w:tc>
          <w:tcPr>
            <w:tcW w:type="dxa" w:w="1037"/>
          </w:tcPr>
          <w:p>
            <w:pPr>
              <w:spacing w:after="20"/>
              <w:jc w:val="right"/>
            </w:pPr>
            <w:r>
              <w:rPr>
                <w:color w:val="1C3A36"/>
                <w:sz w:val="16"/>
              </w:rPr>
              <w:t>830</w:t>
            </w:r>
          </w:p>
        </w:tc>
        <w:tc>
          <w:tcPr>
            <w:tcW w:type="dxa" w:w="1037"/>
          </w:tcPr>
          <w:p>
            <w:pPr>
              <w:spacing w:after="20"/>
              <w:jc w:val="right"/>
            </w:pPr>
            <w:r>
              <w:rPr>
                <w:color w:val="1C3A36"/>
                <w:sz w:val="16"/>
              </w:rPr>
              <w:t>862</w:t>
            </w:r>
          </w:p>
        </w:tc>
        <w:tc>
          <w:tcPr>
            <w:tcW w:type="dxa" w:w="1037"/>
          </w:tcPr>
          <w:p>
            <w:pPr>
              <w:spacing w:after="20"/>
              <w:jc w:val="right"/>
            </w:pPr>
            <w:r>
              <w:rPr>
                <w:color w:val="1C3A36"/>
                <w:sz w:val="16"/>
              </w:rPr>
              <w:t>894</w:t>
            </w:r>
          </w:p>
        </w:tc>
        <w:tc>
          <w:tcPr>
            <w:tcW w:type="dxa" w:w="1037"/>
          </w:tcPr>
          <w:p>
            <w:pPr>
              <w:spacing w:after="20"/>
              <w:jc w:val="right"/>
            </w:pPr>
            <w:r>
              <w:rPr>
                <w:color w:val="1C3A36"/>
                <w:sz w:val="16"/>
              </w:rPr>
              <w:t>926</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4,329</w:t>
            </w:r>
          </w:p>
        </w:tc>
        <w:tc>
          <w:tcPr>
            <w:tcW w:type="dxa" w:w="1037"/>
            <w:shd w:val="clear" w:color="auto" w:fill="F6F1E6"/>
          </w:tcPr>
          <w:p>
            <w:pPr>
              <w:spacing w:after="20"/>
              <w:jc w:val="right"/>
            </w:pPr>
            <w:r>
              <w:rPr>
                <w:b/>
                <w:color w:val="1C3A36"/>
                <w:sz w:val="16"/>
              </w:rPr>
              <w:t>3,943</w:t>
            </w:r>
          </w:p>
        </w:tc>
        <w:tc>
          <w:tcPr>
            <w:tcW w:type="dxa" w:w="1037"/>
            <w:shd w:val="clear" w:color="auto" w:fill="F6F1E6"/>
          </w:tcPr>
          <w:p>
            <w:pPr>
              <w:spacing w:after="20"/>
              <w:jc w:val="right"/>
            </w:pPr>
            <w:r>
              <w:rPr>
                <w:b/>
                <w:color w:val="1C3A36"/>
                <w:sz w:val="16"/>
              </w:rPr>
              <w:t>4,158</w:t>
            </w:r>
          </w:p>
        </w:tc>
        <w:tc>
          <w:tcPr>
            <w:tcW w:type="dxa" w:w="1037"/>
            <w:shd w:val="clear" w:color="auto" w:fill="F6F1E6"/>
          </w:tcPr>
          <w:p>
            <w:pPr>
              <w:spacing w:after="20"/>
              <w:jc w:val="right"/>
            </w:pPr>
            <w:r>
              <w:rPr>
                <w:b/>
                <w:color w:val="1C3A36"/>
                <w:sz w:val="16"/>
              </w:rPr>
              <w:t>4,358</w:t>
            </w:r>
          </w:p>
        </w:tc>
        <w:tc>
          <w:tcPr>
            <w:tcW w:type="dxa" w:w="1037"/>
            <w:shd w:val="clear" w:color="auto" w:fill="F6F1E6"/>
          </w:tcPr>
          <w:p>
            <w:pPr>
              <w:spacing w:after="20"/>
              <w:jc w:val="right"/>
            </w:pPr>
            <w:r>
              <w:rPr>
                <w:b/>
                <w:color w:val="1C3A36"/>
                <w:sz w:val="16"/>
              </w:rPr>
              <w:t>4,549</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3,997</w:t>
            </w:r>
          </w:p>
        </w:tc>
        <w:tc>
          <w:tcPr>
            <w:tcW w:type="dxa" w:w="1037"/>
          </w:tcPr>
          <w:p>
            <w:pPr>
              <w:spacing w:after="20"/>
              <w:jc w:val="right"/>
            </w:pPr>
            <w:r>
              <w:rPr>
                <w:color w:val="1C3A36"/>
                <w:sz w:val="16"/>
              </w:rPr>
              <w:t>3,611</w:t>
            </w:r>
          </w:p>
        </w:tc>
        <w:tc>
          <w:tcPr>
            <w:tcW w:type="dxa" w:w="1037"/>
          </w:tcPr>
          <w:p>
            <w:pPr>
              <w:spacing w:after="20"/>
              <w:jc w:val="right"/>
            </w:pPr>
            <w:r>
              <w:rPr>
                <w:color w:val="1C3A36"/>
                <w:sz w:val="16"/>
              </w:rPr>
              <w:t>3,827</w:t>
            </w:r>
          </w:p>
        </w:tc>
        <w:tc>
          <w:tcPr>
            <w:tcW w:type="dxa" w:w="1037"/>
          </w:tcPr>
          <w:p>
            <w:pPr>
              <w:spacing w:after="20"/>
              <w:jc w:val="right"/>
            </w:pPr>
            <w:r>
              <w:rPr>
                <w:color w:val="1C3A36"/>
                <w:sz w:val="16"/>
              </w:rPr>
              <w:t>4,026</w:t>
            </w:r>
          </w:p>
        </w:tc>
        <w:tc>
          <w:tcPr>
            <w:tcW w:type="dxa" w:w="1037"/>
          </w:tcPr>
          <w:p>
            <w:pPr>
              <w:spacing w:after="20"/>
              <w:jc w:val="right"/>
            </w:pPr>
            <w:r>
              <w:rPr>
                <w:color w:val="1C3A36"/>
                <w:sz w:val="16"/>
              </w:rPr>
              <w:t>4,218</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407</w:t>
            </w:r>
          </w:p>
        </w:tc>
        <w:tc>
          <w:tcPr>
            <w:tcW w:type="dxa" w:w="1037"/>
          </w:tcPr>
          <w:p>
            <w:pPr>
              <w:spacing w:after="20"/>
              <w:jc w:val="right"/>
            </w:pPr>
            <w:r>
              <w:rPr>
                <w:color w:val="1C3A36"/>
                <w:sz w:val="16"/>
              </w:rPr>
              <w:t>367</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409</w:t>
            </w:r>
          </w:p>
        </w:tc>
        <w:tc>
          <w:tcPr>
            <w:tcW w:type="dxa" w:w="1037"/>
          </w:tcPr>
          <w:p>
            <w:pPr>
              <w:spacing w:after="20"/>
              <w:jc w:val="right"/>
            </w:pPr>
            <w:r>
              <w:rPr>
                <w:color w:val="1C3A36"/>
                <w:sz w:val="16"/>
              </w:rPr>
              <w:t>429</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3,591</w:t>
            </w:r>
          </w:p>
        </w:tc>
        <w:tc>
          <w:tcPr>
            <w:tcW w:type="dxa" w:w="1037"/>
          </w:tcPr>
          <w:p>
            <w:pPr>
              <w:spacing w:after="20"/>
              <w:jc w:val="right"/>
            </w:pPr>
            <w:r>
              <w:rPr>
                <w:color w:val="1C3A36"/>
                <w:sz w:val="16"/>
              </w:rPr>
              <w:t>3,244</w:t>
            </w:r>
          </w:p>
        </w:tc>
        <w:tc>
          <w:tcPr>
            <w:tcW w:type="dxa" w:w="1037"/>
          </w:tcPr>
          <w:p>
            <w:pPr>
              <w:spacing w:after="20"/>
              <w:jc w:val="right"/>
            </w:pPr>
            <w:r>
              <w:rPr>
                <w:color w:val="1C3A36"/>
                <w:sz w:val="16"/>
              </w:rPr>
              <w:t>3,438</w:t>
            </w:r>
          </w:p>
        </w:tc>
        <w:tc>
          <w:tcPr>
            <w:tcW w:type="dxa" w:w="1037"/>
          </w:tcPr>
          <w:p>
            <w:pPr>
              <w:spacing w:after="20"/>
              <w:jc w:val="right"/>
            </w:pPr>
            <w:r>
              <w:rPr>
                <w:color w:val="1C3A36"/>
                <w:sz w:val="16"/>
              </w:rPr>
              <w:t>3,617</w:t>
            </w:r>
          </w:p>
        </w:tc>
        <w:tc>
          <w:tcPr>
            <w:tcW w:type="dxa" w:w="1037"/>
          </w:tcPr>
          <w:p>
            <w:pPr>
              <w:spacing w:after="20"/>
              <w:jc w:val="right"/>
            </w:pPr>
            <w:r>
              <w:rPr>
                <w:color w:val="1C3A36"/>
                <w:sz w:val="16"/>
              </w:rPr>
              <w:t>3,789</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3,534</w:t>
            </w:r>
          </w:p>
        </w:tc>
        <w:tc>
          <w:tcPr>
            <w:tcW w:type="dxa" w:w="1037"/>
            <w:shd w:val="clear" w:color="auto" w:fill="F6F1E6"/>
          </w:tcPr>
          <w:p>
            <w:pPr>
              <w:spacing w:after="20"/>
              <w:jc w:val="right"/>
            </w:pPr>
            <w:r>
              <w:rPr>
                <w:b/>
                <w:color w:val="1C3A36"/>
                <w:sz w:val="16"/>
              </w:rPr>
              <w:t>3,187</w:t>
            </w:r>
          </w:p>
        </w:tc>
        <w:tc>
          <w:tcPr>
            <w:tcW w:type="dxa" w:w="1037"/>
            <w:shd w:val="clear" w:color="auto" w:fill="F6F1E6"/>
          </w:tcPr>
          <w:p>
            <w:pPr>
              <w:spacing w:after="20"/>
              <w:jc w:val="right"/>
            </w:pPr>
            <w:r>
              <w:rPr>
                <w:b/>
                <w:color w:val="1C3A36"/>
                <w:sz w:val="16"/>
              </w:rPr>
              <w:t>3,381</w:t>
            </w:r>
          </w:p>
        </w:tc>
        <w:tc>
          <w:tcPr>
            <w:tcW w:type="dxa" w:w="1037"/>
            <w:shd w:val="clear" w:color="auto" w:fill="F6F1E6"/>
          </w:tcPr>
          <w:p>
            <w:pPr>
              <w:spacing w:after="20"/>
              <w:jc w:val="right"/>
            </w:pPr>
            <w:r>
              <w:rPr>
                <w:b/>
                <w:color w:val="1C3A36"/>
                <w:sz w:val="16"/>
              </w:rPr>
              <w:t>3,560</w:t>
            </w:r>
          </w:p>
        </w:tc>
        <w:tc>
          <w:tcPr>
            <w:tcW w:type="dxa" w:w="1037"/>
            <w:shd w:val="clear" w:color="auto" w:fill="F6F1E6"/>
          </w:tcPr>
          <w:p>
            <w:pPr>
              <w:spacing w:after="20"/>
              <w:jc w:val="right"/>
            </w:pPr>
            <w:r>
              <w:rPr>
                <w:b/>
                <w:color w:val="1C3A36"/>
                <w:sz w:val="16"/>
              </w:rPr>
              <w:t>3,732</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10,359</w:t>
            </w:r>
          </w:p>
        </w:tc>
        <w:tc>
          <w:tcPr>
            <w:tcW w:type="dxa" w:w="1037"/>
          </w:tcPr>
          <w:p>
            <w:pPr>
              <w:spacing w:after="20"/>
              <w:jc w:val="right"/>
            </w:pPr>
            <w:r>
              <w:rPr>
                <w:color w:val="1C3A36"/>
                <w:sz w:val="16"/>
              </w:rPr>
              <w:t>10,589</w:t>
            </w:r>
          </w:p>
        </w:tc>
        <w:tc>
          <w:tcPr>
            <w:tcW w:type="dxa" w:w="1037"/>
          </w:tcPr>
          <w:p>
            <w:pPr>
              <w:spacing w:after="20"/>
              <w:jc w:val="right"/>
            </w:pPr>
            <w:r>
              <w:rPr>
                <w:color w:val="1C3A36"/>
                <w:sz w:val="16"/>
              </w:rPr>
              <w:t>10,827</w:t>
            </w:r>
          </w:p>
        </w:tc>
        <w:tc>
          <w:tcPr>
            <w:tcW w:type="dxa" w:w="1037"/>
          </w:tcPr>
          <w:p>
            <w:pPr>
              <w:spacing w:after="20"/>
              <w:jc w:val="right"/>
            </w:pPr>
            <w:r>
              <w:rPr>
                <w:color w:val="1C3A36"/>
                <w:sz w:val="16"/>
              </w:rPr>
              <w:t>11,073</w:t>
            </w:r>
          </w:p>
        </w:tc>
        <w:tc>
          <w:tcPr>
            <w:tcW w:type="dxa" w:w="1037"/>
          </w:tcPr>
          <w:p>
            <w:pPr>
              <w:spacing w:after="20"/>
              <w:jc w:val="right"/>
            </w:pPr>
            <w:r>
              <w:rPr>
                <w:color w:val="1C3A36"/>
                <w:sz w:val="16"/>
              </w:rPr>
              <w:t>11,327</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1,941</w:t>
            </w:r>
          </w:p>
        </w:tc>
        <w:tc>
          <w:tcPr>
            <w:tcW w:type="dxa" w:w="1037"/>
          </w:tcPr>
          <w:p>
            <w:pPr>
              <w:spacing w:after="20"/>
              <w:jc w:val="right"/>
            </w:pPr>
            <w:r>
              <w:rPr>
                <w:color w:val="1C3A36"/>
                <w:sz w:val="16"/>
              </w:rPr>
              <w:t>1,947</w:t>
            </w:r>
          </w:p>
        </w:tc>
        <w:tc>
          <w:tcPr>
            <w:tcW w:type="dxa" w:w="1037"/>
          </w:tcPr>
          <w:p>
            <w:pPr>
              <w:spacing w:after="20"/>
              <w:jc w:val="right"/>
            </w:pPr>
            <w:r>
              <w:rPr>
                <w:color w:val="1C3A36"/>
                <w:sz w:val="16"/>
              </w:rPr>
              <w:t>2,002</w:t>
            </w:r>
          </w:p>
        </w:tc>
        <w:tc>
          <w:tcPr>
            <w:tcW w:type="dxa" w:w="1037"/>
          </w:tcPr>
          <w:p>
            <w:pPr>
              <w:spacing w:after="20"/>
              <w:jc w:val="right"/>
            </w:pPr>
            <w:r>
              <w:rPr>
                <w:color w:val="1C3A36"/>
                <w:sz w:val="16"/>
              </w:rPr>
              <w:t>2,054</w:t>
            </w:r>
          </w:p>
        </w:tc>
        <w:tc>
          <w:tcPr>
            <w:tcW w:type="dxa" w:w="1037"/>
          </w:tcPr>
          <w:p>
            <w:pPr>
              <w:spacing w:after="20"/>
              <w:jc w:val="right"/>
            </w:pPr>
            <w:r>
              <w:rPr>
                <w:color w:val="1C3A36"/>
                <w:sz w:val="16"/>
              </w:rPr>
              <w:t>2,102</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4,125</w:t>
            </w:r>
          </w:p>
        </w:tc>
        <w:tc>
          <w:tcPr>
            <w:tcW w:type="dxa" w:w="1037"/>
          </w:tcPr>
          <w:p>
            <w:pPr>
              <w:spacing w:after="20"/>
              <w:jc w:val="right"/>
            </w:pPr>
            <w:r>
              <w:rPr>
                <w:color w:val="1C3A36"/>
                <w:sz w:val="16"/>
              </w:rPr>
              <w:t>4,097</w:t>
            </w:r>
          </w:p>
        </w:tc>
        <w:tc>
          <w:tcPr>
            <w:tcW w:type="dxa" w:w="1037"/>
          </w:tcPr>
          <w:p>
            <w:pPr>
              <w:spacing w:after="20"/>
              <w:jc w:val="right"/>
            </w:pPr>
            <w:r>
              <w:rPr>
                <w:color w:val="1C3A36"/>
                <w:sz w:val="16"/>
              </w:rPr>
              <w:t>4,227</w:t>
            </w:r>
          </w:p>
        </w:tc>
        <w:tc>
          <w:tcPr>
            <w:tcW w:type="dxa" w:w="1037"/>
          </w:tcPr>
          <w:p>
            <w:pPr>
              <w:spacing w:after="20"/>
              <w:jc w:val="right"/>
            </w:pPr>
            <w:r>
              <w:rPr>
                <w:color w:val="1C3A36"/>
                <w:sz w:val="16"/>
              </w:rPr>
              <w:t>4,351</w:t>
            </w:r>
          </w:p>
        </w:tc>
        <w:tc>
          <w:tcPr>
            <w:tcW w:type="dxa" w:w="1037"/>
          </w:tcPr>
          <w:p>
            <w:pPr>
              <w:spacing w:after="20"/>
              <w:jc w:val="right"/>
            </w:pPr>
            <w:r>
              <w:rPr>
                <w:color w:val="1C3A36"/>
                <w:sz w:val="16"/>
              </w:rPr>
              <w:t>4,465</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3,789</w:t>
            </w:r>
          </w:p>
        </w:tc>
        <w:tc>
          <w:tcPr>
            <w:tcW w:type="dxa" w:w="1037"/>
          </w:tcPr>
          <w:p>
            <w:pPr>
              <w:spacing w:after="20"/>
              <w:jc w:val="right"/>
            </w:pPr>
            <w:r>
              <w:rPr>
                <w:color w:val="1C3A36"/>
                <w:sz w:val="16"/>
              </w:rPr>
              <w:t>4,220</w:t>
            </w:r>
          </w:p>
        </w:tc>
        <w:tc>
          <w:tcPr>
            <w:tcW w:type="dxa" w:w="1037"/>
          </w:tcPr>
          <w:p>
            <w:pPr>
              <w:spacing w:after="20"/>
              <w:jc w:val="right"/>
            </w:pPr>
            <w:r>
              <w:rPr>
                <w:color w:val="1C3A36"/>
                <w:sz w:val="16"/>
              </w:rPr>
              <w:t>4,845</w:t>
            </w:r>
          </w:p>
        </w:tc>
        <w:tc>
          <w:tcPr>
            <w:tcW w:type="dxa" w:w="1037"/>
          </w:tcPr>
          <w:p>
            <w:pPr>
              <w:spacing w:after="20"/>
              <w:jc w:val="right"/>
            </w:pPr>
            <w:r>
              <w:rPr>
                <w:color w:val="1C3A36"/>
                <w:sz w:val="16"/>
              </w:rPr>
              <w:t>5,636</w:t>
            </w:r>
          </w:p>
        </w:tc>
        <w:tc>
          <w:tcPr>
            <w:tcW w:type="dxa" w:w="1037"/>
          </w:tcPr>
          <w:p>
            <w:pPr>
              <w:spacing w:after="20"/>
              <w:jc w:val="right"/>
            </w:pPr>
            <w:r>
              <w:rPr>
                <w:color w:val="1C3A36"/>
                <w:sz w:val="16"/>
              </w:rPr>
              <w:t>6,584</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8,339</w:t>
            </w:r>
          </w:p>
        </w:tc>
        <w:tc>
          <w:tcPr>
            <w:tcW w:type="dxa" w:w="1037"/>
          </w:tcPr>
          <w:p>
            <w:pPr>
              <w:spacing w:after="20"/>
              <w:jc w:val="right"/>
            </w:pPr>
            <w:r>
              <w:rPr>
                <w:color w:val="1C3A36"/>
                <w:sz w:val="16"/>
              </w:rPr>
              <w:t>8,361</w:t>
            </w:r>
          </w:p>
        </w:tc>
        <w:tc>
          <w:tcPr>
            <w:tcW w:type="dxa" w:w="1037"/>
          </w:tcPr>
          <w:p>
            <w:pPr>
              <w:spacing w:after="20"/>
              <w:jc w:val="right"/>
            </w:pPr>
            <w:r>
              <w:rPr>
                <w:color w:val="1C3A36"/>
                <w:sz w:val="16"/>
              </w:rPr>
              <w:t>8,601</w:t>
            </w:r>
          </w:p>
        </w:tc>
        <w:tc>
          <w:tcPr>
            <w:tcW w:type="dxa" w:w="1037"/>
          </w:tcPr>
          <w:p>
            <w:pPr>
              <w:spacing w:after="20"/>
              <w:jc w:val="right"/>
            </w:pPr>
            <w:r>
              <w:rPr>
                <w:color w:val="1C3A36"/>
                <w:sz w:val="16"/>
              </w:rPr>
              <w:t>8,825</w:t>
            </w:r>
          </w:p>
        </w:tc>
        <w:tc>
          <w:tcPr>
            <w:tcW w:type="dxa" w:w="1037"/>
          </w:tcPr>
          <w:p>
            <w:pPr>
              <w:spacing w:after="20"/>
              <w:jc w:val="right"/>
            </w:pPr>
            <w:r>
              <w:rPr>
                <w:color w:val="1C3A36"/>
                <w:sz w:val="16"/>
              </w:rPr>
              <w:t>9,029</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15,792</w:t>
            </w:r>
          </w:p>
        </w:tc>
        <w:tc>
          <w:tcPr>
            <w:tcW w:type="dxa" w:w="1037"/>
          </w:tcPr>
          <w:p>
            <w:pPr>
              <w:spacing w:after="20"/>
              <w:jc w:val="right"/>
            </w:pPr>
            <w:r>
              <w:rPr>
                <w:color w:val="1C3A36"/>
                <w:sz w:val="16"/>
              </w:rPr>
              <w:t>15,814</w:t>
            </w:r>
          </w:p>
        </w:tc>
        <w:tc>
          <w:tcPr>
            <w:tcW w:type="dxa" w:w="1037"/>
          </w:tcPr>
          <w:p>
            <w:pPr>
              <w:spacing w:after="20"/>
              <w:jc w:val="right"/>
            </w:pPr>
            <w:r>
              <w:rPr>
                <w:color w:val="1C3A36"/>
                <w:sz w:val="16"/>
              </w:rPr>
              <w:t>16,053</w:t>
            </w:r>
          </w:p>
        </w:tc>
        <w:tc>
          <w:tcPr>
            <w:tcW w:type="dxa" w:w="1037"/>
          </w:tcPr>
          <w:p>
            <w:pPr>
              <w:spacing w:after="20"/>
              <w:jc w:val="right"/>
            </w:pPr>
            <w:r>
              <w:rPr>
                <w:color w:val="1C3A36"/>
                <w:sz w:val="16"/>
              </w:rPr>
              <w:t>16,277</w:t>
            </w:r>
          </w:p>
        </w:tc>
        <w:tc>
          <w:tcPr>
            <w:tcW w:type="dxa" w:w="1037"/>
          </w:tcPr>
          <w:p>
            <w:pPr>
              <w:spacing w:after="20"/>
              <w:jc w:val="right"/>
            </w:pPr>
            <w:r>
              <w:rPr>
                <w:color w:val="1C3A36"/>
                <w:sz w:val="16"/>
              </w:rPr>
              <w:t>16,481</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4,193</w:t>
            </w:r>
          </w:p>
        </w:tc>
        <w:tc>
          <w:tcPr>
            <w:tcW w:type="dxa" w:w="1037"/>
          </w:tcPr>
          <w:p>
            <w:pPr>
              <w:spacing w:after="20"/>
              <w:jc w:val="right"/>
            </w:pPr>
            <w:r>
              <w:rPr>
                <w:color w:val="1C3A36"/>
                <w:sz w:val="16"/>
              </w:rPr>
              <w:t>4,809</w:t>
            </w:r>
          </w:p>
        </w:tc>
        <w:tc>
          <w:tcPr>
            <w:tcW w:type="dxa" w:w="1037"/>
          </w:tcPr>
          <w:p>
            <w:pPr>
              <w:spacing w:after="20"/>
              <w:jc w:val="right"/>
            </w:pPr>
            <w:r>
              <w:rPr>
                <w:color w:val="1C3A36"/>
                <w:sz w:val="16"/>
              </w:rPr>
              <w:t>5,618</w:t>
            </w:r>
          </w:p>
        </w:tc>
        <w:tc>
          <w:tcPr>
            <w:tcW w:type="dxa" w:w="1037"/>
          </w:tcPr>
          <w:p>
            <w:pPr>
              <w:spacing w:after="20"/>
              <w:jc w:val="right"/>
            </w:pPr>
            <w:r>
              <w:rPr>
                <w:color w:val="1C3A36"/>
                <w:sz w:val="16"/>
              </w:rPr>
              <w:t>6,606</w:t>
            </w:r>
          </w:p>
        </w:tc>
        <w:tc>
          <w:tcPr>
            <w:tcW w:type="dxa" w:w="1037"/>
          </w:tcPr>
          <w:p>
            <w:pPr>
              <w:spacing w:after="20"/>
              <w:jc w:val="right"/>
            </w:pPr>
            <w:r>
              <w:rPr>
                <w:color w:val="1C3A36"/>
                <w:sz w:val="16"/>
              </w:rPr>
              <w:t>7,767</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3,203</w:t>
            </w:r>
          </w:p>
        </w:tc>
        <w:tc>
          <w:tcPr>
            <w:tcW w:type="dxa" w:w="1037"/>
          </w:tcPr>
          <w:p>
            <w:pPr>
              <w:spacing w:after="20"/>
              <w:jc w:val="right"/>
            </w:pPr>
            <w:r>
              <w:rPr>
                <w:color w:val="1C3A36"/>
                <w:sz w:val="16"/>
              </w:rPr>
              <w:t>2,772</w:t>
            </w:r>
          </w:p>
        </w:tc>
        <w:tc>
          <w:tcPr>
            <w:tcW w:type="dxa" w:w="1037"/>
          </w:tcPr>
          <w:p>
            <w:pPr>
              <w:spacing w:after="20"/>
              <w:jc w:val="right"/>
            </w:pPr>
            <w:r>
              <w:rPr>
                <w:color w:val="1C3A36"/>
                <w:sz w:val="16"/>
              </w:rPr>
              <w:t>2,148</w:t>
            </w:r>
          </w:p>
        </w:tc>
        <w:tc>
          <w:tcPr>
            <w:tcW w:type="dxa" w:w="1037"/>
          </w:tcPr>
          <w:p>
            <w:pPr>
              <w:spacing w:after="20"/>
              <w:jc w:val="right"/>
            </w:pPr>
            <w:r>
              <w:rPr>
                <w:color w:val="1C3A36"/>
                <w:sz w:val="16"/>
              </w:rPr>
              <w:t>1,357</w:t>
            </w:r>
          </w:p>
        </w:tc>
        <w:tc>
          <w:tcPr>
            <w:tcW w:type="dxa" w:w="1037"/>
          </w:tcPr>
          <w:p>
            <w:pPr>
              <w:spacing w:after="20"/>
              <w:jc w:val="right"/>
            </w:pPr>
            <w:r>
              <w:rPr>
                <w:color w:val="1C3A36"/>
                <w:sz w:val="16"/>
              </w:rPr>
              <w:t>409</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0.34</w:t>
            </w:r>
          </w:p>
        </w:tc>
        <w:tc>
          <w:tcPr>
            <w:tcW w:type="dxa" w:w="1037"/>
          </w:tcPr>
          <w:p>
            <w:pPr>
              <w:spacing w:after="20"/>
              <w:jc w:val="right"/>
            </w:pPr>
            <w:r>
              <w:rPr>
                <w:color w:val="1C3A36"/>
                <w:sz w:val="16"/>
              </w:rPr>
              <w:t>0.38</w:t>
            </w:r>
          </w:p>
        </w:tc>
        <w:tc>
          <w:tcPr>
            <w:tcW w:type="dxa" w:w="1037"/>
          </w:tcPr>
          <w:p>
            <w:pPr>
              <w:spacing w:after="20"/>
              <w:jc w:val="right"/>
            </w:pPr>
            <w:r>
              <w:rPr>
                <w:color w:val="1C3A36"/>
                <w:sz w:val="16"/>
              </w:rPr>
              <w:t>0.45</w:t>
            </w:r>
          </w:p>
        </w:tc>
        <w:tc>
          <w:tcPr>
            <w:tcW w:type="dxa" w:w="1037"/>
          </w:tcPr>
          <w:p>
            <w:pPr>
              <w:spacing w:after="20"/>
              <w:jc w:val="right"/>
            </w:pPr>
            <w:r>
              <w:rPr>
                <w:color w:val="1C3A36"/>
                <w:sz w:val="16"/>
              </w:rPr>
              <w:t>0.53</w:t>
            </w:r>
          </w:p>
        </w:tc>
        <w:tc>
          <w:tcPr>
            <w:tcW w:type="dxa" w:w="1037"/>
          </w:tcPr>
          <w:p>
            <w:pPr>
              <w:spacing w:after="20"/>
              <w:jc w:val="right"/>
            </w:pPr>
            <w:r>
              <w:rPr>
                <w:color w:val="1C3A36"/>
                <w:sz w:val="16"/>
              </w:rPr>
              <w:t>0.62</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-2,273</w:t>
            </w:r>
          </w:p>
        </w:tc>
        <w:tc>
          <w:tcPr>
            <w:tcW w:type="dxa" w:w="950"/>
          </w:tcPr>
          <w:p>
            <w:pPr>
              <w:spacing w:after="20"/>
              <w:jc w:val="right"/>
            </w:pPr>
            <w:r>
              <w:rPr>
                <w:color w:val="1C3A36"/>
                <w:sz w:val="16"/>
              </w:rPr>
              <w:t>-2,318</w:t>
            </w:r>
          </w:p>
        </w:tc>
        <w:tc>
          <w:tcPr>
            <w:tcW w:type="dxa" w:w="950"/>
          </w:tcPr>
          <w:p>
            <w:pPr>
              <w:spacing w:after="20"/>
              <w:jc w:val="right"/>
            </w:pPr>
            <w:r>
              <w:rPr>
                <w:color w:val="1C3A36"/>
                <w:sz w:val="16"/>
              </w:rPr>
              <w:t>-2,371</w:t>
            </w:r>
          </w:p>
        </w:tc>
        <w:tc>
          <w:tcPr>
            <w:tcW w:type="dxa" w:w="950"/>
          </w:tcPr>
          <w:p>
            <w:pPr>
              <w:spacing w:after="20"/>
              <w:jc w:val="right"/>
            </w:pPr>
            <w:r>
              <w:rPr>
                <w:color w:val="1C3A36"/>
                <w:sz w:val="16"/>
              </w:rPr>
              <w:t>-2,420</w:t>
            </w:r>
          </w:p>
        </w:tc>
        <w:tc>
          <w:tcPr>
            <w:tcW w:type="dxa" w:w="950"/>
          </w:tcPr>
          <w:p>
            <w:pPr>
              <w:spacing w:after="20"/>
              <w:jc w:val="right"/>
            </w:pPr>
            <w:r>
              <w:rPr>
                <w:color w:val="1C3A36"/>
                <w:sz w:val="16"/>
              </w:rPr>
              <w:t>-2,461</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-476</w:t>
            </w:r>
          </w:p>
        </w:tc>
        <w:tc>
          <w:tcPr>
            <w:tcW w:type="dxa" w:w="950"/>
          </w:tcPr>
          <w:p>
            <w:pPr>
              <w:spacing w:after="20"/>
              <w:jc w:val="right"/>
            </w:pPr>
            <w:r>
              <w:rPr>
                <w:color w:val="1C3A36"/>
                <w:sz w:val="16"/>
              </w:rPr>
              <w:t>-45</w:t>
            </w:r>
          </w:p>
        </w:tc>
        <w:tc>
          <w:tcPr>
            <w:tcW w:type="dxa" w:w="950"/>
          </w:tcPr>
          <w:p>
            <w:pPr>
              <w:spacing w:after="20"/>
              <w:jc w:val="right"/>
            </w:pPr>
            <w:r>
              <w:rPr>
                <w:color w:val="1C3A36"/>
                <w:sz w:val="16"/>
              </w:rPr>
              <w:t>-53</w:t>
            </w:r>
          </w:p>
        </w:tc>
        <w:tc>
          <w:tcPr>
            <w:tcW w:type="dxa" w:w="950"/>
          </w:tcPr>
          <w:p>
            <w:pPr>
              <w:spacing w:after="20"/>
              <w:jc w:val="right"/>
            </w:pPr>
            <w:r>
              <w:rPr>
                <w:color w:val="1C3A36"/>
                <w:sz w:val="16"/>
              </w:rPr>
              <w:t>-49</w:t>
            </w:r>
          </w:p>
        </w:tc>
        <w:tc>
          <w:tcPr>
            <w:tcW w:type="dxa" w:w="950"/>
          </w:tcPr>
          <w:p>
            <w:pPr>
              <w:spacing w:after="20"/>
              <w:jc w:val="right"/>
            </w:pPr>
            <w:r>
              <w:rPr>
                <w:color w:val="1C3A36"/>
                <w:sz w:val="16"/>
              </w:rPr>
              <w:t>-42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4,119</w:t>
            </w:r>
          </w:p>
        </w:tc>
        <w:tc>
          <w:tcPr>
            <w:tcW w:type="dxa" w:w="1037"/>
          </w:tcPr>
          <w:p>
            <w:pPr>
              <w:spacing w:after="20"/>
              <w:jc w:val="right"/>
            </w:pPr>
            <w:r>
              <w:rPr>
                <w:color w:val="1C3A36"/>
                <w:sz w:val="16"/>
              </w:rPr>
              <w:t>4,353</w:t>
            </w:r>
          </w:p>
        </w:tc>
        <w:tc>
          <w:tcPr>
            <w:tcW w:type="dxa" w:w="1037"/>
          </w:tcPr>
          <w:p>
            <w:pPr>
              <w:spacing w:after="20"/>
              <w:jc w:val="right"/>
            </w:pPr>
            <w:r>
              <w:rPr>
                <w:color w:val="1C3A36"/>
                <w:sz w:val="16"/>
              </w:rPr>
              <w:t>4,559</w:t>
            </w:r>
          </w:p>
        </w:tc>
        <w:tc>
          <w:tcPr>
            <w:tcW w:type="dxa" w:w="1037"/>
          </w:tcPr>
          <w:p>
            <w:pPr>
              <w:spacing w:after="20"/>
              <w:jc w:val="right"/>
            </w:pPr>
            <w:r>
              <w:rPr>
                <w:color w:val="1C3A36"/>
                <w:sz w:val="16"/>
              </w:rPr>
              <w:t>4,756</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(1,010)</w:t>
            </w:r>
          </w:p>
        </w:tc>
        <w:tc>
          <w:tcPr>
            <w:tcW w:type="dxa" w:w="1037"/>
          </w:tcPr>
          <w:p>
            <w:pPr>
              <w:spacing w:after="20"/>
              <w:jc w:val="right"/>
            </w:pPr>
            <w:r>
              <w:rPr>
                <w:color w:val="1C3A36"/>
                <w:sz w:val="16"/>
              </w:rPr>
              <w:t>(1,060)</w:t>
            </w:r>
          </w:p>
        </w:tc>
        <w:tc>
          <w:tcPr>
            <w:tcW w:type="dxa" w:w="1037"/>
          </w:tcPr>
          <w:p>
            <w:pPr>
              <w:spacing w:after="20"/>
              <w:jc w:val="right"/>
            </w:pPr>
            <w:r>
              <w:rPr>
                <w:color w:val="1C3A36"/>
                <w:sz w:val="16"/>
              </w:rPr>
              <w:t>(1,100)</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(1,180)</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3,856</w:t>
            </w:r>
          </w:p>
        </w:tc>
        <w:tc>
          <w:tcPr>
            <w:tcW w:type="dxa" w:w="1037"/>
          </w:tcPr>
          <w:p>
            <w:pPr>
              <w:spacing w:after="20"/>
              <w:jc w:val="right"/>
            </w:pPr>
            <w:r>
              <w:rPr>
                <w:color w:val="1C3A36"/>
                <w:sz w:val="16"/>
              </w:rPr>
              <w:t>3,059</w:t>
            </w:r>
          </w:p>
        </w:tc>
        <w:tc>
          <w:tcPr>
            <w:tcW w:type="dxa" w:w="1037"/>
          </w:tcPr>
          <w:p>
            <w:pPr>
              <w:spacing w:after="20"/>
              <w:jc w:val="right"/>
            </w:pPr>
            <w:r>
              <w:rPr>
                <w:color w:val="1C3A36"/>
                <w:sz w:val="16"/>
              </w:rPr>
              <w:t>3,253</w:t>
            </w:r>
          </w:p>
        </w:tc>
        <w:tc>
          <w:tcPr>
            <w:tcW w:type="dxa" w:w="1037"/>
          </w:tcPr>
          <w:p>
            <w:pPr>
              <w:spacing w:after="20"/>
              <w:jc w:val="right"/>
            </w:pPr>
            <w:r>
              <w:rPr>
                <w:color w:val="1C3A36"/>
                <w:sz w:val="16"/>
              </w:rPr>
              <w:t>3,419</w:t>
            </w:r>
          </w:p>
        </w:tc>
        <w:tc>
          <w:tcPr>
            <w:tcW w:type="dxa" w:w="1037"/>
          </w:tcPr>
          <w:p>
            <w:pPr>
              <w:spacing w:after="20"/>
              <w:jc w:val="right"/>
            </w:pPr>
            <w:r>
              <w:rPr>
                <w:color w:val="1C3A36"/>
                <w:sz w:val="16"/>
              </w:rPr>
              <w:t>3,576</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3,357</w:t>
            </w:r>
          </w:p>
        </w:tc>
        <w:tc>
          <w:tcPr>
            <w:tcW w:type="dxa" w:w="1037"/>
            <w:shd w:val="clear" w:color="auto" w:fill="F6F1E6"/>
          </w:tcPr>
          <w:p>
            <w:pPr>
              <w:spacing w:after="20"/>
              <w:jc w:val="right"/>
            </w:pPr>
            <w:r>
              <w:rPr>
                <w:b/>
                <w:color w:val="1C3A36"/>
                <w:sz w:val="16"/>
              </w:rPr>
              <w:t>3,551</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3,874</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-0.15% terminal growth</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55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1224"/>
        <w:gridCol w:w="3859"/>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1224"/>
            <w:shd w:val="clear" w:color="auto" w:fill="EAF0EE"/>
          </w:tcPr>
          <w:p>
            <w:pPr>
              <w:spacing w:after="20"/>
            </w:pPr>
            <w:r>
              <w:rPr>
                <w:b/>
                <w:color w:val="1C3A36"/>
                <w:sz w:val="14"/>
              </w:rPr>
              <w:t>Use</w:t>
            </w:r>
          </w:p>
        </w:tc>
        <w:tc>
          <w:tcPr>
            <w:tcW w:type="dxa" w:w="3859"/>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bl>
    <w:p>
      <w:pPr>
        <w:spacing w:after="40"/>
      </w:pPr>
    </w:p>
    <w:p>
      <w:pPr>
        <w:spacing w:after="200" w:before="0"/>
      </w:pPr>
      <w:r>
        <w:rPr>
          <w:b w:val="0"/>
          <w:i/>
          <w:color w:val="6E7B77"/>
          <w:sz w:val="17"/>
        </w:rPr>
        <w:t>Table 37 — the full external research record: 55 items, of which 23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76.1%,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4,154</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3,357</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3,551</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3,717</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3,874</w:t>
            </w:r>
          </w:p>
        </w:tc>
      </w:tr>
      <w:tr>
        <w:trPr>
          <w:cantSplit/>
        </w:trPr>
        <w:tc>
          <w:tcPr>
            <w:tcW w:type="dxa" w:w="7416"/>
          </w:tcPr>
          <w:p>
            <w:pPr>
              <w:spacing w:after="20"/>
            </w:pPr>
            <w:r>
              <w:rPr>
                <w:color w:val="1C3A36"/>
                <w:sz w:val="17"/>
              </w:rPr>
              <w:t>Present value of the five years at 6.58% rising to 7.18%</w:t>
            </w:r>
          </w:p>
        </w:tc>
        <w:tc>
          <w:tcPr>
            <w:tcW w:type="dxa" w:w="1656"/>
          </w:tcPr>
          <w:p>
            <w:pPr>
              <w:spacing w:after="20"/>
              <w:jc w:val="right"/>
            </w:pPr>
            <w:r>
              <w:rPr>
                <w:color w:val="1C3A36"/>
                <w:sz w:val="17"/>
              </w:rPr>
              <w:t>15,403</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4,148</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(249)</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3,899</w:t>
            </w:r>
          </w:p>
        </w:tc>
      </w:tr>
      <w:tr>
        <w:trPr>
          <w:cantSplit/>
        </w:trPr>
        <w:tc>
          <w:tcPr>
            <w:tcW w:type="dxa" w:w="7416"/>
            <w:shd w:val="clear" w:color="auto" w:fill="F6F1E6"/>
          </w:tcPr>
          <w:p>
            <w:pPr>
              <w:spacing w:after="20"/>
            </w:pPr>
            <w:r>
              <w:rPr>
                <w:b/>
                <w:color w:val="1C3A36"/>
                <w:sz w:val="17"/>
              </w:rPr>
              <w:t>Divided by (7.18% − 1.5%) = 5.68%</w:t>
            </w:r>
          </w:p>
        </w:tc>
        <w:tc>
          <w:tcPr>
            <w:tcW w:type="dxa" w:w="1656"/>
            <w:shd w:val="clear" w:color="auto" w:fill="F6F1E6"/>
          </w:tcPr>
          <w:p>
            <w:pPr>
              <w:spacing w:after="20"/>
              <w:jc w:val="right"/>
            </w:pPr>
            <w:r>
              <w:rPr>
                <w:b/>
                <w:color w:val="1C3A36"/>
                <w:sz w:val="17"/>
              </w:rPr>
              <w:t>68,592</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49,172</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64,575</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59,913</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4.79</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5.13</w:t>
            </w:r>
          </w:p>
        </w:tc>
      </w:tr>
    </w:tbl>
    <w:p>
      <w:pPr>
        <w:spacing w:after="40"/>
      </w:pPr>
    </w:p>
    <w:p>
      <w:pPr>
        <w:spacing w:after="120" w:before="0"/>
      </w:pPr>
      <w:r>
        <w:rPr>
          <w:b w:val="0"/>
          <w:i w:val="0"/>
          <w:color w:val="1C3A36"/>
          <w:sz w:val="21"/>
        </w:rPr>
        <w:t>Named sensitivity: the terminal discount rate, and it is not close. Every fifty basis points on it is worth roughly AED 0.38 a share — moving from 7.18% to 8.18% takes the answer from AED 4.79 to AED 4.10, below the traded price. At 76.1% terminal weight this expert is mostly forecasting one number, and says so.</w:t>
      </w:r>
    </w:p>
    <w:p>
      <w:pPr>
        <w:spacing w:after="120" w:before="0"/>
      </w:pPr>
      <w:r>
        <w:rPr>
          <w:b w:val="0"/>
          <w:i w:val="0"/>
          <w:color w:val="1C3A36"/>
          <w:sz w:val="21"/>
        </w:rPr>
        <w:t>Falsifier, stated in advance: "If total fuel volume in FY2027 comes in below 15,836 million litres — three per cent below my forecast of 16,326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6.54%</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5.04%</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15.7x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4.07</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15.7 to 14.6 times and the value from AED 4.07 to AED 3.77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8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76.1%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4.79</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0.72</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9,038</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-0.15%</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16m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0.3m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7.18%</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8.23%</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0.51</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0.72</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0.62</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0.72 sits ABOVE the 90% upper bound of the regression, 0.62, so on the evidence available it is the least likely of the three. The implied terminal discount rate of 8.23%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76.1% terminal weight makes this mostly a terminal valuation and points to the published grid as the only honest response: across the plausible combinations of terminal cost of capital and growth the answer runs AED 3.77 to AED 6.91,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0.3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0.34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4.79 from Expert 1 on Frame A, AED 5.13 on Frame B, AED 4.07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-0.15%, a permanently shrinking volume base, which in observable units is roughly 0.3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0.73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-0.34</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0.72</w:t>
            </w:r>
          </w:p>
        </w:tc>
        <w:tc>
          <w:tcPr>
            <w:tcW w:type="dxa" w:w="4824"/>
          </w:tcPr>
          <w:p>
            <w:pPr>
              <w:spacing w:after="20"/>
              <w:jc w:val="right"/>
            </w:pPr>
            <w:r>
              <w:rPr>
                <w:color w:val="1C3A36"/>
                <w:sz w:val="16"/>
              </w:rPr>
              <w:t>terminal growth: 1.50% against the -0.15% the price implies. The explicit five years contribute only 23.9%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-0.00</w:t>
            </w:r>
          </w:p>
        </w:tc>
        <w:tc>
          <w:tcPr>
            <w:tcW w:type="dxa" w:w="4824"/>
          </w:tcPr>
          <w:p>
            <w:pPr>
              <w:spacing w:after="20"/>
              <w:jc w:val="right"/>
            </w:pPr>
            <w:r>
              <w:rPr>
                <w:color w:val="1C3A36"/>
                <w:sz w:val="16"/>
              </w:rPr>
              <w:t>the sustainable return on equity of 80.8% against the cost of equity of 6.54%.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0.03</w:t>
            </w:r>
          </w:p>
        </w:tc>
        <w:tc>
          <w:tcPr>
            <w:tcW w:type="dxa" w:w="4824"/>
          </w:tcPr>
          <w:p>
            <w:pPr>
              <w:spacing w:after="20"/>
              <w:jc w:val="right"/>
            </w:pPr>
            <w:r>
              <w:rPr>
                <w:color w:val="1C3A36"/>
                <w:sz w:val="16"/>
              </w:rPr>
              <w:t>the discount rate and nothing else: 6.43% held flat against a glide to 7.18%.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-0.65</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-0.18</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