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08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257</w:t>
            </w:r>
          </w:p>
        </w:tc>
      </w:tr>
      <w:tr>
        <w:tc>
          <w:tcPr>
            <w:tcW w:type="dxa" w:w="6236"/>
          </w:tcPr>
          <w:p>
            <w:r/>
            <w:r>
              <w:rPr>
                <w:color w:val="1A1D21"/>
                <w:sz w:val="18"/>
              </w:rPr>
              <w:t>Bind on a class of company (CLASS)</w:t>
            </w:r>
          </w:p>
        </w:tc>
        <w:tc>
          <w:tcPr>
            <w:tcW w:type="dxa" w:w="2721"/>
          </w:tcPr>
          <w:p>
            <w:r/>
            <w:r>
              <w:rPr>
                <w:color w:val="1A1D21"/>
                <w:sz w:val="18"/>
              </w:rPr>
              <w:t>31</w:t>
            </w:r>
          </w:p>
        </w:tc>
      </w:tr>
      <w:tr>
        <w:tc>
          <w:tcPr>
            <w:tcW w:type="dxa" w:w="6236"/>
          </w:tcPr>
          <w:p>
            <w:r/>
            <w:r>
              <w:rPr>
                <w:color w:val="1A1D21"/>
                <w:sz w:val="18"/>
              </w:rPr>
              <w:t>Bind on a single company (STOCK)</w:t>
            </w:r>
          </w:p>
        </w:tc>
        <w:tc>
          <w:tcPr>
            <w:tcW w:type="dxa" w:w="2721"/>
          </w:tcPr>
          <w:p>
            <w:r/>
            <w:r>
              <w:rPr>
                <w:color w:val="1A1D21"/>
                <w:sz w:val="18"/>
              </w:rPr>
              <w:t>10</w:t>
            </w:r>
          </w:p>
        </w:tc>
      </w:tr>
      <w:tr>
        <w:tc>
          <w:tcPr>
            <w:tcW w:type="dxa" w:w="6236"/>
          </w:tcPr>
          <w:p>
            <w:r/>
            <w:r>
              <w:rPr>
                <w:color w:val="1A1D21"/>
                <w:sz w:val="18"/>
              </w:rPr>
              <w:t>Total</w:t>
            </w:r>
          </w:p>
        </w:tc>
        <w:tc>
          <w:tcPr>
            <w:tcW w:type="dxa" w:w="2721"/>
          </w:tcPr>
          <w:p>
            <w:r/>
            <w:r>
              <w:rPr>
                <w:color w:val="1A1D21"/>
                <w:sz w:val="18"/>
              </w:rPr>
              <w:t>298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194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0.556 as known, 0.497 with perfect foresight of inflation — an 11% improvement — while the BIAS moves the other way, macro share -61.7%. CORRECTED 08-09-2026: this clause read '0.563 as known, 0.563 with perfect foresight' beside that same -61.7%, which is self-contradictory on its face and was one number printed twice — that run's harvest view filled both fields from the as-known error, so every draft it produced asserted the strongest possible form of this claim by a copy rather than by a measurement. The finding survives the correction and the evidence for it is weaker than it looked.</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