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GB Corp S.A.E. (EGX: GBCO) — Source Register</w:t>
            </w:r>
            <w:r>
              <w:rPr>
                <w:color w:val="9FB0AC"/>
                <w:sz w:val="20"/>
              </w:rPr>
              <w:t xml:space="preserve">   edition 07-09-2026 · 7 September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research layer that source belongs to, and the date the source itself bears — not the date it was read.</w:t>
      </w:r>
    </w:p>
    <w:p>
      <w:pPr>
        <w:spacing w:after="80" w:before="200"/>
      </w:pPr>
      <w:r>
        <w:rPr>
          <w:b/>
          <w:i w:val="0"/>
          <w:color w:val="1C3A36"/>
          <w:sz w:val="23"/>
        </w:rPr>
        <w:t>The sourcing position, stated at the top</w:t>
      </w:r>
    </w:p>
    <w:p>
      <w:pPr>
        <w:spacing w:after="100" w:before="0"/>
      </w:pPr>
      <w:r>
        <w:rPr>
          <w:b w:val="0"/>
          <w:i w:val="0"/>
          <w:color w:val="1C3A36"/>
          <w:sz w:val="19"/>
        </w:rPr>
        <w:t>Every historical figure in this study and in the walk-forward behind it comes from a document GB Corp published itself, downloaded from the company’s own investor-relations portal and committed to this study’s directory. No data vendor, broker or press report is a source for any figure the company reported about itself.</w:t>
      </w:r>
    </w:p>
    <w:p>
      <w:pPr>
        <w:spacing w:after="100" w:before="0"/>
      </w:pPr>
      <w:r>
        <w:rPr>
          <w:b w:val="0"/>
          <w:i w:val="0"/>
          <w:color w:val="1C3A36"/>
          <w:sz w:val="19"/>
        </w:rPr>
        <w:t>That was not always true of this name, and the reason is recorded rather than smoothed over. An earlier attempt to reach the filings ran six routes and concluded the documents were unreachable. Every route was real and every outcome honestly recorded; the host list had been assembled from what the company used to be called, and the company’s current domain was never tried. It answers on the first attempt, without authentication. The lesson is kept because it generalises: a search that guesses a naming convention finds nothing and reports that as a result.</w:t>
      </w:r>
    </w:p>
    <w:p>
      <w:pPr>
        <w:spacing w:after="100" w:before="0"/>
      </w:pPr>
      <w:r>
        <w:rPr>
          <w:b w:val="0"/>
          <w:i w:val="0"/>
          <w:color w:val="1C3A36"/>
          <w:sz w:val="19"/>
        </w:rPr>
        <w:t>Two consequences of what the filings actually contain, both material and both disclosed. First, the audited statements for the four most recent years carry NO text layer at all, and the same audited statements are reproduced inside the annual report for those years, which does — so the annual report is the ROUTE and the audited statement is the DOCUMENT, and the two are recorded separately. Second, the opinion on the very associate that dominates this valuation is QUALIFIED, and it is qualified in BOTH of the most recent reporting periods rather than once.</w:t>
      </w:r>
    </w:p>
    <w:p>
      <w:pPr>
        <w:spacing w:after="100" w:before="0"/>
      </w:pPr>
      <w:r>
        <w:rPr>
          <w:b w:val="0"/>
          <w:i w:val="0"/>
          <w:color w:val="1C3A36"/>
          <w:sz w:val="19"/>
        </w:rPr>
        <w:t>THE QUALIFICATION, IN THE REVIEWERS’ OWN WORDS AND AT THE MOST RECENT DATE. The limited review of the consolidated interim statements to 30 June 2026 reaches a qualified conclusion: the reviewers state they “were not provided with the consolidated financial statements for one of the associate companies (MNT - BV)” and were therefore “unable to verify the accuracy of the Group’s share of profits” — EGP 409.9 mn recorded in the period. The same qualification stood on the 31 December 2025 audited statements, where the auditors record that the group’s share of that associate’s profit rests on management-prepared accounts. It is set out here, and in the study’s own caveats, because the LOWER of the two answers this study publishes stands on the carrying value that same conclusion is qualified at — so the conservative branch is not a safe harbour either, and a reader is entitled to know that before comparing the two.</w:t>
      </w:r>
    </w:p>
    <w:p>
      <w:r>
        <w:br w:type="page"/>
      </w:r>
    </w:p>
    <w:p>
      <w:pPr>
        <w:spacing w:after="120" w:before="240"/>
      </w:pPr>
      <w:r>
        <w:rPr>
          <w:b/>
          <w:i w:val="0"/>
          <w:color w:val="1C3A36"/>
          <w:sz w:val="30"/>
        </w:rPr>
        <w:t>1  Primary documents — what was actually read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76"/>
        <w:gridCol w:w="5616"/>
        <w:gridCol w:w="6336"/>
        <w:gridCol w:w="1584"/>
      </w:tblGrid>
      <w:tr>
        <w:tc>
          <w:tcPr>
            <w:tcW w:type="dxa" w:w="576"/>
            <w:shd w:val="clear" w:color="auto" w:fill="EAF0EE"/>
          </w:tcPr>
          <w:p>
            <w:pPr>
              <w:spacing w:after="20"/>
            </w:pPr>
            <w:r>
              <w:rPr>
                <w:b/>
                <w:color w:val="1C3A36"/>
                <w:sz w:val="15"/>
              </w:rPr>
              <w:t>#</w:t>
            </w:r>
          </w:p>
        </w:tc>
        <w:tc>
          <w:tcPr>
            <w:tcW w:type="dxa" w:w="5616"/>
            <w:shd w:val="clear" w:color="auto" w:fill="EAF0EE"/>
          </w:tcPr>
          <w:p>
            <w:pPr>
              <w:spacing w:after="20"/>
            </w:pPr>
            <w:r>
              <w:rPr>
                <w:b/>
                <w:color w:val="1C3A36"/>
                <w:sz w:val="15"/>
              </w:rPr>
              <w:t>Document</w:t>
            </w:r>
          </w:p>
        </w:tc>
        <w:tc>
          <w:tcPr>
            <w:tcW w:type="dxa" w:w="6336"/>
            <w:shd w:val="clear" w:color="auto" w:fill="EAF0EE"/>
          </w:tcPr>
          <w:p>
            <w:pPr>
              <w:spacing w:after="20"/>
            </w:pPr>
            <w:r>
              <w:rPr>
                <w:b/>
                <w:color w:val="1C3A36"/>
                <w:sz w:val="15"/>
              </w:rPr>
              <w:t>What it is</w:t>
            </w:r>
          </w:p>
        </w:tc>
        <w:tc>
          <w:tcPr>
            <w:tcW w:type="dxa" w:w="1584"/>
            <w:shd w:val="clear" w:color="auto" w:fill="EAF0EE"/>
          </w:tcPr>
          <w:p>
            <w:pPr>
              <w:spacing w:after="20"/>
            </w:pPr>
            <w:r>
              <w:rPr>
                <w:b/>
                <w:color w:val="1C3A36"/>
                <w:sz w:val="15"/>
              </w:rPr>
              <w:t>Held at</w:t>
            </w:r>
          </w:p>
        </w:tc>
      </w:tr>
      <w:tr>
        <w:tc>
          <w:tcPr>
            <w:tcW w:type="dxa" w:w="576"/>
          </w:tcPr>
          <w:p>
            <w:pPr>
              <w:spacing w:after="20"/>
            </w:pPr>
            <w:r>
              <w:rPr>
                <w:color w:val="1C3A36"/>
                <w:sz w:val="15"/>
              </w:rPr>
              <w:t>1</w:t>
            </w:r>
          </w:p>
        </w:tc>
        <w:tc>
          <w:tcPr>
            <w:tcW w:type="dxa" w:w="5616"/>
          </w:tcPr>
          <w:p>
            <w:pPr>
              <w:spacing w:after="20"/>
            </w:pPr>
            <w:r>
              <w:rPr>
                <w:color w:val="1C3A36"/>
                <w:sz w:val="15"/>
              </w:rPr>
              <w:t>GB_Annual_Report_2013.pdf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w:t>
            </w:r>
          </w:p>
        </w:tc>
        <w:tc>
          <w:tcPr>
            <w:tcW w:type="dxa" w:w="5616"/>
          </w:tcPr>
          <w:p>
            <w:pPr>
              <w:spacing w:after="20"/>
            </w:pPr>
            <w:r>
              <w:rPr>
                <w:color w:val="1C3A36"/>
                <w:sz w:val="15"/>
              </w:rPr>
              <w:t>GB_Annual_Report_2014.pdf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3</w:t>
            </w:r>
          </w:p>
        </w:tc>
        <w:tc>
          <w:tcPr>
            <w:tcW w:type="dxa" w:w="5616"/>
          </w:tcPr>
          <w:p>
            <w:pPr>
              <w:spacing w:after="20"/>
            </w:pPr>
            <w:r>
              <w:rPr>
                <w:color w:val="1C3A36"/>
                <w:sz w:val="15"/>
              </w:rPr>
              <w:t>GB_Annual_Report_2015.pdf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4</w:t>
            </w:r>
          </w:p>
        </w:tc>
        <w:tc>
          <w:tcPr>
            <w:tcW w:type="dxa" w:w="5616"/>
          </w:tcPr>
          <w:p>
            <w:pPr>
              <w:spacing w:after="20"/>
            </w:pPr>
            <w:r>
              <w:rPr>
                <w:color w:val="1C3A36"/>
                <w:sz w:val="15"/>
              </w:rPr>
              <w:t>GB_Annual_Report_2016.pdf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5</w:t>
            </w:r>
          </w:p>
        </w:tc>
        <w:tc>
          <w:tcPr>
            <w:tcW w:type="dxa" w:w="5616"/>
          </w:tcPr>
          <w:p>
            <w:pPr>
              <w:spacing w:after="20"/>
            </w:pPr>
            <w:r>
              <w:rPr>
                <w:color w:val="1C3A36"/>
                <w:sz w:val="15"/>
              </w:rPr>
              <w:t>GB_Annual_Report_2017.pdf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6</w:t>
            </w:r>
          </w:p>
        </w:tc>
        <w:tc>
          <w:tcPr>
            <w:tcW w:type="dxa" w:w="5616"/>
          </w:tcPr>
          <w:p>
            <w:pPr>
              <w:spacing w:after="20"/>
            </w:pPr>
            <w:r>
              <w:rPr>
                <w:color w:val="1C3A36"/>
                <w:sz w:val="15"/>
              </w:rPr>
              <w:t>GB_Annual_Report_2018.pdf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7</w:t>
            </w:r>
          </w:p>
        </w:tc>
        <w:tc>
          <w:tcPr>
            <w:tcW w:type="dxa" w:w="5616"/>
          </w:tcPr>
          <w:p>
            <w:pPr>
              <w:spacing w:after="20"/>
            </w:pPr>
            <w:r>
              <w:rPr>
                <w:color w:val="1C3A36"/>
                <w:sz w:val="15"/>
              </w:rPr>
              <w:t>GB_Annual_Report_2019.pdf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8</w:t>
            </w:r>
          </w:p>
        </w:tc>
        <w:tc>
          <w:tcPr>
            <w:tcW w:type="dxa" w:w="5616"/>
          </w:tcPr>
          <w:p>
            <w:pPr>
              <w:spacing w:after="20"/>
            </w:pPr>
            <w:r>
              <w:rPr>
                <w:color w:val="1C3A36"/>
                <w:sz w:val="15"/>
              </w:rPr>
              <w:t>GB_Annual_Report_2020.pdf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9</w:t>
            </w:r>
          </w:p>
        </w:tc>
        <w:tc>
          <w:tcPr>
            <w:tcW w:type="dxa" w:w="5616"/>
          </w:tcPr>
          <w:p>
            <w:pPr>
              <w:spacing w:after="20"/>
            </w:pPr>
            <w:r>
              <w:rPr>
                <w:color w:val="1C3A36"/>
                <w:sz w:val="15"/>
              </w:rPr>
              <w:t>GB_Annual_Report_2021.pdf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10</w:t>
            </w:r>
          </w:p>
        </w:tc>
        <w:tc>
          <w:tcPr>
            <w:tcW w:type="dxa" w:w="5616"/>
          </w:tcPr>
          <w:p>
            <w:pPr>
              <w:spacing w:after="20"/>
            </w:pPr>
            <w:r>
              <w:rPr>
                <w:color w:val="1C3A36"/>
                <w:sz w:val="15"/>
              </w:rPr>
              <w:t>GB_Annual_Report_2022.pdf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11</w:t>
            </w:r>
          </w:p>
        </w:tc>
        <w:tc>
          <w:tcPr>
            <w:tcW w:type="dxa" w:w="5616"/>
          </w:tcPr>
          <w:p>
            <w:pPr>
              <w:spacing w:after="20"/>
            </w:pPr>
            <w:r>
              <w:rPr>
                <w:color w:val="1C3A36"/>
                <w:sz w:val="15"/>
              </w:rPr>
              <w:t>GB_Annual_Report_2023.pdf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12</w:t>
            </w:r>
          </w:p>
        </w:tc>
        <w:tc>
          <w:tcPr>
            <w:tcW w:type="dxa" w:w="5616"/>
          </w:tcPr>
          <w:p>
            <w:pPr>
              <w:spacing w:after="20"/>
            </w:pPr>
            <w:r>
              <w:rPr>
                <w:color w:val="1C3A36"/>
                <w:sz w:val="15"/>
              </w:rPr>
              <w:t>GB_Annual_Report_2024.pdf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13</w:t>
            </w:r>
          </w:p>
        </w:tc>
        <w:tc>
          <w:tcPr>
            <w:tcW w:type="dxa" w:w="5616"/>
          </w:tcPr>
          <w:p>
            <w:pPr>
              <w:spacing w:after="20"/>
            </w:pPr>
            <w:r>
              <w:rPr>
                <w:color w:val="1C3A36"/>
                <w:sz w:val="15"/>
              </w:rPr>
              <w:t>GB_Auto_Consolidated_E_31_December_2020.pdf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14</w:t>
            </w:r>
          </w:p>
        </w:tc>
        <w:tc>
          <w:tcPr>
            <w:tcW w:type="dxa" w:w="5616"/>
          </w:tcPr>
          <w:p>
            <w:pPr>
              <w:spacing w:after="20"/>
            </w:pPr>
            <w:r>
              <w:rPr>
                <w:color w:val="1C3A36"/>
                <w:sz w:val="15"/>
              </w:rPr>
              <w:t>GB_Auto_Consolidated_E_31_December_2021.pdf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15</w:t>
            </w:r>
          </w:p>
        </w:tc>
        <w:tc>
          <w:tcPr>
            <w:tcW w:type="dxa" w:w="5616"/>
          </w:tcPr>
          <w:p>
            <w:pPr>
              <w:spacing w:after="20"/>
            </w:pPr>
            <w:r>
              <w:rPr>
                <w:color w:val="1C3A36"/>
                <w:sz w:val="15"/>
              </w:rPr>
              <w:t>GB_Auto_Consolidated_E_31_December_2022.pdf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16</w:t>
            </w:r>
          </w:p>
        </w:tc>
        <w:tc>
          <w:tcPr>
            <w:tcW w:type="dxa" w:w="5616"/>
          </w:tcPr>
          <w:p>
            <w:pPr>
              <w:spacing w:after="20"/>
            </w:pPr>
            <w:r>
              <w:rPr>
                <w:color w:val="1C3A36"/>
                <w:sz w:val="15"/>
              </w:rPr>
              <w:t>GB_Corp_Annual_Report_2025.pdf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17</w:t>
            </w:r>
          </w:p>
        </w:tc>
        <w:tc>
          <w:tcPr>
            <w:tcW w:type="dxa" w:w="5616"/>
          </w:tcPr>
          <w:p>
            <w:pPr>
              <w:spacing w:after="20"/>
            </w:pPr>
            <w:r>
              <w:rPr>
                <w:color w:val="1C3A36"/>
                <w:sz w:val="15"/>
              </w:rPr>
              <w:t>GB_Corp_Consolidated_E_31_December_2023.pdf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18</w:t>
            </w:r>
          </w:p>
        </w:tc>
        <w:tc>
          <w:tcPr>
            <w:tcW w:type="dxa" w:w="5616"/>
          </w:tcPr>
          <w:p>
            <w:pPr>
              <w:spacing w:after="20"/>
            </w:pPr>
            <w:r>
              <w:rPr>
                <w:color w:val="1C3A36"/>
                <w:sz w:val="15"/>
              </w:rPr>
              <w:t>GB_Corp_Consolidated_E_31_December_2024.pdf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19</w:t>
            </w:r>
          </w:p>
        </w:tc>
        <w:tc>
          <w:tcPr>
            <w:tcW w:type="dxa" w:w="5616"/>
          </w:tcPr>
          <w:p>
            <w:pPr>
              <w:spacing w:after="20"/>
            </w:pPr>
            <w:r>
              <w:rPr>
                <w:color w:val="1C3A36"/>
                <w:sz w:val="15"/>
              </w:rPr>
              <w:t>GB_Corp_Consolidated_E_31_December_2025.pdf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20</w:t>
            </w:r>
          </w:p>
        </w:tc>
        <w:tc>
          <w:tcPr>
            <w:tcW w:type="dxa" w:w="5616"/>
          </w:tcPr>
          <w:p>
            <w:pPr>
              <w:spacing w:after="20"/>
            </w:pPr>
            <w:r>
              <w:rPr>
                <w:color w:val="1C3A36"/>
                <w:sz w:val="15"/>
              </w:rPr>
              <w:t>GB_Corp_Consolidation_English_30_June-2026.pdf</w:t>
            </w:r>
          </w:p>
        </w:tc>
        <w:tc>
          <w:tcPr>
            <w:tcW w:type="dxa" w:w="6336"/>
          </w:tcPr>
          <w:p>
            <w:pPr>
              <w:spacing w:after="20"/>
            </w:pPr>
            <w:r>
              <w:rPr>
                <w:color w:val="1C3A36"/>
                <w:sz w:val="15"/>
              </w:rPr>
              <w:t>Reviewed interim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21</w:t>
            </w:r>
          </w:p>
        </w:tc>
        <w:tc>
          <w:tcPr>
            <w:tcW w:type="dxa" w:w="5616"/>
          </w:tcPr>
          <w:p>
            <w:pPr>
              <w:spacing w:after="20"/>
            </w:pPr>
            <w:r>
              <w:rPr>
                <w:color w:val="1C3A36"/>
                <w:sz w:val="15"/>
              </w:rPr>
              <w:t>GB_Corp_Consolidation_English_31_March-2026.pdf</w:t>
            </w:r>
          </w:p>
        </w:tc>
        <w:tc>
          <w:tcPr>
            <w:tcW w:type="dxa" w:w="6336"/>
          </w:tcPr>
          <w:p>
            <w:pPr>
              <w:spacing w:after="20"/>
            </w:pPr>
            <w:r>
              <w:rPr>
                <w:color w:val="1C3A36"/>
                <w:sz w:val="15"/>
              </w:rPr>
              <w:t>Reviewed interim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22</w:t>
            </w:r>
          </w:p>
        </w:tc>
        <w:tc>
          <w:tcPr>
            <w:tcW w:type="dxa" w:w="5616"/>
          </w:tcPr>
          <w:p>
            <w:pPr>
              <w:spacing w:after="20"/>
            </w:pPr>
            <w:r>
              <w:rPr>
                <w:color w:val="1C3A36"/>
                <w:sz w:val="15"/>
              </w:rPr>
              <w:t>GB_Corp_ER_1Q26-_E_-_Final.pdf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23</w:t>
            </w:r>
          </w:p>
        </w:tc>
        <w:tc>
          <w:tcPr>
            <w:tcW w:type="dxa" w:w="5616"/>
          </w:tcPr>
          <w:p>
            <w:pPr>
              <w:spacing w:after="20"/>
            </w:pPr>
            <w:r>
              <w:rPr>
                <w:color w:val="1C3A36"/>
                <w:sz w:val="15"/>
              </w:rPr>
              <w:t>GB_Corp_ER_2Q26-_E_-_Final.pdf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24</w:t>
            </w:r>
          </w:p>
        </w:tc>
        <w:tc>
          <w:tcPr>
            <w:tcW w:type="dxa" w:w="5616"/>
          </w:tcPr>
          <w:p>
            <w:pPr>
              <w:spacing w:after="20"/>
            </w:pPr>
            <w:r>
              <w:rPr>
                <w:color w:val="1C3A36"/>
                <w:sz w:val="15"/>
              </w:rPr>
              <w:t>GB_Corp_ER_4Q20_-_E_-_FINAL.pdf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25</w:t>
            </w:r>
          </w:p>
        </w:tc>
        <w:tc>
          <w:tcPr>
            <w:tcW w:type="dxa" w:w="5616"/>
          </w:tcPr>
          <w:p>
            <w:pPr>
              <w:spacing w:after="20"/>
            </w:pPr>
            <w:r>
              <w:rPr>
                <w:color w:val="1C3A36"/>
                <w:sz w:val="15"/>
              </w:rPr>
              <w:t>GB_Corp_ER_4Q21_-_E_-_FINAL.pdf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26</w:t>
            </w:r>
          </w:p>
        </w:tc>
        <w:tc>
          <w:tcPr>
            <w:tcW w:type="dxa" w:w="5616"/>
          </w:tcPr>
          <w:p>
            <w:pPr>
              <w:spacing w:after="20"/>
            </w:pPr>
            <w:r>
              <w:rPr>
                <w:color w:val="1C3A36"/>
                <w:sz w:val="15"/>
              </w:rPr>
              <w:t>GB_Corp_ER_4Q22_-_E_-_FINAL.pdf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27</w:t>
            </w:r>
          </w:p>
        </w:tc>
        <w:tc>
          <w:tcPr>
            <w:tcW w:type="dxa" w:w="5616"/>
          </w:tcPr>
          <w:p>
            <w:pPr>
              <w:spacing w:after="20"/>
            </w:pPr>
            <w:r>
              <w:rPr>
                <w:color w:val="1C3A36"/>
                <w:sz w:val="15"/>
              </w:rPr>
              <w:t>GB_Corp_ER_4Q23_-_ER_-_FINAL.pdf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28</w:t>
            </w:r>
          </w:p>
        </w:tc>
        <w:tc>
          <w:tcPr>
            <w:tcW w:type="dxa" w:w="5616"/>
          </w:tcPr>
          <w:p>
            <w:pPr>
              <w:spacing w:after="20"/>
            </w:pPr>
            <w:r>
              <w:rPr>
                <w:color w:val="1C3A36"/>
                <w:sz w:val="15"/>
              </w:rPr>
              <w:t>GB_Corp_ER_4Q24-_E_-_Final.pdf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29</w:t>
            </w:r>
          </w:p>
        </w:tc>
        <w:tc>
          <w:tcPr>
            <w:tcW w:type="dxa" w:w="5616"/>
          </w:tcPr>
          <w:p>
            <w:pPr>
              <w:spacing w:after="20"/>
            </w:pPr>
            <w:r>
              <w:rPr>
                <w:color w:val="1C3A36"/>
                <w:sz w:val="15"/>
              </w:rPr>
              <w:t>GB_Corp_ER_4Q25-_E_-_Final.pdf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30</w:t>
            </w:r>
          </w:p>
        </w:tc>
        <w:tc>
          <w:tcPr>
            <w:tcW w:type="dxa" w:w="5616"/>
          </w:tcPr>
          <w:p>
            <w:pPr>
              <w:spacing w:after="20"/>
            </w:pPr>
            <w:r>
              <w:rPr>
                <w:color w:val="1C3A36"/>
                <w:sz w:val="15"/>
              </w:rPr>
              <w:t>GB_IRP_1Q26_-_Final.pdf</w:t>
            </w:r>
          </w:p>
        </w:tc>
        <w:tc>
          <w:tcPr>
            <w:tcW w:type="dxa" w:w="6336"/>
          </w:tcPr>
          <w:p>
            <w:pPr>
              <w:spacing w:after="20"/>
            </w:pPr>
            <w:r>
              <w:rPr>
                <w:color w:val="1C3A36"/>
                <w:sz w:val="15"/>
              </w:rPr>
              <w:t>Investor presentation</w:t>
            </w:r>
          </w:p>
        </w:tc>
        <w:tc>
          <w:tcPr>
            <w:tcW w:type="dxa" w:w="1584"/>
          </w:tcPr>
          <w:p>
            <w:pPr>
              <w:spacing w:after="20"/>
            </w:pPr>
            <w:r>
              <w:rPr>
                <w:color w:val="1C3A36"/>
                <w:sz w:val="15"/>
              </w:rPr>
              <w:t>committed with this study</w:t>
            </w:r>
          </w:p>
        </w:tc>
      </w:tr>
    </w:tbl>
    <w:p>
      <w:pPr>
        <w:spacing w:after="40"/>
      </w:pPr>
    </w:p>
    <w:p>
      <w:pPr>
        <w:spacing w:after="100" w:before="0"/>
      </w:pPr>
      <w:r>
        <w:rPr>
          <w:b w:val="0"/>
          <w:i w:val="0"/>
          <w:color w:val="1C3A36"/>
          <w:sz w:val="18"/>
        </w:rPr>
        <w:t>Every file above was downloaded from GB Corp’s own investor-relations portal and is kept with this study, so a reader can re-derive any figure in the study from the same document the study read. The count is what the directory holds rather than a number typed here.</w:t>
      </w:r>
    </w:p>
    <w:p>
      <w:r>
        <w:br w:type="page"/>
      </w:r>
    </w:p>
    <w:p>
      <w:pPr>
        <w:spacing w:after="120" w:before="240"/>
      </w:pPr>
      <w:r>
        <w:rPr>
          <w:b/>
          <w:i w:val="0"/>
          <w:color w:val="1C3A36"/>
          <w:sz w:val="30"/>
        </w:rPr>
        <w:t>2  Input register — every figure that reaches the model</w:t>
      </w:r>
    </w:p>
    <w:p>
      <w:pPr>
        <w:spacing w:after="100" w:before="0"/>
      </w:pPr>
      <w:r>
        <w:rPr>
          <w:b w:val="0"/>
          <w:i w:val="0"/>
          <w:color w:val="1C3A36"/>
          <w:sz w:val="19"/>
        </w:rPr>
        <w:t>Four fields on every input: the value, the source, the date that source carries, and the research layer it belongs to. The layer is DERIVED from which source built the entry rather than typed, so it cannot drift from the source it describes.</w:t>
      </w:r>
    </w:p>
    <w:p>
      <w:pPr>
        <w:spacing w:after="80" w:before="200"/>
      </w:pPr>
      <w:r>
        <w:rPr>
          <w:b/>
          <w:i w:val="0"/>
          <w:color w:val="1C3A36"/>
          <w:sz w:val="23"/>
        </w:rPr>
        <w:t>Research layer — Company</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1"/>
        <w:gridCol w:w="1944"/>
        <w:gridCol w:w="1224"/>
        <w:gridCol w:w="792"/>
        <w:gridCol w:w="6264"/>
        <w:gridCol w:w="1224"/>
        <w:gridCol w:w="2203"/>
      </w:tblGrid>
      <w:tr>
        <w:tc>
          <w:tcPr>
            <w:tcW w:type="dxa" w:w="461"/>
            <w:shd w:val="clear" w:color="auto" w:fill="EAF0EE"/>
          </w:tcPr>
          <w:p>
            <w:pPr>
              <w:spacing w:after="20"/>
            </w:pPr>
            <w:r>
              <w:rPr>
                <w:b/>
                <w:color w:val="1C3A36"/>
                <w:sz w:val="14"/>
              </w:rPr>
              <w:t>#</w:t>
            </w:r>
          </w:p>
        </w:tc>
        <w:tc>
          <w:tcPr>
            <w:tcW w:type="dxa" w:w="1944"/>
            <w:shd w:val="clear" w:color="auto" w:fill="EAF0EE"/>
          </w:tcPr>
          <w:p>
            <w:pPr>
              <w:spacing w:after="20"/>
            </w:pPr>
            <w:r>
              <w:rPr>
                <w:b/>
                <w:color w:val="1C3A36"/>
                <w:sz w:val="14"/>
              </w:rPr>
              <w:t>Input</w:t>
            </w:r>
          </w:p>
        </w:tc>
        <w:tc>
          <w:tcPr>
            <w:tcW w:type="dxa" w:w="1224"/>
            <w:shd w:val="clear" w:color="auto" w:fill="EAF0EE"/>
          </w:tcPr>
          <w:p>
            <w:pPr>
              <w:spacing w:after="20"/>
            </w:pPr>
            <w:r>
              <w:rPr>
                <w:b/>
                <w:color w:val="1C3A36"/>
                <w:sz w:val="14"/>
              </w:rPr>
              <w:t>Value</w:t>
            </w:r>
          </w:p>
        </w:tc>
        <w:tc>
          <w:tcPr>
            <w:tcW w:type="dxa" w:w="792"/>
            <w:shd w:val="clear" w:color="auto" w:fill="EAF0EE"/>
          </w:tcPr>
          <w:p>
            <w:pPr>
              <w:spacing w:after="20"/>
            </w:pPr>
            <w:r>
              <w:rPr>
                <w:b/>
                <w:color w:val="1C3A36"/>
                <w:sz w:val="14"/>
              </w:rPr>
              <w:t>Unit</w:t>
            </w:r>
          </w:p>
        </w:tc>
        <w:tc>
          <w:tcPr>
            <w:tcW w:type="dxa" w:w="6264"/>
            <w:shd w:val="clear" w:color="auto" w:fill="EAF0EE"/>
          </w:tcPr>
          <w:p>
            <w:pPr>
              <w:spacing w:after="20"/>
            </w:pPr>
            <w:r>
              <w:rPr>
                <w:b/>
                <w:color w:val="1C3A36"/>
                <w:sz w:val="14"/>
              </w:rPr>
              <w:t>Source</w:t>
            </w:r>
          </w:p>
        </w:tc>
        <w:tc>
          <w:tcPr>
            <w:tcW w:type="dxa" w:w="1224"/>
            <w:shd w:val="clear" w:color="auto" w:fill="EAF0EE"/>
          </w:tcPr>
          <w:p>
            <w:pPr>
              <w:spacing w:after="20"/>
            </w:pPr>
            <w:r>
              <w:rPr>
                <w:b/>
                <w:color w:val="1C3A36"/>
                <w:sz w:val="14"/>
              </w:rPr>
              <w:t>Source date</w:t>
            </w:r>
          </w:p>
        </w:tc>
        <w:tc>
          <w:tcPr>
            <w:tcW w:type="dxa" w:w="2203"/>
            <w:shd w:val="clear" w:color="auto" w:fill="EAF0EE"/>
          </w:tcPr>
          <w:p>
            <w:pPr>
              <w:spacing w:after="20"/>
            </w:pPr>
            <w:r>
              <w:rPr>
                <w:b/>
                <w:color w:val="1C3A36"/>
                <w:sz w:val="14"/>
              </w:rPr>
              <w:t>Route</w:t>
            </w:r>
          </w:p>
        </w:tc>
      </w:tr>
      <w:tr>
        <w:tc>
          <w:tcPr>
            <w:tcW w:type="dxa" w:w="461"/>
          </w:tcPr>
          <w:p>
            <w:pPr>
              <w:spacing w:after="20"/>
            </w:pPr>
            <w:r>
              <w:rPr>
                <w:color w:val="1C3A36"/>
                <w:sz w:val="14"/>
              </w:rPr>
              <w:t>1</w:t>
            </w:r>
          </w:p>
        </w:tc>
        <w:tc>
          <w:tcPr>
            <w:tcW w:type="dxa" w:w="1944"/>
          </w:tcPr>
          <w:p>
            <w:pPr>
              <w:spacing w:after="20"/>
            </w:pPr>
            <w:r>
              <w:rPr>
                <w:color w:val="1C3A36"/>
                <w:sz w:val="14"/>
              </w:rPr>
              <w:t>capex_fy2025</w:t>
            </w:r>
          </w:p>
        </w:tc>
        <w:tc>
          <w:tcPr>
            <w:tcW w:type="dxa" w:w="1224"/>
          </w:tcPr>
          <w:p>
            <w:pPr>
              <w:spacing w:after="20"/>
            </w:pPr>
            <w:r>
              <w:rPr>
                <w:color w:val="1C3A36"/>
                <w:sz w:val="14"/>
              </w:rPr>
              <w:t>3,664.2</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consolidated cash-flow statement, payment for acquisition of property, plant, equipment and projects under construction</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2</w:t>
            </w:r>
          </w:p>
        </w:tc>
        <w:tc>
          <w:tcPr>
            <w:tcW w:type="dxa" w:w="1944"/>
          </w:tcPr>
          <w:p>
            <w:pPr>
              <w:spacing w:after="20"/>
            </w:pPr>
            <w:r>
              <w:rPr>
                <w:color w:val="1C3A36"/>
                <w:sz w:val="14"/>
              </w:rPr>
              <w:t>cash_dec2025</w:t>
            </w:r>
          </w:p>
        </w:tc>
        <w:tc>
          <w:tcPr>
            <w:tcW w:type="dxa" w:w="1224"/>
          </w:tcPr>
          <w:p>
            <w:pPr>
              <w:spacing w:after="20"/>
            </w:pPr>
            <w:r>
              <w:rPr>
                <w:color w:val="1C3A36"/>
                <w:sz w:val="14"/>
              </w:rPr>
              <w:t>9,523.6</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note 16, cash and cash equivalents</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3</w:t>
            </w:r>
          </w:p>
        </w:tc>
        <w:tc>
          <w:tcPr>
            <w:tcW w:type="dxa" w:w="1944"/>
          </w:tcPr>
          <w:p>
            <w:pPr>
              <w:spacing w:after="20"/>
            </w:pPr>
            <w:r>
              <w:rPr>
                <w:color w:val="1C3A36"/>
                <w:sz w:val="14"/>
              </w:rPr>
              <w:t>debt_dec2025</w:t>
            </w:r>
          </w:p>
        </w:tc>
        <w:tc>
          <w:tcPr>
            <w:tcW w:type="dxa" w:w="1224"/>
          </w:tcPr>
          <w:p>
            <w:pPr>
              <w:spacing w:after="20"/>
            </w:pPr>
            <w:r>
              <w:rPr>
                <w:color w:val="1C3A36"/>
                <w:sz w:val="14"/>
              </w:rPr>
              <w:t>38,041.4</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notes 26 and 38: loans 10,721,880 + bonds 40,000 + loans, borrowings and overdrafts 27,199,462 + bonds 80,000</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4</w:t>
            </w:r>
          </w:p>
        </w:tc>
        <w:tc>
          <w:tcPr>
            <w:tcW w:type="dxa" w:w="1944"/>
          </w:tcPr>
          <w:p>
            <w:pPr>
              <w:spacing w:after="20"/>
            </w:pPr>
            <w:r>
              <w:rPr>
                <w:color w:val="1C3A36"/>
                <w:sz w:val="14"/>
              </w:rPr>
              <w:t>dep_fy2025</w:t>
            </w:r>
          </w:p>
        </w:tc>
        <w:tc>
          <w:tcPr>
            <w:tcW w:type="dxa" w:w="1224"/>
          </w:tcPr>
          <w:p>
            <w:pPr>
              <w:spacing w:after="20"/>
            </w:pPr>
            <w:r>
              <w:rPr>
                <w:color w:val="1C3A36"/>
                <w:sz w:val="14"/>
              </w:rPr>
              <w:t>999.3</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consolidated cash-flow statement, depreciation and amortisation for the year</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5</w:t>
            </w:r>
          </w:p>
        </w:tc>
        <w:tc>
          <w:tcPr>
            <w:tcW w:type="dxa" w:w="1944"/>
          </w:tcPr>
          <w:p>
            <w:pPr>
              <w:spacing w:after="20"/>
            </w:pPr>
            <w:r>
              <w:rPr>
                <w:color w:val="1C3A36"/>
                <w:sz w:val="14"/>
              </w:rPr>
              <w:t>ebit_fy2025</w:t>
            </w:r>
          </w:p>
        </w:tc>
        <w:tc>
          <w:tcPr>
            <w:tcW w:type="dxa" w:w="1224"/>
          </w:tcPr>
          <w:p>
            <w:pPr>
              <w:spacing w:after="20"/>
            </w:pPr>
            <w:r>
              <w:rPr>
                <w:color w:val="1C3A36"/>
                <w:sz w:val="14"/>
              </w:rPr>
              <w:t>6,631</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6</w:t>
            </w:r>
          </w:p>
        </w:tc>
        <w:tc>
          <w:tcPr>
            <w:tcW w:type="dxa" w:w="1944"/>
          </w:tcPr>
          <w:p>
            <w:pPr>
              <w:spacing w:after="20"/>
            </w:pPr>
            <w:r>
              <w:rPr>
                <w:color w:val="1C3A36"/>
                <w:sz w:val="14"/>
              </w:rPr>
              <w:t>gp_fy2025</w:t>
            </w:r>
          </w:p>
        </w:tc>
        <w:tc>
          <w:tcPr>
            <w:tcW w:type="dxa" w:w="1224"/>
          </w:tcPr>
          <w:p>
            <w:pPr>
              <w:spacing w:after="20"/>
            </w:pPr>
            <w:r>
              <w:rPr>
                <w:color w:val="1C3A36"/>
                <w:sz w:val="14"/>
              </w:rPr>
              <w:t>12,431.1</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7</w:t>
            </w:r>
          </w:p>
        </w:tc>
        <w:tc>
          <w:tcPr>
            <w:tcW w:type="dxa" w:w="1944"/>
          </w:tcPr>
          <w:p>
            <w:pPr>
              <w:spacing w:after="20"/>
            </w:pPr>
            <w:r>
              <w:rPr>
                <w:color w:val="1C3A36"/>
                <w:sz w:val="14"/>
              </w:rPr>
              <w:t>pat_fy2024</w:t>
            </w:r>
          </w:p>
        </w:tc>
        <w:tc>
          <w:tcPr>
            <w:tcW w:type="dxa" w:w="1224"/>
          </w:tcPr>
          <w:p>
            <w:pPr>
              <w:spacing w:after="20"/>
            </w:pPr>
            <w:r>
              <w:rPr>
                <w:color w:val="1C3A36"/>
                <w:sz w:val="14"/>
              </w:rPr>
              <w:t>2,928.1</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w:t>
            </w:r>
          </w:p>
        </w:tc>
        <w:tc>
          <w:tcPr>
            <w:tcW w:type="dxa" w:w="1224"/>
          </w:tcPr>
          <w:p>
            <w:pPr>
              <w:spacing w:after="20"/>
            </w:pPr>
            <w:r>
              <w:rPr>
                <w:color w:val="1C3A36"/>
                <w:sz w:val="14"/>
              </w:rPr>
              <w:t>2025-02-01</w:t>
            </w:r>
          </w:p>
        </w:tc>
        <w:tc>
          <w:tcPr>
            <w:tcW w:type="dxa" w:w="2203"/>
          </w:tcPr>
          <w:p>
            <w:pPr>
              <w:spacing w:after="20"/>
            </w:pPr>
            <w:r>
              <w:rPr>
                <w:color w:val="1C3A36"/>
                <w:sz w:val="14"/>
              </w:rPr>
              <w:t>PDF text layer (pymupdf)</w:t>
            </w:r>
          </w:p>
        </w:tc>
      </w:tr>
      <w:tr>
        <w:tc>
          <w:tcPr>
            <w:tcW w:type="dxa" w:w="461"/>
          </w:tcPr>
          <w:p>
            <w:pPr>
              <w:spacing w:after="20"/>
            </w:pPr>
            <w:r>
              <w:rPr>
                <w:color w:val="1C3A36"/>
                <w:sz w:val="14"/>
              </w:rPr>
              <w:t>8</w:t>
            </w:r>
          </w:p>
        </w:tc>
        <w:tc>
          <w:tcPr>
            <w:tcW w:type="dxa" w:w="1944"/>
          </w:tcPr>
          <w:p>
            <w:pPr>
              <w:spacing w:after="20"/>
            </w:pPr>
            <w:r>
              <w:rPr>
                <w:color w:val="1C3A36"/>
                <w:sz w:val="14"/>
              </w:rPr>
              <w:t>pat_fy2025</w:t>
            </w:r>
          </w:p>
        </w:tc>
        <w:tc>
          <w:tcPr>
            <w:tcW w:type="dxa" w:w="1224"/>
          </w:tcPr>
          <w:p>
            <w:pPr>
              <w:spacing w:after="20"/>
            </w:pPr>
            <w:r>
              <w:rPr>
                <w:color w:val="1C3A36"/>
                <w:sz w:val="14"/>
              </w:rPr>
              <w:t>2,880</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attributable to the parent; the FY2025 opinion is QUALIFIED on the MNT-BV associate</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bl>
    <w:p>
      <w:pPr>
        <w:spacing w:after="40"/>
      </w:pPr>
    </w:p>
    <w:p>
      <w:pPr>
        <w:spacing w:after="80" w:before="200"/>
      </w:pPr>
      <w:r>
        <w:rPr>
          <w:b/>
          <w:i w:val="0"/>
          <w:color w:val="1C3A36"/>
          <w:sz w:val="23"/>
        </w:rPr>
        <w:t>Research layer — Company (investor relations)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1"/>
        <w:gridCol w:w="1944"/>
        <w:gridCol w:w="1224"/>
        <w:gridCol w:w="792"/>
        <w:gridCol w:w="6264"/>
        <w:gridCol w:w="1224"/>
        <w:gridCol w:w="2203"/>
      </w:tblGrid>
      <w:tr>
        <w:tc>
          <w:tcPr>
            <w:tcW w:type="dxa" w:w="461"/>
            <w:shd w:val="clear" w:color="auto" w:fill="EAF0EE"/>
          </w:tcPr>
          <w:p>
            <w:pPr>
              <w:spacing w:after="20"/>
            </w:pPr>
            <w:r>
              <w:rPr>
                <w:b/>
                <w:color w:val="1C3A36"/>
                <w:sz w:val="14"/>
              </w:rPr>
              <w:t>#</w:t>
            </w:r>
          </w:p>
        </w:tc>
        <w:tc>
          <w:tcPr>
            <w:tcW w:type="dxa" w:w="1944"/>
            <w:shd w:val="clear" w:color="auto" w:fill="EAF0EE"/>
          </w:tcPr>
          <w:p>
            <w:pPr>
              <w:spacing w:after="20"/>
            </w:pPr>
            <w:r>
              <w:rPr>
                <w:b/>
                <w:color w:val="1C3A36"/>
                <w:sz w:val="14"/>
              </w:rPr>
              <w:t>Input</w:t>
            </w:r>
          </w:p>
        </w:tc>
        <w:tc>
          <w:tcPr>
            <w:tcW w:type="dxa" w:w="1224"/>
            <w:shd w:val="clear" w:color="auto" w:fill="EAF0EE"/>
          </w:tcPr>
          <w:p>
            <w:pPr>
              <w:spacing w:after="20"/>
            </w:pPr>
            <w:r>
              <w:rPr>
                <w:b/>
                <w:color w:val="1C3A36"/>
                <w:sz w:val="14"/>
              </w:rPr>
              <w:t>Value</w:t>
            </w:r>
          </w:p>
        </w:tc>
        <w:tc>
          <w:tcPr>
            <w:tcW w:type="dxa" w:w="792"/>
            <w:shd w:val="clear" w:color="auto" w:fill="EAF0EE"/>
          </w:tcPr>
          <w:p>
            <w:pPr>
              <w:spacing w:after="20"/>
            </w:pPr>
            <w:r>
              <w:rPr>
                <w:b/>
                <w:color w:val="1C3A36"/>
                <w:sz w:val="14"/>
              </w:rPr>
              <w:t>Unit</w:t>
            </w:r>
          </w:p>
        </w:tc>
        <w:tc>
          <w:tcPr>
            <w:tcW w:type="dxa" w:w="6264"/>
            <w:shd w:val="clear" w:color="auto" w:fill="EAF0EE"/>
          </w:tcPr>
          <w:p>
            <w:pPr>
              <w:spacing w:after="20"/>
            </w:pPr>
            <w:r>
              <w:rPr>
                <w:b/>
                <w:color w:val="1C3A36"/>
                <w:sz w:val="14"/>
              </w:rPr>
              <w:t>Source</w:t>
            </w:r>
          </w:p>
        </w:tc>
        <w:tc>
          <w:tcPr>
            <w:tcW w:type="dxa" w:w="1224"/>
            <w:shd w:val="clear" w:color="auto" w:fill="EAF0EE"/>
          </w:tcPr>
          <w:p>
            <w:pPr>
              <w:spacing w:after="20"/>
            </w:pPr>
            <w:r>
              <w:rPr>
                <w:b/>
                <w:color w:val="1C3A36"/>
                <w:sz w:val="14"/>
              </w:rPr>
              <w:t>Source date</w:t>
            </w:r>
          </w:p>
        </w:tc>
        <w:tc>
          <w:tcPr>
            <w:tcW w:type="dxa" w:w="2203"/>
            <w:shd w:val="clear" w:color="auto" w:fill="EAF0EE"/>
          </w:tcPr>
          <w:p>
            <w:pPr>
              <w:spacing w:after="20"/>
            </w:pPr>
            <w:r>
              <w:rPr>
                <w:b/>
                <w:color w:val="1C3A36"/>
                <w:sz w:val="14"/>
              </w:rPr>
              <w:t>Route</w:t>
            </w:r>
          </w:p>
        </w:tc>
      </w:tr>
      <w:tr>
        <w:tc>
          <w:tcPr>
            <w:tcW w:type="dxa" w:w="461"/>
          </w:tcPr>
          <w:p>
            <w:pPr>
              <w:spacing w:after="20"/>
            </w:pPr>
            <w:r>
              <w:rPr>
                <w:color w:val="1C3A36"/>
                <w:sz w:val="14"/>
              </w:rPr>
              <w:t>1</w:t>
            </w:r>
          </w:p>
        </w:tc>
        <w:tc>
          <w:tcPr>
            <w:tcW w:type="dxa" w:w="1944"/>
          </w:tcPr>
          <w:p>
            <w:pPr>
              <w:spacing w:after="20"/>
            </w:pPr>
            <w:r>
              <w:rPr>
                <w:color w:val="1C3A36"/>
                <w:sz w:val="14"/>
              </w:rPr>
              <w:t>cash_jun2026</w:t>
            </w:r>
          </w:p>
        </w:tc>
        <w:tc>
          <w:tcPr>
            <w:tcW w:type="dxa" w:w="1224"/>
          </w:tcPr>
          <w:p>
            <w:pPr>
              <w:spacing w:after="20"/>
            </w:pPr>
            <w:r>
              <w:rPr>
                <w:color w:val="1C3A36"/>
                <w:sz w:val="14"/>
              </w:rPr>
              <w:t>10,951.5</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12 balance sheet by segment</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2</w:t>
            </w:r>
          </w:p>
        </w:tc>
        <w:tc>
          <w:tcPr>
            <w:tcW w:type="dxa" w:w="1944"/>
          </w:tcPr>
          <w:p>
            <w:pPr>
              <w:spacing w:after="20"/>
            </w:pPr>
            <w:r>
              <w:rPr>
                <w:color w:val="1C3A36"/>
                <w:sz w:val="14"/>
              </w:rPr>
              <w:t>debt_auto_jun2026</w:t>
            </w:r>
          </w:p>
        </w:tc>
        <w:tc>
          <w:tcPr>
            <w:tcW w:type="dxa" w:w="1224"/>
          </w:tcPr>
          <w:p>
            <w:pPr>
              <w:spacing w:after="20"/>
            </w:pPr>
            <w:r>
              <w:rPr>
                <w:color w:val="1C3A36"/>
                <w:sz w:val="14"/>
              </w:rPr>
              <w:t>22,733.1</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12, GB Auto column: 20,943.0 + 1,790.1 — THE BORROWINGS THAT ACTUALLY BEAR THE ASSEMBLER'S INTEREST</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3</w:t>
            </w:r>
          </w:p>
        </w:tc>
        <w:tc>
          <w:tcPr>
            <w:tcW w:type="dxa" w:w="1944"/>
          </w:tcPr>
          <w:p>
            <w:pPr>
              <w:spacing w:after="20"/>
            </w:pPr>
            <w:r>
              <w:rPr>
                <w:color w:val="1C3A36"/>
                <w:sz w:val="14"/>
              </w:rPr>
              <w:t>debt_jun2026</w:t>
            </w:r>
          </w:p>
        </w:tc>
        <w:tc>
          <w:tcPr>
            <w:tcW w:type="dxa" w:w="1224"/>
          </w:tcPr>
          <w:p>
            <w:pPr>
              <w:spacing w:after="20"/>
            </w:pPr>
            <w:r>
              <w:rPr>
                <w:color w:val="1C3A36"/>
                <w:sz w:val="14"/>
              </w:rPr>
              <w:t>42,476</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12: loans and overdraft 28,703.7 + loans 13,772.3</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4</w:t>
            </w:r>
          </w:p>
        </w:tc>
        <w:tc>
          <w:tcPr>
            <w:tcW w:type="dxa" w:w="1944"/>
          </w:tcPr>
          <w:p>
            <w:pPr>
              <w:spacing w:after="20"/>
            </w:pPr>
            <w:r>
              <w:rPr>
                <w:color w:val="1C3A36"/>
                <w:sz w:val="14"/>
              </w:rPr>
              <w:t>eq_jun2026</w:t>
            </w:r>
          </w:p>
        </w:tc>
        <w:tc>
          <w:tcPr>
            <w:tcW w:type="dxa" w:w="1224"/>
          </w:tcPr>
          <w:p>
            <w:pPr>
              <w:spacing w:after="20"/>
            </w:pPr>
            <w:r>
              <w:rPr>
                <w:color w:val="1C3A36"/>
                <w:sz w:val="14"/>
              </w:rPr>
              <w:t>35,127.9</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12 total equity</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5</w:t>
            </w:r>
          </w:p>
        </w:tc>
        <w:tc>
          <w:tcPr>
            <w:tcW w:type="dxa" w:w="1944"/>
          </w:tcPr>
          <w:p>
            <w:pPr>
              <w:spacing w:after="20"/>
            </w:pPr>
            <w:r>
              <w:rPr>
                <w:color w:val="1C3A36"/>
                <w:sz w:val="14"/>
              </w:rPr>
              <w:t>gp_h1_2026</w:t>
            </w:r>
          </w:p>
        </w:tc>
        <w:tc>
          <w:tcPr>
            <w:tcW w:type="dxa" w:w="1224"/>
          </w:tcPr>
          <w:p>
            <w:pPr>
              <w:spacing w:after="20"/>
            </w:pPr>
            <w:r>
              <w:rPr>
                <w:color w:val="1C3A36"/>
                <w:sz w:val="14"/>
              </w:rPr>
              <w:t>7,421.9</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6</w:t>
            </w:r>
          </w:p>
        </w:tc>
        <w:tc>
          <w:tcPr>
            <w:tcW w:type="dxa" w:w="1944"/>
          </w:tcPr>
          <w:p>
            <w:pPr>
              <w:spacing w:after="20"/>
            </w:pPr>
            <w:r>
              <w:rPr>
                <w:color w:val="1C3A36"/>
                <w:sz w:val="14"/>
              </w:rPr>
              <w:t>gross_auto_h1_2026</w:t>
            </w:r>
          </w:p>
        </w:tc>
        <w:tc>
          <w:tcPr>
            <w:tcW w:type="dxa" w:w="1224"/>
          </w:tcPr>
          <w:p>
            <w:pPr>
              <w:spacing w:after="20"/>
            </w:pPr>
            <w:r>
              <w:rPr>
                <w:color w:val="1C3A36"/>
                <w:sz w:val="14"/>
              </w:rPr>
              <w:t>5,722.1</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11 income statement BY SEGMENT: GB Auto total revenue 40,021.5, gross profit 5,722.1</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7</w:t>
            </w:r>
          </w:p>
        </w:tc>
        <w:tc>
          <w:tcPr>
            <w:tcW w:type="dxa" w:w="1944"/>
          </w:tcPr>
          <w:p>
            <w:pPr>
              <w:spacing w:after="20"/>
            </w:pPr>
            <w:r>
              <w:rPr>
                <w:color w:val="1C3A36"/>
                <w:sz w:val="14"/>
              </w:rPr>
              <w:t>ni_h1_2026</w:t>
            </w:r>
          </w:p>
        </w:tc>
        <w:tc>
          <w:tcPr>
            <w:tcW w:type="dxa" w:w="1224"/>
          </w:tcPr>
          <w:p>
            <w:pPr>
              <w:spacing w:after="20"/>
            </w:pPr>
            <w:r>
              <w:rPr>
                <w:color w:val="1C3A36"/>
                <w:sz w:val="14"/>
              </w:rPr>
              <w:t>1,262</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8</w:t>
            </w:r>
          </w:p>
        </w:tc>
        <w:tc>
          <w:tcPr>
            <w:tcW w:type="dxa" w:w="1944"/>
          </w:tcPr>
          <w:p>
            <w:pPr>
              <w:spacing w:after="20"/>
            </w:pPr>
            <w:r>
              <w:rPr>
                <w:color w:val="1C3A36"/>
                <w:sz w:val="14"/>
              </w:rPr>
              <w:t>rev_fy2023</w:t>
            </w:r>
          </w:p>
        </w:tc>
        <w:tc>
          <w:tcPr>
            <w:tcW w:type="dxa" w:w="1224"/>
          </w:tcPr>
          <w:p>
            <w:pPr>
              <w:spacing w:after="20"/>
            </w:pPr>
            <w:r>
              <w:rPr>
                <w:color w:val="1C3A36"/>
                <w:sz w:val="14"/>
              </w:rPr>
              <w:t>28,317.2</w:t>
            </w:r>
          </w:p>
        </w:tc>
        <w:tc>
          <w:tcPr>
            <w:tcW w:type="dxa" w:w="792"/>
          </w:tcPr>
          <w:p>
            <w:pPr>
              <w:spacing w:after="20"/>
            </w:pPr>
            <w:r>
              <w:rPr>
                <w:color w:val="1C3A36"/>
                <w:sz w:val="14"/>
              </w:rPr>
              <w:t>EGP mn</w:t>
            </w:r>
          </w:p>
        </w:tc>
        <w:tc>
          <w:tcPr>
            <w:tcW w:type="dxa" w:w="6264"/>
          </w:tcPr>
          <w:p>
            <w:pPr>
              <w:spacing w:after="20"/>
            </w:pPr>
            <w:r>
              <w:rPr>
                <w:color w:val="1C3A36"/>
                <w:sz w:val="14"/>
              </w:rPr>
              <w:t>GB Corp's own 4Q23 earnings release, published on ir.gb-corporation.com and committed under</w:t>
            </w:r>
          </w:p>
        </w:tc>
        <w:tc>
          <w:tcPr>
            <w:tcW w:type="dxa" w:w="1224"/>
          </w:tcPr>
          <w:p>
            <w:pPr>
              <w:spacing w:after="20"/>
            </w:pPr>
            <w:r>
              <w:rPr>
                <w:color w:val="1C3A36"/>
                <w:sz w:val="14"/>
              </w:rPr>
              <w:t>2024-03-01</w:t>
            </w:r>
          </w:p>
        </w:tc>
        <w:tc>
          <w:tcPr>
            <w:tcW w:type="dxa" w:w="2203"/>
          </w:tcPr>
          <w:p>
            <w:pPr>
              <w:spacing w:after="20"/>
            </w:pPr>
            <w:r>
              <w:rPr>
                <w:color w:val="1C3A36"/>
                <w:sz w:val="14"/>
              </w:rPr>
              <w:t>PDF text layer (pymupdf)</w:t>
            </w:r>
          </w:p>
        </w:tc>
      </w:tr>
      <w:tr>
        <w:tc>
          <w:tcPr>
            <w:tcW w:type="dxa" w:w="461"/>
          </w:tcPr>
          <w:p>
            <w:pPr>
              <w:spacing w:after="20"/>
            </w:pPr>
            <w:r>
              <w:rPr>
                <w:color w:val="1C3A36"/>
                <w:sz w:val="14"/>
              </w:rPr>
              <w:t>9</w:t>
            </w:r>
          </w:p>
        </w:tc>
        <w:tc>
          <w:tcPr>
            <w:tcW w:type="dxa" w:w="1944"/>
          </w:tcPr>
          <w:p>
            <w:pPr>
              <w:spacing w:after="20"/>
            </w:pPr>
            <w:r>
              <w:rPr>
                <w:color w:val="1C3A36"/>
                <w:sz w:val="14"/>
              </w:rPr>
              <w:t>rev_fy2024</w:t>
            </w:r>
          </w:p>
        </w:tc>
        <w:tc>
          <w:tcPr>
            <w:tcW w:type="dxa" w:w="1224"/>
          </w:tcPr>
          <w:p>
            <w:pPr>
              <w:spacing w:after="20"/>
            </w:pPr>
            <w:r>
              <w:rPr>
                <w:color w:val="1C3A36"/>
                <w:sz w:val="14"/>
              </w:rPr>
              <w:t>53,969.5</w:t>
            </w:r>
          </w:p>
        </w:tc>
        <w:tc>
          <w:tcPr>
            <w:tcW w:type="dxa" w:w="792"/>
          </w:tcPr>
          <w:p>
            <w:pPr>
              <w:spacing w:after="20"/>
            </w:pPr>
            <w:r>
              <w:rPr>
                <w:color w:val="1C3A36"/>
                <w:sz w:val="14"/>
              </w:rPr>
              <w:t>EGP mn</w:t>
            </w:r>
          </w:p>
        </w:tc>
        <w:tc>
          <w:tcPr>
            <w:tcW w:type="dxa" w:w="6264"/>
          </w:tcPr>
          <w:p>
            <w:pPr>
              <w:spacing w:after="20"/>
            </w:pPr>
            <w:r>
              <w:rPr>
                <w:color w:val="1C3A36"/>
                <w:sz w:val="14"/>
              </w:rPr>
              <w:t>GB Corp's own 4Q24 earnings release, published on ir.gb-corporation.com and committed under</w:t>
            </w:r>
          </w:p>
        </w:tc>
        <w:tc>
          <w:tcPr>
            <w:tcW w:type="dxa" w:w="1224"/>
          </w:tcPr>
          <w:p>
            <w:pPr>
              <w:spacing w:after="20"/>
            </w:pPr>
            <w:r>
              <w:rPr>
                <w:color w:val="1C3A36"/>
                <w:sz w:val="14"/>
              </w:rPr>
              <w:t>2025-02-01</w:t>
            </w:r>
          </w:p>
        </w:tc>
        <w:tc>
          <w:tcPr>
            <w:tcW w:type="dxa" w:w="2203"/>
          </w:tcPr>
          <w:p>
            <w:pPr>
              <w:spacing w:after="20"/>
            </w:pPr>
            <w:r>
              <w:rPr>
                <w:color w:val="1C3A36"/>
                <w:sz w:val="14"/>
              </w:rPr>
              <w:t>PDF text layer (pymupdf)</w:t>
            </w:r>
          </w:p>
        </w:tc>
      </w:tr>
      <w:tr>
        <w:tc>
          <w:tcPr>
            <w:tcW w:type="dxa" w:w="461"/>
          </w:tcPr>
          <w:p>
            <w:pPr>
              <w:spacing w:after="20"/>
            </w:pPr>
            <w:r>
              <w:rPr>
                <w:color w:val="1C3A36"/>
                <w:sz w:val="14"/>
              </w:rPr>
              <w:t>10</w:t>
            </w:r>
          </w:p>
        </w:tc>
        <w:tc>
          <w:tcPr>
            <w:tcW w:type="dxa" w:w="1944"/>
          </w:tcPr>
          <w:p>
            <w:pPr>
              <w:spacing w:after="20"/>
            </w:pPr>
            <w:r>
              <w:rPr>
                <w:color w:val="1C3A36"/>
                <w:sz w:val="14"/>
              </w:rPr>
              <w:t>rev_fy2025</w:t>
            </w:r>
          </w:p>
        </w:tc>
        <w:tc>
          <w:tcPr>
            <w:tcW w:type="dxa" w:w="1224"/>
          </w:tcPr>
          <w:p>
            <w:pPr>
              <w:spacing w:after="20"/>
            </w:pPr>
            <w:r>
              <w:rPr>
                <w:color w:val="1C3A36"/>
                <w:sz w:val="14"/>
              </w:rPr>
              <w:t>80,229.8</w:t>
            </w:r>
          </w:p>
        </w:tc>
        <w:tc>
          <w:tcPr>
            <w:tcW w:type="dxa" w:w="792"/>
          </w:tcPr>
          <w:p>
            <w:pPr>
              <w:spacing w:after="20"/>
            </w:pPr>
            <w:r>
              <w:rPr>
                <w:color w:val="1C3A36"/>
                <w:sz w:val="14"/>
              </w:rPr>
              <w:t>EGP mn</w:t>
            </w:r>
          </w:p>
        </w:tc>
        <w:tc>
          <w:tcPr>
            <w:tcW w:type="dxa" w:w="6264"/>
          </w:tcPr>
          <w:p>
            <w:pPr>
              <w:spacing w:after="20"/>
            </w:pPr>
            <w:r>
              <w:rPr>
                <w:color w:val="1C3A36"/>
                <w:sz w:val="14"/>
              </w:rPr>
              <w:t>GB Corp's own 4Q25 earnings release, published on ir.gb-corporation.com and committed under; footed against the FY2025 audited consolidated statement of income, operating revenue 80,229,809 (EGP thousand)</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11</w:t>
            </w:r>
          </w:p>
        </w:tc>
        <w:tc>
          <w:tcPr>
            <w:tcW w:type="dxa" w:w="1944"/>
          </w:tcPr>
          <w:p>
            <w:pPr>
              <w:spacing w:after="20"/>
            </w:pPr>
            <w:r>
              <w:rPr>
                <w:color w:val="1C3A36"/>
                <w:sz w:val="14"/>
              </w:rPr>
              <w:t>rev_h1_2026</w:t>
            </w:r>
          </w:p>
        </w:tc>
        <w:tc>
          <w:tcPr>
            <w:tcW w:type="dxa" w:w="1224"/>
          </w:tcPr>
          <w:p>
            <w:pPr>
              <w:spacing w:after="20"/>
            </w:pPr>
            <w:r>
              <w:rPr>
                <w:color w:val="1C3A36"/>
                <w:sz w:val="14"/>
              </w:rPr>
              <w:t>48,474.4</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13 August 2026</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bl>
    <w:p>
      <w:pPr>
        <w:spacing w:after="40"/>
      </w:pPr>
    </w:p>
    <w:p>
      <w:pPr>
        <w:spacing w:after="80" w:before="200"/>
      </w:pPr>
      <w:r>
        <w:rPr>
          <w:b/>
          <w:i w:val="0"/>
          <w:color w:val="1C3A36"/>
          <w:sz w:val="23"/>
        </w:rPr>
        <w:t>The reported history behind the study’s own income statement</w:t>
      </w:r>
    </w:p>
    <w:p>
      <w:pPr>
        <w:spacing w:after="100" w:before="0"/>
      </w:pPr>
      <w:r>
        <w:rPr>
          <w:b w:val="0"/>
          <w:i w:val="0"/>
          <w:color w:val="1C3A36"/>
          <w:sz w:val="19"/>
        </w:rPr>
        <w:t>The three reported years the study prints come from the walk-forward panel, which holds this company’s consolidated income statement as originally reported. Every year is asserted to foot against its own arithmetic before it enters anything.</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80"/>
        <w:gridCol w:w="1656"/>
        <w:gridCol w:w="2232"/>
        <w:gridCol w:w="3528"/>
        <w:gridCol w:w="1224"/>
        <w:gridCol w:w="720"/>
        <w:gridCol w:w="3672"/>
      </w:tblGrid>
      <w:tr>
        <w:tc>
          <w:tcPr>
            <w:tcW w:type="dxa" w:w="1080"/>
            <w:shd w:val="clear" w:color="auto" w:fill="EAF0EE"/>
          </w:tcPr>
          <w:p>
            <w:pPr>
              <w:spacing w:after="20"/>
            </w:pPr>
            <w:r>
              <w:rPr>
                <w:b/>
                <w:color w:val="1C3A36"/>
                <w:sz w:val="15"/>
              </w:rPr>
              <w:t>Fiscal year</w:t>
            </w:r>
          </w:p>
        </w:tc>
        <w:tc>
          <w:tcPr>
            <w:tcW w:type="dxa" w:w="1656"/>
            <w:shd w:val="clear" w:color="auto" w:fill="EAF0EE"/>
          </w:tcPr>
          <w:p>
            <w:pPr>
              <w:spacing w:after="20"/>
            </w:pPr>
            <w:r>
              <w:rPr>
                <w:b/>
                <w:color w:val="1C3A36"/>
                <w:sz w:val="15"/>
              </w:rPr>
              <w:t>Revenue (EGP mn)</w:t>
            </w:r>
          </w:p>
        </w:tc>
        <w:tc>
          <w:tcPr>
            <w:tcW w:type="dxa" w:w="2232"/>
            <w:shd w:val="clear" w:color="auto" w:fill="EAF0EE"/>
          </w:tcPr>
          <w:p>
            <w:pPr>
              <w:spacing w:after="20"/>
            </w:pPr>
            <w:r>
              <w:rPr>
                <w:b/>
                <w:color w:val="1C3A36"/>
                <w:sz w:val="15"/>
              </w:rPr>
              <w:t>Profit attributable (EGP mn)</w:t>
            </w:r>
          </w:p>
        </w:tc>
        <w:tc>
          <w:tcPr>
            <w:tcW w:type="dxa" w:w="3528"/>
            <w:shd w:val="clear" w:color="auto" w:fill="EAF0EE"/>
          </w:tcPr>
          <w:p>
            <w:pPr>
              <w:spacing w:after="20"/>
            </w:pPr>
            <w:r>
              <w:rPr>
                <w:b/>
                <w:color w:val="1C3A36"/>
                <w:sz w:val="15"/>
              </w:rPr>
              <w:t>Source document</w:t>
            </w:r>
          </w:p>
        </w:tc>
        <w:tc>
          <w:tcPr>
            <w:tcW w:type="dxa" w:w="1224"/>
            <w:shd w:val="clear" w:color="auto" w:fill="EAF0EE"/>
          </w:tcPr>
          <w:p>
            <w:pPr>
              <w:spacing w:after="20"/>
            </w:pPr>
            <w:r>
              <w:rPr>
                <w:b/>
                <w:color w:val="1C3A36"/>
                <w:sz w:val="15"/>
              </w:rPr>
              <w:t>Source date</w:t>
            </w:r>
          </w:p>
        </w:tc>
        <w:tc>
          <w:tcPr>
            <w:tcW w:type="dxa" w:w="720"/>
            <w:shd w:val="clear" w:color="auto" w:fill="EAF0EE"/>
          </w:tcPr>
          <w:p>
            <w:pPr>
              <w:spacing w:after="20"/>
            </w:pPr>
            <w:r>
              <w:rPr>
                <w:b/>
                <w:color w:val="1C3A36"/>
                <w:sz w:val="15"/>
              </w:rPr>
              <w:t>Foots</w:t>
            </w:r>
          </w:p>
        </w:tc>
        <w:tc>
          <w:tcPr>
            <w:tcW w:type="dxa" w:w="3672"/>
            <w:shd w:val="clear" w:color="auto" w:fill="EAF0EE"/>
          </w:tcPr>
          <w:p>
            <w:pPr>
              <w:spacing w:after="20"/>
            </w:pPr>
            <w:r>
              <w:rPr>
                <w:b/>
                <w:color w:val="1C3A36"/>
                <w:sz w:val="15"/>
              </w:rPr>
              <w:t>Route</w:t>
            </w:r>
          </w:p>
        </w:tc>
      </w:tr>
      <w:tr>
        <w:tc>
          <w:tcPr>
            <w:tcW w:type="dxa" w:w="1080"/>
          </w:tcPr>
          <w:p>
            <w:pPr>
              <w:spacing w:after="20"/>
            </w:pPr>
            <w:r>
              <w:rPr>
                <w:color w:val="1C3A36"/>
                <w:sz w:val="15"/>
              </w:rPr>
              <w:t>FY2023</w:t>
            </w:r>
          </w:p>
        </w:tc>
        <w:tc>
          <w:tcPr>
            <w:tcW w:type="dxa" w:w="1656"/>
          </w:tcPr>
          <w:p>
            <w:pPr>
              <w:spacing w:after="20"/>
            </w:pPr>
            <w:r>
              <w:rPr>
                <w:color w:val="1C3A36"/>
                <w:sz w:val="15"/>
              </w:rPr>
              <w:t>28,317.2</w:t>
            </w:r>
          </w:p>
        </w:tc>
        <w:tc>
          <w:tcPr>
            <w:tcW w:type="dxa" w:w="2232"/>
          </w:tcPr>
          <w:p>
            <w:pPr>
              <w:spacing w:after="20"/>
            </w:pPr>
            <w:r>
              <w:rPr>
                <w:color w:val="1C3A36"/>
                <w:sz w:val="15"/>
              </w:rPr>
              <w:t>1,890.8</w:t>
            </w:r>
          </w:p>
        </w:tc>
        <w:tc>
          <w:tcPr>
            <w:tcW w:type="dxa" w:w="3528"/>
          </w:tcPr>
          <w:p>
            <w:pPr>
              <w:spacing w:after="20"/>
            </w:pPr>
            <w:r>
              <w:rPr>
                <w:color w:val="1C3A36"/>
                <w:sz w:val="15"/>
              </w:rPr>
              <w:t>GB_Corp_ER_4Q23_-_ER_-_FINAL.pdf</w:t>
            </w:r>
          </w:p>
        </w:tc>
        <w:tc>
          <w:tcPr>
            <w:tcW w:type="dxa" w:w="1224"/>
          </w:tcPr>
          <w:p>
            <w:pPr>
              <w:spacing w:after="20"/>
            </w:pPr>
            <w:r>
              <w:rPr>
                <w:color w:val="1C3A36"/>
                <w:sz w:val="15"/>
              </w:rPr>
              <w:t>2024-03-01</w:t>
            </w:r>
          </w:p>
        </w:tc>
        <w:tc>
          <w:tcPr>
            <w:tcW w:type="dxa" w:w="720"/>
          </w:tcPr>
          <w:p>
            <w:pPr>
              <w:spacing w:after="20"/>
            </w:pPr>
            <w:r>
              <w:rPr>
                <w:color w:val="1C3A36"/>
                <w:sz w:val="15"/>
              </w:rPr>
              <w:t>yes</w:t>
            </w:r>
          </w:p>
        </w:tc>
        <w:tc>
          <w:tcPr>
            <w:tcW w:type="dxa" w:w="3672"/>
          </w:tcPr>
          <w:p>
            <w:pPr>
              <w:spacing w:after="20"/>
            </w:pPr>
            <w:r>
              <w:rPr>
                <w:color w:val="1C3A36"/>
                <w:sz w:val="15"/>
              </w:rPr>
              <w:t>PDF text layer (pymupdf) of GB Corp's own 4Q earnings release, the figures AS ORIGINALLY REPORTED at that origin</w:t>
            </w:r>
          </w:p>
        </w:tc>
      </w:tr>
      <w:tr>
        <w:tc>
          <w:tcPr>
            <w:tcW w:type="dxa" w:w="1080"/>
          </w:tcPr>
          <w:p>
            <w:pPr>
              <w:spacing w:after="20"/>
            </w:pPr>
            <w:r>
              <w:rPr>
                <w:color w:val="1C3A36"/>
                <w:sz w:val="15"/>
              </w:rPr>
              <w:t>FY2024</w:t>
            </w:r>
          </w:p>
        </w:tc>
        <w:tc>
          <w:tcPr>
            <w:tcW w:type="dxa" w:w="1656"/>
          </w:tcPr>
          <w:p>
            <w:pPr>
              <w:spacing w:after="20"/>
            </w:pPr>
            <w:r>
              <w:rPr>
                <w:color w:val="1C3A36"/>
                <w:sz w:val="15"/>
              </w:rPr>
              <w:t>53,969.5</w:t>
            </w:r>
          </w:p>
        </w:tc>
        <w:tc>
          <w:tcPr>
            <w:tcW w:type="dxa" w:w="2232"/>
          </w:tcPr>
          <w:p>
            <w:pPr>
              <w:spacing w:after="20"/>
            </w:pPr>
            <w:r>
              <w:rPr>
                <w:color w:val="1C3A36"/>
                <w:sz w:val="15"/>
              </w:rPr>
              <w:t>2,928.1</w:t>
            </w:r>
          </w:p>
        </w:tc>
        <w:tc>
          <w:tcPr>
            <w:tcW w:type="dxa" w:w="3528"/>
          </w:tcPr>
          <w:p>
            <w:pPr>
              <w:spacing w:after="20"/>
            </w:pPr>
            <w:r>
              <w:rPr>
                <w:color w:val="1C3A36"/>
                <w:sz w:val="15"/>
              </w:rPr>
              <w:t>GB_Corp_ER_4Q24-_E_-_Final.pdf</w:t>
            </w:r>
          </w:p>
        </w:tc>
        <w:tc>
          <w:tcPr>
            <w:tcW w:type="dxa" w:w="1224"/>
          </w:tcPr>
          <w:p>
            <w:pPr>
              <w:spacing w:after="20"/>
            </w:pPr>
            <w:r>
              <w:rPr>
                <w:color w:val="1C3A36"/>
                <w:sz w:val="15"/>
              </w:rPr>
              <w:t>2025-02-01</w:t>
            </w:r>
          </w:p>
        </w:tc>
        <w:tc>
          <w:tcPr>
            <w:tcW w:type="dxa" w:w="720"/>
          </w:tcPr>
          <w:p>
            <w:pPr>
              <w:spacing w:after="20"/>
            </w:pPr>
            <w:r>
              <w:rPr>
                <w:color w:val="1C3A36"/>
                <w:sz w:val="15"/>
              </w:rPr>
              <w:t>yes</w:t>
            </w:r>
          </w:p>
        </w:tc>
        <w:tc>
          <w:tcPr>
            <w:tcW w:type="dxa" w:w="3672"/>
          </w:tcPr>
          <w:p>
            <w:pPr>
              <w:spacing w:after="20"/>
            </w:pPr>
            <w:r>
              <w:rPr>
                <w:color w:val="1C3A36"/>
                <w:sz w:val="15"/>
              </w:rPr>
              <w:t>PDF text layer (pymupdf) of GB Corp's own 4Q earnings release, the figures AS ORIGINALLY REPORTED at that origin</w:t>
            </w:r>
          </w:p>
        </w:tc>
      </w:tr>
      <w:tr>
        <w:tc>
          <w:tcPr>
            <w:tcW w:type="dxa" w:w="1080"/>
          </w:tcPr>
          <w:p>
            <w:pPr>
              <w:spacing w:after="20"/>
            </w:pPr>
            <w:r>
              <w:rPr>
                <w:color w:val="1C3A36"/>
                <w:sz w:val="15"/>
              </w:rPr>
              <w:t>FY2025</w:t>
            </w:r>
          </w:p>
        </w:tc>
        <w:tc>
          <w:tcPr>
            <w:tcW w:type="dxa" w:w="1656"/>
          </w:tcPr>
          <w:p>
            <w:pPr>
              <w:spacing w:after="20"/>
            </w:pPr>
            <w:r>
              <w:rPr>
                <w:color w:val="1C3A36"/>
                <w:sz w:val="15"/>
              </w:rPr>
              <w:t>80,229.8</w:t>
            </w:r>
          </w:p>
        </w:tc>
        <w:tc>
          <w:tcPr>
            <w:tcW w:type="dxa" w:w="2232"/>
          </w:tcPr>
          <w:p>
            <w:pPr>
              <w:spacing w:after="20"/>
            </w:pPr>
            <w:r>
              <w:rPr>
                <w:color w:val="1C3A36"/>
                <w:sz w:val="15"/>
              </w:rPr>
              <w:t>2,880.0</w:t>
            </w:r>
          </w:p>
        </w:tc>
        <w:tc>
          <w:tcPr>
            <w:tcW w:type="dxa" w:w="3528"/>
          </w:tcPr>
          <w:p>
            <w:pPr>
              <w:spacing w:after="20"/>
            </w:pPr>
            <w:r>
              <w:rPr>
                <w:color w:val="1C3A36"/>
                <w:sz w:val="15"/>
              </w:rPr>
              <w:t>GB_Corp_ER_4Q25-_E_-_Final.pdf</w:t>
            </w:r>
          </w:p>
        </w:tc>
        <w:tc>
          <w:tcPr>
            <w:tcW w:type="dxa" w:w="1224"/>
          </w:tcPr>
          <w:p>
            <w:pPr>
              <w:spacing w:after="20"/>
            </w:pPr>
            <w:r>
              <w:rPr>
                <w:color w:val="1C3A36"/>
                <w:sz w:val="15"/>
              </w:rPr>
              <w:t>2026-02-26</w:t>
            </w:r>
          </w:p>
        </w:tc>
        <w:tc>
          <w:tcPr>
            <w:tcW w:type="dxa" w:w="720"/>
          </w:tcPr>
          <w:p>
            <w:pPr>
              <w:spacing w:after="20"/>
            </w:pPr>
            <w:r>
              <w:rPr>
                <w:color w:val="1C3A36"/>
                <w:sz w:val="15"/>
              </w:rPr>
              <w:t>yes</w:t>
            </w:r>
          </w:p>
        </w:tc>
        <w:tc>
          <w:tcPr>
            <w:tcW w:type="dxa" w:w="3672"/>
          </w:tcPr>
          <w:p>
            <w:pPr>
              <w:spacing w:after="20"/>
            </w:pPr>
            <w:r>
              <w:rPr>
                <w:color w:val="1C3A36"/>
                <w:sz w:val="15"/>
              </w:rPr>
              <w:t>PDF text layer (pymupdf) of GB Corp's own 4Q earnings release, the figures AS ORIGINALLY REPORTED at that origin</w:t>
            </w:r>
          </w:p>
        </w:tc>
      </w:tr>
    </w:tbl>
    <w:p>
      <w:pPr>
        <w:spacing w:after="40"/>
      </w:pPr>
    </w:p>
    <w:p>
      <w:pPr>
        <w:spacing w:after="100" w:before="0"/>
      </w:pPr>
      <w:r>
        <w:rPr>
          <w:b w:val="0"/>
          <w:i w:val="0"/>
          <w:color w:val="1C3A36"/>
          <w:sz w:val="18"/>
        </w:rPr>
        <w:t>The panel behind the walk-forward runs from 2012-2025 and every year in it foots; the three printed above are the ones this study’s own statements table carries.</w:t>
      </w:r>
    </w:p>
    <w:p>
      <w:r>
        <w:br w:type="page"/>
      </w:r>
    </w:p>
    <w:p>
      <w:pPr>
        <w:spacing w:after="120" w:before="240"/>
      </w:pPr>
      <w:r>
        <w:rPr>
          <w:b/>
          <w:i w:val="0"/>
          <w:color w:val="1C3A36"/>
          <w:sz w:val="30"/>
        </w:rPr>
        <w:t>3  Judgements — and what would overturn each one</w:t>
      </w:r>
    </w:p>
    <w:p>
      <w:pPr>
        <w:spacing w:after="100" w:before="0"/>
      </w:pPr>
      <w:r>
        <w:rPr>
          <w:b w:val="0"/>
          <w:i w:val="0"/>
          <w:color w:val="1C3A36"/>
          <w:sz w:val="19"/>
        </w:rPr>
        <w:t>A judgement is a fork this study resolved one way and could defensibly have resolved the other. Each row states what was adopted, what the alternative was, what the alternative is worth, and which direction the study took. The last column is what would overturn the choice. Nothing here is an input to the valuation: it is a record OF the valuation.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4104"/>
        <w:gridCol w:w="4104"/>
        <w:gridCol w:w="864"/>
        <w:gridCol w:w="2952"/>
      </w:tblGrid>
      <w:tr>
        <w:tc>
          <w:tcPr>
            <w:tcW w:type="dxa" w:w="2088"/>
            <w:shd w:val="clear" w:color="auto" w:fill="EAF0EE"/>
          </w:tcPr>
          <w:p>
            <w:pPr>
              <w:spacing w:after="20"/>
            </w:pPr>
            <w:r>
              <w:rPr>
                <w:b/>
                <w:color w:val="1C3A36"/>
                <w:sz w:val="14"/>
              </w:rPr>
              <w:t>Judgement</w:t>
            </w:r>
          </w:p>
        </w:tc>
        <w:tc>
          <w:tcPr>
            <w:tcW w:type="dxa" w:w="4104"/>
            <w:shd w:val="clear" w:color="auto" w:fill="EAF0EE"/>
          </w:tcPr>
          <w:p>
            <w:pPr>
              <w:spacing w:after="20"/>
            </w:pPr>
            <w:r>
              <w:rPr>
                <w:b/>
                <w:color w:val="1C3A36"/>
                <w:sz w:val="14"/>
              </w:rPr>
              <w:t>Adopted</w:t>
            </w:r>
          </w:p>
        </w:tc>
        <w:tc>
          <w:tcPr>
            <w:tcW w:type="dxa" w:w="4104"/>
            <w:shd w:val="clear" w:color="auto" w:fill="EAF0EE"/>
          </w:tcPr>
          <w:p>
            <w:pPr>
              <w:spacing w:after="20"/>
            </w:pPr>
            <w:r>
              <w:rPr>
                <w:b/>
                <w:color w:val="1C3A36"/>
                <w:sz w:val="14"/>
              </w:rPr>
              <w:t>The alternative</w:t>
            </w:r>
          </w:p>
        </w:tc>
        <w:tc>
          <w:tcPr>
            <w:tcW w:type="dxa" w:w="864"/>
            <w:shd w:val="clear" w:color="auto" w:fill="EAF0EE"/>
          </w:tcPr>
          <w:p>
            <w:pPr>
              <w:spacing w:after="20"/>
            </w:pPr>
            <w:r>
              <w:rPr>
                <w:b/>
                <w:color w:val="1C3A36"/>
                <w:sz w:val="14"/>
              </w:rPr>
              <w:t>Worth</w:t>
            </w:r>
          </w:p>
        </w:tc>
        <w:tc>
          <w:tcPr>
            <w:tcW w:type="dxa" w:w="2952"/>
            <w:shd w:val="clear" w:color="auto" w:fill="EAF0EE"/>
          </w:tcPr>
          <w:p>
            <w:pPr>
              <w:spacing w:after="20"/>
            </w:pPr>
            <w:r>
              <w:rPr>
                <w:b/>
                <w:color w:val="1C3A36"/>
                <w:sz w:val="14"/>
              </w:rPr>
              <w:t>Direction taken</w:t>
            </w:r>
          </w:p>
        </w:tc>
      </w:tr>
      <w:tr>
        <w:tc>
          <w:tcPr>
            <w:tcW w:type="dxa" w:w="2088"/>
          </w:tcPr>
          <w:p>
            <w:pPr>
              <w:spacing w:after="20"/>
            </w:pPr>
            <w:r>
              <w:rPr>
                <w:color w:val="1C3A36"/>
                <w:sz w:val="14"/>
              </w:rPr>
              <w:t>working-capital intensity</w:t>
            </w:r>
          </w:p>
        </w:tc>
        <w:tc>
          <w:tcPr>
            <w:tcW w:type="dxa" w:w="4104"/>
          </w:tcPr>
          <w:p>
            <w:pPr>
              <w:spacing w:after="20"/>
            </w:pPr>
            <w:r>
              <w:rPr>
                <w:color w:val="1C3A36"/>
                <w:sz w:val="14"/>
              </w:rPr>
              <w:t>gliding from 26.5% of Auto revenue in the first forecast year to 21.5% by the last, as payables re-extend and the pre-build unwinds</w:t>
            </w:r>
          </w:p>
        </w:tc>
        <w:tc>
          <w:tcPr>
            <w:tcW w:type="dxa" w:w="4104"/>
          </w:tcPr>
          <w:p>
            <w:pPr>
              <w:spacing w:after="20"/>
            </w:pPr>
            <w:r>
              <w:rPr>
                <w:color w:val="1C3A36"/>
                <w:sz w:val="14"/>
              </w:rPr>
              <w:t>the first forecast year held flat across the window — no credit taken for the release</w:t>
            </w:r>
          </w:p>
        </w:tc>
        <w:tc>
          <w:tcPr>
            <w:tcW w:type="dxa" w:w="864"/>
          </w:tcPr>
          <w:p>
            <w:pPr>
              <w:spacing w:after="20"/>
            </w:pPr>
            <w:r>
              <w:rPr>
                <w:color w:val="1C3A36"/>
                <w:sz w:val="14"/>
              </w:rPr>
              <w:t>64.5%</w:t>
            </w:r>
          </w:p>
        </w:tc>
        <w:tc>
          <w:tcPr>
            <w:tcW w:type="dxa" w:w="2952"/>
          </w:tcPr>
          <w:p>
            <w:pPr>
              <w:spacing w:after="20"/>
            </w:pPr>
            <w:r>
              <w:rPr>
                <w:color w:val="1C3A36"/>
                <w:sz w:val="14"/>
              </w:rPr>
              <w:t>the study took the higher value</w:t>
            </w:r>
          </w:p>
        </w:tc>
      </w:tr>
      <w:tr>
        <w:tc>
          <w:tcPr>
            <w:tcW w:type="dxa" w:w="2088"/>
          </w:tcPr>
          <w:p>
            <w:pPr>
              <w:spacing w:after="20"/>
            </w:pPr>
            <w:r>
              <w:rPr>
                <w:color w:val="1C3A36"/>
                <w:sz w:val="14"/>
              </w:rPr>
              <w:t>the equity risk premium basis</w:t>
            </w:r>
          </w:p>
        </w:tc>
        <w:tc>
          <w:tcPr>
            <w:tcW w:type="dxa" w:w="4104"/>
          </w:tcPr>
          <w:p>
            <w:pPr>
              <w:spacing w:after="20"/>
            </w:pPr>
            <w:r>
              <w:rPr>
                <w:color w:val="1C3A36"/>
                <w:sz w:val="14"/>
              </w:rPr>
              <w:t>the market (credit-default-swap) basis, giving a first-year weighted cost of capital of 22.88%</w:t>
            </w:r>
          </w:p>
        </w:tc>
        <w:tc>
          <w:tcPr>
            <w:tcW w:type="dxa" w:w="4104"/>
          </w:tcPr>
          <w:p>
            <w:pPr>
              <w:spacing w:after="20"/>
            </w:pPr>
            <w:r>
              <w:rPr>
                <w:color w:val="1C3A36"/>
                <w:sz w:val="14"/>
              </w:rPr>
              <w:t>the credit-rating basis, giving 23.33%</w:t>
            </w:r>
          </w:p>
        </w:tc>
        <w:tc>
          <w:tcPr>
            <w:tcW w:type="dxa" w:w="864"/>
          </w:tcPr>
          <w:p>
            <w:pPr>
              <w:spacing w:after="20"/>
            </w:pPr>
            <w:r>
              <w:rPr>
                <w:color w:val="1C3A36"/>
                <w:sz w:val="14"/>
              </w:rPr>
              <w:t>6.8%</w:t>
            </w:r>
          </w:p>
        </w:tc>
        <w:tc>
          <w:tcPr>
            <w:tcW w:type="dxa" w:w="2952"/>
          </w:tcPr>
          <w:p>
            <w:pPr>
              <w:spacing w:after="20"/>
            </w:pPr>
            <w:r>
              <w:rPr>
                <w:color w:val="1C3A36"/>
                <w:sz w:val="14"/>
              </w:rPr>
              <w:t>the study took the higher value</w:t>
            </w:r>
          </w:p>
        </w:tc>
      </w:tr>
      <w:tr>
        <w:tc>
          <w:tcPr>
            <w:tcW w:type="dxa" w:w="2088"/>
          </w:tcPr>
          <w:p>
            <w:pPr>
              <w:spacing w:after="20"/>
            </w:pPr>
            <w:r>
              <w:rPr>
                <w:color w:val="1C3A36"/>
                <w:sz w:val="14"/>
              </w:rPr>
              <w:t>the equity beta</w:t>
            </w:r>
          </w:p>
        </w:tc>
        <w:tc>
          <w:tcPr>
            <w:tcW w:type="dxa" w:w="4104"/>
          </w:tcPr>
          <w:p>
            <w:pPr>
              <w:spacing w:after="20"/>
            </w:pPr>
            <w:r>
              <w:rPr>
                <w:color w:val="1C3A36"/>
                <w:sz w:val="14"/>
              </w:rPr>
              <w:t>0.8907, the conforming weekly regression against the exchange's published index, committed in this directory</w:t>
            </w:r>
          </w:p>
        </w:tc>
        <w:tc>
          <w:tcPr>
            <w:tcW w:type="dxa" w:w="4104"/>
          </w:tcPr>
          <w:p>
            <w:pPr>
              <w:spacing w:after="20"/>
            </w:pPr>
            <w:r>
              <w:rPr>
                <w:color w:val="1C3A36"/>
                <w:sz w:val="14"/>
              </w:rPr>
              <w:t>1.00, the house default this study carried before the beta was re-derived, after an attempted five-annual-observation regression returned a negative slope with no explanatory power</w:t>
            </w:r>
          </w:p>
        </w:tc>
        <w:tc>
          <w:tcPr>
            <w:tcW w:type="dxa" w:w="864"/>
          </w:tcPr>
          <w:p>
            <w:pPr>
              <w:spacing w:after="20"/>
            </w:pPr>
            <w:r>
              <w:rPr>
                <w:color w:val="1C3A36"/>
                <w:sz w:val="14"/>
              </w:rPr>
              <w:t>6.5%</w:t>
            </w:r>
          </w:p>
        </w:tc>
        <w:tc>
          <w:tcPr>
            <w:tcW w:type="dxa" w:w="2952"/>
          </w:tcPr>
          <w:p>
            <w:pPr>
              <w:spacing w:after="20"/>
            </w:pPr>
            <w:r>
              <w:rPr>
                <w:color w:val="1C3A36"/>
                <w:sz w:val="14"/>
              </w:rPr>
              <w:t>the study took the higher value</w:t>
            </w:r>
          </w:p>
        </w:tc>
      </w:tr>
      <w:tr>
        <w:tc>
          <w:tcPr>
            <w:tcW w:type="dxa" w:w="2088"/>
          </w:tcPr>
          <w:p>
            <w:pPr>
              <w:spacing w:after="20"/>
            </w:pPr>
            <w:r>
              <w:rPr>
                <w:color w:val="1C3A36"/>
                <w:sz w:val="14"/>
              </w:rPr>
              <w:t>the return anchoring GB Capital's justified price-to-book</w:t>
            </w:r>
          </w:p>
        </w:tc>
        <w:tc>
          <w:tcPr>
            <w:tcW w:type="dxa" w:w="4104"/>
          </w:tcPr>
          <w:p>
            <w:pPr>
              <w:spacing w:after="20"/>
            </w:pPr>
            <w:r>
              <w:rPr>
                <w:color w:val="1C3A36"/>
                <w:sz w:val="14"/>
              </w:rPr>
              <w:t>the 1H2026 REVIEWED return on the segment's operating equity, 10.10%, annualised on the average of the two committed period-end bases</w:t>
            </w:r>
          </w:p>
        </w:tc>
        <w:tc>
          <w:tcPr>
            <w:tcW w:type="dxa" w:w="4104"/>
          </w:tcPr>
          <w:p>
            <w:pPr>
              <w:spacing w:after="20"/>
            </w:pPr>
            <w:r>
              <w:rPr>
                <w:color w:val="1C3A36"/>
                <w:sz w:val="14"/>
              </w:rPr>
              <w:t>the FY2025 full-year return on the same base, 14.71%</w:t>
            </w:r>
          </w:p>
        </w:tc>
        <w:tc>
          <w:tcPr>
            <w:tcW w:type="dxa" w:w="864"/>
          </w:tcPr>
          <w:p>
            <w:pPr>
              <w:spacing w:after="20"/>
            </w:pPr>
            <w:r>
              <w:rPr>
                <w:color w:val="1C3A36"/>
                <w:sz w:val="14"/>
              </w:rPr>
              <w:t>5.2%</w:t>
            </w:r>
          </w:p>
        </w:tc>
        <w:tc>
          <w:tcPr>
            <w:tcW w:type="dxa" w:w="2952"/>
          </w:tcPr>
          <w:p>
            <w:pPr>
              <w:spacing w:after="20"/>
            </w:pPr>
            <w:r>
              <w:rPr>
                <w:color w:val="1C3A36"/>
                <w:sz w:val="14"/>
              </w:rPr>
              <w:t>the study took the lower value</w:t>
            </w:r>
          </w:p>
        </w:tc>
      </w:tr>
      <w:tr>
        <w:tc>
          <w:tcPr>
            <w:tcW w:type="dxa" w:w="2088"/>
          </w:tcPr>
          <w:p>
            <w:pPr>
              <w:spacing w:after="20"/>
            </w:pPr>
            <w:r>
              <w:rPr>
                <w:color w:val="1C3A36"/>
                <w:sz w:val="14"/>
              </w:rPr>
              <w:t>the discount rate inside GB Capital's justified price-to-book</w:t>
            </w:r>
          </w:p>
        </w:tc>
        <w:tc>
          <w:tcPr>
            <w:tcW w:type="dxa" w:w="4104"/>
          </w:tcPr>
          <w:p>
            <w:pPr>
              <w:spacing w:after="20"/>
            </w:pPr>
            <w:r>
              <w:rPr>
                <w:color w:val="1C3A36"/>
                <w:sz w:val="14"/>
              </w:rPr>
              <w:t>the TERMINAL cost of equity from the sanctioned schedule, 18.73%</w:t>
            </w:r>
          </w:p>
        </w:tc>
        <w:tc>
          <w:tcPr>
            <w:tcW w:type="dxa" w:w="4104"/>
          </w:tcPr>
          <w:p>
            <w:pPr>
              <w:spacing w:after="20"/>
            </w:pPr>
            <w:r>
              <w:rPr>
                <w:color w:val="1C3A36"/>
                <w:sz w:val="14"/>
              </w:rPr>
              <w:t>the explicit-window cost of equity, 27.97%</w:t>
            </w:r>
          </w:p>
        </w:tc>
        <w:tc>
          <w:tcPr>
            <w:tcW w:type="dxa" w:w="864"/>
          </w:tcPr>
          <w:p>
            <w:pPr>
              <w:spacing w:after="20"/>
            </w:pPr>
            <w:r>
              <w:rPr>
                <w:color w:val="1C3A36"/>
                <w:sz w:val="14"/>
              </w:rPr>
              <w:t>1.7%</w:t>
            </w:r>
          </w:p>
        </w:tc>
        <w:tc>
          <w:tcPr>
            <w:tcW w:type="dxa" w:w="2952"/>
          </w:tcPr>
          <w:p>
            <w:pPr>
              <w:spacing w:after="20"/>
            </w:pPr>
            <w:r>
              <w:rPr>
                <w:color w:val="1C3A36"/>
                <w:sz w:val="14"/>
              </w:rPr>
              <w:t>the study took the higher value</w:t>
            </w:r>
          </w:p>
        </w:tc>
      </w:tr>
      <w:tr>
        <w:tc>
          <w:tcPr>
            <w:tcW w:type="dxa" w:w="2088"/>
          </w:tcPr>
          <w:p>
            <w:pPr>
              <w:spacing w:after="20"/>
            </w:pPr>
            <w:r>
              <w:rPr>
                <w:color w:val="1C3A36"/>
                <w:sz w:val="14"/>
              </w:rPr>
              <w:t>the Auto gross-margin path</w:t>
            </w:r>
          </w:p>
        </w:tc>
        <w:tc>
          <w:tcPr>
            <w:tcW w:type="dxa" w:w="4104"/>
          </w:tcPr>
          <w:p>
            <w:pPr>
              <w:spacing w:after="20"/>
            </w:pPr>
            <w:r>
              <w:rPr>
                <w:color w:val="1C3A36"/>
                <w:sz w:val="14"/>
              </w:rPr>
              <w:t>a path opening at 13.8% and rising to 14.5%</w:t>
            </w:r>
          </w:p>
        </w:tc>
        <w:tc>
          <w:tcPr>
            <w:tcW w:type="dxa" w:w="4104"/>
          </w:tcPr>
          <w:p>
            <w:pPr>
              <w:spacing w:after="20"/>
            </w:pPr>
            <w:r>
              <w:rPr>
                <w:color w:val="1C3A36"/>
                <w:sz w:val="14"/>
              </w:rPr>
              <w:t>the latest reviewed half held flat across the window at 14.30% — the near-term reviewed actual outranking a forecast path</w:t>
            </w:r>
          </w:p>
        </w:tc>
        <w:tc>
          <w:tcPr>
            <w:tcW w:type="dxa" w:w="864"/>
          </w:tcPr>
          <w:p>
            <w:pPr>
              <w:spacing w:after="20"/>
            </w:pPr>
            <w:r>
              <w:rPr>
                <w:color w:val="1C3A36"/>
                <w:sz w:val="14"/>
              </w:rPr>
              <w:t>3.2%</w:t>
            </w:r>
          </w:p>
        </w:tc>
        <w:tc>
          <w:tcPr>
            <w:tcW w:type="dxa" w:w="2952"/>
          </w:tcPr>
          <w:p>
            <w:pPr>
              <w:spacing w:after="20"/>
            </w:pPr>
            <w:r>
              <w:rPr>
                <w:color w:val="1C3A36"/>
                <w:sz w:val="14"/>
              </w:rPr>
              <w:t>the study took the higher value</w:t>
            </w:r>
          </w:p>
        </w:tc>
      </w:tr>
      <w:tr>
        <w:tc>
          <w:tcPr>
            <w:tcW w:type="dxa" w:w="2088"/>
          </w:tcPr>
          <w:p>
            <w:pPr>
              <w:spacing w:after="20"/>
            </w:pPr>
            <w:r>
              <w:rPr>
                <w:color w:val="1C3A36"/>
                <w:sz w:val="14"/>
              </w:rPr>
              <w:t>the ownership percentage applied to the round</w:t>
            </w:r>
          </w:p>
        </w:tc>
        <w:tc>
          <w:tcPr>
            <w:tcW w:type="dxa" w:w="4104"/>
          </w:tcPr>
          <w:p>
            <w:pPr>
              <w:spacing w:after="20"/>
            </w:pPr>
            <w:r>
              <w:rPr>
                <w:color w:val="1C3A36"/>
                <w:sz w:val="14"/>
              </w:rPr>
              <w:t>41.61%, GB Corp's own press release of 9 June 2026 on the transaction the round price comes from</w:t>
            </w:r>
          </w:p>
        </w:tc>
        <w:tc>
          <w:tcPr>
            <w:tcW w:type="dxa" w:w="4104"/>
          </w:tcPr>
          <w:p>
            <w:pPr>
              <w:spacing w:after="20"/>
            </w:pPr>
            <w:r>
              <w:rPr>
                <w:color w:val="1C3A36"/>
                <w:sz w:val="14"/>
              </w:rPr>
              <w:t>42.93%, the figure note 34 to the reviewed 30-June-2026 statements and the review report both give for the same transaction — most likely a different level of the structure, the Dutch holding vehicle rather than the operating group</w:t>
            </w:r>
          </w:p>
        </w:tc>
        <w:tc>
          <w:tcPr>
            <w:tcW w:type="dxa" w:w="864"/>
          </w:tcPr>
          <w:p>
            <w:pPr>
              <w:spacing w:after="20"/>
            </w:pPr>
            <w:r>
              <w:rPr>
                <w:color w:val="1C3A36"/>
                <w:sz w:val="14"/>
              </w:rPr>
              <w:t>1.5%</w:t>
            </w:r>
          </w:p>
        </w:tc>
        <w:tc>
          <w:tcPr>
            <w:tcW w:type="dxa" w:w="2952"/>
          </w:tcPr>
          <w:p>
            <w:pPr>
              <w:spacing w:after="20"/>
            </w:pPr>
            <w:r>
              <w:rPr>
                <w:color w:val="1C3A36"/>
                <w:sz w:val="14"/>
              </w:rPr>
              <w:t>the study took the lower value</w:t>
            </w:r>
          </w:p>
        </w:tc>
      </w:tr>
    </w:tbl>
    <w:p>
      <w:pPr>
        <w:spacing w:after="40"/>
      </w:pPr>
    </w:p>
    <w:p>
      <w:pPr>
        <w:spacing w:after="80" w:before="200"/>
      </w:pPr>
      <w:r>
        <w:rPr>
          <w:b/>
          <w:i w:val="0"/>
          <w:color w:val="1C3A36"/>
          <w:sz w:val="23"/>
        </w:rPr>
        <w:t>The judgement this study does NOT resolve — and why it is not in the table above</w:t>
      </w:r>
    </w:p>
    <w:p>
      <w:pPr>
        <w:spacing w:after="100" w:before="0"/>
      </w:pPr>
      <w:r>
        <w:rPr>
          <w:b w:val="0"/>
          <w:i w:val="0"/>
          <w:color w:val="1C3A36"/>
          <w:sz w:val="19"/>
        </w:rPr>
        <w:t>One fork dominates every other and the study does not take a side on it: the basis on which GB Corp’s interest in MNT-Halan is carried. Both values below are the company’s own disclosures about one holding, and the filings do not choose between them. A sign test measures WHICH WAY a study resolved its forks, so recording an unresolved one in it would manufacture a count in whichever direction the two happened to sit; it is recorded here in full instead.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224"/>
        <w:gridCol w:w="1224"/>
        <w:gridCol w:w="3744"/>
        <w:gridCol w:w="5544"/>
      </w:tblGrid>
      <w:tr>
        <w:tc>
          <w:tcPr>
            <w:tcW w:type="dxa" w:w="2232"/>
            <w:shd w:val="clear" w:color="auto" w:fill="EAF0EE"/>
          </w:tcPr>
          <w:p>
            <w:pPr>
              <w:spacing w:after="20"/>
            </w:pPr>
            <w:r>
              <w:rPr>
                <w:b/>
                <w:color w:val="1C3A36"/>
                <w:sz w:val="14"/>
              </w:rPr>
              <w:t>Basis</w:t>
            </w:r>
          </w:p>
        </w:tc>
        <w:tc>
          <w:tcPr>
            <w:tcW w:type="dxa" w:w="1224"/>
            <w:shd w:val="clear" w:color="auto" w:fill="EAF0EE"/>
          </w:tcPr>
          <w:p>
            <w:pPr>
              <w:spacing w:after="20"/>
            </w:pPr>
            <w:r>
              <w:rPr>
                <w:b/>
                <w:color w:val="1C3A36"/>
                <w:sz w:val="14"/>
              </w:rPr>
              <w:t>The mark (EGP mn)</w:t>
            </w:r>
          </w:p>
        </w:tc>
        <w:tc>
          <w:tcPr>
            <w:tcW w:type="dxa" w:w="1224"/>
            <w:shd w:val="clear" w:color="auto" w:fill="EAF0EE"/>
          </w:tcPr>
          <w:p>
            <w:pPr>
              <w:spacing w:after="20"/>
            </w:pPr>
            <w:r>
              <w:rPr>
                <w:b/>
                <w:color w:val="1C3A36"/>
                <w:sz w:val="14"/>
              </w:rPr>
              <w:t>Answer (EGP/share)</w:t>
            </w:r>
          </w:p>
        </w:tc>
        <w:tc>
          <w:tcPr>
            <w:tcW w:type="dxa" w:w="3744"/>
            <w:shd w:val="clear" w:color="auto" w:fill="EAF0EE"/>
          </w:tcPr>
          <w:p>
            <w:pPr>
              <w:spacing w:after="20"/>
            </w:pPr>
            <w:r>
              <w:rPr>
                <w:b/>
                <w:color w:val="1C3A36"/>
                <w:sz w:val="14"/>
              </w:rPr>
              <w:t>What it is</w:t>
            </w:r>
          </w:p>
        </w:tc>
        <w:tc>
          <w:tcPr>
            <w:tcW w:type="dxa" w:w="5544"/>
            <w:shd w:val="clear" w:color="auto" w:fill="EAF0EE"/>
          </w:tcPr>
          <w:p>
            <w:pPr>
              <w:spacing w:after="20"/>
            </w:pPr>
            <w:r>
              <w:rPr>
                <w:b/>
                <w:color w:val="1C3A36"/>
                <w:sz w:val="14"/>
              </w:rPr>
              <w:t>What is said against it</w:t>
            </w:r>
          </w:p>
        </w:tc>
      </w:tr>
      <w:tr>
        <w:tc>
          <w:tcPr>
            <w:tcW w:type="dxa" w:w="2232"/>
          </w:tcPr>
          <w:p>
            <w:pPr>
              <w:spacing w:after="20"/>
            </w:pPr>
            <w:r>
              <w:rPr>
                <w:color w:val="1C3A36"/>
                <w:sz w:val="14"/>
              </w:rPr>
              <w:t>MNT-Halan at the June-2026 round price</w:t>
            </w:r>
          </w:p>
        </w:tc>
        <w:tc>
          <w:tcPr>
            <w:tcW w:type="dxa" w:w="1224"/>
          </w:tcPr>
          <w:p>
            <w:pPr>
              <w:spacing w:after="20"/>
            </w:pPr>
            <w:r>
              <w:rPr>
                <w:color w:val="1C3A36"/>
                <w:sz w:val="14"/>
              </w:rPr>
              <w:t>27,670.7</w:t>
            </w:r>
          </w:p>
        </w:tc>
        <w:tc>
          <w:tcPr>
            <w:tcW w:type="dxa" w:w="1224"/>
          </w:tcPr>
          <w:p>
            <w:pPr>
              <w:spacing w:after="20"/>
            </w:pPr>
            <w:r>
              <w:rPr>
                <w:color w:val="1C3A36"/>
                <w:sz w:val="14"/>
              </w:rPr>
              <w:t>52.3453</w:t>
            </w:r>
          </w:p>
        </w:tc>
        <w:tc>
          <w:tcPr>
            <w:tcW w:type="dxa" w:w="3744"/>
          </w:tcPr>
          <w:p>
            <w:pPr>
              <w:spacing w:after="20"/>
            </w:pPr>
            <w:r>
              <w:rPr>
                <w:color w:val="1C3A36"/>
                <w:sz w:val="14"/>
              </w:rPr>
              <w:t>41.61% of the USD 1.4bn primary round completed with Al Ahly Capital Holding, translated at EGP 47.5</w:t>
            </w:r>
          </w:p>
        </w:tc>
        <w:tc>
          <w:tcPr>
            <w:tcW w:type="dxa" w:w="5544"/>
          </w:tcPr>
          <w:p>
            <w:pPr>
              <w:spacing w:after="20"/>
            </w:pPr>
            <w:r>
              <w:rPr>
                <w:color w:val="1C3A36"/>
                <w:sz w:val="14"/>
              </w:rPr>
              <w:t>a primary round's headline valuation prices NEW money with whatever preferences ride with it, and GB Corp holds an ordinary equity-accounted minority in an unlisted company. It is a mark, not a realisable price.</w:t>
            </w:r>
          </w:p>
        </w:tc>
      </w:tr>
      <w:tr>
        <w:tc>
          <w:tcPr>
            <w:tcW w:type="dxa" w:w="2232"/>
          </w:tcPr>
          <w:p>
            <w:pPr>
              <w:spacing w:after="20"/>
            </w:pPr>
            <w:r>
              <w:rPr>
                <w:color w:val="1C3A36"/>
                <w:sz w:val="14"/>
              </w:rPr>
              <w:t>MNT-Halan at its reviewed carrying value</w:t>
            </w:r>
          </w:p>
        </w:tc>
        <w:tc>
          <w:tcPr>
            <w:tcW w:type="dxa" w:w="1224"/>
          </w:tcPr>
          <w:p>
            <w:pPr>
              <w:spacing w:after="20"/>
            </w:pPr>
            <w:r>
              <w:rPr>
                <w:color w:val="1C3A36"/>
                <w:sz w:val="14"/>
              </w:rPr>
              <w:t>15,733.5</w:t>
            </w:r>
          </w:p>
        </w:tc>
        <w:tc>
          <w:tcPr>
            <w:tcW w:type="dxa" w:w="1224"/>
          </w:tcPr>
          <w:p>
            <w:pPr>
              <w:spacing w:after="20"/>
            </w:pPr>
            <w:r>
              <w:rPr>
                <w:color w:val="1C3A36"/>
                <w:sz w:val="14"/>
              </w:rPr>
              <w:t>41.3484</w:t>
            </w:r>
          </w:p>
        </w:tc>
        <w:tc>
          <w:tcPr>
            <w:tcW w:type="dxa" w:w="3744"/>
          </w:tcPr>
          <w:p>
            <w:pPr>
              <w:spacing w:after="20"/>
            </w:pPr>
            <w:r>
              <w:rPr>
                <w:color w:val="1C3A36"/>
                <w:sz w:val="14"/>
              </w:rPr>
              <w:t>note 34 to the reviewed consolidated interim statements at 30 June 2026, EGP 15,733,523 thousand, footing to that balance sheet's own associates line</w:t>
            </w:r>
          </w:p>
        </w:tc>
        <w:tc>
          <w:tcPr>
            <w:tcW w:type="dxa" w:w="5544"/>
          </w:tcPr>
          <w:p>
            <w:pPr>
              <w:spacing w:after="20"/>
            </w:pPr>
            <w:r>
              <w:rPr>
                <w:color w:val="1C3A36"/>
                <w:sz w:val="14"/>
              </w:rPr>
              <w:t>it is an ACCOUNTING measure — cost plus accumulated share of profit plus the revaluation on deconsolidation — and book is a floor rather than a value. AND IT IS ITSELF QUALIFIED: the review conclusion on these statements is qualified precisely here, the reviewers not having been given the associate's own financial statements and being unable to verify the group's EGP 409.9mn share of profit for the period.</w:t>
            </w:r>
          </w:p>
        </w:tc>
      </w:tr>
    </w:tbl>
    <w:p>
      <w:pPr>
        <w:spacing w:after="40"/>
      </w:pPr>
    </w:p>
    <w:p>
      <w:pPr>
        <w:spacing w:after="100" w:before="0"/>
      </w:pPr>
      <w:r>
        <w:rPr>
          <w:b w:val="0"/>
          <w:i w:val="0"/>
          <w:color w:val="1C3A36"/>
          <w:sz w:val="19"/>
        </w:rPr>
        <w:t>The spread between them is EGP 11,937.1 mn, 21.0% of the higher answer. Averaging the two would be a number neither disclosure supports, and a discount standing in for the uncertainty would be a parameter with nothing observable behind it. The uncertainty is in this line and it is published as this line.</w:t>
      </w:r>
    </w:p>
    <w:p>
      <w:pPr>
        <w:spacing w:after="80" w:before="200"/>
      </w:pPr>
      <w:r>
        <w:rPr>
          <w:b/>
          <w:i w:val="0"/>
          <w:color w:val="1C3A36"/>
          <w:sz w:val="23"/>
        </w:rPr>
        <w:t>Named and deliberately NOT priced</w:t>
      </w:r>
    </w:p>
    <w:p>
      <w:pPr>
        <w:spacing w:after="100" w:before="0"/>
      </w:pPr>
      <w:r>
        <w:rPr>
          <w:b w:val="0"/>
          <w:i w:val="0"/>
          <w:color w:val="1C3A36"/>
          <w:sz w:val="19"/>
        </w:rPr>
        <w:t>Three things bear on the answer and carry no number in it. Each is named with the reason a number was not invented for it, because an absence a reader cannot see is the same as an absence nobody noticed.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3744"/>
        <w:gridCol w:w="4752"/>
        <w:gridCol w:w="2952"/>
      </w:tblGrid>
      <w:tr>
        <w:tc>
          <w:tcPr>
            <w:tcW w:type="dxa" w:w="2520"/>
            <w:shd w:val="clear" w:color="auto" w:fill="EAF0EE"/>
          </w:tcPr>
          <w:p>
            <w:pPr>
              <w:spacing w:after="20"/>
            </w:pPr>
            <w:r>
              <w:rPr>
                <w:b/>
                <w:color w:val="1C3A36"/>
                <w:sz w:val="14"/>
              </w:rPr>
              <w:t>What</w:t>
            </w:r>
          </w:p>
        </w:tc>
        <w:tc>
          <w:tcPr>
            <w:tcW w:type="dxa" w:w="3744"/>
            <w:shd w:val="clear" w:color="auto" w:fill="EAF0EE"/>
          </w:tcPr>
          <w:p>
            <w:pPr>
              <w:spacing w:after="20"/>
            </w:pPr>
            <w:r>
              <w:rPr>
                <w:b/>
                <w:color w:val="1C3A36"/>
                <w:sz w:val="14"/>
              </w:rPr>
              <w:t>What it is</w:t>
            </w:r>
          </w:p>
        </w:tc>
        <w:tc>
          <w:tcPr>
            <w:tcW w:type="dxa" w:w="4752"/>
            <w:shd w:val="clear" w:color="auto" w:fill="EAF0EE"/>
          </w:tcPr>
          <w:p>
            <w:pPr>
              <w:spacing w:after="20"/>
            </w:pPr>
            <w:r>
              <w:rPr>
                <w:b/>
                <w:color w:val="1C3A36"/>
                <w:sz w:val="14"/>
              </w:rPr>
              <w:t>Why it carries no number</w:t>
            </w:r>
          </w:p>
        </w:tc>
        <w:tc>
          <w:tcPr>
            <w:tcW w:type="dxa" w:w="2952"/>
            <w:shd w:val="clear" w:color="auto" w:fill="EAF0EE"/>
          </w:tcPr>
          <w:p>
            <w:pPr>
              <w:spacing w:after="20"/>
            </w:pPr>
            <w:r>
              <w:rPr>
                <w:b/>
                <w:color w:val="1C3A36"/>
                <w:sz w:val="14"/>
              </w:rPr>
              <w:t>Direction if it were priced</w:t>
            </w:r>
          </w:p>
        </w:tc>
      </w:tr>
      <w:tr>
        <w:tc>
          <w:tcPr>
            <w:tcW w:type="dxa" w:w="2520"/>
          </w:tcPr>
          <w:p>
            <w:pPr>
              <w:spacing w:after="20"/>
            </w:pPr>
            <w:r>
              <w:rPr>
                <w:color w:val="1C3A36"/>
                <w:sz w:val="14"/>
              </w:rPr>
              <w:t>the second closing of the MNT-Halan round</w:t>
            </w:r>
          </w:p>
        </w:tc>
        <w:tc>
          <w:tcPr>
            <w:tcW w:type="dxa" w:w="3744"/>
          </w:tcPr>
          <w:p>
            <w:pPr>
              <w:spacing w:after="20"/>
            </w:pPr>
            <w:r>
              <w:rPr>
                <w:color w:val="1C3A36"/>
                <w:sz w:val="14"/>
              </w:rPr>
              <w:t>public reporting describes the June-2026 close as an initial tranche of an ongoing round, with a second closing open</w:t>
            </w:r>
          </w:p>
        </w:tc>
        <w:tc>
          <w:tcPr>
            <w:tcW w:type="dxa" w:w="4752"/>
          </w:tcPr>
          <w:p>
            <w:pPr>
              <w:spacing w:after="20"/>
            </w:pPr>
            <w:r>
              <w:rPr>
                <w:color w:val="1C3A36"/>
                <w:sz w:val="14"/>
              </w:rPr>
              <w:t>size and terms are undisclosed, so neither framing has a number behind it. this house’s rule on missing inputs: stop rather than invent.</w:t>
            </w:r>
          </w:p>
        </w:tc>
        <w:tc>
          <w:tcPr>
            <w:tcW w:type="dxa" w:w="2952"/>
          </w:tcPr>
          <w:p>
            <w:pPr>
              <w:spacing w:after="20"/>
            </w:pPr>
            <w:r>
              <w:rPr>
                <w:color w:val="1C3A36"/>
                <w:sz w:val="14"/>
              </w:rPr>
              <w:t>unknown — a second close could reprice the round either way</w:t>
            </w:r>
          </w:p>
        </w:tc>
      </w:tr>
      <w:tr>
        <w:tc>
          <w:tcPr>
            <w:tcW w:type="dxa" w:w="2520"/>
          </w:tcPr>
          <w:p>
            <w:pPr>
              <w:spacing w:after="20"/>
            </w:pPr>
            <w:r>
              <w:rPr>
                <w:color w:val="1C3A36"/>
                <w:sz w:val="14"/>
              </w:rPr>
              <w:t>the currency the dollar round is translated at</w:t>
            </w:r>
          </w:p>
        </w:tc>
        <w:tc>
          <w:tcPr>
            <w:tcW w:type="dxa" w:w="3744"/>
          </w:tcPr>
          <w:p>
            <w:pPr>
              <w:spacing w:after="20"/>
            </w:pPr>
            <w:r>
              <w:rPr>
                <w:color w:val="1C3A36"/>
                <w:sz w:val="14"/>
              </w:rPr>
              <w:t>the round is translated at the house macro path's own EGP/USD 47.5, the rate at the strike</w:t>
            </w:r>
          </w:p>
        </w:tc>
        <w:tc>
          <w:tcPr>
            <w:tcW w:type="dxa" w:w="4752"/>
          </w:tcPr>
          <w:p>
            <w:pPr>
              <w:spacing w:after="20"/>
            </w:pPr>
            <w:r>
              <w:rPr>
                <w:color w:val="1C3A36"/>
                <w:sz w:val="14"/>
              </w:rPr>
              <w:t>translating at a later rate is a change of strike date rather than an alternative framing of a judgement, and this record prices framings. It is named here so its absence is visible. It moves the ROUND branch only; the carrying branch is a pound figure off a pound balance sheet and does not move with it at all.</w:t>
            </w:r>
          </w:p>
        </w:tc>
        <w:tc>
          <w:tcPr>
            <w:tcW w:type="dxa" w:w="2952"/>
          </w:tcPr>
          <w:p>
            <w:pPr>
              <w:spacing w:after="20"/>
            </w:pPr>
            <w:r>
              <w:rPr>
                <w:color w:val="1C3A36"/>
                <w:sz w:val="14"/>
              </w:rPr>
              <w:t>UP on the round branch if the pound is weaker at a later date, DOWN if stronger; no effect on the carrying branch</w:t>
            </w:r>
          </w:p>
        </w:tc>
      </w:tr>
      <w:tr>
        <w:tc>
          <w:tcPr>
            <w:tcW w:type="dxa" w:w="2520"/>
          </w:tcPr>
          <w:p>
            <w:pPr>
              <w:spacing w:after="20"/>
            </w:pPr>
            <w:r>
              <w:rPr>
                <w:color w:val="1C3A36"/>
                <w:sz w:val="14"/>
              </w:rPr>
              <w:t>the qualification on the reviewers' conclusion</w:t>
            </w:r>
          </w:p>
        </w:tc>
        <w:tc>
          <w:tcPr>
            <w:tcW w:type="dxa" w:w="3744"/>
          </w:tcPr>
          <w:p>
            <w:pPr>
              <w:spacing w:after="20"/>
            </w:pPr>
            <w:r>
              <w:rPr>
                <w:color w:val="1C3A36"/>
                <w:sz w:val="14"/>
              </w:rPr>
              <w:t>the limited-review conclusion on the 30-June-2026 statements is qualified at the associate line itself, the same qualification having stood on the 31-December-2025 audited statements</w:t>
            </w:r>
          </w:p>
        </w:tc>
        <w:tc>
          <w:tcPr>
            <w:tcW w:type="dxa" w:w="4752"/>
          </w:tcPr>
          <w:p>
            <w:pPr>
              <w:spacing w:after="20"/>
            </w:pPr>
            <w:r>
              <w:rPr>
                <w:color w:val="1C3A36"/>
                <w:sz w:val="14"/>
              </w:rPr>
              <w:t>there is no second number to price it against — a qualification says a figure could not be verified, not what it should have been. It is recorded because it is the reason the lower branch is not a safe harbour, which a reader would otherwise assume of a book figure.</w:t>
            </w:r>
          </w:p>
        </w:tc>
        <w:tc>
          <w:tcPr>
            <w:tcW w:type="dxa" w:w="2952"/>
          </w:tcPr>
          <w:p>
            <w:pPr>
              <w:spacing w:after="20"/>
            </w:pPr>
            <w:r>
              <w:rPr>
                <w:color w:val="1C3A36"/>
                <w:sz w:val="14"/>
              </w:rPr>
              <w:t>unknown, and that is the point of a qualification</w:t>
            </w:r>
          </w:p>
        </w:tc>
      </w:tr>
    </w:tbl>
    <w:p>
      <w:pPr>
        <w:spacing w:after="40"/>
      </w:pPr>
    </w:p>
    <w:p>
      <w:pPr>
        <w:spacing w:after="80" w:before="200"/>
      </w:pPr>
      <w:r>
        <w:rPr>
          <w:b/>
          <w:i w:val="0"/>
          <w:color w:val="1C3A36"/>
          <w:sz w:val="23"/>
        </w:rPr>
        <w:t>Constructions the superseded edition carried, and why they are not judgements</w:t>
      </w:r>
    </w:p>
    <w:p>
      <w:pPr>
        <w:spacing w:after="100" w:before="0"/>
      </w:pPr>
      <w:r>
        <w:rPr>
          <w:b w:val="0"/>
          <w:i w:val="0"/>
          <w:color w:val="1C3A36"/>
          <w:sz w:val="19"/>
        </w:rPr>
        <w:t>Four constructions were removed from this study rather than re-argued. They are listed because a removed construction that goes unrecorded looks like a construction that was never there — and because listing them one-sided would be its own distortion: of the three that can still be priced, counting them would add one upward and two downward.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888"/>
        <w:gridCol w:w="5184"/>
        <w:gridCol w:w="2736"/>
      </w:tblGrid>
      <w:tr>
        <w:tc>
          <w:tcPr>
            <w:tcW w:type="dxa" w:w="2160"/>
            <w:shd w:val="clear" w:color="auto" w:fill="EAF0EE"/>
          </w:tcPr>
          <w:p>
            <w:pPr>
              <w:spacing w:after="20"/>
            </w:pPr>
            <w:r>
              <w:rPr>
                <w:b/>
                <w:color w:val="1C3A36"/>
                <w:sz w:val="14"/>
              </w:rPr>
              <w:t>What it was</w:t>
            </w:r>
          </w:p>
        </w:tc>
        <w:tc>
          <w:tcPr>
            <w:tcW w:type="dxa" w:w="3888"/>
            <w:shd w:val="clear" w:color="auto" w:fill="EAF0EE"/>
          </w:tcPr>
          <w:p>
            <w:pPr>
              <w:spacing w:after="20"/>
            </w:pPr>
            <w:r>
              <w:rPr>
                <w:b/>
                <w:color w:val="1C3A36"/>
                <w:sz w:val="14"/>
              </w:rPr>
              <w:t>What the superseded edition did</w:t>
            </w:r>
          </w:p>
        </w:tc>
        <w:tc>
          <w:tcPr>
            <w:tcW w:type="dxa" w:w="5184"/>
            <w:shd w:val="clear" w:color="auto" w:fill="EAF0EE"/>
          </w:tcPr>
          <w:p>
            <w:pPr>
              <w:spacing w:after="20"/>
            </w:pPr>
            <w:r>
              <w:rPr>
                <w:b/>
                <w:color w:val="1C3A36"/>
                <w:sz w:val="14"/>
              </w:rPr>
              <w:t>Why it is not an alternative framing</w:t>
            </w:r>
          </w:p>
        </w:tc>
        <w:tc>
          <w:tcPr>
            <w:tcW w:type="dxa" w:w="2736"/>
            <w:shd w:val="clear" w:color="auto" w:fill="EAF0EE"/>
          </w:tcPr>
          <w:p>
            <w:pPr>
              <w:spacing w:after="20"/>
            </w:pPr>
            <w:r>
              <w:rPr>
                <w:b/>
                <w:color w:val="1C3A36"/>
                <w:sz w:val="14"/>
              </w:rPr>
              <w:t>Direction if counted</w:t>
            </w:r>
          </w:p>
        </w:tc>
      </w:tr>
      <w:tr>
        <w:tc>
          <w:tcPr>
            <w:tcW w:type="dxa" w:w="2160"/>
          </w:tcPr>
          <w:p>
            <w:pPr>
              <w:spacing w:after="20"/>
            </w:pPr>
            <w:r>
              <w:rPr>
                <w:color w:val="1C3A36"/>
                <w:sz w:val="14"/>
              </w:rPr>
              <w:t>the four-lens weighted blend</w:t>
            </w:r>
          </w:p>
        </w:tc>
        <w:tc>
          <w:tcPr>
            <w:tcW w:type="dxa" w:w="3888"/>
          </w:tcPr>
          <w:p>
            <w:pPr>
              <w:spacing w:after="20"/>
            </w:pPr>
            <w:r>
              <w:rPr>
                <w:color w:val="1C3A36"/>
                <w:sz w:val="14"/>
              </w:rPr>
              <w:t>the superseded edition published a central weighting the sum of the parts, the undiscounted sum, a relative multiple and a normalised earnings figure at 40/15/20/25</w:t>
            </w:r>
          </w:p>
        </w:tc>
        <w:tc>
          <w:tcPr>
            <w:tcW w:type="dxa" w:w="5184"/>
          </w:tcPr>
          <w:p>
            <w:pPr>
              <w:spacing w:after="20"/>
            </w:pPr>
            <w:r>
              <w:rPr>
                <w:color w:val="1C3A36"/>
                <w:sz w:val="14"/>
              </w:rPr>
              <w:t>retired the typed blend outright — the weights had never cleared any out-of-sample test and two of the four lenses do not touch the largest asset on the page. That is a retired ARCHITECTURE rather than a defensible alternative framing, and pricing it here would launder it back in as a judgement. It is also not priceable under the current model, because one of the lenses it weighted no longer exists.</w:t>
            </w:r>
          </w:p>
        </w:tc>
        <w:tc>
          <w:tcPr>
            <w:tcW w:type="dxa" w:w="2736"/>
          </w:tcPr>
          <w:p>
            <w:pPr>
              <w:spacing w:after="20"/>
            </w:pPr>
            <w:r>
              <w:rPr>
                <w:color w:val="1C3A36"/>
                <w:sz w:val="14"/>
              </w:rPr>
              <w:t>not computable — the model can no longer express it</w:t>
            </w:r>
          </w:p>
        </w:tc>
      </w:tr>
      <w:tr>
        <w:tc>
          <w:tcPr>
            <w:tcW w:type="dxa" w:w="2160"/>
          </w:tcPr>
          <w:p>
            <w:pPr>
              <w:spacing w:after="20"/>
            </w:pPr>
            <w:r>
              <w:rPr>
                <w:color w:val="1C3A36"/>
                <w:sz w:val="14"/>
              </w:rPr>
              <w:t>the normalised-earnings lens</w:t>
            </w:r>
          </w:p>
        </w:tc>
        <w:tc>
          <w:tcPr>
            <w:tcW w:type="dxa" w:w="3888"/>
          </w:tcPr>
          <w:p>
            <w:pPr>
              <w:spacing w:after="20"/>
            </w:pPr>
            <w:r>
              <w:rPr>
                <w:color w:val="1C3A36"/>
                <w:sz w:val="14"/>
              </w:rPr>
              <w:t>the superseded edition carried a mid-cycle group profit capitalised at a through-cycle multiple, at 25% of the blend</w:t>
            </w:r>
          </w:p>
        </w:tc>
        <w:tc>
          <w:tcPr>
            <w:tcW w:type="dxa" w:w="5184"/>
          </w:tcPr>
          <w:p>
            <w:pPr>
              <w:spacing w:after="20"/>
            </w:pPr>
            <w:r>
              <w:rPr>
                <w:color w:val="1C3A36"/>
                <w:sz w:val="14"/>
              </w:rPr>
              <w:t>the class row for an automotive assembler with a captive lender does not carry it, and normalising earnings that swing on associate marks normalises noise. A lens the class does not permit is not an alternative framing of anything.</w:t>
            </w:r>
          </w:p>
        </w:tc>
        <w:tc>
          <w:tcPr>
            <w:tcW w:type="dxa" w:w="2736"/>
          </w:tcPr>
          <w:p>
            <w:pPr>
              <w:spacing w:after="20"/>
            </w:pPr>
            <w:r>
              <w:rPr>
                <w:color w:val="1C3A36"/>
                <w:sz w:val="14"/>
              </w:rPr>
              <w:t>not computable — the lens is gone</w:t>
            </w:r>
          </w:p>
        </w:tc>
      </w:tr>
      <w:tr>
        <w:tc>
          <w:tcPr>
            <w:tcW w:type="dxa" w:w="2160"/>
          </w:tcPr>
          <w:p>
            <w:pPr>
              <w:spacing w:after="20"/>
            </w:pPr>
            <w:r>
              <w:rPr>
                <w:color w:val="1C3A36"/>
                <w:sz w:val="14"/>
              </w:rPr>
              <w:t>the complexity / conglomerate discount</w:t>
            </w:r>
          </w:p>
        </w:tc>
        <w:tc>
          <w:tcPr>
            <w:tcW w:type="dxa" w:w="3888"/>
          </w:tcPr>
          <w:p>
            <w:pPr>
              <w:spacing w:after="20"/>
            </w:pPr>
            <w:r>
              <w:rPr>
                <w:color w:val="1C3A36"/>
                <w:sz w:val="14"/>
              </w:rPr>
              <w:t>the superseded edition deducted a typed 10% from the sum of the parts and then weighted the discounted and undiscounted sums at 0.40 and 0.15, which applies an effective 4%</w:t>
            </w:r>
          </w:p>
        </w:tc>
        <w:tc>
          <w:tcPr>
            <w:tcW w:type="dxa" w:w="5184"/>
          </w:tcPr>
          <w:p>
            <w:pPr>
              <w:spacing w:after="20"/>
            </w:pPr>
            <w:r>
              <w:rPr>
                <w:color w:val="1C3A36"/>
                <w:sz w:val="14"/>
              </w:rPr>
              <w:t>both figures are free parameters with nothing observable behind them and nothing in GB Corp's filings discloses a basis for either, so the this house’s bar on untested parameters forbids them. The old record priced this fork AND the question of where the discount was applied, which is a second judgement built on the first. What the discount was standing in for is now named instead — the uncertainty is in the associate mark and is published as two branches. Counting a removed free parameter as a judgement the study won would add an UPWARD count for a correction, which is exactly the laundering this list exists to refuse.</w:t>
            </w:r>
          </w:p>
        </w:tc>
        <w:tc>
          <w:tcPr>
            <w:tcW w:type="dxa" w:w="2736"/>
          </w:tcPr>
          <w:p>
            <w:pPr>
              <w:spacing w:after="20"/>
            </w:pPr>
            <w:r>
              <w:rPr>
                <w:color w:val="1C3A36"/>
                <w:sz w:val="14"/>
              </w:rPr>
              <w:t>UP, and material: reinstating the 10% would take both branches down by that 10%</w:t>
            </w:r>
          </w:p>
        </w:tc>
      </w:tr>
      <w:tr>
        <w:tc>
          <w:tcPr>
            <w:tcW w:type="dxa" w:w="2160"/>
          </w:tcPr>
          <w:p>
            <w:pPr>
              <w:spacing w:after="20"/>
            </w:pPr>
            <w:r>
              <w:rPr>
                <w:color w:val="1C3A36"/>
                <w:sz w:val="14"/>
              </w:rPr>
              <w:t>GB Capital carried at 1.0x book</w:t>
            </w:r>
          </w:p>
        </w:tc>
        <w:tc>
          <w:tcPr>
            <w:tcW w:type="dxa" w:w="3888"/>
          </w:tcPr>
          <w:p>
            <w:pPr>
              <w:spacing w:after="20"/>
            </w:pPr>
            <w:r>
              <w:rPr>
                <w:color w:val="1C3A36"/>
                <w:sz w:val="14"/>
              </w:rPr>
              <w:t>the superseded edition carried the lender at an adjusted operating book times a multiple of exactly one</w:t>
            </w:r>
          </w:p>
        </w:tc>
        <w:tc>
          <w:tcPr>
            <w:tcW w:type="dxa" w:w="5184"/>
          </w:tcPr>
          <w:p>
            <w:pPr>
              <w:spacing w:after="20"/>
            </w:pPr>
            <w:r>
              <w:rPr>
                <w:color w:val="1C3A36"/>
                <w:sz w:val="14"/>
              </w:rPr>
              <w:t>is explicit that book value is a disclosed FLOOR and is never weighted into an answer, so a leg carried at 1.0x book is book value wearing a sum-of-the-parts entry's clothes. The base was also the company's own adjusted-ROAE denominator, which is justified by earnings that include associate income the sum of the parts then counts AGAIN at the round price — the cash charged twice, in a lender's costume. A prohibited construction is not an alternative framing.</w:t>
            </w:r>
          </w:p>
        </w:tc>
        <w:tc>
          <w:tcPr>
            <w:tcW w:type="dxa" w:w="2736"/>
          </w:tcPr>
          <w:p>
            <w:pPr>
              <w:spacing w:after="20"/>
            </w:pPr>
            <w:r>
              <w:rPr>
                <w:color w:val="1C3A36"/>
                <w:sz w:val="14"/>
              </w:rPr>
              <w:t>DOWN — correcting it CUT this leg. At 1.0x the committed operating book of EGP 6267.3 mn the leg would be worth EGP 4611.7 mn more, EGP 4.25 a share on both branches, so counting it would add a downward count</w:t>
            </w:r>
          </w:p>
        </w:tc>
      </w:tr>
      <w:tr>
        <w:tc>
          <w:tcPr>
            <w:tcW w:type="dxa" w:w="2160"/>
          </w:tcPr>
          <w:p>
            <w:pPr>
              <w:spacing w:after="20"/>
            </w:pPr>
            <w:r>
              <w:rPr>
                <w:color w:val="1C3A36"/>
                <w:sz w:val="14"/>
              </w:rPr>
              <w:t>the terminal growth rate</w:t>
            </w:r>
          </w:p>
        </w:tc>
        <w:tc>
          <w:tcPr>
            <w:tcW w:type="dxa" w:w="3888"/>
          </w:tcPr>
          <w:p>
            <w:pPr>
              <w:spacing w:after="20"/>
            </w:pPr>
            <w:r>
              <w:rPr>
                <w:color w:val="1C3A36"/>
                <w:sz w:val="14"/>
              </w:rPr>
              <w:t>the superseded edition held a typed nominal 11.5% for ever; the rebuild stores growth as a REAL rate on the house Egyptian path and recomputes it to 7.0% nominal</w:t>
            </w:r>
          </w:p>
        </w:tc>
        <w:tc>
          <w:tcPr>
            <w:tcW w:type="dxa" w:w="5184"/>
          </w:tcPr>
          <w:p>
            <w:pPr>
              <w:spacing w:after="20"/>
            </w:pPr>
            <w:r>
              <w:rPr>
                <w:color w:val="1C3A36"/>
                <w:sz w:val="14"/>
              </w:rPr>
              <w:t>this house's standing method forbids a typed nominal rate outright, because nobody can tell whether 11.5% meant inflation plus four points or minus three, and a terminal growth above the inflation inside the terminal discount rate is a perpetual real expansion nothing discloses. An unfalsifiable input is not a defensible framing. IT IS LISTED HERE WITH ITS DIRECTION BECAUSE THIS LIST MUST NOT BE ONE-SIDED: three of the corrections excluded from the signed list are priceable, and if they were counted they would add one upward and two downward.</w:t>
            </w:r>
          </w:p>
        </w:tc>
        <w:tc>
          <w:tcPr>
            <w:tcW w:type="dxa" w:w="2736"/>
          </w:tcPr>
          <w:p>
            <w:pPr>
              <w:spacing w:after="20"/>
            </w:pPr>
            <w:r>
              <w:rPr>
                <w:color w:val="1C3A36"/>
                <w:sz w:val="14"/>
              </w:rPr>
              <w:t>DOWN, and by more than anything in the signed list — the superseded nominal is worth 141% more on the carrying branch</w:t>
            </w:r>
          </w:p>
        </w:tc>
      </w:tr>
    </w:tbl>
    <w:p>
      <w:pPr>
        <w:spacing w:after="40"/>
      </w:pPr>
    </w:p>
    <w:p>
      <w:pPr>
        <w:spacing w:after="100" w:before="0"/>
      </w:pPr>
      <w:r>
        <w:rPr>
          <w:b w:val="0"/>
          <w:i w:val="0"/>
          <w:color w:val="1C3A36"/>
          <w:sz w:val="19"/>
        </w:rPr>
        <w:t>The direction test. A study that resolves every contested fork the same way has a lean whether or not any single choice is wrong, so the directions are counted rather than asserted: of 4 material judgements the study took the higher-value side on 3 and the lower on 1, a two-sided test of 0.625. That is not flagged at the 5% level. It is measured, not claimed, and a study is FLAGGED by it rather than failed — a company can genuinely deserve a consistent read. THE FORK IT DOES NOT COVER IS THE LARGEST IN THE STUDY: the basis of the associate mark is not resolved at all, so it is deliberately outside a test that measures which way forks were resolved.</w:t>
      </w:r>
    </w:p>
    <w:p>
      <w:pPr>
        <w:spacing w:after="100" w:before="0"/>
      </w:pPr>
      <w:r>
        <w:rPr>
          <w:b w:val="0"/>
          <w:i w:val="0"/>
          <w:color w:val="1C3A36"/>
          <w:sz w:val="19"/>
        </w:rPr>
        <w:t>What would overturn each of these is the same shape in every case and it is stated in the study body beside the fork: for the associate mark, a real secondary transaction in that company’s shares at a materially different price, or a second closing repricing the round; for the working-capital glide, the company’s own quarterly prints, which resolve it directly; for the margin path, the next reviewed half against the one this forecast is anchored on; for the cost-of-capital basis, either premium basis being shown to misprice this sovereign, both being published so a reader can switch; and for the construction of the central, the question does not arise, because this edition publishes no blended central at all: one lens is the answer and the others are printed beside it.</w:t>
      </w:r>
    </w:p>
    <w:p>
      <w:r>
        <w:br w:type="page"/>
      </w:r>
    </w:p>
    <w:p>
      <w:pPr>
        <w:spacing w:after="120" w:before="240"/>
      </w:pPr>
      <w:r>
        <w:rPr>
          <w:b/>
          <w:i w:val="0"/>
          <w:color w:val="1C3A36"/>
          <w:sz w:val="30"/>
        </w:rPr>
        <w:t>4  Negative results — what was searched for and not found</w:t>
      </w:r>
    </w:p>
    <w:p>
      <w:pPr>
        <w:spacing w:after="100" w:before="0"/>
      </w:pPr>
      <w:r>
        <w:rPr>
          <w:b w:val="0"/>
          <w:i w:val="0"/>
          <w:color w:val="1C3A36"/>
          <w:sz w:val="19"/>
        </w:rPr>
        <w:t>Recorded because an absence shaped this model as much as the evidence did. Every row is a search that was actually run, with what it established.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3240"/>
        <w:gridCol w:w="4248"/>
        <w:gridCol w:w="3672"/>
      </w:tblGrid>
      <w:tr>
        <w:tc>
          <w:tcPr>
            <w:tcW w:type="dxa" w:w="2952"/>
            <w:shd w:val="clear" w:color="auto" w:fill="EAF0EE"/>
          </w:tcPr>
          <w:p>
            <w:pPr>
              <w:spacing w:after="20"/>
            </w:pPr>
            <w:r>
              <w:rPr>
                <w:b/>
                <w:color w:val="1C3A36"/>
                <w:sz w:val="15"/>
              </w:rPr>
              <w:t>What was sought</w:t>
            </w:r>
          </w:p>
        </w:tc>
        <w:tc>
          <w:tcPr>
            <w:tcW w:type="dxa" w:w="3240"/>
            <w:shd w:val="clear" w:color="auto" w:fill="EAF0EE"/>
          </w:tcPr>
          <w:p>
            <w:pPr>
              <w:spacing w:after="20"/>
            </w:pPr>
            <w:r>
              <w:rPr>
                <w:b/>
                <w:color w:val="1C3A36"/>
                <w:sz w:val="15"/>
              </w:rPr>
              <w:t>Why it was needed</w:t>
            </w:r>
          </w:p>
        </w:tc>
        <w:tc>
          <w:tcPr>
            <w:tcW w:type="dxa" w:w="4248"/>
            <w:shd w:val="clear" w:color="auto" w:fill="EAF0EE"/>
          </w:tcPr>
          <w:p>
            <w:pPr>
              <w:spacing w:after="20"/>
            </w:pPr>
            <w:r>
              <w:rPr>
                <w:b/>
                <w:color w:val="1C3A36"/>
                <w:sz w:val="15"/>
              </w:rPr>
              <w:t>What was found</w:t>
            </w:r>
          </w:p>
        </w:tc>
        <w:tc>
          <w:tcPr>
            <w:tcW w:type="dxa" w:w="3672"/>
            <w:shd w:val="clear" w:color="auto" w:fill="EAF0EE"/>
          </w:tcPr>
          <w:p>
            <w:pPr>
              <w:spacing w:after="20"/>
            </w:pPr>
            <w:r>
              <w:rPr>
                <w:b/>
                <w:color w:val="1C3A36"/>
                <w:sz w:val="15"/>
              </w:rPr>
              <w:t>What the study did</w:t>
            </w:r>
          </w:p>
        </w:tc>
      </w:tr>
      <w:tr>
        <w:tc>
          <w:tcPr>
            <w:tcW w:type="dxa" w:w="2952"/>
          </w:tcPr>
          <w:p>
            <w:pPr>
              <w:spacing w:after="20"/>
            </w:pPr>
            <w:r>
              <w:rPr>
                <w:color w:val="1C3A36"/>
                <w:sz w:val="15"/>
              </w:rPr>
              <w:t>A disclosed useful life for the operating asset base</w:t>
            </w:r>
          </w:p>
        </w:tc>
        <w:tc>
          <w:tcPr>
            <w:tcW w:type="dxa" w:w="3240"/>
          </w:tcPr>
          <w:p>
            <w:pPr>
              <w:spacing w:after="20"/>
            </w:pPr>
            <w:r>
              <w:rPr>
                <w:color w:val="1C3A36"/>
                <w:sz w:val="15"/>
              </w:rPr>
              <w:t>The house standard builds a terminal on a disclosed life; a life this desk chooses is not a disclosed life</w:t>
            </w:r>
          </w:p>
        </w:tc>
        <w:tc>
          <w:tcPr>
            <w:tcW w:type="dxa" w:w="4248"/>
          </w:tcPr>
          <w:p>
            <w:pPr>
              <w:spacing w:after="20"/>
            </w:pPr>
            <w:r>
              <w:rPr>
                <w:color w:val="1C3A36"/>
                <w:sz w:val="15"/>
              </w:rPr>
              <w:t>NO USABLE LIFE COULD BE SOURCED. Both admissible routes were run and both failed, for different reasons. The terminal therefore STAYS on this house’s list of unfinished business with this file as its reason, and no life was chosen.</w:t>
            </w:r>
          </w:p>
        </w:tc>
        <w:tc>
          <w:tcPr>
            <w:tcW w:type="dxa" w:w="3672"/>
          </w:tcPr>
          <w:p>
            <w:pPr>
              <w:spacing w:after="20"/>
            </w:pPr>
            <w:r>
              <w:rPr>
                <w:color w:val="1C3A36"/>
                <w:sz w:val="15"/>
              </w:rPr>
              <w:t>No life was chosen. The terminal is carried on the construction the study describes and the refusal is printed in the study body rather than resolved by inventing a figure.</w:t>
            </w:r>
          </w:p>
        </w:tc>
      </w:tr>
      <w:tr>
        <w:tc>
          <w:tcPr>
            <w:tcW w:type="dxa" w:w="2952"/>
          </w:tcPr>
          <w:p>
            <w:pPr>
              <w:spacing w:after="20"/>
            </w:pPr>
            <w:r>
              <w:rPr>
                <w:color w:val="1C3A36"/>
                <w:sz w:val="15"/>
              </w:rPr>
              <w:t>Audited statements for the two earliest years of the intended window</w:t>
            </w:r>
          </w:p>
        </w:tc>
        <w:tc>
          <w:tcPr>
            <w:tcW w:type="dxa" w:w="3240"/>
          </w:tcPr>
          <w:p>
            <w:pPr>
              <w:spacing w:after="20"/>
            </w:pPr>
            <w:r>
              <w:rPr>
                <w:color w:val="1C3A36"/>
                <w:sz w:val="15"/>
              </w:rPr>
              <w:t>The walk-forward targets as long a sourceable history as the filings support</w:t>
            </w:r>
          </w:p>
        </w:tc>
        <w:tc>
          <w:tcPr>
            <w:tcW w:type="dxa" w:w="4248"/>
          </w:tcPr>
          <w:p>
            <w:pPr>
              <w:spacing w:after="20"/>
            </w:pPr>
            <w:r>
              <w:rPr>
                <w:color w:val="1C3A36"/>
                <w:sz w:val="15"/>
              </w:rPr>
              <w:t>The company’s own filings index does not reach those years, and the annual reports for them lay the statements out in a split form the text layer cannot attach to labels</w:t>
            </w:r>
          </w:p>
        </w:tc>
        <w:tc>
          <w:tcPr>
            <w:tcW w:type="dxa" w:w="3672"/>
          </w:tcPr>
          <w:p>
            <w:pPr>
              <w:spacing w:after="20"/>
            </w:pPr>
            <w:r>
              <w:rPr>
                <w:color w:val="1C3A36"/>
                <w:sz w:val="15"/>
              </w:rPr>
              <w:t>The affected balance-sheet items are recorded as MISSING with that reason in the walk-forward’s valuation-input block, and never estimated.</w:t>
            </w:r>
          </w:p>
        </w:tc>
      </w:tr>
      <w:tr>
        <w:tc>
          <w:tcPr>
            <w:tcW w:type="dxa" w:w="2952"/>
          </w:tcPr>
          <w:p>
            <w:pPr>
              <w:spacing w:after="20"/>
            </w:pPr>
            <w:r>
              <w:rPr>
                <w:color w:val="1C3A36"/>
                <w:sz w:val="15"/>
              </w:rPr>
              <w:t>A usable beta from the first regression attempted on this name</w:t>
            </w:r>
          </w:p>
        </w:tc>
        <w:tc>
          <w:tcPr>
            <w:tcW w:type="dxa" w:w="3240"/>
          </w:tcPr>
          <w:p>
            <w:pPr>
              <w:spacing w:after="20"/>
            </w:pPr>
            <w:r>
              <w:rPr>
                <w:color w:val="1C3A36"/>
                <w:sz w:val="15"/>
              </w:rPr>
              <w:t>Every study needs the stock’s own beta against the published index of its exchange</w:t>
            </w:r>
          </w:p>
        </w:tc>
        <w:tc>
          <w:tcPr>
            <w:tcW w:type="dxa" w:w="4248"/>
          </w:tcPr>
          <w:p>
            <w:pPr>
              <w:spacing w:after="20"/>
            </w:pPr>
            <w:r>
              <w:rPr>
                <w:color w:val="1C3A36"/>
                <w:sz w:val="15"/>
              </w:rPr>
              <w:t>The first attempt used five annual observations and returned a negative slope with essentially no explanatory power — unusable, and correctly refused</w:t>
            </w:r>
          </w:p>
        </w:tc>
        <w:tc>
          <w:tcPr>
            <w:tcW w:type="dxa" w:w="3672"/>
          </w:tcPr>
          <w:p>
            <w:pPr>
              <w:spacing w:after="20"/>
            </w:pPr>
            <w:r>
              <w:rPr>
                <w:color w:val="1C3A36"/>
                <w:sz w:val="15"/>
              </w:rPr>
              <w:t>The study fell back to the house default at the time. A conforming weekly regression has since been produced and is what this edition adopts; the superseded figure is recorded beside it rather than deleted.</w:t>
            </w:r>
          </w:p>
        </w:tc>
      </w:tr>
      <w:tr>
        <w:tc>
          <w:tcPr>
            <w:tcW w:type="dxa" w:w="2952"/>
          </w:tcPr>
          <w:p>
            <w:pPr>
              <w:spacing w:after="20"/>
            </w:pPr>
            <w:r>
              <w:rPr>
                <w:color w:val="1C3A36"/>
                <w:sz w:val="15"/>
              </w:rPr>
              <w:t>A sourced split of passenger-car revenue between the domestic and regional markets for the reviewed half</w:t>
            </w:r>
          </w:p>
        </w:tc>
        <w:tc>
          <w:tcPr>
            <w:tcW w:type="dxa" w:w="3240"/>
          </w:tcPr>
          <w:p>
            <w:pPr>
              <w:spacing w:after="20"/>
            </w:pPr>
            <w:r>
              <w:rPr>
                <w:color w:val="1C3A36"/>
                <w:sz w:val="15"/>
              </w:rPr>
              <w:t>The regional exposure is named as a risk and a reader is entitled to its size</w:t>
            </w:r>
          </w:p>
        </w:tc>
        <w:tc>
          <w:tcPr>
            <w:tcW w:type="dxa" w:w="4248"/>
          </w:tcPr>
          <w:p>
            <w:pPr>
              <w:spacing w:after="20"/>
            </w:pPr>
            <w:r>
              <w:rPr>
                <w:color w:val="1C3A36"/>
                <w:sz w:val="15"/>
              </w:rPr>
              <w:t>Not disclosed in the documents this study holds for that period</w:t>
            </w:r>
          </w:p>
        </w:tc>
        <w:tc>
          <w:tcPr>
            <w:tcW w:type="dxa" w:w="3672"/>
          </w:tcPr>
          <w:p>
            <w:pPr>
              <w:spacing w:after="20"/>
            </w:pPr>
            <w:r>
              <w:rPr>
                <w:color w:val="1C3A36"/>
                <w:sz w:val="15"/>
              </w:rPr>
              <w:t>The exposure is NAMED and NOT PRICED. No split was estimated.</w:t>
            </w:r>
          </w:p>
        </w:tc>
      </w:tr>
      <w:tr>
        <w:tc>
          <w:tcPr>
            <w:tcW w:type="dxa" w:w="2952"/>
          </w:tcPr>
          <w:p>
            <w:pPr>
              <w:spacing w:after="20"/>
            </w:pPr>
            <w:r>
              <w:rPr>
                <w:color w:val="1C3A36"/>
                <w:sz w:val="15"/>
              </w:rPr>
              <w:t>The company’s own audited statements for the associate that dominates this valuation</w:t>
            </w:r>
          </w:p>
        </w:tc>
        <w:tc>
          <w:tcPr>
            <w:tcW w:type="dxa" w:w="3240"/>
          </w:tcPr>
          <w:p>
            <w:pPr>
              <w:spacing w:after="20"/>
            </w:pPr>
            <w:r>
              <w:rPr>
                <w:color w:val="1C3A36"/>
                <w:sz w:val="15"/>
              </w:rPr>
              <w:t>That associate carries most of the equity value in the primary lens, on either basis</w:t>
            </w:r>
          </w:p>
        </w:tc>
        <w:tc>
          <w:tcPr>
            <w:tcW w:type="dxa" w:w="4248"/>
          </w:tcPr>
          <w:p>
            <w:pPr>
              <w:spacing w:after="20"/>
            </w:pPr>
            <w:r>
              <w:rPr>
                <w:color w:val="1C3A36"/>
                <w:sz w:val="15"/>
              </w:rPr>
              <w:t>NOT AVAILABLE TO THE REVIEWERS EITHER, in both of the most recent periods. The limited review of the 30 June 2026 statements reaches a QUALIFIED conclusion at this line — the reviewers were not provided with that company’s statements and were unable to verify the group’s EGP 409.9 mn share of its profits for the period — and the same qualification stood on the 31 December 2025 audited statements</w:t>
            </w:r>
          </w:p>
        </w:tc>
        <w:tc>
          <w:tcPr>
            <w:tcW w:type="dxa" w:w="3672"/>
          </w:tcPr>
          <w:p>
            <w:pPr>
              <w:spacing w:after="20"/>
            </w:pPr>
            <w:r>
              <w:rPr>
                <w:color w:val="1C3A36"/>
                <w:sz w:val="15"/>
              </w:rPr>
              <w:t>Disclosed in this register, in the study’s caveats and in its disclosure section. It is the reason the LOWER of the two published answers is not treated as a safe harbour, and the strongest available argument for discounting both marks.</w:t>
            </w:r>
          </w:p>
        </w:tc>
      </w:tr>
      <w:tr>
        <w:tc>
          <w:tcPr>
            <w:tcW w:type="dxa" w:w="2952"/>
          </w:tcPr>
          <w:p>
            <w:pPr>
              <w:spacing w:after="20"/>
            </w:pPr>
            <w:r>
              <w:rPr>
                <w:color w:val="1C3A36"/>
                <w:sz w:val="15"/>
              </w:rPr>
              <w:t>One ownership percentage for the MNT-Halan transaction</w:t>
            </w:r>
          </w:p>
        </w:tc>
        <w:tc>
          <w:tcPr>
            <w:tcW w:type="dxa" w:w="3240"/>
          </w:tcPr>
          <w:p>
            <w:pPr>
              <w:spacing w:after="20"/>
            </w:pPr>
            <w:r>
              <w:rPr>
                <w:color w:val="1C3A36"/>
                <w:sz w:val="15"/>
              </w:rPr>
              <w:t>The higher of the two answers applies a percentage to a round price, so the percentage is a direct multiplier on the largest line in the study</w:t>
            </w:r>
          </w:p>
        </w:tc>
        <w:tc>
          <w:tcPr>
            <w:tcW w:type="dxa" w:w="4248"/>
          </w:tcPr>
          <w:p>
            <w:pPr>
              <w:spacing w:after="20"/>
            </w:pPr>
            <w:r>
              <w:rPr>
                <w:color w:val="1C3A36"/>
                <w:sz w:val="15"/>
              </w:rPr>
              <w:t>THERE ARE TWO, AND BOTH ARE THE COMPANY’S OWN. The press release of 9 June 2026 gives 41.61% from 42.58%; note 34 to the reviewed 30 June 2026 statements and the review report both give 42.93% from 44.01% for the same transaction — most likely a different level of the structure, the intermediate holding vehicle rather than the operating group</w:t>
            </w:r>
          </w:p>
        </w:tc>
        <w:tc>
          <w:tcPr>
            <w:tcW w:type="dxa" w:w="3672"/>
          </w:tcPr>
          <w:p>
            <w:pPr>
              <w:spacing w:after="20"/>
            </w:pPr>
            <w:r>
              <w:rPr>
                <w:color w:val="1C3A36"/>
                <w:sz w:val="15"/>
              </w:rPr>
              <w:t>The study adopts the press release’s figure, because it is the one the round it is applied to was announced with, and PRINTS THE OTHER in the body rather than leaving it out. The difference is worth a little over one and a half per cent of the round-price answer and nothing at all on the other.</w:t>
            </w:r>
          </w:p>
        </w:tc>
      </w:tr>
    </w:tbl>
    <w:p>
      <w:pPr>
        <w:spacing w:after="40"/>
      </w:pPr>
    </w:p>
    <w:p>
      <w:r>
        <w:br w:type="page"/>
      </w:r>
    </w:p>
    <w:p>
      <w:pPr>
        <w:spacing w:after="120" w:before="240"/>
      </w:pPr>
      <w:r>
        <w:rPr>
          <w:b/>
          <w:i w:val="0"/>
          <w:color w:val="1C3A36"/>
          <w:sz w:val="30"/>
        </w:rPr>
        <w:t>5  Figures that are DERIVED rather than sourced</w:t>
      </w:r>
    </w:p>
    <w:p>
      <w:pPr>
        <w:spacing w:after="100" w:before="0"/>
      </w:pPr>
      <w:r>
        <w:rPr>
          <w:b w:val="0"/>
          <w:i w:val="0"/>
          <w:color w:val="1C3A36"/>
          <w:sz w:val="19"/>
        </w:rPr>
        <w:t>These appear in no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512"/>
      </w:tblGrid>
      <w:tr>
        <w:tc>
          <w:tcPr>
            <w:tcW w:type="dxa" w:w="3456"/>
            <w:shd w:val="clear" w:color="auto" w:fill="EAF0EE"/>
          </w:tcPr>
          <w:p>
            <w:pPr>
              <w:spacing w:after="20"/>
            </w:pPr>
            <w:r>
              <w:rPr>
                <w:b/>
                <w:color w:val="1C3A36"/>
                <w:sz w:val="16"/>
              </w:rPr>
              <w:t>Figure</w:t>
            </w:r>
          </w:p>
        </w:tc>
        <w:tc>
          <w:tcPr>
            <w:tcW w:type="dxa" w:w="10512"/>
            <w:shd w:val="clear" w:color="auto" w:fill="EAF0EE"/>
          </w:tcPr>
          <w:p>
            <w:pPr>
              <w:spacing w:after="20"/>
            </w:pPr>
            <w:r>
              <w:rPr>
                <w:b/>
                <w:color w:val="1C3A36"/>
                <w:sz w:val="16"/>
              </w:rPr>
              <w:t>How it was derived</w:t>
            </w:r>
          </w:p>
        </w:tc>
      </w:tr>
      <w:tr>
        <w:tc>
          <w:tcPr>
            <w:tcW w:type="dxa" w:w="3456"/>
          </w:tcPr>
          <w:p>
            <w:pPr>
              <w:spacing w:after="20"/>
            </w:pPr>
            <w:r>
              <w:rPr>
                <w:color w:val="1C3A36"/>
                <w:sz w:val="16"/>
              </w:rPr>
              <w:t>The equity beta — 0.8907</w:t>
            </w:r>
          </w:p>
        </w:tc>
        <w:tc>
          <w:tcPr>
            <w:tcW w:type="dxa" w:w="10512"/>
          </w:tcPr>
          <w:p>
            <w:pPr>
              <w:spacing w:after="20"/>
            </w:pPr>
            <w:r>
              <w:rPr>
                <w:color w:val="1C3A36"/>
                <w:sz w:val="16"/>
              </w:rPr>
              <w:t>A weekly regression of the shares against the published EGX30 index of the exchange the stock is listed on, over 4.85 years to 2026-07-16, on 251 observations, with an R-squared of 0.243 and a standard error of 0.2041. It clears the minimum sample, explanatory power and precision this house requires before a regression beta may be used at all. A cross-check estimator gives 0.9271. The index series used is the published EGX30, and the copy this study regressed against carries its own as-of date of 2026-07-22.</w:t>
            </w:r>
          </w:p>
        </w:tc>
      </w:tr>
      <w:tr>
        <w:tc>
          <w:tcPr>
            <w:tcW w:type="dxa" w:w="3456"/>
          </w:tcPr>
          <w:p>
            <w:pPr>
              <w:spacing w:after="20"/>
            </w:pPr>
            <w:r>
              <w:rPr>
                <w:color w:val="1C3A36"/>
                <w:sz w:val="16"/>
              </w:rPr>
              <w:t>The normalised risk-free rate — 19.59%</w:t>
            </w:r>
          </w:p>
        </w:tc>
        <w:tc>
          <w:tcPr>
            <w:tcW w:type="dxa" w:w="10512"/>
          </w:tcPr>
          <w:p>
            <w:pPr>
              <w:spacing w:after="20"/>
            </w:pPr>
            <w:r>
              <w:rPr>
                <w:color w:val="1C3A36"/>
                <w:sz w:val="16"/>
              </w:rPr>
              <w:t>The observed local-currency government bond yield of 23.00% less this sovereign’s own default spread of 3.41%. Country risk then enters exactly once, inside the equity risk premium, rather than twice.</w:t>
            </w:r>
          </w:p>
        </w:tc>
      </w:tr>
      <w:tr>
        <w:tc>
          <w:tcPr>
            <w:tcW w:type="dxa" w:w="3456"/>
          </w:tcPr>
          <w:p>
            <w:pPr>
              <w:spacing w:after="20"/>
            </w:pPr>
            <w:r>
              <w:rPr>
                <w:color w:val="1C3A36"/>
                <w:sz w:val="16"/>
              </w:rPr>
              <w:t>Terminal growth — 7.00% nominal</w:t>
            </w:r>
          </w:p>
        </w:tc>
        <w:tc>
          <w:tcPr>
            <w:tcW w:type="dxa" w:w="10512"/>
          </w:tcPr>
          <w:p>
            <w:pPr>
              <w:spacing w:after="20"/>
            </w:pPr>
            <w:r>
              <w:rPr>
                <w:color w:val="1C3A36"/>
                <w:sz w:val="16"/>
              </w:rPr>
              <w:t>STORED as a real rate of 0.0% on the house inflation path for this market and recomputed to its nominal figure against a terminal inflation of 7.00%. A typed nominal rate is unfalsifiable: nobody can tell whether it meant inflation plus a few points or minus several.</w:t>
            </w:r>
          </w:p>
        </w:tc>
      </w:tr>
      <w:tr>
        <w:tc>
          <w:tcPr>
            <w:tcW w:type="dxa" w:w="3456"/>
          </w:tcPr>
          <w:p>
            <w:pPr>
              <w:spacing w:after="20"/>
            </w:pPr>
            <w:r>
              <w:rPr>
                <w:color w:val="1C3A36"/>
                <w:sz w:val="16"/>
              </w:rPr>
              <w:t>The cost-of-capital schedule</w:t>
            </w:r>
          </w:p>
        </w:tc>
        <w:tc>
          <w:tcPr>
            <w:tcW w:type="dxa" w:w="10512"/>
          </w:tcPr>
          <w:p>
            <w:pPr>
              <w:spacing w:after="20"/>
            </w:pPr>
            <w:r>
              <w:rPr>
                <w:color w:val="1C3A36"/>
                <w:sz w:val="16"/>
              </w:rPr>
              <w:t>One forward rate per explicit year, gliding from 22.88% in the first forecast year to a norm-built terminal of 14.18%, with the terminal brought home on the same cumulative factor as the last explicit year — one date, one price of time. The glide fractions are the policy-rate path’s own cumulative progress rather than a second free parameter.</w:t>
            </w:r>
          </w:p>
        </w:tc>
      </w:tr>
      <w:tr>
        <w:tc>
          <w:tcPr>
            <w:tcW w:type="dxa" w:w="3456"/>
          </w:tcPr>
          <w:p>
            <w:pPr>
              <w:spacing w:after="20"/>
            </w:pPr>
            <w:r>
              <w:rPr>
                <w:color w:val="1C3A36"/>
                <w:sz w:val="16"/>
              </w:rPr>
              <w:t>The passenger-car selling price per unit</w:t>
            </w:r>
          </w:p>
        </w:tc>
        <w:tc>
          <w:tcPr>
            <w:tcW w:type="dxa" w:w="10512"/>
          </w:tcPr>
          <w:p>
            <w:pPr>
              <w:spacing w:after="20"/>
            </w:pPr>
            <w:r>
              <w:rPr>
                <w:color w:val="1C3A36"/>
                <w:sz w:val="16"/>
              </w:rPr>
              <w:t>Disclosed revenue for the line divided by the disclosed volume for the same line and year, so it is arithmetic on two published figures rather than an assumption. It reproduces the reported line exactly in every disclosed year.</w:t>
            </w:r>
          </w:p>
        </w:tc>
      </w:tr>
      <w:tr>
        <w:tc>
          <w:tcPr>
            <w:tcW w:type="dxa" w:w="3456"/>
          </w:tcPr>
          <w:p>
            <w:pPr>
              <w:spacing w:after="20"/>
            </w:pPr>
            <w:r>
              <w:rPr>
                <w:color w:val="1C3A36"/>
                <w:sz w:val="16"/>
              </w:rPr>
              <w:t>The far-year forecast ranges</w:t>
            </w:r>
          </w:p>
        </w:tc>
        <w:tc>
          <w:tcPr>
            <w:tcW w:type="dxa" w:w="10512"/>
          </w:tcPr>
          <w:p>
            <w:pPr>
              <w:spacing w:after="20"/>
            </w:pPr>
            <w:r>
              <w:rPr>
                <w:color w:val="1C3A36"/>
                <w:sz w:val="16"/>
              </w:rPr>
              <w:t>The full span of the observed errors this method made at that horizon on this company’s own history, applied by multiplying the point projection. THE ORIENTATION IS ACTUAL OVER FORECAST, so a band above one is a year the method came in low; a band the other way up would move a forecast in the wrong direction and the two are never assumed. The bounds are a span of past readings rather than a percentile, and the observation count is printed beside every band in the study, because a span of a handful of readings is not a percentile and this study does not call it one.</w:t>
            </w:r>
          </w:p>
        </w:tc>
      </w:tr>
    </w:tbl>
    <w:p>
      <w:pPr>
        <w:spacing w:after="40"/>
      </w:pPr>
    </w:p>
    <w:p>
      <w:pPr>
        <w:spacing w:after="120" w:before="240"/>
      </w:pPr>
      <w:r>
        <w:rPr>
          <w:b/>
          <w:i w:val="0"/>
          <w:color w:val="1C3A36"/>
          <w:sz w:val="30"/>
        </w:rPr>
        <w:t>6  Aggregator discrepancies and figures deliberately not used</w:t>
      </w:r>
    </w:p>
    <w:p>
      <w:pPr>
        <w:spacing w:after="100" w:before="0"/>
      </w:pPr>
      <w:r>
        <w:rPr>
          <w:b w:val="0"/>
          <w:i w:val="0"/>
          <w:color w:val="1C3A36"/>
          <w:sz w:val="19"/>
        </w:rPr>
        <w:t>Where a third-party figure was seen and rejected, it is recorded here rather than left to a reader to wonder about.</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5112"/>
        <w:gridCol w:w="6192"/>
      </w:tblGrid>
      <w:tr>
        <w:tc>
          <w:tcPr>
            <w:tcW w:type="dxa" w:w="2664"/>
            <w:shd w:val="clear" w:color="auto" w:fill="EAF0EE"/>
          </w:tcPr>
          <w:p>
            <w:pPr>
              <w:spacing w:after="20"/>
            </w:pPr>
            <w:r>
              <w:rPr>
                <w:b/>
                <w:color w:val="1C3A36"/>
                <w:sz w:val="15"/>
              </w:rPr>
              <w:t>Figure</w:t>
            </w:r>
          </w:p>
        </w:tc>
        <w:tc>
          <w:tcPr>
            <w:tcW w:type="dxa" w:w="5112"/>
            <w:shd w:val="clear" w:color="auto" w:fill="EAF0EE"/>
          </w:tcPr>
          <w:p>
            <w:pPr>
              <w:spacing w:after="20"/>
            </w:pPr>
            <w:r>
              <w:rPr>
                <w:b/>
                <w:color w:val="1C3A36"/>
                <w:sz w:val="15"/>
              </w:rPr>
              <w:t>What a third party carried</w:t>
            </w:r>
          </w:p>
        </w:tc>
        <w:tc>
          <w:tcPr>
            <w:tcW w:type="dxa" w:w="6192"/>
            <w:shd w:val="clear" w:color="auto" w:fill="EAF0EE"/>
          </w:tcPr>
          <w:p>
            <w:pPr>
              <w:spacing w:after="20"/>
            </w:pPr>
            <w:r>
              <w:rPr>
                <w:b/>
                <w:color w:val="1C3A36"/>
                <w:sz w:val="15"/>
              </w:rPr>
              <w:t>What this study uses, and why</w:t>
            </w:r>
          </w:p>
        </w:tc>
      </w:tr>
      <w:tr>
        <w:tc>
          <w:tcPr>
            <w:tcW w:type="dxa" w:w="2664"/>
          </w:tcPr>
          <w:p>
            <w:pPr>
              <w:spacing w:after="20"/>
            </w:pPr>
            <w:r>
              <w:rPr>
                <w:color w:val="1C3A36"/>
                <w:sz w:val="15"/>
              </w:rPr>
              <w:t>The company’s own reported historicals</w:t>
            </w:r>
          </w:p>
        </w:tc>
        <w:tc>
          <w:tcPr>
            <w:tcW w:type="dxa" w:w="5112"/>
          </w:tcPr>
          <w:p>
            <w:pPr>
              <w:spacing w:after="20"/>
            </w:pPr>
            <w:r>
              <w:rPr>
                <w:color w:val="1C3A36"/>
                <w:sz w:val="15"/>
              </w:rPr>
              <w:t>Aggregator restatements of revenue, profit and balance-sheet lines circulate for this name and differ in classification from the filings</w:t>
            </w:r>
          </w:p>
        </w:tc>
        <w:tc>
          <w:tcPr>
            <w:tcW w:type="dxa" w:w="6192"/>
          </w:tcPr>
          <w:p>
            <w:pPr>
              <w:spacing w:after="20"/>
            </w:pPr>
            <w:r>
              <w:rPr>
                <w:color w:val="1C3A36"/>
                <w:sz w:val="15"/>
              </w:rPr>
              <w:t>NONE of them is used. Every reported figure in this study comes from a document the company published itself, which is a hard gate rather than a preference. Where an aggregator and a filing disagree, the filing is right by definition of what is being measured.</w:t>
            </w:r>
          </w:p>
        </w:tc>
      </w:tr>
      <w:tr>
        <w:tc>
          <w:tcPr>
            <w:tcW w:type="dxa" w:w="2664"/>
          </w:tcPr>
          <w:p>
            <w:pPr>
              <w:spacing w:after="20"/>
            </w:pPr>
            <w:r>
              <w:rPr>
                <w:color w:val="1C3A36"/>
                <w:sz w:val="15"/>
              </w:rPr>
              <w:t>The equity beta</w:t>
            </w:r>
          </w:p>
        </w:tc>
        <w:tc>
          <w:tcPr>
            <w:tcW w:type="dxa" w:w="5112"/>
          </w:tcPr>
          <w:p>
            <w:pPr>
              <w:spacing w:after="20"/>
            </w:pPr>
            <w:r>
              <w:rPr>
                <w:color w:val="1C3A36"/>
                <w:sz w:val="15"/>
              </w:rPr>
              <w:t>A five-annual-observation estimate returning a negative slope with essentially no explanatory power</w:t>
            </w:r>
          </w:p>
        </w:tc>
        <w:tc>
          <w:tcPr>
            <w:tcW w:type="dxa" w:w="6192"/>
          </w:tcPr>
          <w:p>
            <w:pPr>
              <w:spacing w:after="20"/>
            </w:pPr>
            <w:r>
              <w:rPr>
                <w:color w:val="1C3A36"/>
                <w:sz w:val="15"/>
              </w:rPr>
              <w:t>Refused as unusable. The weekly regression in section 5 is what this edition adopts, and the superseded figure of 1 is recorded beside it rather than deleted.</w:t>
            </w:r>
          </w:p>
        </w:tc>
      </w:tr>
      <w:tr>
        <w:tc>
          <w:tcPr>
            <w:tcW w:type="dxa" w:w="2664"/>
          </w:tcPr>
          <w:p>
            <w:pPr>
              <w:spacing w:after="20"/>
            </w:pPr>
            <w:r>
              <w:rPr>
                <w:color w:val="1C3A36"/>
                <w:sz w:val="15"/>
              </w:rPr>
              <w:t>The associate stake percentage</w:t>
            </w:r>
          </w:p>
        </w:tc>
        <w:tc>
          <w:tcPr>
            <w:tcW w:type="dxa" w:w="5112"/>
          </w:tcPr>
          <w:p>
            <w:pPr>
              <w:spacing w:after="20"/>
            </w:pPr>
            <w:r>
              <w:rPr>
                <w:color w:val="1C3A36"/>
                <w:sz w:val="15"/>
              </w:rPr>
              <w:t>An estimate of roughly a fifth circulated in an early draft of this study, and the pre-transaction figure of 42.58% was carried for a period afterwards</w:t>
            </w:r>
          </w:p>
        </w:tc>
        <w:tc>
          <w:tcPr>
            <w:tcW w:type="dxa" w:w="6192"/>
          </w:tcPr>
          <w:p>
            <w:pPr>
              <w:spacing w:after="20"/>
            </w:pPr>
            <w:r>
              <w:rPr>
                <w:color w:val="1C3A36"/>
                <w:sz w:val="15"/>
              </w:rPr>
              <w:t>Neither is used. The company states the current figure directly in its own release, and that is what the study applies; the superseded figures are printed in the study body so a reader can see what changed.</w:t>
            </w:r>
          </w:p>
        </w:tc>
      </w:tr>
      <w:tr>
        <w:tc>
          <w:tcPr>
            <w:tcW w:type="dxa" w:w="2664"/>
          </w:tcPr>
          <w:p>
            <w:pPr>
              <w:spacing w:after="20"/>
            </w:pPr>
            <w:r>
              <w:rPr>
                <w:color w:val="1C3A36"/>
                <w:sz w:val="15"/>
              </w:rPr>
              <w:t>The exchange rate applied to the associate mark</w:t>
            </w:r>
          </w:p>
        </w:tc>
        <w:tc>
          <w:tcPr>
            <w:tcW w:type="dxa" w:w="5112"/>
          </w:tcPr>
          <w:p>
            <w:pPr>
              <w:spacing w:after="20"/>
            </w:pPr>
            <w:r>
              <w:rPr>
                <w:color w:val="1C3A36"/>
                <w:sz w:val="15"/>
              </w:rPr>
              <w:t>Quoted rates for the period differ by source and by whether they are official or parallel</w:t>
            </w:r>
          </w:p>
        </w:tc>
        <w:tc>
          <w:tcPr>
            <w:tcW w:type="dxa" w:w="6192"/>
          </w:tcPr>
          <w:p>
            <w:pPr>
              <w:spacing w:after="20"/>
            </w:pPr>
            <w:r>
              <w:rPr>
                <w:color w:val="1C3A36"/>
                <w:sz w:val="15"/>
              </w:rPr>
              <w:t>The rate used is stated in the study’s own disclosure section and flagged there as an estimate. It is a material input to one line and it is labelled as such rather than presented as a fact.</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