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Layout w:type="fixed"/>
        <w:tblCellMar>
          <w:top w:w="90" w:type="dxa"/>
          <w:left w:w="160" w:type="dxa"/>
          <w:bottom w:w="90" w:type="dxa"/>
          <w:right w:w="160" w:type="dxa"/>
        </w:tblCellMar>
      </w:tblPr>
      <w:tblGrid>
        <w:gridCol w:w="10080"/>
      </w:tblGrid>
      <w:tr>
        <w:tc>
          <w:tcPr>
            <w:tcW w:type="dxa" w:w="10080"/>
            <w:shd w:val="clear" w:color="auto" w:fill="1C3A36"/>
          </w:tcPr>
          <w:p>
            <w:r>
              <w:rPr>
                <w:b/>
                <w:color w:val="FFFFFF"/>
                <w:sz w:val="22"/>
              </w:rPr>
              <w:t>Testahil · Independent Valuation Study</w:t>
            </w:r>
            <w:r>
              <w:rPr>
                <w:color w:val="9FB0AC"/>
                <w:sz w:val="19"/>
              </w:rPr>
              <w:t xml:space="preserve">   Educational analysis · not investment advice</w:t>
            </w:r>
          </w:p>
        </w:tc>
      </w:tr>
    </w:tbl>
    <w:p>
      <w:pPr>
        <w:spacing w:after="0"/>
      </w:pPr>
    </w:p>
    <w:p>
      <w:pPr>
        <w:spacing w:after="20" w:before="0"/>
      </w:pPr>
      <w:r>
        <w:rPr>
          <w:b/>
          <w:i w:val="0"/>
          <w:color w:val="1C3A36"/>
          <w:sz w:val="42"/>
        </w:rPr>
        <w:t>Egyptian International Pharmaceutical Industries Company (EIPICO)</w:t>
      </w:r>
    </w:p>
    <w:p>
      <w:pPr>
        <w:spacing w:after="40" w:before="0"/>
      </w:pPr>
      <w:r>
        <w:rPr>
          <w:b w:val="0"/>
          <w:i w:val="0"/>
          <w:color w:val="6E7B77"/>
          <w:sz w:val="23"/>
        </w:rPr>
        <w:t>Independent valuation study · The Egyptian Exchange · ticker PHAR · Egyptian pounds</w:t>
      </w:r>
    </w:p>
    <w:p>
      <w:pPr>
        <w:spacing w:after="240" w:before="0"/>
      </w:pPr>
      <w:r>
        <w:rPr>
          <w:b w:val="0"/>
          <w:i w:val="0"/>
          <w:color w:val="6E7B77"/>
          <w:sz w:val="20"/>
        </w:rPr>
        <w:t>Prepared 9 August 2026 · share price EGP 127.30 at the close of 6 August 2026 · 168.756 million shares in issue</w:t>
      </w:r>
    </w:p>
    <w:p>
      <w:pPr>
        <w:spacing w:after="120" w:before="280"/>
      </w:pPr>
      <w:r>
        <w:rPr>
          <w:b/>
          <w:i w:val="0"/>
          <w:color w:val="1C3A36"/>
          <w:sz w:val="30"/>
        </w:rPr>
        <w:t>Read first</w:t>
      </w:r>
    </w:p>
    <w:tbl>
      <w:tblPr>
        <w:tblW w:type="auto" w:w="0"/>
        <w:tblLook w:firstColumn="1" w:firstRow="1" w:lastColumn="0" w:lastRow="0" w:noHBand="0" w:noVBand="1" w:val="04A0"/>
        <w:tblLayout w:type="fixed"/>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b/>
                <w:color w:val="1C3A36"/>
                <w:sz w:val="19"/>
              </w:rPr>
              <w:t xml:space="preserve">What this is. </w:t>
            </w:r>
            <w:r>
              <w:rPr>
                <w:color w:val="1C3A36"/>
                <w:sz w:val="19"/>
              </w:rPr>
              <w:t>An independent, educational valuation of a listed Egyptian pharmaceutical manufacturer, built from the company's own audited financial statements. It contains no rating, no recommendation and no price target. It expresses value as a RANGE and, separately, as a probability distribution.</w:t>
            </w:r>
          </w:p>
          <w:p>
            <w:pPr>
              <w:spacing w:after="100"/>
            </w:pPr>
            <w:r>
              <w:rPr>
                <w:b/>
                <w:color w:val="1C3A36"/>
                <w:sz w:val="19"/>
              </w:rPr>
              <w:t xml:space="preserve">What it is built on. </w:t>
            </w:r>
            <w:r>
              <w:rPr>
                <w:color w:val="1C3A36"/>
                <w:sz w:val="19"/>
              </w:rPr>
              <w:t>Four consecutive years of audited consolidated financial statements — FY2022 through FY2025 — with the auditor's report and full notes, together with the board of directors' own operating statistics and the company's investor presentation. Every historical figure in this study traces to one of those documents. No data vendor, broker note or press report is used to build any number about the company itself.</w:t>
            </w:r>
          </w:p>
          <w:p>
            <w:pPr>
              <w:spacing w:after="100"/>
            </w:pPr>
            <w:r>
              <w:rPr>
                <w:b/>
                <w:color w:val="1C3A36"/>
                <w:sz w:val="19"/>
              </w:rPr>
              <w:t xml:space="preserve">The one number to hold on to. </w:t>
            </w:r>
            <w:r>
              <w:rPr>
                <w:color w:val="1C3A36"/>
                <w:sz w:val="19"/>
              </w:rPr>
              <w:t>There is no single number, and that is deliberate. Five readings put fair value between EGP 33 and EGP 57 a share. Because the contested judgement below is carried BOTH ways and the two are never averaged, the study publishes TWO weighted centres: EGP 33.00 a share on the permanent-provision reading and EGP 49.68 on the normalising one. The market price is EGP 127.30. That gap is the study, and section 1.7 states exactly what would have to be true for the market to be right.</w:t>
            </w:r>
          </w:p>
          <w:p>
            <w:pPr>
              <w:spacing w:after="100"/>
            </w:pPr>
            <w:r>
              <w:rPr>
                <w:b/>
                <w:color w:val="1C3A36"/>
                <w:sz w:val="19"/>
              </w:rPr>
              <w:t xml:space="preserve">What this study deliberately does NOT do. </w:t>
            </w:r>
            <w:r>
              <w:rPr>
                <w:color w:val="1C3A36"/>
                <w:sz w:val="19"/>
              </w:rPr>
              <w:t>It does not put a revenue line on the company's new biologicals plant, because the company has published no volume, price or utilisation guidance for it. It charges the plant's depreciation and its interest, because both follow mechanically from the licence the company obtained in December 2025. Section 1.7 then solves for how much the plant must sell to justify the market price and states that in observable units.</w:t>
            </w:r>
          </w:p>
          <w:p>
            <w:pPr>
              <w:spacing w:after="100"/>
            </w:pPr>
            <w:r>
              <w:rPr>
                <w:b/>
                <w:color w:val="1C3A36"/>
                <w:sz w:val="19"/>
              </w:rPr>
              <w:t xml:space="preserve">This is the second edition. </w:t>
            </w:r>
            <w:r>
              <w:rPr>
                <w:color w:val="1C3A36"/>
                <w:sz w:val="19"/>
              </w:rPr>
              <w:t>It folds in the reviewed first quarter of 2026 and the separately issued audited FY2023 and FY2024 statements, obtained after the first issue. The first quarter CONFIRMED the study's central mechanism — the construction balance is transferring and the depreciation charge has more than doubled — but it also came in softer than the first edition assumed on revenue, associates and capital spending. The weighted centre moves from a single EGP 79.64 to a PAIR — EGP 33.00 and EGP 49.68 a share. Section 7 lists what changed and by how much.</w:t>
            </w:r>
          </w:p>
          <w:p>
            <w:pPr>
              <w:spacing w:after="100"/>
            </w:pPr>
            <w:r>
              <w:rPr>
                <w:b/>
                <w:color w:val="1C3A36"/>
                <w:sz w:val="19"/>
              </w:rPr>
              <w:t xml:space="preserve">The first-quarter review is QUALIFIED. </w:t>
            </w:r>
            <w:r>
              <w:rPr>
                <w:color w:val="1C3A36"/>
                <w:sz w:val="19"/>
              </w:rPr>
              <w:t>The auditor qualified the conclusion on three matters: the associates' own periodic statements were not received; the active-ingredient company was recognised at cost after loss of control rather than remeasured and equity-accounted; and NO expected-credit-loss charge was recognised in the quarter. The third goes straight to this study's contested judgement and is the reason it is still carried both ways.</w:t>
            </w:r>
          </w:p>
          <w:p>
            <w:pPr>
              <w:spacing w:after="100"/>
            </w:pPr>
            <w:r>
              <w:rPr>
                <w:b/>
                <w:color w:val="1C3A36"/>
                <w:sz w:val="19"/>
              </w:rPr>
              <w:t xml:space="preserve">The contested judgement is carried both ways. </w:t>
            </w:r>
            <w:r>
              <w:rPr>
                <w:color w:val="1C3A36"/>
                <w:sz w:val="19"/>
              </w:rPr>
              <w:t>The credit-loss and provision charge is the study's single most consequential contested judgement. It is computed on two frames and both are published side by side, in the summary table, in the body, in the workbook and in an expert's range. They are never averaged into one number — which is why this edition publishes two weighted centres rather than one. The first edition weighted both frames at a quarter each inside a single centre, and weighting both frames inside one number IS averaging them; that centre has been withdrawn.</w:t>
            </w:r>
          </w:p>
        </w:tc>
      </w:tr>
    </w:tbl>
    <w:p>
      <w:pPr>
        <w:spacing w:after="40"/>
      </w:pPr>
    </w:p>
    <w:p>
      <w:pPr>
        <w:spacing w:after="120" w:before="280"/>
      </w:pPr>
      <w:r>
        <w:rPr>
          <w:b/>
          <w:i w:val="0"/>
          <w:color w:val="1C3A36"/>
          <w:sz w:val="30"/>
        </w:rPr>
        <w:t>Headline</w:t>
      </w:r>
    </w:p>
    <w:p>
      <w:pPr>
        <w:spacing w:after="120" w:before="0"/>
      </w:pPr>
      <w:r>
        <w:rPr>
          <w:b w:val="0"/>
          <w:i w:val="0"/>
          <w:color w:val="1C3A36"/>
          <w:sz w:val="21"/>
        </w:rPr>
        <w:t>EIPICO is Egypt's largest pharmaceutical manufacturer by units and its largest pharmaceutical exporter, and it has just finished building something big. Revenue grew 24.4% in FY2025 to EGP 9,441 million, attributable profit rose 31.6% to EGP 1,442 million, and the shares have roughly doubled this year. The question this study asks is not whether the business is good. It is whether EGP 127.30 a share already pays for a plant that has not yet sold anything.</w:t>
      </w:r>
    </w:p>
    <w:p>
      <w:pPr>
        <w:spacing w:after="120" w:before="0"/>
      </w:pPr>
      <w:r>
        <w:rPr>
          <w:b w:val="0"/>
          <w:i w:val="0"/>
          <w:color w:val="1C3A36"/>
          <w:sz w:val="21"/>
        </w:rPr>
        <w:t>The company spent the last three years building EIPICO 3, a biologicals and biosimilars facility it describes as the first in Egypt to manufacture from cell culture through to finished product, at a stated cost of USD 100 million. At 31 December 2025 the construction balance stood at EGP 4,901 million — larger than the entire depreciated property base of EGP 3,070 million. The Egyptian Drug Authority licensed it in December 2025. From FY2026 that balance starts depreciating: the charge goes from an audited EGP 117.7 million to EGP 304 million in FY2026E and EGP 446 million at its peak. The finance cost, meanwhile, does NOT rise: the first quarter of 2026 ran at EGP 312.9 million, an annual rate of about EGP 1,251 million against EGP 1,333 million actually borne in FY2025, so the forecast charges LESS interest, not more. The net mechanical change this study carries is therefore EGP 103 million a year of additional pre-tax charge, not the EGP 700 million a first reading of the licensing event suggests. The larger figure would require adding back the EGP 551 million of interest that was being capitalised, and the company's own first quarter says that is not what is happening. Either way the plant contributes no revenue yet.</w:t>
      </w:r>
    </w:p>
    <w:p>
      <w:pPr>
        <w:spacing w:after="120" w:before="0"/>
      </w:pPr>
      <w:r>
        <w:rPr>
          <w:b w:val="0"/>
          <w:i w:val="0"/>
          <w:color w:val="1C3A36"/>
          <w:sz w:val="21"/>
        </w:rPr>
        <w:t>Against that, four methods that do not depend on the new plant at all — discounted cash flow, run on two framings of the provision charge and so giving five readings in total; book value against sustainable return; triangulated multiples; and normalised earnings power — cluster between EGP 33 and EGP 57. The market is above all of them.</w:t>
      </w:r>
    </w:p>
    <w:p>
      <w:pPr>
        <w:spacing w:after="120" w:before="0"/>
      </w:pPr>
      <w:r>
        <w:rPr>
          <w:b w:val="0"/>
          <w:i w:val="0"/>
          <w:color w:val="1C3A36"/>
          <w:sz w:val="21"/>
        </w:rPr>
        <w:t>The first quarter of 2026, reviewed and published in May, settles part of that question and sharpens the rest. Fixed assets rose EGP 1,140 million and the construction balance fell EGP 918 million in three months; depreciation and amortisation went to EGP 56.2 million from EGP 26.6 million a year earlier, more than double. The plant is in service and the charge has arrived, exactly as this study said it would. What has not arrived is the revenue: net sales grew 10.1% and attributable profit FELL 10.9% to EGP 284 million.</w:t>
      </w:r>
    </w:p>
    <w:p>
      <w:pPr>
        <w:spacing w:after="40"/>
        <w:jc w:val="center"/>
      </w:pPr>
      <w:r>
        <w:drawing>
          <wp:inline xmlns:a="http://schemas.openxmlformats.org/drawingml/2006/main" xmlns:pic="http://schemas.openxmlformats.org/drawingml/2006/picture">
            <wp:extent cx="6309360" cy="2585731"/>
            <wp:docPr id="1" name="Picture 1"/>
            <wp:cNvGraphicFramePr>
              <a:graphicFrameLocks noChangeAspect="1"/>
            </wp:cNvGraphicFramePr>
            <a:graphic>
              <a:graphicData uri="http://schemas.openxmlformats.org/drawingml/2006/picture">
                <pic:pic>
                  <pic:nvPicPr>
                    <pic:cNvPr id="0" name="fig1_field.png"/>
                    <pic:cNvPicPr/>
                  </pic:nvPicPr>
                  <pic:blipFill>
                    <a:blip r:embed="rId9"/>
                    <a:stretch>
                      <a:fillRect/>
                    </a:stretch>
                  </pic:blipFill>
                  <pic:spPr>
                    <a:xfrm>
                      <a:off x="0" y="0"/>
                      <a:ext cx="6309360" cy="2585731"/>
                    </a:xfrm>
                    <a:prstGeom prst="rect"/>
                  </pic:spPr>
                </pic:pic>
              </a:graphicData>
            </a:graphic>
          </wp:inline>
        </w:drawing>
      </w:r>
    </w:p>
    <w:p>
      <w:pPr>
        <w:spacing w:after="200" w:before="0"/>
      </w:pPr>
      <w:r>
        <w:rPr>
          <w:b w:val="0"/>
          <w:i/>
          <w:color w:val="6E7B77"/>
          <w:sz w:val="17"/>
        </w:rPr>
        <w:t>Figure 1 — five readings and TWO centres. The two provision frames are published side by side and are never averaged into one number.</w:t>
      </w:r>
    </w:p>
    <w:p>
      <w:pPr>
        <w:spacing w:after="120" w:before="280"/>
      </w:pPr>
      <w:r>
        <w:rPr>
          <w:b/>
          <w:i w:val="0"/>
          <w:color w:val="1C3A36"/>
          <w:sz w:val="30"/>
        </w:rPr>
        <w:t>Valuation summary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384"/>
        <w:gridCol w:w="1512"/>
        <w:gridCol w:w="1224"/>
        <w:gridCol w:w="3960"/>
      </w:tblGrid>
      <w:tr>
        <w:tc>
          <w:tcPr>
            <w:tcW w:type="dxa" w:w="3384"/>
            <w:shd w:val="clear" w:color="auto" w:fill="EAF0EE"/>
          </w:tcPr>
          <w:p>
            <w:pPr>
              <w:spacing w:after="20"/>
            </w:pPr>
            <w:r>
              <w:rPr>
                <w:b/>
                <w:color w:val="1C3A36"/>
                <w:sz w:val="18"/>
              </w:rPr>
              <w:t>Reading</w:t>
            </w:r>
          </w:p>
        </w:tc>
        <w:tc>
          <w:tcPr>
            <w:tcW w:type="dxa" w:w="1512"/>
            <w:shd w:val="clear" w:color="auto" w:fill="EAF0EE"/>
          </w:tcPr>
          <w:p>
            <w:pPr>
              <w:spacing w:after="20"/>
            </w:pPr>
            <w:r>
              <w:rPr>
                <w:b/>
                <w:color w:val="1C3A36"/>
                <w:sz w:val="18"/>
              </w:rPr>
              <w:t>EGP / share</w:t>
            </w:r>
          </w:p>
        </w:tc>
        <w:tc>
          <w:tcPr>
            <w:tcW w:type="dxa" w:w="1224"/>
            <w:shd w:val="clear" w:color="auto" w:fill="EAF0EE"/>
          </w:tcPr>
          <w:p>
            <w:pPr>
              <w:spacing w:after="20"/>
            </w:pPr>
            <w:r>
              <w:rPr>
                <w:b/>
                <w:color w:val="1C3A36"/>
                <w:sz w:val="18"/>
              </w:rPr>
              <w:t>vs market</w:t>
            </w:r>
          </w:p>
        </w:tc>
        <w:tc>
          <w:tcPr>
            <w:tcW w:type="dxa" w:w="3960"/>
            <w:shd w:val="clear" w:color="auto" w:fill="EAF0EE"/>
          </w:tcPr>
          <w:p>
            <w:pPr>
              <w:spacing w:after="20"/>
            </w:pPr>
            <w:r>
              <w:rPr>
                <w:b/>
                <w:color w:val="1C3A36"/>
                <w:sz w:val="18"/>
              </w:rPr>
              <w:t>Note</w:t>
            </w:r>
          </w:p>
        </w:tc>
      </w:tr>
      <w:tr>
        <w:tc>
          <w:tcPr>
            <w:tcW w:type="dxa" w:w="3384"/>
          </w:tcPr>
          <w:p>
            <w:pPr>
              <w:spacing w:after="20"/>
            </w:pPr>
            <w:r>
              <w:rPr>
                <w:color w:val="1C3A36"/>
                <w:sz w:val="18"/>
              </w:rPr>
              <w:t>Discounted cash flow — Frame A (THE CENTRE)</w:t>
            </w:r>
          </w:p>
        </w:tc>
        <w:tc>
          <w:tcPr>
            <w:tcW w:type="dxa" w:w="1512"/>
          </w:tcPr>
          <w:p>
            <w:pPr>
              <w:spacing w:after="20"/>
              <w:jc w:val="right"/>
            </w:pPr>
            <w:r>
              <w:rPr>
                <w:color w:val="1C3A36"/>
                <w:sz w:val="18"/>
              </w:rPr>
              <w:t>33.00</w:t>
            </w:r>
          </w:p>
        </w:tc>
        <w:tc>
          <w:tcPr>
            <w:tcW w:type="dxa" w:w="1224"/>
          </w:tcPr>
          <w:p>
            <w:pPr>
              <w:spacing w:after="20"/>
              <w:jc w:val="right"/>
            </w:pPr>
            <w:r>
              <w:rPr>
                <w:color w:val="1C3A36"/>
                <w:sz w:val="18"/>
              </w:rPr>
              <w:t>-74%</w:t>
            </w:r>
          </w:p>
        </w:tc>
        <w:tc>
          <w:tcPr>
            <w:tcW w:type="dxa" w:w="3960"/>
          </w:tcPr>
          <w:p>
            <w:pPr>
              <w:spacing w:after="20"/>
              <w:jc w:val="right"/>
            </w:pPr>
            <w:r>
              <w:rPr>
                <w:color w:val="1C3A36"/>
                <w:sz w:val="18"/>
              </w:rPr>
              <w:t>three-year average margin 22.9%</w:t>
            </w:r>
          </w:p>
        </w:tc>
      </w:tr>
      <w:tr>
        <w:tc>
          <w:tcPr>
            <w:tcW w:type="dxa" w:w="3384"/>
          </w:tcPr>
          <w:p>
            <w:pPr>
              <w:spacing w:after="20"/>
            </w:pPr>
            <w:r>
              <w:rPr>
                <w:color w:val="1C3A36"/>
                <w:sz w:val="18"/>
              </w:rPr>
              <w:t>Discounted cash flow — Frame B (THE CENTRE)</w:t>
            </w:r>
          </w:p>
        </w:tc>
        <w:tc>
          <w:tcPr>
            <w:tcW w:type="dxa" w:w="1512"/>
          </w:tcPr>
          <w:p>
            <w:pPr>
              <w:spacing w:after="20"/>
              <w:jc w:val="right"/>
            </w:pPr>
            <w:r>
              <w:rPr>
                <w:color w:val="1C3A36"/>
                <w:sz w:val="18"/>
              </w:rPr>
              <w:t>49.68</w:t>
            </w:r>
          </w:p>
        </w:tc>
        <w:tc>
          <w:tcPr>
            <w:tcW w:type="dxa" w:w="1224"/>
          </w:tcPr>
          <w:p>
            <w:pPr>
              <w:spacing w:after="20"/>
              <w:jc w:val="right"/>
            </w:pPr>
            <w:r>
              <w:rPr>
                <w:color w:val="1C3A36"/>
                <w:sz w:val="18"/>
              </w:rPr>
              <w:t>-61%</w:t>
            </w:r>
          </w:p>
        </w:tc>
        <w:tc>
          <w:tcPr>
            <w:tcW w:type="dxa" w:w="3960"/>
          </w:tcPr>
          <w:p>
            <w:pPr>
              <w:spacing w:after="20"/>
              <w:jc w:val="right"/>
            </w:pPr>
            <w:r>
              <w:rPr>
                <w:color w:val="1C3A36"/>
                <w:sz w:val="18"/>
              </w:rPr>
              <w:t>three-year average margin 22.9%</w:t>
            </w:r>
          </w:p>
        </w:tc>
      </w:tr>
      <w:tr>
        <w:tc>
          <w:tcPr>
            <w:tcW w:type="dxa" w:w="3384"/>
          </w:tcPr>
          <w:p>
            <w:pPr>
              <w:spacing w:after="20"/>
            </w:pPr>
            <w:r>
              <w:rPr>
                <w:color w:val="1C3A36"/>
                <w:sz w:val="18"/>
              </w:rPr>
              <w:t>Book value and sustainable return</w:t>
            </w:r>
          </w:p>
        </w:tc>
        <w:tc>
          <w:tcPr>
            <w:tcW w:type="dxa" w:w="1512"/>
          </w:tcPr>
          <w:p>
            <w:pPr>
              <w:spacing w:after="20"/>
              <w:jc w:val="right"/>
            </w:pPr>
            <w:r>
              <w:rPr>
                <w:color w:val="1C3A36"/>
                <w:sz w:val="18"/>
              </w:rPr>
              <w:t>43.91</w:t>
            </w:r>
          </w:p>
        </w:tc>
        <w:tc>
          <w:tcPr>
            <w:tcW w:type="dxa" w:w="1224"/>
          </w:tcPr>
          <w:p>
            <w:pPr>
              <w:spacing w:after="20"/>
              <w:jc w:val="right"/>
            </w:pPr>
            <w:r>
              <w:rPr>
                <w:color w:val="1C3A36"/>
                <w:sz w:val="18"/>
              </w:rPr>
              <w:t>-66%</w:t>
            </w:r>
          </w:p>
        </w:tc>
        <w:tc>
          <w:tcPr>
            <w:tcW w:type="dxa" w:w="3960"/>
          </w:tcPr>
          <w:p>
            <w:pPr>
              <w:spacing w:after="20"/>
              <w:jc w:val="right"/>
            </w:pPr>
            <w:r>
              <w:rPr>
                <w:color w:val="1C3A36"/>
                <w:sz w:val="18"/>
              </w:rPr>
              <w:t>justified 1.19x book of EGP 37.00</w:t>
            </w:r>
          </w:p>
        </w:tc>
      </w:tr>
      <w:tr>
        <w:tc>
          <w:tcPr>
            <w:tcW w:type="dxa" w:w="3384"/>
          </w:tcPr>
          <w:p>
            <w:pPr>
              <w:spacing w:after="20"/>
            </w:pPr>
            <w:r>
              <w:rPr>
                <w:color w:val="1C3A36"/>
                <w:sz w:val="18"/>
              </w:rPr>
              <w:t>Relative multiples</w:t>
            </w:r>
          </w:p>
        </w:tc>
        <w:tc>
          <w:tcPr>
            <w:tcW w:type="dxa" w:w="1512"/>
          </w:tcPr>
          <w:p>
            <w:pPr>
              <w:spacing w:after="20"/>
              <w:jc w:val="right"/>
            </w:pPr>
            <w:r>
              <w:rPr>
                <w:color w:val="1C3A36"/>
                <w:sz w:val="18"/>
              </w:rPr>
              <w:t>48.65</w:t>
            </w:r>
          </w:p>
        </w:tc>
        <w:tc>
          <w:tcPr>
            <w:tcW w:type="dxa" w:w="1224"/>
          </w:tcPr>
          <w:p>
            <w:pPr>
              <w:spacing w:after="20"/>
              <w:jc w:val="right"/>
            </w:pPr>
            <w:r>
              <w:rPr>
                <w:color w:val="1C3A36"/>
                <w:sz w:val="18"/>
              </w:rPr>
              <w:t>-62%</w:t>
            </w:r>
          </w:p>
        </w:tc>
        <w:tc>
          <w:tcPr>
            <w:tcW w:type="dxa" w:w="3960"/>
          </w:tcPr>
          <w:p>
            <w:pPr>
              <w:spacing w:after="20"/>
              <w:jc w:val="right"/>
            </w:pPr>
            <w:r>
              <w:rPr>
                <w:color w:val="1C3A36"/>
                <w:sz w:val="18"/>
              </w:rPr>
              <w:t>three multiples, each on the earnings of its own period</w:t>
            </w:r>
          </w:p>
        </w:tc>
      </w:tr>
      <w:tr>
        <w:tc>
          <w:tcPr>
            <w:tcW w:type="dxa" w:w="3384"/>
          </w:tcPr>
          <w:p>
            <w:pPr>
              <w:spacing w:after="20"/>
            </w:pPr>
            <w:r>
              <w:rPr>
                <w:color w:val="1C3A36"/>
                <w:sz w:val="18"/>
              </w:rPr>
              <w:t>Normalised earnings power</w:t>
            </w:r>
          </w:p>
        </w:tc>
        <w:tc>
          <w:tcPr>
            <w:tcW w:type="dxa" w:w="1512"/>
          </w:tcPr>
          <w:p>
            <w:pPr>
              <w:spacing w:after="20"/>
              <w:jc w:val="right"/>
            </w:pPr>
            <w:r>
              <w:rPr>
                <w:color w:val="1C3A36"/>
                <w:sz w:val="18"/>
              </w:rPr>
              <w:t>56.78</w:t>
            </w:r>
          </w:p>
        </w:tc>
        <w:tc>
          <w:tcPr>
            <w:tcW w:type="dxa" w:w="1224"/>
          </w:tcPr>
          <w:p>
            <w:pPr>
              <w:spacing w:after="20"/>
              <w:jc w:val="right"/>
            </w:pPr>
            <w:r>
              <w:rPr>
                <w:color w:val="1C3A36"/>
                <w:sz w:val="18"/>
              </w:rPr>
              <w:t>-55%</w:t>
            </w:r>
          </w:p>
        </w:tc>
        <w:tc>
          <w:tcPr>
            <w:tcW w:type="dxa" w:w="3960"/>
          </w:tcPr>
          <w:p>
            <w:pPr>
              <w:spacing w:after="20"/>
              <w:jc w:val="right"/>
            </w:pPr>
            <w:r>
              <w:rPr>
                <w:color w:val="1C3A36"/>
                <w:sz w:val="18"/>
              </w:rPr>
              <w:t>three-year average margin 22.9%</w:t>
            </w:r>
          </w:p>
        </w:tc>
      </w:tr>
      <w:tr>
        <w:tc>
          <w:tcPr>
            <w:tcW w:type="dxa" w:w="3384"/>
            <w:shd w:val="clear" w:color="auto" w:fill="F6F1E6"/>
          </w:tcPr>
          <w:p>
            <w:pPr>
              <w:spacing w:after="20"/>
            </w:pPr>
            <w:r>
              <w:rPr>
                <w:b/>
                <w:color w:val="1C3A36"/>
                <w:sz w:val="18"/>
              </w:rPr>
              <w:t>CENTRE — Frame A</w:t>
            </w:r>
          </w:p>
        </w:tc>
        <w:tc>
          <w:tcPr>
            <w:tcW w:type="dxa" w:w="1512"/>
            <w:shd w:val="clear" w:color="auto" w:fill="F6F1E6"/>
          </w:tcPr>
          <w:p>
            <w:pPr>
              <w:spacing w:after="20"/>
              <w:jc w:val="right"/>
            </w:pPr>
            <w:r>
              <w:rPr>
                <w:b/>
                <w:color w:val="1C3A36"/>
                <w:sz w:val="18"/>
              </w:rPr>
              <w:t>33.00</w:t>
            </w:r>
          </w:p>
        </w:tc>
        <w:tc>
          <w:tcPr>
            <w:tcW w:type="dxa" w:w="1224"/>
            <w:shd w:val="clear" w:color="auto" w:fill="F6F1E6"/>
          </w:tcPr>
          <w:p>
            <w:pPr>
              <w:spacing w:after="20"/>
              <w:jc w:val="right"/>
            </w:pPr>
            <w:r>
              <w:rPr>
                <w:b/>
                <w:color w:val="1C3A36"/>
                <w:sz w:val="18"/>
              </w:rPr>
              <w:t>-74%</w:t>
            </w:r>
          </w:p>
        </w:tc>
        <w:tc>
          <w:tcPr>
            <w:tcW w:type="dxa" w:w="3960"/>
            <w:shd w:val="clear" w:color="auto" w:fill="F6F1E6"/>
          </w:tcPr>
          <w:p>
            <w:pPr>
              <w:spacing w:after="20"/>
              <w:jc w:val="right"/>
            </w:pPr>
            <w:r>
              <w:rPr>
                <w:b/>
                <w:color w:val="1C3A36"/>
                <w:sz w:val="18"/>
              </w:rPr>
              <w:t>The cash-flow read on Frame A, unweighted. The other lenses are published beside it and averaged into none of it</w:t>
            </w:r>
          </w:p>
        </w:tc>
      </w:tr>
      <w:tr>
        <w:tc>
          <w:tcPr>
            <w:tcW w:type="dxa" w:w="3384"/>
            <w:shd w:val="clear" w:color="auto" w:fill="F6F1E6"/>
          </w:tcPr>
          <w:p>
            <w:pPr>
              <w:spacing w:after="20"/>
            </w:pPr>
            <w:r>
              <w:rPr>
                <w:b/>
                <w:color w:val="1C3A36"/>
                <w:sz w:val="18"/>
              </w:rPr>
              <w:t>CENTRE — Frame B</w:t>
            </w:r>
          </w:p>
        </w:tc>
        <w:tc>
          <w:tcPr>
            <w:tcW w:type="dxa" w:w="1512"/>
            <w:shd w:val="clear" w:color="auto" w:fill="F6F1E6"/>
          </w:tcPr>
          <w:p>
            <w:pPr>
              <w:spacing w:after="20"/>
              <w:jc w:val="right"/>
            </w:pPr>
            <w:r>
              <w:rPr>
                <w:b/>
                <w:color w:val="1C3A36"/>
                <w:sz w:val="18"/>
              </w:rPr>
              <w:t>49.68</w:t>
            </w:r>
          </w:p>
        </w:tc>
        <w:tc>
          <w:tcPr>
            <w:tcW w:type="dxa" w:w="1224"/>
            <w:shd w:val="clear" w:color="auto" w:fill="F6F1E6"/>
          </w:tcPr>
          <w:p>
            <w:pPr>
              <w:spacing w:after="20"/>
              <w:jc w:val="right"/>
            </w:pPr>
            <w:r>
              <w:rPr>
                <w:b/>
                <w:color w:val="1C3A36"/>
                <w:sz w:val="18"/>
              </w:rPr>
              <w:t>-61%</w:t>
            </w:r>
          </w:p>
        </w:tc>
        <w:tc>
          <w:tcPr>
            <w:tcW w:type="dxa" w:w="3960"/>
            <w:shd w:val="clear" w:color="auto" w:fill="F6F1E6"/>
          </w:tcPr>
          <w:p>
            <w:pPr>
              <w:spacing w:after="20"/>
              <w:jc w:val="right"/>
            </w:pPr>
            <w:r>
              <w:rPr>
                <w:b/>
                <w:color w:val="1C3A36"/>
                <w:sz w:val="18"/>
              </w:rPr>
              <w:t>The cash-flow read on Frame B. The two centres are NEVER averaged</w:t>
            </w:r>
          </w:p>
        </w:tc>
      </w:tr>
      <w:tr>
        <w:tc>
          <w:tcPr>
            <w:tcW w:type="dxa" w:w="3384"/>
          </w:tcPr>
          <w:p>
            <w:pPr>
              <w:spacing w:after="20"/>
            </w:pPr>
            <w:r>
              <w:rPr>
                <w:color w:val="1C3A36"/>
                <w:sz w:val="18"/>
              </w:rPr>
              <w:t>Memo — the weighted blend this edition replaced (Frame A / Frame B)</w:t>
            </w:r>
          </w:p>
        </w:tc>
        <w:tc>
          <w:tcPr>
            <w:tcW w:type="dxa" w:w="1512"/>
          </w:tcPr>
          <w:p>
            <w:pPr>
              <w:spacing w:after="20"/>
              <w:jc w:val="right"/>
            </w:pPr>
            <w:r>
              <w:rPr>
                <w:color w:val="1C3A36"/>
                <w:sz w:val="18"/>
              </w:rPr>
              <w:t>41.10 / 49.44</w:t>
            </w:r>
          </w:p>
        </w:tc>
        <w:tc>
          <w:tcPr>
            <w:tcW w:type="dxa" w:w="1224"/>
          </w:tcPr>
          <w:p>
            <w:pPr>
              <w:spacing w:after="20"/>
              <w:jc w:val="right"/>
            </w:pPr>
            <w:r>
              <w:rPr>
                <w:color w:val="1C3A36"/>
                <w:sz w:val="18"/>
              </w:rPr>
            </w:r>
          </w:p>
        </w:tc>
        <w:tc>
          <w:tcPr>
            <w:tcW w:type="dxa" w:w="3960"/>
          </w:tcPr>
          <w:p>
            <w:pPr>
              <w:spacing w:after="20"/>
              <w:jc w:val="right"/>
            </w:pPr>
            <w:r>
              <w:rPr>
                <w:color w:val="1C3A36"/>
                <w:sz w:val="18"/>
              </w:rPr>
              <w:t>Printed so the change is visible. Its weights were never tested out of sample, and on a two-sided answer a blend pulls both frames toward the same three shared readings — damping exactly the disagreement two frames exist to show</w:t>
            </w:r>
          </w:p>
        </w:tc>
      </w:tr>
      <w:tr>
        <w:tc>
          <w:tcPr>
            <w:tcW w:type="dxa" w:w="3384"/>
            <w:shd w:val="clear" w:color="auto" w:fill="F6F1E6"/>
          </w:tcPr>
          <w:p>
            <w:pPr>
              <w:spacing w:after="20"/>
            </w:pPr>
            <w:r>
              <w:rPr>
                <w:b/>
                <w:color w:val="1C3A36"/>
                <w:sz w:val="18"/>
              </w:rPr>
              <w:t>Field low to field high</w:t>
            </w:r>
          </w:p>
        </w:tc>
        <w:tc>
          <w:tcPr>
            <w:tcW w:type="dxa" w:w="1512"/>
            <w:shd w:val="clear" w:color="auto" w:fill="F6F1E6"/>
          </w:tcPr>
          <w:p>
            <w:pPr>
              <w:spacing w:after="20"/>
              <w:jc w:val="right"/>
            </w:pPr>
            <w:r>
              <w:rPr>
                <w:b/>
                <w:color w:val="1C3A36"/>
                <w:sz w:val="18"/>
              </w:rPr>
              <w:t>33.00 – 56.78</w:t>
            </w:r>
          </w:p>
        </w:tc>
        <w:tc>
          <w:tcPr>
            <w:tcW w:type="dxa" w:w="1224"/>
            <w:shd w:val="clear" w:color="auto" w:fill="F6F1E6"/>
          </w:tcPr>
          <w:p>
            <w:pPr>
              <w:spacing w:after="20"/>
              <w:jc w:val="right"/>
            </w:pPr>
            <w:r>
              <w:rPr>
                <w:b/>
                <w:color w:val="1C3A36"/>
                <w:sz w:val="18"/>
              </w:rPr>
            </w:r>
          </w:p>
        </w:tc>
        <w:tc>
          <w:tcPr>
            <w:tcW w:type="dxa" w:w="3960"/>
            <w:shd w:val="clear" w:color="auto" w:fill="F6F1E6"/>
          </w:tcPr>
          <w:p>
            <w:pPr>
              <w:spacing w:after="20"/>
              <w:jc w:val="right"/>
            </w:pPr>
            <w:r>
              <w:rPr>
                <w:b/>
                <w:color w:val="1C3A36"/>
                <w:sz w:val="18"/>
              </w:rPr>
              <w:t>The spread between the readings IS the uncertainty</w:t>
            </w:r>
          </w:p>
        </w:tc>
      </w:tr>
      <w:tr>
        <w:tc>
          <w:tcPr>
            <w:tcW w:type="dxa" w:w="3384"/>
          </w:tcPr>
          <w:p>
            <w:pPr>
              <w:spacing w:after="20"/>
            </w:pPr>
            <w:r>
              <w:rPr>
                <w:color w:val="1C3A36"/>
                <w:sz w:val="18"/>
              </w:rPr>
              <w:t>Market price</w:t>
            </w:r>
          </w:p>
        </w:tc>
        <w:tc>
          <w:tcPr>
            <w:tcW w:type="dxa" w:w="1512"/>
          </w:tcPr>
          <w:p>
            <w:pPr>
              <w:spacing w:after="20"/>
              <w:jc w:val="right"/>
            </w:pPr>
            <w:r>
              <w:rPr>
                <w:color w:val="1C3A36"/>
                <w:sz w:val="18"/>
              </w:rPr>
              <w:t>127.30</w:t>
            </w:r>
          </w:p>
        </w:tc>
        <w:tc>
          <w:tcPr>
            <w:tcW w:type="dxa" w:w="1224"/>
          </w:tcPr>
          <w:p>
            <w:pPr>
              <w:spacing w:after="20"/>
              <w:jc w:val="right"/>
            </w:pPr>
            <w:r>
              <w:rPr>
                <w:color w:val="1C3A36"/>
                <w:sz w:val="18"/>
              </w:rPr>
            </w:r>
          </w:p>
        </w:tc>
        <w:tc>
          <w:tcPr>
            <w:tcW w:type="dxa" w:w="3960"/>
          </w:tcPr>
          <w:p>
            <w:pPr>
              <w:spacing w:after="20"/>
              <w:jc w:val="right"/>
            </w:pPr>
            <w:r>
              <w:rPr>
                <w:color w:val="1C3A36"/>
                <w:sz w:val="18"/>
              </w:rPr>
              <w:t>Close of 3 September 2026</w:t>
            </w:r>
          </w:p>
        </w:tc>
      </w:tr>
    </w:tbl>
    <w:p>
      <w:pPr>
        <w:spacing w:after="40"/>
      </w:pPr>
    </w:p>
    <w:p>
      <w:pPr>
        <w:spacing w:after="200" w:before="0"/>
      </w:pPr>
      <w:r>
        <w:rPr>
          <w:b w:val="0"/>
          <w:i/>
          <w:color w:val="6E7B77"/>
          <w:sz w:val="17"/>
        </w:rPr>
        <w:t>Table 1 — the summary valuation table. TWO centres, never one: the contested judgement is carried both ways and weighting both frames inside a single number would average them. Terminal value is stated beside each cash-flow reading on BOTH bases — as a share of the core operating value and of the total, which also carries the associates and the assets held for sale.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168"/>
        <w:gridCol w:w="1872"/>
        <w:gridCol w:w="3168"/>
        <w:gridCol w:w="1872"/>
      </w:tblGrid>
      <w:tr>
        <w:tc>
          <w:tcPr>
            <w:tcW w:type="dxa" w:w="3168"/>
            <w:shd w:val="clear" w:color="auto" w:fill="EAF0EE"/>
          </w:tcPr>
          <w:p>
            <w:pPr>
              <w:spacing w:after="20"/>
            </w:pPr>
            <w:r>
              <w:rPr>
                <w:b/>
                <w:color w:val="1C3A36"/>
                <w:sz w:val="18"/>
              </w:rPr>
              <w:t>Key figures</w:t>
            </w:r>
          </w:p>
        </w:tc>
        <w:tc>
          <w:tcPr>
            <w:tcW w:type="dxa" w:w="1872"/>
            <w:shd w:val="clear" w:color="auto" w:fill="EAF0EE"/>
          </w:tcPr>
          <w:p>
            <w:pPr>
              <w:spacing w:after="20"/>
            </w:pPr>
            <w:r>
              <w:rPr>
                <w:b/>
                <w:color w:val="1C3A36"/>
                <w:sz w:val="18"/>
              </w:rPr>
              <w:t>Value</w:t>
            </w:r>
          </w:p>
        </w:tc>
        <w:tc>
          <w:tcPr>
            <w:tcW w:type="dxa" w:w="3168"/>
            <w:shd w:val="clear" w:color="auto" w:fill="EAF0EE"/>
          </w:tcPr>
          <w:p>
            <w:pPr>
              <w:spacing w:after="20"/>
            </w:pPr>
            <w:r>
              <w:rPr>
                <w:b/>
                <w:color w:val="1C3A36"/>
                <w:sz w:val="18"/>
              </w:rPr>
              <w:t>Key figures</w:t>
            </w:r>
          </w:p>
        </w:tc>
        <w:tc>
          <w:tcPr>
            <w:tcW w:type="dxa" w:w="1872"/>
            <w:shd w:val="clear" w:color="auto" w:fill="EAF0EE"/>
          </w:tcPr>
          <w:p>
            <w:pPr>
              <w:spacing w:after="20"/>
            </w:pPr>
            <w:r>
              <w:rPr>
                <w:b/>
                <w:color w:val="1C3A36"/>
                <w:sz w:val="18"/>
              </w:rPr>
              <w:t>Value</w:t>
            </w:r>
          </w:p>
        </w:tc>
      </w:tr>
      <w:tr>
        <w:tc>
          <w:tcPr>
            <w:tcW w:type="dxa" w:w="3168"/>
          </w:tcPr>
          <w:p>
            <w:pPr>
              <w:spacing w:after="20"/>
            </w:pPr>
            <w:r>
              <w:rPr>
                <w:color w:val="1C3A36"/>
                <w:sz w:val="18"/>
              </w:rPr>
              <w:t>Market capitalisation</w:t>
            </w:r>
          </w:p>
        </w:tc>
        <w:tc>
          <w:tcPr>
            <w:tcW w:type="dxa" w:w="1872"/>
          </w:tcPr>
          <w:p>
            <w:pPr>
              <w:spacing w:after="20"/>
              <w:jc w:val="right"/>
            </w:pPr>
            <w:r>
              <w:rPr>
                <w:color w:val="1C3A36"/>
                <w:sz w:val="18"/>
              </w:rPr>
              <w:t>EGP 21,483m</w:t>
            </w:r>
          </w:p>
        </w:tc>
        <w:tc>
          <w:tcPr>
            <w:tcW w:type="dxa" w:w="3168"/>
          </w:tcPr>
          <w:p>
            <w:pPr>
              <w:spacing w:after="20"/>
              <w:jc w:val="right"/>
            </w:pPr>
            <w:r>
              <w:rPr>
                <w:color w:val="1C3A36"/>
                <w:sz w:val="18"/>
              </w:rPr>
              <w:t>Net debt</w:t>
            </w:r>
          </w:p>
        </w:tc>
        <w:tc>
          <w:tcPr>
            <w:tcW w:type="dxa" w:w="1872"/>
          </w:tcPr>
          <w:p>
            <w:pPr>
              <w:spacing w:after="20"/>
              <w:jc w:val="right"/>
            </w:pPr>
            <w:r>
              <w:rPr>
                <w:color w:val="1C3A36"/>
                <w:sz w:val="18"/>
              </w:rPr>
              <w:t>EGP 7,364m</w:t>
            </w:r>
          </w:p>
        </w:tc>
      </w:tr>
      <w:tr>
        <w:tc>
          <w:tcPr>
            <w:tcW w:type="dxa" w:w="3168"/>
          </w:tcPr>
          <w:p>
            <w:pPr>
              <w:spacing w:after="20"/>
            </w:pPr>
            <w:r>
              <w:rPr>
                <w:color w:val="1C3A36"/>
                <w:sz w:val="18"/>
              </w:rPr>
              <w:t>Enterprise value</w:t>
            </w:r>
          </w:p>
        </w:tc>
        <w:tc>
          <w:tcPr>
            <w:tcW w:type="dxa" w:w="1872"/>
          </w:tcPr>
          <w:p>
            <w:pPr>
              <w:spacing w:after="20"/>
              <w:jc w:val="right"/>
            </w:pPr>
            <w:r>
              <w:rPr>
                <w:color w:val="1C3A36"/>
                <w:sz w:val="18"/>
              </w:rPr>
              <w:t>EGP 28,851m</w:t>
            </w:r>
          </w:p>
        </w:tc>
        <w:tc>
          <w:tcPr>
            <w:tcW w:type="dxa" w:w="3168"/>
          </w:tcPr>
          <w:p>
            <w:pPr>
              <w:spacing w:after="20"/>
              <w:jc w:val="right"/>
            </w:pPr>
            <w:r>
              <w:rPr>
                <w:color w:val="1C3A36"/>
                <w:sz w:val="18"/>
              </w:rPr>
              <w:t>FY2025 revenue</w:t>
            </w:r>
          </w:p>
        </w:tc>
        <w:tc>
          <w:tcPr>
            <w:tcW w:type="dxa" w:w="1872"/>
          </w:tcPr>
          <w:p>
            <w:pPr>
              <w:spacing w:after="20"/>
              <w:jc w:val="right"/>
            </w:pPr>
            <w:r>
              <w:rPr>
                <w:color w:val="1C3A36"/>
                <w:sz w:val="18"/>
              </w:rPr>
              <w:t>EGP 9,441m</w:t>
            </w:r>
          </w:p>
        </w:tc>
      </w:tr>
      <w:tr>
        <w:tc>
          <w:tcPr>
            <w:tcW w:type="dxa" w:w="3168"/>
          </w:tcPr>
          <w:p>
            <w:pPr>
              <w:spacing w:after="20"/>
            </w:pPr>
            <w:r>
              <w:rPr>
                <w:color w:val="1C3A36"/>
                <w:sz w:val="18"/>
              </w:rPr>
              <w:t>FY2025 EBITDA</w:t>
            </w:r>
          </w:p>
        </w:tc>
        <w:tc>
          <w:tcPr>
            <w:tcW w:type="dxa" w:w="1872"/>
          </w:tcPr>
          <w:p>
            <w:pPr>
              <w:spacing w:after="20"/>
              <w:jc w:val="right"/>
            </w:pPr>
            <w:r>
              <w:rPr>
                <w:color w:val="1C3A36"/>
                <w:sz w:val="18"/>
              </w:rPr>
              <w:t>EGP 2,484m</w:t>
            </w:r>
          </w:p>
        </w:tc>
        <w:tc>
          <w:tcPr>
            <w:tcW w:type="dxa" w:w="3168"/>
          </w:tcPr>
          <w:p>
            <w:pPr>
              <w:spacing w:after="20"/>
              <w:jc w:val="right"/>
            </w:pPr>
            <w:r>
              <w:rPr>
                <w:color w:val="1C3A36"/>
                <w:sz w:val="18"/>
              </w:rPr>
              <w:t>FY2025 attributable profit</w:t>
            </w:r>
          </w:p>
        </w:tc>
        <w:tc>
          <w:tcPr>
            <w:tcW w:type="dxa" w:w="1872"/>
          </w:tcPr>
          <w:p>
            <w:pPr>
              <w:spacing w:after="20"/>
              <w:jc w:val="right"/>
            </w:pPr>
            <w:r>
              <w:rPr>
                <w:color w:val="1C3A36"/>
                <w:sz w:val="18"/>
              </w:rPr>
              <w:t>EGP 1,442m</w:t>
            </w:r>
          </w:p>
        </w:tc>
      </w:tr>
      <w:tr>
        <w:tc>
          <w:tcPr>
            <w:tcW w:type="dxa" w:w="3168"/>
          </w:tcPr>
          <w:p>
            <w:pPr>
              <w:spacing w:after="20"/>
            </w:pPr>
            <w:r>
              <w:rPr>
                <w:color w:val="1C3A36"/>
                <w:sz w:val="18"/>
              </w:rPr>
              <w:t>Trailing price / earnings</w:t>
            </w:r>
          </w:p>
        </w:tc>
        <w:tc>
          <w:tcPr>
            <w:tcW w:type="dxa" w:w="1872"/>
          </w:tcPr>
          <w:p>
            <w:pPr>
              <w:spacing w:after="20"/>
              <w:jc w:val="right"/>
            </w:pPr>
            <w:r>
              <w:rPr>
                <w:color w:val="1C3A36"/>
                <w:sz w:val="18"/>
              </w:rPr>
              <w:t>14.90x on shares in issue, 14.31x on the FY2025 weighted average</w:t>
            </w:r>
          </w:p>
        </w:tc>
        <w:tc>
          <w:tcPr>
            <w:tcW w:type="dxa" w:w="3168"/>
          </w:tcPr>
          <w:p>
            <w:pPr>
              <w:spacing w:after="20"/>
              <w:jc w:val="right"/>
            </w:pPr>
            <w:r>
              <w:rPr>
                <w:color w:val="1C3A36"/>
                <w:sz w:val="18"/>
              </w:rPr>
              <w:t>Trailing enterprise value / EBITDA</w:t>
            </w:r>
          </w:p>
        </w:tc>
        <w:tc>
          <w:tcPr>
            <w:tcW w:type="dxa" w:w="1872"/>
          </w:tcPr>
          <w:p>
            <w:pPr>
              <w:spacing w:after="20"/>
              <w:jc w:val="right"/>
            </w:pPr>
            <w:r>
              <w:rPr>
                <w:color w:val="1C3A36"/>
                <w:sz w:val="18"/>
              </w:rPr>
              <w:t>11.6x</w:t>
            </w:r>
          </w:p>
        </w:tc>
      </w:tr>
      <w:tr>
        <w:tc>
          <w:tcPr>
            <w:tcW w:type="dxa" w:w="3168"/>
          </w:tcPr>
          <w:p>
            <w:pPr>
              <w:spacing w:after="20"/>
            </w:pPr>
            <w:r>
              <w:rPr>
                <w:color w:val="1C3A36"/>
                <w:sz w:val="18"/>
              </w:rPr>
              <w:t>Cost of equity</w:t>
            </w:r>
          </w:p>
        </w:tc>
        <w:tc>
          <w:tcPr>
            <w:tcW w:type="dxa" w:w="1872"/>
          </w:tcPr>
          <w:p>
            <w:pPr>
              <w:spacing w:after="20"/>
              <w:jc w:val="right"/>
            </w:pPr>
            <w:r>
              <w:rPr>
                <w:color w:val="1C3A36"/>
                <w:sz w:val="18"/>
              </w:rPr>
              <w:t>25.57%</w:t>
            </w:r>
          </w:p>
        </w:tc>
        <w:tc>
          <w:tcPr>
            <w:tcW w:type="dxa" w:w="3168"/>
          </w:tcPr>
          <w:p>
            <w:pPr>
              <w:spacing w:after="20"/>
              <w:jc w:val="right"/>
            </w:pPr>
            <w:r>
              <w:rPr>
                <w:color w:val="1C3A36"/>
                <w:sz w:val="18"/>
              </w:rPr>
              <w:t>Discount rate, first year</w:t>
            </w:r>
          </w:p>
        </w:tc>
        <w:tc>
          <w:tcPr>
            <w:tcW w:type="dxa" w:w="1872"/>
          </w:tcPr>
          <w:p>
            <w:pPr>
              <w:spacing w:after="20"/>
              <w:jc w:val="right"/>
            </w:pPr>
            <w:r>
              <w:rPr>
                <w:color w:val="1C3A36"/>
                <w:sz w:val="18"/>
              </w:rPr>
              <w:t>22.71%</w:t>
            </w:r>
          </w:p>
        </w:tc>
      </w:tr>
      <w:tr>
        <w:tc>
          <w:tcPr>
            <w:tcW w:type="dxa" w:w="3168"/>
          </w:tcPr>
          <w:p>
            <w:pPr>
              <w:spacing w:after="20"/>
            </w:pPr>
            <w:r>
              <w:rPr>
                <w:color w:val="1C3A36"/>
                <w:sz w:val="18"/>
              </w:rPr>
              <w:t>Discount rate, terminal</w:t>
            </w:r>
          </w:p>
        </w:tc>
        <w:tc>
          <w:tcPr>
            <w:tcW w:type="dxa" w:w="1872"/>
          </w:tcPr>
          <w:p>
            <w:pPr>
              <w:spacing w:after="20"/>
              <w:jc w:val="right"/>
            </w:pPr>
            <w:r>
              <w:rPr>
                <w:color w:val="1C3A36"/>
                <w:sz w:val="18"/>
              </w:rPr>
              <w:t>15.03%</w:t>
            </w:r>
          </w:p>
        </w:tc>
        <w:tc>
          <w:tcPr>
            <w:tcW w:type="dxa" w:w="3168"/>
          </w:tcPr>
          <w:p>
            <w:pPr>
              <w:spacing w:after="20"/>
              <w:jc w:val="right"/>
            </w:pPr>
            <w:r>
              <w:rPr>
                <w:color w:val="1C3A36"/>
                <w:sz w:val="18"/>
              </w:rPr>
              <w:t>Proposed dividend, FY2025</w:t>
            </w:r>
          </w:p>
        </w:tc>
        <w:tc>
          <w:tcPr>
            <w:tcW w:type="dxa" w:w="1872"/>
          </w:tcPr>
          <w:p>
            <w:pPr>
              <w:spacing w:after="20"/>
              <w:jc w:val="right"/>
            </w:pPr>
            <w:r>
              <w:rPr>
                <w:color w:val="1C3A36"/>
                <w:sz w:val="18"/>
              </w:rPr>
              <w:t>EGP 3.50 (2.7% yield)</w:t>
            </w:r>
          </w:p>
        </w:tc>
      </w:tr>
    </w:tbl>
    <w:p>
      <w:pPr>
        <w:spacing w:after="40"/>
      </w:pPr>
    </w:p>
    <w:p>
      <w:pPr>
        <w:spacing w:after="200" w:before="0"/>
      </w:pPr>
      <w:r>
        <w:rPr>
          <w:b w:val="0"/>
          <w:i/>
          <w:color w:val="6E7B77"/>
          <w:sz w:val="17"/>
        </w:rPr>
        <w:t>Table 2 — the figures a reader needs before anything else. Enterprise value uses the post-deconsolidation non-controlling interest of EGP 4.0 million that the valuation bridge uses, so the enterprise value and the multiple beside it are struck on one basis. The audited 31 December 2025 minority of EGP 288.7 million would give EGP 29,136 million instead; the two are not mixed. Two trailing multiples are shown because the share count rose during FY2025 and both readings are legitimate.</w:t>
      </w:r>
    </w:p>
    <w:p>
      <w:pPr>
        <w:spacing w:after="120" w:before="280"/>
      </w:pPr>
      <w:r>
        <w:rPr>
          <w:b/>
          <w:i w:val="0"/>
          <w:color w:val="1C3A36"/>
          <w:sz w:val="30"/>
        </w:rPr>
        <w:t>Company overview</w:t>
      </w:r>
    </w:p>
    <w:p>
      <w:pPr>
        <w:spacing w:after="120" w:before="0"/>
      </w:pPr>
      <w:r>
        <w:rPr>
          <w:b w:val="0"/>
          <w:i w:val="0"/>
          <w:color w:val="1C3A36"/>
          <w:sz w:val="21"/>
        </w:rPr>
        <w:t>EIPICO was founded in 1980 in Tenth of Ramadan City with capital of EGP 7 million and began producing in 1985. It is today the largest operating subsidiary of the Arab Company for Drug Industries and Medical Appliances, which holds 51.34% of its shares. The rest of the share list is dominated by medical-profession institutions — an investment company, the professions federation and its pension fund together hold a further 12.02% — with 36.64% in other hands.</w:t>
      </w:r>
    </w:p>
    <w:p>
      <w:pPr>
        <w:spacing w:after="120" w:before="0"/>
      </w:pPr>
      <w:r>
        <w:rPr>
          <w:b w:val="0"/>
          <w:i w:val="0"/>
          <w:color w:val="1C3A36"/>
          <w:sz w:val="21"/>
        </w:rPr>
        <w:t>The business is a vertically integrated generic and branded pharmaceutical manufacturer. It runs 54 production lines across three plants, produced 2,208 million units in FY2025 against 3,383 million of its own disclosed capacity, and sold 357.3 million packs of 414 registered preparations across 27 therapeutic groups. It employs about 4,981 people. It makes its own primary packaging through a wholly-owned ampoule and vial subsidiary and a plastics factory, which is why the packaging cost line is only partly exposed to imports.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096"/>
        <w:gridCol w:w="1800"/>
        <w:gridCol w:w="1800"/>
        <w:gridCol w:w="1224"/>
        <w:gridCol w:w="1728"/>
      </w:tblGrid>
      <w:tr>
        <w:tc>
          <w:tcPr>
            <w:tcW w:type="dxa" w:w="3096"/>
            <w:shd w:val="clear" w:color="auto" w:fill="EAF0EE"/>
          </w:tcPr>
          <w:p>
            <w:pPr>
              <w:spacing w:after="20"/>
            </w:pPr>
            <w:r>
              <w:rPr>
                <w:b/>
                <w:color w:val="1C3A36"/>
                <w:sz w:val="18"/>
              </w:rPr>
              <w:t>Revenue channel</w:t>
            </w:r>
          </w:p>
        </w:tc>
        <w:tc>
          <w:tcPr>
            <w:tcW w:type="dxa" w:w="1800"/>
            <w:shd w:val="clear" w:color="auto" w:fill="EAF0EE"/>
          </w:tcPr>
          <w:p>
            <w:pPr>
              <w:spacing w:after="20"/>
            </w:pPr>
            <w:r>
              <w:rPr>
                <w:b/>
                <w:color w:val="1C3A36"/>
                <w:sz w:val="18"/>
              </w:rPr>
              <w:t>FY2024 (EGP m)</w:t>
            </w:r>
          </w:p>
        </w:tc>
        <w:tc>
          <w:tcPr>
            <w:tcW w:type="dxa" w:w="1800"/>
            <w:shd w:val="clear" w:color="auto" w:fill="EAF0EE"/>
          </w:tcPr>
          <w:p>
            <w:pPr>
              <w:spacing w:after="20"/>
            </w:pPr>
            <w:r>
              <w:rPr>
                <w:b/>
                <w:color w:val="1C3A36"/>
                <w:sz w:val="18"/>
              </w:rPr>
              <w:t>FY2025 (EGP m)</w:t>
            </w:r>
          </w:p>
        </w:tc>
        <w:tc>
          <w:tcPr>
            <w:tcW w:type="dxa" w:w="1224"/>
            <w:shd w:val="clear" w:color="auto" w:fill="EAF0EE"/>
          </w:tcPr>
          <w:p>
            <w:pPr>
              <w:spacing w:after="20"/>
            </w:pPr>
            <w:r>
              <w:rPr>
                <w:b/>
                <w:color w:val="1C3A36"/>
                <w:sz w:val="18"/>
              </w:rPr>
              <w:t>Growth</w:t>
            </w:r>
          </w:p>
        </w:tc>
        <w:tc>
          <w:tcPr>
            <w:tcW w:type="dxa" w:w="1728"/>
            <w:shd w:val="clear" w:color="auto" w:fill="EAF0EE"/>
          </w:tcPr>
          <w:p>
            <w:pPr>
              <w:spacing w:after="20"/>
            </w:pPr>
            <w:r>
              <w:rPr>
                <w:b/>
                <w:color w:val="1C3A36"/>
                <w:sz w:val="18"/>
              </w:rPr>
              <w:t>Share of FY2025</w:t>
            </w:r>
          </w:p>
        </w:tc>
      </w:tr>
      <w:tr>
        <w:tc>
          <w:tcPr>
            <w:tcW w:type="dxa" w:w="3096"/>
          </w:tcPr>
          <w:p>
            <w:pPr>
              <w:spacing w:after="20"/>
            </w:pPr>
            <w:r>
              <w:rPr>
                <w:color w:val="1C3A36"/>
                <w:sz w:val="18"/>
              </w:rPr>
              <w:t>Direct domestic sales</w:t>
            </w:r>
          </w:p>
        </w:tc>
        <w:tc>
          <w:tcPr>
            <w:tcW w:type="dxa" w:w="1800"/>
          </w:tcPr>
          <w:p>
            <w:pPr>
              <w:spacing w:after="20"/>
              <w:jc w:val="right"/>
            </w:pPr>
            <w:r>
              <w:rPr>
                <w:color w:val="1C3A36"/>
                <w:sz w:val="18"/>
              </w:rPr>
              <w:t>1,530</w:t>
            </w:r>
          </w:p>
        </w:tc>
        <w:tc>
          <w:tcPr>
            <w:tcW w:type="dxa" w:w="1800"/>
          </w:tcPr>
          <w:p>
            <w:pPr>
              <w:spacing w:after="20"/>
              <w:jc w:val="right"/>
            </w:pPr>
            <w:r>
              <w:rPr>
                <w:color w:val="1C3A36"/>
                <w:sz w:val="18"/>
              </w:rPr>
              <w:t>1,943</w:t>
            </w:r>
          </w:p>
        </w:tc>
        <w:tc>
          <w:tcPr>
            <w:tcW w:type="dxa" w:w="1224"/>
          </w:tcPr>
          <w:p>
            <w:pPr>
              <w:spacing w:after="20"/>
              <w:jc w:val="right"/>
            </w:pPr>
            <w:r>
              <w:rPr>
                <w:color w:val="1C3A36"/>
                <w:sz w:val="18"/>
              </w:rPr>
              <w:t>27%</w:t>
            </w:r>
          </w:p>
        </w:tc>
        <w:tc>
          <w:tcPr>
            <w:tcW w:type="dxa" w:w="1728"/>
          </w:tcPr>
          <w:p>
            <w:pPr>
              <w:spacing w:after="20"/>
              <w:jc w:val="right"/>
            </w:pPr>
            <w:r>
              <w:rPr>
                <w:color w:val="1C3A36"/>
                <w:sz w:val="18"/>
              </w:rPr>
              <w:t>21%</w:t>
            </w:r>
          </w:p>
        </w:tc>
      </w:tr>
      <w:tr>
        <w:tc>
          <w:tcPr>
            <w:tcW w:type="dxa" w:w="3096"/>
          </w:tcPr>
          <w:p>
            <w:pPr>
              <w:spacing w:after="20"/>
            </w:pPr>
            <w:r>
              <w:rPr>
                <w:color w:val="1C3A36"/>
                <w:sz w:val="18"/>
              </w:rPr>
              <w:t>Domestic distributors</w:t>
            </w:r>
          </w:p>
        </w:tc>
        <w:tc>
          <w:tcPr>
            <w:tcW w:type="dxa" w:w="1800"/>
          </w:tcPr>
          <w:p>
            <w:pPr>
              <w:spacing w:after="20"/>
              <w:jc w:val="right"/>
            </w:pPr>
            <w:r>
              <w:rPr>
                <w:color w:val="1C3A36"/>
                <w:sz w:val="18"/>
              </w:rPr>
              <w:t>2,664</w:t>
            </w:r>
          </w:p>
        </w:tc>
        <w:tc>
          <w:tcPr>
            <w:tcW w:type="dxa" w:w="1800"/>
          </w:tcPr>
          <w:p>
            <w:pPr>
              <w:spacing w:after="20"/>
              <w:jc w:val="right"/>
            </w:pPr>
            <w:r>
              <w:rPr>
                <w:color w:val="1C3A36"/>
                <w:sz w:val="18"/>
              </w:rPr>
              <w:t>3,591</w:t>
            </w:r>
          </w:p>
        </w:tc>
        <w:tc>
          <w:tcPr>
            <w:tcW w:type="dxa" w:w="1224"/>
          </w:tcPr>
          <w:p>
            <w:pPr>
              <w:spacing w:after="20"/>
              <w:jc w:val="right"/>
            </w:pPr>
            <w:r>
              <w:rPr>
                <w:color w:val="1C3A36"/>
                <w:sz w:val="18"/>
              </w:rPr>
              <w:t>35%</w:t>
            </w:r>
          </w:p>
        </w:tc>
        <w:tc>
          <w:tcPr>
            <w:tcW w:type="dxa" w:w="1728"/>
          </w:tcPr>
          <w:p>
            <w:pPr>
              <w:spacing w:after="20"/>
              <w:jc w:val="right"/>
            </w:pPr>
            <w:r>
              <w:rPr>
                <w:color w:val="1C3A36"/>
                <w:sz w:val="18"/>
              </w:rPr>
              <w:t>39%</w:t>
            </w:r>
          </w:p>
        </w:tc>
      </w:tr>
      <w:tr>
        <w:tc>
          <w:tcPr>
            <w:tcW w:type="dxa" w:w="3096"/>
          </w:tcPr>
          <w:p>
            <w:pPr>
              <w:spacing w:after="20"/>
            </w:pPr>
            <w:r>
              <w:rPr>
                <w:color w:val="1C3A36"/>
                <w:sz w:val="18"/>
              </w:rPr>
              <w:t>Government tenders and supply</w:t>
            </w:r>
          </w:p>
        </w:tc>
        <w:tc>
          <w:tcPr>
            <w:tcW w:type="dxa" w:w="1800"/>
          </w:tcPr>
          <w:p>
            <w:pPr>
              <w:spacing w:after="20"/>
              <w:jc w:val="right"/>
            </w:pPr>
            <w:r>
              <w:rPr>
                <w:color w:val="1C3A36"/>
                <w:sz w:val="18"/>
              </w:rPr>
              <w:t>634</w:t>
            </w:r>
          </w:p>
        </w:tc>
        <w:tc>
          <w:tcPr>
            <w:tcW w:type="dxa" w:w="1800"/>
          </w:tcPr>
          <w:p>
            <w:pPr>
              <w:spacing w:after="20"/>
              <w:jc w:val="right"/>
            </w:pPr>
            <w:r>
              <w:rPr>
                <w:color w:val="1C3A36"/>
                <w:sz w:val="18"/>
              </w:rPr>
              <w:t>751</w:t>
            </w:r>
          </w:p>
        </w:tc>
        <w:tc>
          <w:tcPr>
            <w:tcW w:type="dxa" w:w="1224"/>
          </w:tcPr>
          <w:p>
            <w:pPr>
              <w:spacing w:after="20"/>
              <w:jc w:val="right"/>
            </w:pPr>
            <w:r>
              <w:rPr>
                <w:color w:val="1C3A36"/>
                <w:sz w:val="18"/>
              </w:rPr>
              <w:t>18%</w:t>
            </w:r>
          </w:p>
        </w:tc>
        <w:tc>
          <w:tcPr>
            <w:tcW w:type="dxa" w:w="1728"/>
          </w:tcPr>
          <w:p>
            <w:pPr>
              <w:spacing w:after="20"/>
              <w:jc w:val="right"/>
            </w:pPr>
            <w:r>
              <w:rPr>
                <w:color w:val="1C3A36"/>
                <w:sz w:val="18"/>
              </w:rPr>
              <w:t>8%</w:t>
            </w:r>
          </w:p>
        </w:tc>
      </w:tr>
      <w:tr>
        <w:tc>
          <w:tcPr>
            <w:tcW w:type="dxa" w:w="3096"/>
          </w:tcPr>
          <w:p>
            <w:pPr>
              <w:spacing w:after="20"/>
            </w:pPr>
            <w:r>
              <w:rPr>
                <w:color w:val="1C3A36"/>
                <w:sz w:val="18"/>
              </w:rPr>
              <w:t>Export</w:t>
            </w:r>
          </w:p>
        </w:tc>
        <w:tc>
          <w:tcPr>
            <w:tcW w:type="dxa" w:w="1800"/>
          </w:tcPr>
          <w:p>
            <w:pPr>
              <w:spacing w:after="20"/>
              <w:jc w:val="right"/>
            </w:pPr>
            <w:r>
              <w:rPr>
                <w:color w:val="1C3A36"/>
                <w:sz w:val="18"/>
              </w:rPr>
              <w:t>2,500</w:t>
            </w:r>
          </w:p>
        </w:tc>
        <w:tc>
          <w:tcPr>
            <w:tcW w:type="dxa" w:w="1800"/>
          </w:tcPr>
          <w:p>
            <w:pPr>
              <w:spacing w:after="20"/>
              <w:jc w:val="right"/>
            </w:pPr>
            <w:r>
              <w:rPr>
                <w:color w:val="1C3A36"/>
                <w:sz w:val="18"/>
              </w:rPr>
              <w:t>2,967</w:t>
            </w:r>
          </w:p>
        </w:tc>
        <w:tc>
          <w:tcPr>
            <w:tcW w:type="dxa" w:w="1224"/>
          </w:tcPr>
          <w:p>
            <w:pPr>
              <w:spacing w:after="20"/>
              <w:jc w:val="right"/>
            </w:pPr>
            <w:r>
              <w:rPr>
                <w:color w:val="1C3A36"/>
                <w:sz w:val="18"/>
              </w:rPr>
              <w:t>19%</w:t>
            </w:r>
          </w:p>
        </w:tc>
        <w:tc>
          <w:tcPr>
            <w:tcW w:type="dxa" w:w="1728"/>
          </w:tcPr>
          <w:p>
            <w:pPr>
              <w:spacing w:after="20"/>
              <w:jc w:val="right"/>
            </w:pPr>
            <w:r>
              <w:rPr>
                <w:color w:val="1C3A36"/>
                <w:sz w:val="18"/>
              </w:rPr>
              <w:t>32%</w:t>
            </w:r>
          </w:p>
        </w:tc>
      </w:tr>
      <w:tr>
        <w:tc>
          <w:tcPr>
            <w:tcW w:type="dxa" w:w="3096"/>
          </w:tcPr>
          <w:p>
            <w:pPr>
              <w:spacing w:after="20"/>
            </w:pPr>
            <w:r>
              <w:rPr>
                <w:color w:val="1C3A36"/>
                <w:sz w:val="18"/>
              </w:rPr>
              <w:t>Contract manufacturing</w:t>
            </w:r>
          </w:p>
        </w:tc>
        <w:tc>
          <w:tcPr>
            <w:tcW w:type="dxa" w:w="1800"/>
          </w:tcPr>
          <w:p>
            <w:pPr>
              <w:spacing w:after="20"/>
              <w:jc w:val="right"/>
            </w:pPr>
            <w:r>
              <w:rPr>
                <w:color w:val="1C3A36"/>
                <w:sz w:val="18"/>
              </w:rPr>
              <w:t>36</w:t>
            </w:r>
          </w:p>
        </w:tc>
        <w:tc>
          <w:tcPr>
            <w:tcW w:type="dxa" w:w="1800"/>
          </w:tcPr>
          <w:p>
            <w:pPr>
              <w:spacing w:after="20"/>
              <w:jc w:val="right"/>
            </w:pPr>
            <w:r>
              <w:rPr>
                <w:color w:val="1C3A36"/>
                <w:sz w:val="18"/>
              </w:rPr>
              <w:t>49</w:t>
            </w:r>
          </w:p>
        </w:tc>
        <w:tc>
          <w:tcPr>
            <w:tcW w:type="dxa" w:w="1224"/>
          </w:tcPr>
          <w:p>
            <w:pPr>
              <w:spacing w:after="20"/>
              <w:jc w:val="right"/>
            </w:pPr>
            <w:r>
              <w:rPr>
                <w:color w:val="1C3A36"/>
                <w:sz w:val="18"/>
              </w:rPr>
              <w:t>38%</w:t>
            </w:r>
          </w:p>
        </w:tc>
        <w:tc>
          <w:tcPr>
            <w:tcW w:type="dxa" w:w="1728"/>
          </w:tcPr>
          <w:p>
            <w:pPr>
              <w:spacing w:after="20"/>
              <w:jc w:val="right"/>
            </w:pPr>
            <w:r>
              <w:rPr>
                <w:color w:val="1C3A36"/>
                <w:sz w:val="18"/>
              </w:rPr>
              <w:t>1%</w:t>
            </w:r>
          </w:p>
        </w:tc>
      </w:tr>
      <w:tr>
        <w:tc>
          <w:tcPr>
            <w:tcW w:type="dxa" w:w="3096"/>
            <w:shd w:val="clear" w:color="auto" w:fill="F6F1E6"/>
          </w:tcPr>
          <w:p>
            <w:pPr>
              <w:spacing w:after="20"/>
            </w:pPr>
            <w:r>
              <w:rPr>
                <w:b/>
                <w:color w:val="1C3A36"/>
                <w:sz w:val="18"/>
              </w:rPr>
              <w:t>Total (company only)</w:t>
            </w:r>
          </w:p>
        </w:tc>
        <w:tc>
          <w:tcPr>
            <w:tcW w:type="dxa" w:w="1800"/>
            <w:shd w:val="clear" w:color="auto" w:fill="F6F1E6"/>
          </w:tcPr>
          <w:p>
            <w:pPr>
              <w:spacing w:after="20"/>
              <w:jc w:val="right"/>
            </w:pPr>
            <w:r>
              <w:rPr>
                <w:b/>
                <w:color w:val="1C3A36"/>
                <w:sz w:val="18"/>
              </w:rPr>
              <w:t>7,364</w:t>
            </w:r>
          </w:p>
        </w:tc>
        <w:tc>
          <w:tcPr>
            <w:tcW w:type="dxa" w:w="1800"/>
            <w:shd w:val="clear" w:color="auto" w:fill="F6F1E6"/>
          </w:tcPr>
          <w:p>
            <w:pPr>
              <w:spacing w:after="20"/>
              <w:jc w:val="right"/>
            </w:pPr>
            <w:r>
              <w:rPr>
                <w:b/>
                <w:color w:val="1C3A36"/>
                <w:sz w:val="18"/>
              </w:rPr>
              <w:t>9,302</w:t>
            </w:r>
          </w:p>
        </w:tc>
        <w:tc>
          <w:tcPr>
            <w:tcW w:type="dxa" w:w="1224"/>
            <w:shd w:val="clear" w:color="auto" w:fill="F6F1E6"/>
          </w:tcPr>
          <w:p>
            <w:pPr>
              <w:spacing w:after="20"/>
              <w:jc w:val="right"/>
            </w:pPr>
            <w:r>
              <w:rPr>
                <w:b/>
                <w:color w:val="1C3A36"/>
                <w:sz w:val="18"/>
              </w:rPr>
              <w:t>26%</w:t>
            </w:r>
          </w:p>
        </w:tc>
        <w:tc>
          <w:tcPr>
            <w:tcW w:type="dxa" w:w="1728"/>
            <w:shd w:val="clear" w:color="auto" w:fill="F6F1E6"/>
          </w:tcPr>
          <w:p>
            <w:pPr>
              <w:spacing w:after="20"/>
              <w:jc w:val="right"/>
            </w:pPr>
            <w:r>
              <w:rPr>
                <w:b/>
                <w:color w:val="1C3A36"/>
                <w:sz w:val="18"/>
              </w:rPr>
              <w:t>100%</w:t>
            </w:r>
          </w:p>
        </w:tc>
      </w:tr>
    </w:tbl>
    <w:p>
      <w:pPr>
        <w:spacing w:after="40"/>
      </w:pPr>
    </w:p>
    <w:p>
      <w:pPr>
        <w:spacing w:after="200" w:before="0"/>
      </w:pPr>
      <w:r>
        <w:rPr>
          <w:b w:val="0"/>
          <w:i/>
          <w:color w:val="6E7B77"/>
          <w:sz w:val="17"/>
        </w:rPr>
        <w:t>Table 3 — the disclosed revenue split, each total SUMMED from its own column. Exports are 32% of the book and are earned in hard currency; the domestic price is set administratively by the Egyptian Drug Authority. The step from this separate-company total to the audited consolidated revenue is the subsidiary's external sales: 1.01 times in FY2025 and 1.03 times in FY2024. The forecast carries the FY2025 reading. Two observations are not a trend, and the FY2024 reading would add about 1.6% to forecast revenue; the range is disclosed rather than the single figure being presented as measured fact.</w:t>
      </w:r>
    </w:p>
    <w:p>
      <w:pPr>
        <w:spacing w:after="120" w:before="0"/>
      </w:pPr>
      <w:r>
        <w:rPr>
          <w:b w:val="0"/>
          <w:i w:val="0"/>
          <w:color w:val="1C3A36"/>
          <w:sz w:val="21"/>
        </w:rPr>
        <w:t>Two things about this company are unusual enough to change how it must be valued. First, it is nearly currency-neutral on its balance sheet: the audited note shows a net monetary position of minus USD 0.5 million at the year end, against a company that earns USD 60 million of export revenue. It hedges by matching, not by contract. Second, its two equity-accounted associates contributed EGP 512 million in FY2025 — 36% of attributable profit — against a carrying value of only EGP 676 million. Carrying value is not a usable proxy for what that stake is worth, so this study values it on its earnings instead.</w:t>
      </w:r>
    </w:p>
    <w:p>
      <w:pPr>
        <w:spacing w:after="120" w:before="280"/>
      </w:pPr>
      <w:r>
        <w:rPr>
          <w:b/>
          <w:i w:val="0"/>
          <w:color w:val="1C3A36"/>
          <w:sz w:val="30"/>
        </w:rPr>
        <w:t>1. Fundamental valuation</w:t>
      </w:r>
    </w:p>
    <w:p>
      <w:pPr>
        <w:spacing w:after="80" w:before="200"/>
      </w:pPr>
      <w:r>
        <w:rPr>
          <w:b/>
          <w:i w:val="0"/>
          <w:color w:val="1C3A36"/>
          <w:sz w:val="24"/>
        </w:rPr>
        <w:t>1.1 The cash-flow model</w:t>
      </w:r>
    </w:p>
    <w:p>
      <w:pPr>
        <w:spacing w:after="120" w:before="0"/>
      </w:pPr>
      <w:r>
        <w:rPr>
          <w:b w:val="0"/>
          <w:i w:val="0"/>
          <w:color w:val="1C3A36"/>
          <w:sz w:val="21"/>
        </w:rPr>
        <w:t>The company is valued as an operating business: free cash flow to the firm over five explicit years, discounted on a rate that glides from today's cost of capital to a normalised one, plus a terminal value. Frame A of the contested provision judgement is shown here in full; Frame B differs only in that one line and is carried through to its own value per share.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384"/>
        <w:gridCol w:w="1325"/>
        <w:gridCol w:w="1325"/>
        <w:gridCol w:w="1325"/>
        <w:gridCol w:w="1325"/>
        <w:gridCol w:w="1325"/>
      </w:tblGrid>
      <w:tr>
        <w:tc>
          <w:tcPr>
            <w:tcW w:type="dxa" w:w="3384"/>
            <w:shd w:val="clear" w:color="auto" w:fill="EAF0EE"/>
          </w:tcPr>
          <w:p>
            <w:pPr>
              <w:spacing w:after="20"/>
            </w:pPr>
            <w:r>
              <w:rPr>
                <w:b/>
                <w:color w:val="1C3A36"/>
                <w:sz w:val="17"/>
              </w:rPr>
              <w:t>EGP million</w:t>
            </w:r>
          </w:p>
        </w:tc>
        <w:tc>
          <w:tcPr>
            <w:tcW w:type="dxa" w:w="1325"/>
            <w:shd w:val="clear" w:color="auto" w:fill="EAF0EE"/>
          </w:tcPr>
          <w:p>
            <w:pPr>
              <w:spacing w:after="20"/>
            </w:pPr>
            <w:r>
              <w:rPr>
                <w:b/>
                <w:color w:val="1C3A36"/>
                <w:sz w:val="17"/>
              </w:rPr>
              <w:t>FY2026E</w:t>
            </w:r>
          </w:p>
        </w:tc>
        <w:tc>
          <w:tcPr>
            <w:tcW w:type="dxa" w:w="1325"/>
            <w:shd w:val="clear" w:color="auto" w:fill="EAF0EE"/>
          </w:tcPr>
          <w:p>
            <w:pPr>
              <w:spacing w:after="20"/>
            </w:pPr>
            <w:r>
              <w:rPr>
                <w:b/>
                <w:color w:val="1C3A36"/>
                <w:sz w:val="17"/>
              </w:rPr>
              <w:t>FY2027E</w:t>
            </w:r>
          </w:p>
        </w:tc>
        <w:tc>
          <w:tcPr>
            <w:tcW w:type="dxa" w:w="1325"/>
            <w:shd w:val="clear" w:color="auto" w:fill="EAF0EE"/>
          </w:tcPr>
          <w:p>
            <w:pPr>
              <w:spacing w:after="20"/>
            </w:pPr>
            <w:r>
              <w:rPr>
                <w:b/>
                <w:color w:val="1C3A36"/>
                <w:sz w:val="17"/>
              </w:rPr>
              <w:t>FY2028E</w:t>
            </w:r>
          </w:p>
        </w:tc>
        <w:tc>
          <w:tcPr>
            <w:tcW w:type="dxa" w:w="1325"/>
            <w:shd w:val="clear" w:color="auto" w:fill="EAF0EE"/>
          </w:tcPr>
          <w:p>
            <w:pPr>
              <w:spacing w:after="20"/>
            </w:pPr>
            <w:r>
              <w:rPr>
                <w:b/>
                <w:color w:val="1C3A36"/>
                <w:sz w:val="17"/>
              </w:rPr>
              <w:t>FY2029E</w:t>
            </w:r>
          </w:p>
        </w:tc>
        <w:tc>
          <w:tcPr>
            <w:tcW w:type="dxa" w:w="1325"/>
            <w:shd w:val="clear" w:color="auto" w:fill="EAF0EE"/>
          </w:tcPr>
          <w:p>
            <w:pPr>
              <w:spacing w:after="20"/>
            </w:pPr>
            <w:r>
              <w:rPr>
                <w:b/>
                <w:color w:val="1C3A36"/>
                <w:sz w:val="17"/>
              </w:rPr>
              <w:t>FY2030E</w:t>
            </w:r>
          </w:p>
        </w:tc>
      </w:tr>
      <w:tr>
        <w:tc>
          <w:tcPr>
            <w:tcW w:type="dxa" w:w="3384"/>
          </w:tcPr>
          <w:p>
            <w:pPr>
              <w:spacing w:after="20"/>
            </w:pPr>
            <w:r>
              <w:rPr>
                <w:color w:val="1C3A36"/>
                <w:sz w:val="17"/>
              </w:rPr>
              <w:t>Revenue</w:t>
            </w:r>
          </w:p>
        </w:tc>
        <w:tc>
          <w:tcPr>
            <w:tcW w:type="dxa" w:w="1325"/>
          </w:tcPr>
          <w:p>
            <w:pPr>
              <w:spacing w:after="20"/>
              <w:jc w:val="right"/>
            </w:pPr>
            <w:r>
              <w:rPr>
                <w:color w:val="1C3A36"/>
                <w:sz w:val="17"/>
              </w:rPr>
              <w:t>10,694</w:t>
            </w:r>
          </w:p>
        </w:tc>
        <w:tc>
          <w:tcPr>
            <w:tcW w:type="dxa" w:w="1325"/>
          </w:tcPr>
          <w:p>
            <w:pPr>
              <w:spacing w:after="20"/>
              <w:jc w:val="right"/>
            </w:pPr>
            <w:r>
              <w:rPr>
                <w:color w:val="1C3A36"/>
                <w:sz w:val="17"/>
              </w:rPr>
              <w:t>12,612</w:t>
            </w:r>
          </w:p>
        </w:tc>
        <w:tc>
          <w:tcPr>
            <w:tcW w:type="dxa" w:w="1325"/>
          </w:tcPr>
          <w:p>
            <w:pPr>
              <w:spacing w:after="20"/>
              <w:jc w:val="right"/>
            </w:pPr>
            <w:r>
              <w:rPr>
                <w:color w:val="1C3A36"/>
                <w:sz w:val="17"/>
              </w:rPr>
              <w:t>14,621</w:t>
            </w:r>
          </w:p>
        </w:tc>
        <w:tc>
          <w:tcPr>
            <w:tcW w:type="dxa" w:w="1325"/>
          </w:tcPr>
          <w:p>
            <w:pPr>
              <w:spacing w:after="20"/>
              <w:jc w:val="right"/>
            </w:pPr>
            <w:r>
              <w:rPr>
                <w:color w:val="1C3A36"/>
                <w:sz w:val="17"/>
              </w:rPr>
              <w:t>16,637</w:t>
            </w:r>
          </w:p>
        </w:tc>
        <w:tc>
          <w:tcPr>
            <w:tcW w:type="dxa" w:w="1325"/>
          </w:tcPr>
          <w:p>
            <w:pPr>
              <w:spacing w:after="20"/>
              <w:jc w:val="right"/>
            </w:pPr>
            <w:r>
              <w:rPr>
                <w:color w:val="1C3A36"/>
                <w:sz w:val="17"/>
              </w:rPr>
              <w:t>18,608</w:t>
            </w:r>
          </w:p>
        </w:tc>
      </w:tr>
      <w:tr>
        <w:tc>
          <w:tcPr>
            <w:tcW w:type="dxa" w:w="3384"/>
          </w:tcPr>
          <w:p>
            <w:pPr>
              <w:spacing w:after="20"/>
            </w:pPr>
            <w:r>
              <w:rPr>
                <w:color w:val="1C3A36"/>
                <w:sz w:val="17"/>
              </w:rPr>
              <w:t>EBITDA</w:t>
            </w:r>
          </w:p>
        </w:tc>
        <w:tc>
          <w:tcPr>
            <w:tcW w:type="dxa" w:w="1325"/>
          </w:tcPr>
          <w:p>
            <w:pPr>
              <w:spacing w:after="20"/>
              <w:jc w:val="right"/>
            </w:pPr>
            <w:r>
              <w:rPr>
                <w:color w:val="1C3A36"/>
                <w:sz w:val="17"/>
              </w:rPr>
              <w:t>2,415</w:t>
            </w:r>
          </w:p>
        </w:tc>
        <w:tc>
          <w:tcPr>
            <w:tcW w:type="dxa" w:w="1325"/>
          </w:tcPr>
          <w:p>
            <w:pPr>
              <w:spacing w:after="20"/>
              <w:jc w:val="right"/>
            </w:pPr>
            <w:r>
              <w:rPr>
                <w:color w:val="1C3A36"/>
                <w:sz w:val="17"/>
              </w:rPr>
              <w:t>2,679</w:t>
            </w:r>
          </w:p>
        </w:tc>
        <w:tc>
          <w:tcPr>
            <w:tcW w:type="dxa" w:w="1325"/>
          </w:tcPr>
          <w:p>
            <w:pPr>
              <w:spacing w:after="20"/>
              <w:jc w:val="right"/>
            </w:pPr>
            <w:r>
              <w:rPr>
                <w:color w:val="1C3A36"/>
                <w:sz w:val="17"/>
              </w:rPr>
              <w:t>3,037</w:t>
            </w:r>
          </w:p>
        </w:tc>
        <w:tc>
          <w:tcPr>
            <w:tcW w:type="dxa" w:w="1325"/>
          </w:tcPr>
          <w:p>
            <w:pPr>
              <w:spacing w:after="20"/>
              <w:jc w:val="right"/>
            </w:pPr>
            <w:r>
              <w:rPr>
                <w:color w:val="1C3A36"/>
                <w:sz w:val="17"/>
              </w:rPr>
              <w:t>3,394</w:t>
            </w:r>
          </w:p>
        </w:tc>
        <w:tc>
          <w:tcPr>
            <w:tcW w:type="dxa" w:w="1325"/>
          </w:tcPr>
          <w:p>
            <w:pPr>
              <w:spacing w:after="20"/>
              <w:jc w:val="right"/>
            </w:pPr>
            <w:r>
              <w:rPr>
                <w:color w:val="1C3A36"/>
                <w:sz w:val="17"/>
              </w:rPr>
              <w:t>3,713</w:t>
            </w:r>
          </w:p>
        </w:tc>
      </w:tr>
      <w:tr>
        <w:tc>
          <w:tcPr>
            <w:tcW w:type="dxa" w:w="3384"/>
          </w:tcPr>
          <w:p>
            <w:pPr>
              <w:spacing w:after="20"/>
            </w:pPr>
            <w:r>
              <w:rPr>
                <w:color w:val="1C3A36"/>
                <w:sz w:val="17"/>
              </w:rPr>
              <w:t>EBITDA margin</w:t>
            </w:r>
          </w:p>
        </w:tc>
        <w:tc>
          <w:tcPr>
            <w:tcW w:type="dxa" w:w="1325"/>
          </w:tcPr>
          <w:p>
            <w:pPr>
              <w:spacing w:after="20"/>
              <w:jc w:val="right"/>
            </w:pPr>
            <w:r>
              <w:rPr>
                <w:color w:val="1C3A36"/>
                <w:sz w:val="17"/>
              </w:rPr>
              <w:t>22.6%</w:t>
            </w:r>
          </w:p>
        </w:tc>
        <w:tc>
          <w:tcPr>
            <w:tcW w:type="dxa" w:w="1325"/>
          </w:tcPr>
          <w:p>
            <w:pPr>
              <w:spacing w:after="20"/>
              <w:jc w:val="right"/>
            </w:pPr>
            <w:r>
              <w:rPr>
                <w:color w:val="1C3A36"/>
                <w:sz w:val="17"/>
              </w:rPr>
              <w:t>21.2%</w:t>
            </w:r>
          </w:p>
        </w:tc>
        <w:tc>
          <w:tcPr>
            <w:tcW w:type="dxa" w:w="1325"/>
          </w:tcPr>
          <w:p>
            <w:pPr>
              <w:spacing w:after="20"/>
              <w:jc w:val="right"/>
            </w:pPr>
            <w:r>
              <w:rPr>
                <w:color w:val="1C3A36"/>
                <w:sz w:val="17"/>
              </w:rPr>
              <w:t>20.8%</w:t>
            </w:r>
          </w:p>
        </w:tc>
        <w:tc>
          <w:tcPr>
            <w:tcW w:type="dxa" w:w="1325"/>
          </w:tcPr>
          <w:p>
            <w:pPr>
              <w:spacing w:after="20"/>
              <w:jc w:val="right"/>
            </w:pPr>
            <w:r>
              <w:rPr>
                <w:color w:val="1C3A36"/>
                <w:sz w:val="17"/>
              </w:rPr>
              <w:t>20.4%</w:t>
            </w:r>
          </w:p>
        </w:tc>
        <w:tc>
          <w:tcPr>
            <w:tcW w:type="dxa" w:w="1325"/>
          </w:tcPr>
          <w:p>
            <w:pPr>
              <w:spacing w:after="20"/>
              <w:jc w:val="right"/>
            </w:pPr>
            <w:r>
              <w:rPr>
                <w:color w:val="1C3A36"/>
                <w:sz w:val="17"/>
              </w:rPr>
              <w:t>20.0%</w:t>
            </w:r>
          </w:p>
        </w:tc>
      </w:tr>
      <w:tr>
        <w:tc>
          <w:tcPr>
            <w:tcW w:type="dxa" w:w="3384"/>
            <w:shd w:val="clear" w:color="auto" w:fill="F6F1E6"/>
          </w:tcPr>
          <w:p>
            <w:pPr>
              <w:spacing w:after="20"/>
            </w:pPr>
            <w:r>
              <w:rPr>
                <w:b/>
                <w:color w:val="1C3A36"/>
                <w:sz w:val="17"/>
              </w:rPr>
              <w:t>Less depreciation and amortisation</w:t>
            </w:r>
          </w:p>
        </w:tc>
        <w:tc>
          <w:tcPr>
            <w:tcW w:type="dxa" w:w="1325"/>
            <w:shd w:val="clear" w:color="auto" w:fill="F6F1E6"/>
          </w:tcPr>
          <w:p>
            <w:pPr>
              <w:spacing w:after="20"/>
              <w:jc w:val="right"/>
            </w:pPr>
            <w:r>
              <w:rPr>
                <w:b/>
                <w:color w:val="1C3A36"/>
                <w:sz w:val="17"/>
              </w:rPr>
              <w:t>(304)</w:t>
            </w:r>
          </w:p>
        </w:tc>
        <w:tc>
          <w:tcPr>
            <w:tcW w:type="dxa" w:w="1325"/>
            <w:shd w:val="clear" w:color="auto" w:fill="F6F1E6"/>
          </w:tcPr>
          <w:p>
            <w:pPr>
              <w:spacing w:after="20"/>
              <w:jc w:val="right"/>
            </w:pPr>
            <w:r>
              <w:rPr>
                <w:b/>
                <w:color w:val="1C3A36"/>
                <w:sz w:val="17"/>
              </w:rPr>
              <w:t>(425)</w:t>
            </w:r>
          </w:p>
        </w:tc>
        <w:tc>
          <w:tcPr>
            <w:tcW w:type="dxa" w:w="1325"/>
            <w:shd w:val="clear" w:color="auto" w:fill="F6F1E6"/>
          </w:tcPr>
          <w:p>
            <w:pPr>
              <w:spacing w:after="20"/>
              <w:jc w:val="right"/>
            </w:pPr>
            <w:r>
              <w:rPr>
                <w:b/>
                <w:color w:val="1C3A36"/>
                <w:sz w:val="17"/>
              </w:rPr>
              <w:t>(446)</w:t>
            </w:r>
          </w:p>
        </w:tc>
        <w:tc>
          <w:tcPr>
            <w:tcW w:type="dxa" w:w="1325"/>
            <w:shd w:val="clear" w:color="auto" w:fill="F6F1E6"/>
          </w:tcPr>
          <w:p>
            <w:pPr>
              <w:spacing w:after="20"/>
              <w:jc w:val="right"/>
            </w:pPr>
            <w:r>
              <w:rPr>
                <w:b/>
                <w:color w:val="1C3A36"/>
                <w:sz w:val="17"/>
              </w:rPr>
              <w:t>(437)</w:t>
            </w:r>
          </w:p>
        </w:tc>
        <w:tc>
          <w:tcPr>
            <w:tcW w:type="dxa" w:w="1325"/>
            <w:shd w:val="clear" w:color="auto" w:fill="F6F1E6"/>
          </w:tcPr>
          <w:p>
            <w:pPr>
              <w:spacing w:after="20"/>
              <w:jc w:val="right"/>
            </w:pPr>
            <w:r>
              <w:rPr>
                <w:b/>
                <w:color w:val="1C3A36"/>
                <w:sz w:val="17"/>
              </w:rPr>
              <w:t>(423)</w:t>
            </w:r>
          </w:p>
        </w:tc>
      </w:tr>
      <w:tr>
        <w:tc>
          <w:tcPr>
            <w:tcW w:type="dxa" w:w="3384"/>
          </w:tcPr>
          <w:p>
            <w:pPr>
              <w:spacing w:after="20"/>
            </w:pPr>
            <w:r>
              <w:rPr>
                <w:color w:val="1C3A36"/>
                <w:sz w:val="17"/>
              </w:rPr>
              <w:t>EBIT</w:t>
            </w:r>
          </w:p>
        </w:tc>
        <w:tc>
          <w:tcPr>
            <w:tcW w:type="dxa" w:w="1325"/>
          </w:tcPr>
          <w:p>
            <w:pPr>
              <w:spacing w:after="20"/>
              <w:jc w:val="right"/>
            </w:pPr>
            <w:r>
              <w:rPr>
                <w:color w:val="1C3A36"/>
                <w:sz w:val="17"/>
              </w:rPr>
              <w:t>2,111</w:t>
            </w:r>
          </w:p>
        </w:tc>
        <w:tc>
          <w:tcPr>
            <w:tcW w:type="dxa" w:w="1325"/>
          </w:tcPr>
          <w:p>
            <w:pPr>
              <w:spacing w:after="20"/>
              <w:jc w:val="right"/>
            </w:pPr>
            <w:r>
              <w:rPr>
                <w:color w:val="1C3A36"/>
                <w:sz w:val="17"/>
              </w:rPr>
              <w:t>2,254</w:t>
            </w:r>
          </w:p>
        </w:tc>
        <w:tc>
          <w:tcPr>
            <w:tcW w:type="dxa" w:w="1325"/>
          </w:tcPr>
          <w:p>
            <w:pPr>
              <w:spacing w:after="20"/>
              <w:jc w:val="right"/>
            </w:pPr>
            <w:r>
              <w:rPr>
                <w:color w:val="1C3A36"/>
                <w:sz w:val="17"/>
              </w:rPr>
              <w:t>2,591</w:t>
            </w:r>
          </w:p>
        </w:tc>
        <w:tc>
          <w:tcPr>
            <w:tcW w:type="dxa" w:w="1325"/>
          </w:tcPr>
          <w:p>
            <w:pPr>
              <w:spacing w:after="20"/>
              <w:jc w:val="right"/>
            </w:pPr>
            <w:r>
              <w:rPr>
                <w:color w:val="1C3A36"/>
                <w:sz w:val="17"/>
              </w:rPr>
              <w:t>2,957</w:t>
            </w:r>
          </w:p>
        </w:tc>
        <w:tc>
          <w:tcPr>
            <w:tcW w:type="dxa" w:w="1325"/>
          </w:tcPr>
          <w:p>
            <w:pPr>
              <w:spacing w:after="20"/>
              <w:jc w:val="right"/>
            </w:pPr>
            <w:r>
              <w:rPr>
                <w:color w:val="1C3A36"/>
                <w:sz w:val="17"/>
              </w:rPr>
              <w:t>3,290</w:t>
            </w:r>
          </w:p>
        </w:tc>
      </w:tr>
      <w:tr>
        <w:tc>
          <w:tcPr>
            <w:tcW w:type="dxa" w:w="3384"/>
          </w:tcPr>
          <w:p>
            <w:pPr>
              <w:spacing w:after="20"/>
            </w:pPr>
            <w:r>
              <w:rPr>
                <w:color w:val="1C3A36"/>
                <w:sz w:val="17"/>
              </w:rPr>
              <w:t>Tax rate (the EFFECTIVE rate the business bears)</w:t>
            </w:r>
          </w:p>
        </w:tc>
        <w:tc>
          <w:tcPr>
            <w:tcW w:type="dxa" w:w="1325"/>
          </w:tcPr>
          <w:p>
            <w:pPr>
              <w:spacing w:after="20"/>
              <w:jc w:val="right"/>
            </w:pPr>
            <w:r>
              <w:rPr>
                <w:color w:val="1C3A36"/>
                <w:sz w:val="17"/>
              </w:rPr>
              <w:t>23.5%</w:t>
            </w:r>
          </w:p>
        </w:tc>
        <w:tc>
          <w:tcPr>
            <w:tcW w:type="dxa" w:w="1325"/>
          </w:tcPr>
          <w:p>
            <w:pPr>
              <w:spacing w:after="20"/>
              <w:jc w:val="right"/>
            </w:pPr>
            <w:r>
              <w:rPr>
                <w:color w:val="1C3A36"/>
                <w:sz w:val="17"/>
              </w:rPr>
              <w:t>23.5%</w:t>
            </w:r>
          </w:p>
        </w:tc>
        <w:tc>
          <w:tcPr>
            <w:tcW w:type="dxa" w:w="1325"/>
          </w:tcPr>
          <w:p>
            <w:pPr>
              <w:spacing w:after="20"/>
              <w:jc w:val="right"/>
            </w:pPr>
            <w:r>
              <w:rPr>
                <w:color w:val="1C3A36"/>
                <w:sz w:val="17"/>
              </w:rPr>
              <w:t>23.5%</w:t>
            </w:r>
          </w:p>
        </w:tc>
        <w:tc>
          <w:tcPr>
            <w:tcW w:type="dxa" w:w="1325"/>
          </w:tcPr>
          <w:p>
            <w:pPr>
              <w:spacing w:after="20"/>
              <w:jc w:val="right"/>
            </w:pPr>
            <w:r>
              <w:rPr>
                <w:color w:val="1C3A36"/>
                <w:sz w:val="17"/>
              </w:rPr>
              <w:t>23.5%</w:t>
            </w:r>
          </w:p>
        </w:tc>
        <w:tc>
          <w:tcPr>
            <w:tcW w:type="dxa" w:w="1325"/>
          </w:tcPr>
          <w:p>
            <w:pPr>
              <w:spacing w:after="20"/>
              <w:jc w:val="right"/>
            </w:pPr>
            <w:r>
              <w:rPr>
                <w:color w:val="1C3A36"/>
                <w:sz w:val="17"/>
              </w:rPr>
              <w:t>23.5%</w:t>
            </w:r>
          </w:p>
        </w:tc>
      </w:tr>
      <w:tr>
        <w:tc>
          <w:tcPr>
            <w:tcW w:type="dxa" w:w="3384"/>
          </w:tcPr>
          <w:p>
            <w:pPr>
              <w:spacing w:after="20"/>
            </w:pPr>
            <w:r>
              <w:rPr>
                <w:color w:val="1C3A36"/>
                <w:sz w:val="17"/>
              </w:rPr>
              <w:t>NOPAT = EBIT x (1 − tax rate)</w:t>
            </w:r>
          </w:p>
        </w:tc>
        <w:tc>
          <w:tcPr>
            <w:tcW w:type="dxa" w:w="1325"/>
          </w:tcPr>
          <w:p>
            <w:pPr>
              <w:spacing w:after="20"/>
              <w:jc w:val="right"/>
            </w:pPr>
            <w:r>
              <w:rPr>
                <w:color w:val="1C3A36"/>
                <w:sz w:val="17"/>
              </w:rPr>
              <w:t>1,615</w:t>
            </w:r>
          </w:p>
        </w:tc>
        <w:tc>
          <w:tcPr>
            <w:tcW w:type="dxa" w:w="1325"/>
          </w:tcPr>
          <w:p>
            <w:pPr>
              <w:spacing w:after="20"/>
              <w:jc w:val="right"/>
            </w:pPr>
            <w:r>
              <w:rPr>
                <w:color w:val="1C3A36"/>
                <w:sz w:val="17"/>
              </w:rPr>
              <w:t>1,724</w:t>
            </w:r>
          </w:p>
        </w:tc>
        <w:tc>
          <w:tcPr>
            <w:tcW w:type="dxa" w:w="1325"/>
          </w:tcPr>
          <w:p>
            <w:pPr>
              <w:spacing w:after="20"/>
              <w:jc w:val="right"/>
            </w:pPr>
            <w:r>
              <w:rPr>
                <w:color w:val="1C3A36"/>
                <w:sz w:val="17"/>
              </w:rPr>
              <w:t>1,982</w:t>
            </w:r>
          </w:p>
        </w:tc>
        <w:tc>
          <w:tcPr>
            <w:tcW w:type="dxa" w:w="1325"/>
          </w:tcPr>
          <w:p>
            <w:pPr>
              <w:spacing w:after="20"/>
              <w:jc w:val="right"/>
            </w:pPr>
            <w:r>
              <w:rPr>
                <w:color w:val="1C3A36"/>
                <w:sz w:val="17"/>
              </w:rPr>
              <w:t>2,262</w:t>
            </w:r>
          </w:p>
        </w:tc>
        <w:tc>
          <w:tcPr>
            <w:tcW w:type="dxa" w:w="1325"/>
          </w:tcPr>
          <w:p>
            <w:pPr>
              <w:spacing w:after="20"/>
              <w:jc w:val="right"/>
            </w:pPr>
            <w:r>
              <w:rPr>
                <w:color w:val="1C3A36"/>
                <w:sz w:val="17"/>
              </w:rPr>
              <w:t>2,517</w:t>
            </w:r>
          </w:p>
        </w:tc>
      </w:tr>
      <w:tr>
        <w:tc>
          <w:tcPr>
            <w:tcW w:type="dxa" w:w="3384"/>
            <w:shd w:val="clear" w:color="auto" w:fill="F6F1E6"/>
          </w:tcPr>
          <w:p>
            <w:pPr>
              <w:spacing w:after="20"/>
            </w:pPr>
            <w:r>
              <w:rPr>
                <w:b/>
                <w:color w:val="1C3A36"/>
                <w:sz w:val="17"/>
              </w:rPr>
              <w:t>Add back depreciation and amortisation</w:t>
            </w:r>
          </w:p>
        </w:tc>
        <w:tc>
          <w:tcPr>
            <w:tcW w:type="dxa" w:w="1325"/>
            <w:shd w:val="clear" w:color="auto" w:fill="F6F1E6"/>
          </w:tcPr>
          <w:p>
            <w:pPr>
              <w:spacing w:after="20"/>
              <w:jc w:val="right"/>
            </w:pPr>
            <w:r>
              <w:rPr>
                <w:b/>
                <w:color w:val="1C3A36"/>
                <w:sz w:val="17"/>
              </w:rPr>
              <w:t>304</w:t>
            </w:r>
          </w:p>
        </w:tc>
        <w:tc>
          <w:tcPr>
            <w:tcW w:type="dxa" w:w="1325"/>
            <w:shd w:val="clear" w:color="auto" w:fill="F6F1E6"/>
          </w:tcPr>
          <w:p>
            <w:pPr>
              <w:spacing w:after="20"/>
              <w:jc w:val="right"/>
            </w:pPr>
            <w:r>
              <w:rPr>
                <w:b/>
                <w:color w:val="1C3A36"/>
                <w:sz w:val="17"/>
              </w:rPr>
              <w:t>425</w:t>
            </w:r>
          </w:p>
        </w:tc>
        <w:tc>
          <w:tcPr>
            <w:tcW w:type="dxa" w:w="1325"/>
            <w:shd w:val="clear" w:color="auto" w:fill="F6F1E6"/>
          </w:tcPr>
          <w:p>
            <w:pPr>
              <w:spacing w:after="20"/>
              <w:jc w:val="right"/>
            </w:pPr>
            <w:r>
              <w:rPr>
                <w:b/>
                <w:color w:val="1C3A36"/>
                <w:sz w:val="17"/>
              </w:rPr>
              <w:t>446</w:t>
            </w:r>
          </w:p>
        </w:tc>
        <w:tc>
          <w:tcPr>
            <w:tcW w:type="dxa" w:w="1325"/>
            <w:shd w:val="clear" w:color="auto" w:fill="F6F1E6"/>
          </w:tcPr>
          <w:p>
            <w:pPr>
              <w:spacing w:after="20"/>
              <w:jc w:val="right"/>
            </w:pPr>
            <w:r>
              <w:rPr>
                <w:b/>
                <w:color w:val="1C3A36"/>
                <w:sz w:val="17"/>
              </w:rPr>
              <w:t>437</w:t>
            </w:r>
          </w:p>
        </w:tc>
        <w:tc>
          <w:tcPr>
            <w:tcW w:type="dxa" w:w="1325"/>
            <w:shd w:val="clear" w:color="auto" w:fill="F6F1E6"/>
          </w:tcPr>
          <w:p>
            <w:pPr>
              <w:spacing w:after="20"/>
              <w:jc w:val="right"/>
            </w:pPr>
            <w:r>
              <w:rPr>
                <w:b/>
                <w:color w:val="1C3A36"/>
                <w:sz w:val="17"/>
              </w:rPr>
              <w:t>423</w:t>
            </w:r>
          </w:p>
        </w:tc>
      </w:tr>
      <w:tr>
        <w:tc>
          <w:tcPr>
            <w:tcW w:type="dxa" w:w="3384"/>
          </w:tcPr>
          <w:p>
            <w:pPr>
              <w:spacing w:after="20"/>
            </w:pPr>
            <w:r>
              <w:rPr>
                <w:color w:val="1C3A36"/>
                <w:sz w:val="17"/>
              </w:rPr>
              <w:t>Less capital expenditure</w:t>
            </w:r>
          </w:p>
        </w:tc>
        <w:tc>
          <w:tcPr>
            <w:tcW w:type="dxa" w:w="1325"/>
          </w:tcPr>
          <w:p>
            <w:pPr>
              <w:spacing w:after="20"/>
              <w:jc w:val="right"/>
            </w:pPr>
            <w:r>
              <w:rPr>
                <w:color w:val="1C3A36"/>
                <w:sz w:val="17"/>
              </w:rPr>
              <w:t>(1,337)</w:t>
            </w:r>
          </w:p>
        </w:tc>
        <w:tc>
          <w:tcPr>
            <w:tcW w:type="dxa" w:w="1325"/>
          </w:tcPr>
          <w:p>
            <w:pPr>
              <w:spacing w:after="20"/>
              <w:jc w:val="right"/>
            </w:pPr>
            <w:r>
              <w:rPr>
                <w:color w:val="1C3A36"/>
                <w:sz w:val="17"/>
              </w:rPr>
              <w:t>(568)</w:t>
            </w:r>
          </w:p>
        </w:tc>
        <w:tc>
          <w:tcPr>
            <w:tcW w:type="dxa" w:w="1325"/>
          </w:tcPr>
          <w:p>
            <w:pPr>
              <w:spacing w:after="20"/>
              <w:jc w:val="right"/>
            </w:pPr>
            <w:r>
              <w:rPr>
                <w:color w:val="1C3A36"/>
                <w:sz w:val="17"/>
              </w:rPr>
              <w:t>(512)</w:t>
            </w:r>
          </w:p>
        </w:tc>
        <w:tc>
          <w:tcPr>
            <w:tcW w:type="dxa" w:w="1325"/>
          </w:tcPr>
          <w:p>
            <w:pPr>
              <w:spacing w:after="20"/>
              <w:jc w:val="right"/>
            </w:pPr>
            <w:r>
              <w:rPr>
                <w:color w:val="1C3A36"/>
                <w:sz w:val="17"/>
              </w:rPr>
              <w:t>(532)</w:t>
            </w:r>
          </w:p>
        </w:tc>
        <w:tc>
          <w:tcPr>
            <w:tcW w:type="dxa" w:w="1325"/>
          </w:tcPr>
          <w:p>
            <w:pPr>
              <w:spacing w:after="20"/>
              <w:jc w:val="right"/>
            </w:pPr>
            <w:r>
              <w:rPr>
                <w:color w:val="1C3A36"/>
                <w:sz w:val="17"/>
              </w:rPr>
              <w:t>(558)</w:t>
            </w:r>
          </w:p>
        </w:tc>
      </w:tr>
      <w:tr>
        <w:tc>
          <w:tcPr>
            <w:tcW w:type="dxa" w:w="3384"/>
          </w:tcPr>
          <w:p>
            <w:pPr>
              <w:spacing w:after="20"/>
            </w:pPr>
            <w:r>
              <w:rPr>
                <w:color w:val="1C3A36"/>
                <w:sz w:val="17"/>
              </w:rPr>
              <w:t>Less increase in working capital</w:t>
            </w:r>
          </w:p>
        </w:tc>
        <w:tc>
          <w:tcPr>
            <w:tcW w:type="dxa" w:w="1325"/>
          </w:tcPr>
          <w:p>
            <w:pPr>
              <w:spacing w:after="20"/>
              <w:jc w:val="right"/>
            </w:pPr>
            <w:r>
              <w:rPr>
                <w:color w:val="1C3A36"/>
                <w:sz w:val="17"/>
              </w:rPr>
              <w:t>(910)</w:t>
            </w:r>
          </w:p>
        </w:tc>
        <w:tc>
          <w:tcPr>
            <w:tcW w:type="dxa" w:w="1325"/>
          </w:tcPr>
          <w:p>
            <w:pPr>
              <w:spacing w:after="20"/>
              <w:jc w:val="right"/>
            </w:pPr>
            <w:r>
              <w:rPr>
                <w:color w:val="1C3A36"/>
                <w:sz w:val="17"/>
              </w:rPr>
              <w:t>(1,020)</w:t>
            </w:r>
          </w:p>
        </w:tc>
        <w:tc>
          <w:tcPr>
            <w:tcW w:type="dxa" w:w="1325"/>
          </w:tcPr>
          <w:p>
            <w:pPr>
              <w:spacing w:after="20"/>
              <w:jc w:val="right"/>
            </w:pPr>
            <w:r>
              <w:rPr>
                <w:color w:val="1C3A36"/>
                <w:sz w:val="17"/>
              </w:rPr>
              <w:t>(869)</w:t>
            </w:r>
          </w:p>
        </w:tc>
        <w:tc>
          <w:tcPr>
            <w:tcW w:type="dxa" w:w="1325"/>
          </w:tcPr>
          <w:p>
            <w:pPr>
              <w:spacing w:after="20"/>
              <w:jc w:val="right"/>
            </w:pPr>
            <w:r>
              <w:rPr>
                <w:color w:val="1C3A36"/>
                <w:sz w:val="17"/>
              </w:rPr>
              <w:t>(877)</w:t>
            </w:r>
          </w:p>
        </w:tc>
        <w:tc>
          <w:tcPr>
            <w:tcW w:type="dxa" w:w="1325"/>
          </w:tcPr>
          <w:p>
            <w:pPr>
              <w:spacing w:after="20"/>
              <w:jc w:val="right"/>
            </w:pPr>
            <w:r>
              <w:rPr>
                <w:color w:val="1C3A36"/>
                <w:sz w:val="17"/>
              </w:rPr>
              <w:t>(829)</w:t>
            </w:r>
          </w:p>
        </w:tc>
      </w:tr>
      <w:tr>
        <w:tc>
          <w:tcPr>
            <w:tcW w:type="dxa" w:w="3384"/>
          </w:tcPr>
          <w:p>
            <w:pPr>
              <w:spacing w:after="20"/>
            </w:pPr>
            <w:r>
              <w:rPr>
                <w:color w:val="1C3A36"/>
                <w:sz w:val="17"/>
              </w:rPr>
              <w:t>Free cash flow to the firm</w:t>
            </w:r>
          </w:p>
        </w:tc>
        <w:tc>
          <w:tcPr>
            <w:tcW w:type="dxa" w:w="1325"/>
          </w:tcPr>
          <w:p>
            <w:pPr>
              <w:spacing w:after="20"/>
              <w:jc w:val="right"/>
            </w:pPr>
            <w:r>
              <w:rPr>
                <w:color w:val="1C3A36"/>
                <w:sz w:val="17"/>
              </w:rPr>
              <w:t>-328</w:t>
            </w:r>
          </w:p>
        </w:tc>
        <w:tc>
          <w:tcPr>
            <w:tcW w:type="dxa" w:w="1325"/>
          </w:tcPr>
          <w:p>
            <w:pPr>
              <w:spacing w:after="20"/>
              <w:jc w:val="right"/>
            </w:pPr>
            <w:r>
              <w:rPr>
                <w:color w:val="1C3A36"/>
                <w:sz w:val="17"/>
              </w:rPr>
              <w:t>562</w:t>
            </w:r>
          </w:p>
        </w:tc>
        <w:tc>
          <w:tcPr>
            <w:tcW w:type="dxa" w:w="1325"/>
          </w:tcPr>
          <w:p>
            <w:pPr>
              <w:spacing w:after="20"/>
              <w:jc w:val="right"/>
            </w:pPr>
            <w:r>
              <w:rPr>
                <w:color w:val="1C3A36"/>
                <w:sz w:val="17"/>
              </w:rPr>
              <w:t>1,048</w:t>
            </w:r>
          </w:p>
        </w:tc>
        <w:tc>
          <w:tcPr>
            <w:tcW w:type="dxa" w:w="1325"/>
          </w:tcPr>
          <w:p>
            <w:pPr>
              <w:spacing w:after="20"/>
              <w:jc w:val="right"/>
            </w:pPr>
            <w:r>
              <w:rPr>
                <w:color w:val="1C3A36"/>
                <w:sz w:val="17"/>
              </w:rPr>
              <w:t>1,290</w:t>
            </w:r>
          </w:p>
        </w:tc>
        <w:tc>
          <w:tcPr>
            <w:tcW w:type="dxa" w:w="1325"/>
          </w:tcPr>
          <w:p>
            <w:pPr>
              <w:spacing w:after="20"/>
              <w:jc w:val="right"/>
            </w:pPr>
            <w:r>
              <w:rPr>
                <w:color w:val="1C3A36"/>
                <w:sz w:val="17"/>
              </w:rPr>
              <w:t>1,553</w:t>
            </w:r>
          </w:p>
        </w:tc>
      </w:tr>
      <w:tr>
        <w:tc>
          <w:tcPr>
            <w:tcW w:type="dxa" w:w="3384"/>
            <w:shd w:val="clear" w:color="auto" w:fill="F6F1E6"/>
          </w:tcPr>
          <w:p>
            <w:pPr>
              <w:spacing w:after="20"/>
            </w:pPr>
            <w:r>
              <w:rPr>
                <w:b/>
                <w:color w:val="1C3A36"/>
                <w:sz w:val="17"/>
              </w:rPr>
              <w:t>Discount rate</w:t>
            </w:r>
          </w:p>
        </w:tc>
        <w:tc>
          <w:tcPr>
            <w:tcW w:type="dxa" w:w="1325"/>
            <w:shd w:val="clear" w:color="auto" w:fill="F6F1E6"/>
          </w:tcPr>
          <w:p>
            <w:pPr>
              <w:spacing w:after="20"/>
              <w:jc w:val="right"/>
            </w:pPr>
            <w:r>
              <w:rPr>
                <w:b/>
                <w:color w:val="1C3A36"/>
                <w:sz w:val="17"/>
              </w:rPr>
              <w:t>22.71%</w:t>
            </w:r>
          </w:p>
        </w:tc>
        <w:tc>
          <w:tcPr>
            <w:tcW w:type="dxa" w:w="1325"/>
            <w:shd w:val="clear" w:color="auto" w:fill="F6F1E6"/>
          </w:tcPr>
          <w:p>
            <w:pPr>
              <w:spacing w:after="20"/>
              <w:jc w:val="right"/>
            </w:pPr>
            <w:r>
              <w:rPr>
                <w:b/>
                <w:color w:val="1C3A36"/>
                <w:sz w:val="17"/>
              </w:rPr>
              <w:t>20.65%</w:t>
            </w:r>
          </w:p>
        </w:tc>
        <w:tc>
          <w:tcPr>
            <w:tcW w:type="dxa" w:w="1325"/>
            <w:shd w:val="clear" w:color="auto" w:fill="F6F1E6"/>
          </w:tcPr>
          <w:p>
            <w:pPr>
              <w:spacing w:after="20"/>
              <w:jc w:val="right"/>
            </w:pPr>
            <w:r>
              <w:rPr>
                <w:b/>
                <w:color w:val="1C3A36"/>
                <w:sz w:val="17"/>
              </w:rPr>
              <w:t>18.40%</w:t>
            </w:r>
          </w:p>
        </w:tc>
        <w:tc>
          <w:tcPr>
            <w:tcW w:type="dxa" w:w="1325"/>
            <w:shd w:val="clear" w:color="auto" w:fill="F6F1E6"/>
          </w:tcPr>
          <w:p>
            <w:pPr>
              <w:spacing w:after="20"/>
              <w:jc w:val="right"/>
            </w:pPr>
            <w:r>
              <w:rPr>
                <w:b/>
                <w:color w:val="1C3A36"/>
                <w:sz w:val="17"/>
              </w:rPr>
              <w:t>16.53%</w:t>
            </w:r>
          </w:p>
        </w:tc>
        <w:tc>
          <w:tcPr>
            <w:tcW w:type="dxa" w:w="1325"/>
            <w:shd w:val="clear" w:color="auto" w:fill="F6F1E6"/>
          </w:tcPr>
          <w:p>
            <w:pPr>
              <w:spacing w:after="20"/>
              <w:jc w:val="right"/>
            </w:pPr>
            <w:r>
              <w:rPr>
                <w:b/>
                <w:color w:val="1C3A36"/>
                <w:sz w:val="17"/>
              </w:rPr>
              <w:t>15.03%</w:t>
            </w:r>
          </w:p>
        </w:tc>
      </w:tr>
      <w:tr>
        <w:tc>
          <w:tcPr>
            <w:tcW w:type="dxa" w:w="3384"/>
          </w:tcPr>
          <w:p>
            <w:pPr>
              <w:spacing w:after="20"/>
            </w:pPr>
            <w:r>
              <w:rPr>
                <w:color w:val="1C3A36"/>
                <w:sz w:val="17"/>
              </w:rPr>
              <w:t>Discount factor</w:t>
            </w:r>
          </w:p>
        </w:tc>
        <w:tc>
          <w:tcPr>
            <w:tcW w:type="dxa" w:w="1325"/>
          </w:tcPr>
          <w:p>
            <w:pPr>
              <w:spacing w:after="20"/>
              <w:jc w:val="right"/>
            </w:pPr>
            <w:r>
              <w:rPr>
                <w:color w:val="1C3A36"/>
                <w:sz w:val="17"/>
              </w:rPr>
              <w:t>0.8149</w:t>
            </w:r>
          </w:p>
        </w:tc>
        <w:tc>
          <w:tcPr>
            <w:tcW w:type="dxa" w:w="1325"/>
          </w:tcPr>
          <w:p>
            <w:pPr>
              <w:spacing w:after="20"/>
              <w:jc w:val="right"/>
            </w:pPr>
            <w:r>
              <w:rPr>
                <w:color w:val="1C3A36"/>
                <w:sz w:val="17"/>
              </w:rPr>
              <w:t>0.6755</w:t>
            </w:r>
          </w:p>
        </w:tc>
        <w:tc>
          <w:tcPr>
            <w:tcW w:type="dxa" w:w="1325"/>
          </w:tcPr>
          <w:p>
            <w:pPr>
              <w:spacing w:after="20"/>
              <w:jc w:val="right"/>
            </w:pPr>
            <w:r>
              <w:rPr>
                <w:color w:val="1C3A36"/>
                <w:sz w:val="17"/>
              </w:rPr>
              <w:t>0.5705</w:t>
            </w:r>
          </w:p>
        </w:tc>
        <w:tc>
          <w:tcPr>
            <w:tcW w:type="dxa" w:w="1325"/>
          </w:tcPr>
          <w:p>
            <w:pPr>
              <w:spacing w:after="20"/>
              <w:jc w:val="right"/>
            </w:pPr>
            <w:r>
              <w:rPr>
                <w:color w:val="1C3A36"/>
                <w:sz w:val="17"/>
              </w:rPr>
              <w:t>0.4896</w:t>
            </w:r>
          </w:p>
        </w:tc>
        <w:tc>
          <w:tcPr>
            <w:tcW w:type="dxa" w:w="1325"/>
          </w:tcPr>
          <w:p>
            <w:pPr>
              <w:spacing w:after="20"/>
              <w:jc w:val="right"/>
            </w:pPr>
            <w:r>
              <w:rPr>
                <w:color w:val="1C3A36"/>
                <w:sz w:val="17"/>
              </w:rPr>
              <w:t>0.4256</w:t>
            </w:r>
          </w:p>
        </w:tc>
      </w:tr>
      <w:tr>
        <w:tc>
          <w:tcPr>
            <w:tcW w:type="dxa" w:w="3384"/>
          </w:tcPr>
          <w:p>
            <w:pPr>
              <w:spacing w:after="20"/>
            </w:pPr>
            <w:r>
              <w:rPr>
                <w:color w:val="1C3A36"/>
                <w:sz w:val="17"/>
              </w:rPr>
              <w:t>Present value of free cash flow</w:t>
            </w:r>
          </w:p>
        </w:tc>
        <w:tc>
          <w:tcPr>
            <w:tcW w:type="dxa" w:w="1325"/>
          </w:tcPr>
          <w:p>
            <w:pPr>
              <w:spacing w:after="20"/>
              <w:jc w:val="right"/>
            </w:pPr>
            <w:r>
              <w:rPr>
                <w:color w:val="1C3A36"/>
                <w:sz w:val="17"/>
              </w:rPr>
              <w:t>-268</w:t>
            </w:r>
          </w:p>
        </w:tc>
        <w:tc>
          <w:tcPr>
            <w:tcW w:type="dxa" w:w="1325"/>
          </w:tcPr>
          <w:p>
            <w:pPr>
              <w:spacing w:after="20"/>
              <w:jc w:val="right"/>
            </w:pPr>
            <w:r>
              <w:rPr>
                <w:color w:val="1C3A36"/>
                <w:sz w:val="17"/>
              </w:rPr>
              <w:t>380</w:t>
            </w:r>
          </w:p>
        </w:tc>
        <w:tc>
          <w:tcPr>
            <w:tcW w:type="dxa" w:w="1325"/>
          </w:tcPr>
          <w:p>
            <w:pPr>
              <w:spacing w:after="20"/>
              <w:jc w:val="right"/>
            </w:pPr>
            <w:r>
              <w:rPr>
                <w:color w:val="1C3A36"/>
                <w:sz w:val="17"/>
              </w:rPr>
              <w:t>598</w:t>
            </w:r>
          </w:p>
        </w:tc>
        <w:tc>
          <w:tcPr>
            <w:tcW w:type="dxa" w:w="1325"/>
          </w:tcPr>
          <w:p>
            <w:pPr>
              <w:spacing w:after="20"/>
              <w:jc w:val="right"/>
            </w:pPr>
            <w:r>
              <w:rPr>
                <w:color w:val="1C3A36"/>
                <w:sz w:val="17"/>
              </w:rPr>
              <w:t>631</w:t>
            </w:r>
          </w:p>
        </w:tc>
        <w:tc>
          <w:tcPr>
            <w:tcW w:type="dxa" w:w="1325"/>
          </w:tcPr>
          <w:p>
            <w:pPr>
              <w:spacing w:after="20"/>
              <w:jc w:val="right"/>
            </w:pPr>
            <w:r>
              <w:rPr>
                <w:color w:val="1C3A36"/>
                <w:sz w:val="17"/>
              </w:rPr>
              <w:t>661</w:t>
            </w:r>
          </w:p>
        </w:tc>
      </w:tr>
    </w:tbl>
    <w:p>
      <w:pPr>
        <w:spacing w:after="40"/>
      </w:pPr>
    </w:p>
    <w:p>
      <w:pPr>
        <w:spacing w:after="200" w:before="0"/>
      </w:pPr>
      <w:r>
        <w:rPr>
          <w:b w:val="0"/>
          <w:i/>
          <w:color w:val="6E7B77"/>
          <w:sz w:val="17"/>
        </w:rPr>
        <w:t>Table 4 — the full free-cash-flow waterfall through to present value, Frame A.</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5112"/>
        <w:gridCol w:w="2304"/>
        <w:gridCol w:w="2232"/>
      </w:tblGrid>
      <w:tr>
        <w:tc>
          <w:tcPr>
            <w:tcW w:type="dxa" w:w="5112"/>
            <w:shd w:val="clear" w:color="auto" w:fill="EAF0EE"/>
          </w:tcPr>
          <w:p>
            <w:pPr>
              <w:spacing w:after="20"/>
            </w:pPr>
            <w:r>
              <w:rPr>
                <w:b/>
                <w:color w:val="1C3A36"/>
                <w:sz w:val="18"/>
              </w:rPr>
              <w:t>Enterprise value to equity value</w:t>
            </w:r>
          </w:p>
        </w:tc>
        <w:tc>
          <w:tcPr>
            <w:tcW w:type="dxa" w:w="2304"/>
            <w:shd w:val="clear" w:color="auto" w:fill="EAF0EE"/>
          </w:tcPr>
          <w:p>
            <w:pPr>
              <w:spacing w:after="20"/>
            </w:pPr>
            <w:r>
              <w:rPr>
                <w:b/>
                <w:color w:val="1C3A36"/>
                <w:sz w:val="18"/>
              </w:rPr>
              <w:t>EGP million</w:t>
            </w:r>
          </w:p>
        </w:tc>
        <w:tc>
          <w:tcPr>
            <w:tcW w:type="dxa" w:w="2232"/>
            <w:shd w:val="clear" w:color="auto" w:fill="EAF0EE"/>
          </w:tcPr>
          <w:p>
            <w:pPr>
              <w:spacing w:after="20"/>
            </w:pPr>
            <w:r>
              <w:rPr>
                <w:b/>
                <w:color w:val="1C3A36"/>
                <w:sz w:val="18"/>
              </w:rPr>
              <w:t>EGP / share</w:t>
            </w:r>
          </w:p>
        </w:tc>
      </w:tr>
      <w:tr>
        <w:tc>
          <w:tcPr>
            <w:tcW w:type="dxa" w:w="5112"/>
          </w:tcPr>
          <w:p>
            <w:pPr>
              <w:spacing w:after="20"/>
            </w:pPr>
            <w:r>
              <w:rPr>
                <w:color w:val="1C3A36"/>
                <w:sz w:val="18"/>
              </w:rPr>
              <w:t>Present value of five years of free cash flow</w:t>
            </w:r>
          </w:p>
        </w:tc>
        <w:tc>
          <w:tcPr>
            <w:tcW w:type="dxa" w:w="2304"/>
          </w:tcPr>
          <w:p>
            <w:pPr>
              <w:spacing w:after="20"/>
              <w:jc w:val="right"/>
            </w:pPr>
            <w:r>
              <w:rPr>
                <w:color w:val="1C3A36"/>
                <w:sz w:val="18"/>
              </w:rPr>
              <w:t>2,002</w:t>
            </w:r>
          </w:p>
        </w:tc>
        <w:tc>
          <w:tcPr>
            <w:tcW w:type="dxa" w:w="2232"/>
          </w:tcPr>
          <w:p>
            <w:pPr>
              <w:spacing w:after="20"/>
              <w:jc w:val="right"/>
            </w:pPr>
            <w:r>
              <w:rPr>
                <w:color w:val="1C3A36"/>
                <w:sz w:val="18"/>
              </w:rPr>
              <w:t>11.86</w:t>
            </w:r>
          </w:p>
        </w:tc>
      </w:tr>
      <w:tr>
        <w:tc>
          <w:tcPr>
            <w:tcW w:type="dxa" w:w="5112"/>
          </w:tcPr>
          <w:p>
            <w:pPr>
              <w:spacing w:after="20"/>
            </w:pPr>
            <w:r>
              <w:rPr>
                <w:color w:val="1C3A36"/>
                <w:sz w:val="18"/>
              </w:rPr>
              <w:t>Present value of the terminal value</w:t>
            </w:r>
          </w:p>
        </w:tc>
        <w:tc>
          <w:tcPr>
            <w:tcW w:type="dxa" w:w="2304"/>
          </w:tcPr>
          <w:p>
            <w:pPr>
              <w:spacing w:after="20"/>
              <w:jc w:val="right"/>
            </w:pPr>
            <w:r>
              <w:rPr>
                <w:color w:val="1C3A36"/>
                <w:sz w:val="18"/>
              </w:rPr>
              <w:t>7,944</w:t>
            </w:r>
          </w:p>
        </w:tc>
        <w:tc>
          <w:tcPr>
            <w:tcW w:type="dxa" w:w="2232"/>
          </w:tcPr>
          <w:p>
            <w:pPr>
              <w:spacing w:after="20"/>
              <w:jc w:val="right"/>
            </w:pPr>
            <w:r>
              <w:rPr>
                <w:color w:val="1C3A36"/>
                <w:sz w:val="18"/>
              </w:rPr>
              <w:t>47.07</w:t>
            </w:r>
          </w:p>
        </w:tc>
      </w:tr>
      <w:tr>
        <w:tc>
          <w:tcPr>
            <w:tcW w:type="dxa" w:w="5112"/>
          </w:tcPr>
          <w:p>
            <w:pPr>
              <w:spacing w:after="20"/>
            </w:pPr>
            <w:r>
              <w:rPr>
                <w:color w:val="1C3A36"/>
                <w:sz w:val="18"/>
              </w:rPr>
              <w:t>Core enterprise value</w:t>
            </w:r>
          </w:p>
        </w:tc>
        <w:tc>
          <w:tcPr>
            <w:tcW w:type="dxa" w:w="2304"/>
          </w:tcPr>
          <w:p>
            <w:pPr>
              <w:spacing w:after="20"/>
              <w:jc w:val="right"/>
            </w:pPr>
            <w:r>
              <w:rPr>
                <w:color w:val="1C3A36"/>
                <w:sz w:val="18"/>
              </w:rPr>
              <w:t>9,946</w:t>
            </w:r>
          </w:p>
        </w:tc>
        <w:tc>
          <w:tcPr>
            <w:tcW w:type="dxa" w:w="2232"/>
          </w:tcPr>
          <w:p>
            <w:pPr>
              <w:spacing w:after="20"/>
              <w:jc w:val="right"/>
            </w:pPr>
            <w:r>
              <w:rPr>
                <w:color w:val="1C3A36"/>
                <w:sz w:val="18"/>
              </w:rPr>
              <w:t>58.94</w:t>
            </w:r>
          </w:p>
        </w:tc>
      </w:tr>
      <w:tr>
        <w:tc>
          <w:tcPr>
            <w:tcW w:type="dxa" w:w="5112"/>
            <w:shd w:val="clear" w:color="auto" w:fill="F6F1E6"/>
          </w:tcPr>
          <w:p>
            <w:pPr>
              <w:spacing w:after="20"/>
            </w:pPr>
            <w:r>
              <w:rPr>
                <w:b/>
                <w:color w:val="1C3A36"/>
                <w:sz w:val="18"/>
              </w:rPr>
              <w:t>Terminal value as a percentage of CORE enterprise value</w:t>
            </w:r>
          </w:p>
        </w:tc>
        <w:tc>
          <w:tcPr>
            <w:tcW w:type="dxa" w:w="2304"/>
            <w:shd w:val="clear" w:color="auto" w:fill="F6F1E6"/>
          </w:tcPr>
          <w:p>
            <w:pPr>
              <w:spacing w:after="20"/>
              <w:jc w:val="right"/>
            </w:pPr>
            <w:r>
              <w:rPr>
                <w:b/>
                <w:color w:val="1C3A36"/>
                <w:sz w:val="18"/>
              </w:rPr>
              <w:t>80%</w:t>
            </w:r>
          </w:p>
        </w:tc>
        <w:tc>
          <w:tcPr>
            <w:tcW w:type="dxa" w:w="2232"/>
            <w:shd w:val="clear" w:color="auto" w:fill="F6F1E6"/>
          </w:tcPr>
          <w:p>
            <w:pPr>
              <w:spacing w:after="20"/>
              <w:jc w:val="right"/>
            </w:pPr>
            <w:r>
              <w:rPr>
                <w:b/>
                <w:color w:val="1C3A36"/>
                <w:sz w:val="18"/>
              </w:rPr>
            </w:r>
          </w:p>
        </w:tc>
      </w:tr>
      <w:tr>
        <w:tc>
          <w:tcPr>
            <w:tcW w:type="dxa" w:w="5112"/>
          </w:tcPr>
          <w:p>
            <w:pPr>
              <w:spacing w:after="20"/>
            </w:pPr>
            <w:r>
              <w:rPr>
                <w:color w:val="1C3A36"/>
                <w:sz w:val="18"/>
              </w:rPr>
              <w:t>Add: earning associates at normalised earnings times the multiple</w:t>
            </w:r>
          </w:p>
        </w:tc>
        <w:tc>
          <w:tcPr>
            <w:tcW w:type="dxa" w:w="2304"/>
          </w:tcPr>
          <w:p>
            <w:pPr>
              <w:spacing w:after="20"/>
              <w:jc w:val="right"/>
            </w:pPr>
            <w:r>
              <w:rPr>
                <w:color w:val="1C3A36"/>
                <w:sz w:val="18"/>
              </w:rPr>
              <w:t>2,750</w:t>
            </w:r>
          </w:p>
        </w:tc>
        <w:tc>
          <w:tcPr>
            <w:tcW w:type="dxa" w:w="2232"/>
          </w:tcPr>
          <w:p>
            <w:pPr>
              <w:spacing w:after="20"/>
              <w:jc w:val="right"/>
            </w:pPr>
            <w:r>
              <w:rPr>
                <w:color w:val="1C3A36"/>
                <w:sz w:val="18"/>
              </w:rPr>
              <w:t>16.30</w:t>
            </w:r>
          </w:p>
        </w:tc>
      </w:tr>
      <w:tr>
        <w:tc>
          <w:tcPr>
            <w:tcW w:type="dxa" w:w="5112"/>
          </w:tcPr>
          <w:p>
            <w:pPr>
              <w:spacing w:after="20"/>
            </w:pPr>
            <w:r>
              <w:rPr>
                <w:color w:val="1C3A36"/>
                <w:sz w:val="18"/>
              </w:rPr>
              <w:t>Add: the pre-revenue active-ingredient company at CARRYING COST</w:t>
            </w:r>
          </w:p>
        </w:tc>
        <w:tc>
          <w:tcPr>
            <w:tcW w:type="dxa" w:w="2304"/>
          </w:tcPr>
          <w:p>
            <w:pPr>
              <w:spacing w:after="20"/>
              <w:jc w:val="right"/>
            </w:pPr>
            <w:r>
              <w:rPr>
                <w:color w:val="1C3A36"/>
                <w:sz w:val="18"/>
              </w:rPr>
              <w:t>228</w:t>
            </w:r>
          </w:p>
        </w:tc>
        <w:tc>
          <w:tcPr>
            <w:tcW w:type="dxa" w:w="2232"/>
          </w:tcPr>
          <w:p>
            <w:pPr>
              <w:spacing w:after="20"/>
              <w:jc w:val="right"/>
            </w:pPr>
            <w:r>
              <w:rPr>
                <w:color w:val="1C3A36"/>
                <w:sz w:val="18"/>
              </w:rPr>
              <w:t>1.35</w:t>
            </w:r>
          </w:p>
        </w:tc>
      </w:tr>
      <w:tr>
        <w:tc>
          <w:tcPr>
            <w:tcW w:type="dxa" w:w="5112"/>
          </w:tcPr>
          <w:p>
            <w:pPr>
              <w:spacing w:after="20"/>
            </w:pPr>
            <w:r>
              <w:rPr>
                <w:color w:val="1C3A36"/>
                <w:sz w:val="18"/>
              </w:rPr>
              <w:t>Add: assets held for sale</w:t>
            </w:r>
          </w:p>
        </w:tc>
        <w:tc>
          <w:tcPr>
            <w:tcW w:type="dxa" w:w="2304"/>
          </w:tcPr>
          <w:p>
            <w:pPr>
              <w:spacing w:after="20"/>
              <w:jc w:val="right"/>
            </w:pPr>
            <w:r>
              <w:rPr>
                <w:color w:val="1C3A36"/>
                <w:sz w:val="18"/>
              </w:rPr>
              <w:t>12</w:t>
            </w:r>
          </w:p>
        </w:tc>
        <w:tc>
          <w:tcPr>
            <w:tcW w:type="dxa" w:w="2232"/>
          </w:tcPr>
          <w:p>
            <w:pPr>
              <w:spacing w:after="20"/>
              <w:jc w:val="right"/>
            </w:pPr>
            <w:r>
              <w:rPr>
                <w:color w:val="1C3A36"/>
                <w:sz w:val="18"/>
              </w:rPr>
              <w:t>0.07</w:t>
            </w:r>
          </w:p>
        </w:tc>
      </w:tr>
      <w:tr>
        <w:tc>
          <w:tcPr>
            <w:tcW w:type="dxa" w:w="5112"/>
          </w:tcPr>
          <w:p>
            <w:pPr>
              <w:spacing w:after="20"/>
            </w:pPr>
            <w:r>
              <w:rPr>
                <w:color w:val="1C3A36"/>
                <w:sz w:val="18"/>
              </w:rPr>
              <w:t>Total enterprise value</w:t>
            </w:r>
          </w:p>
        </w:tc>
        <w:tc>
          <w:tcPr>
            <w:tcW w:type="dxa" w:w="2304"/>
          </w:tcPr>
          <w:p>
            <w:pPr>
              <w:spacing w:after="20"/>
              <w:jc w:val="right"/>
            </w:pPr>
            <w:r>
              <w:rPr>
                <w:color w:val="1C3A36"/>
                <w:sz w:val="18"/>
              </w:rPr>
              <w:t>12,937</w:t>
            </w:r>
          </w:p>
        </w:tc>
        <w:tc>
          <w:tcPr>
            <w:tcW w:type="dxa" w:w="2232"/>
          </w:tcPr>
          <w:p>
            <w:pPr>
              <w:spacing w:after="20"/>
              <w:jc w:val="right"/>
            </w:pPr>
            <w:r>
              <w:rPr>
                <w:color w:val="1C3A36"/>
                <w:sz w:val="18"/>
              </w:rPr>
              <w:t>76.66</w:t>
            </w:r>
          </w:p>
        </w:tc>
      </w:tr>
      <w:tr>
        <w:tc>
          <w:tcPr>
            <w:tcW w:type="dxa" w:w="5112"/>
            <w:shd w:val="clear" w:color="auto" w:fill="F6F1E6"/>
          </w:tcPr>
          <w:p>
            <w:pPr>
              <w:spacing w:after="20"/>
            </w:pPr>
            <w:r>
              <w:rPr>
                <w:b/>
                <w:color w:val="1C3A36"/>
                <w:sz w:val="18"/>
              </w:rPr>
              <w:t>Terminal value as a percentage of TOTAL enterprise value</w:t>
            </w:r>
          </w:p>
        </w:tc>
        <w:tc>
          <w:tcPr>
            <w:tcW w:type="dxa" w:w="2304"/>
            <w:shd w:val="clear" w:color="auto" w:fill="F6F1E6"/>
          </w:tcPr>
          <w:p>
            <w:pPr>
              <w:spacing w:after="20"/>
              <w:jc w:val="right"/>
            </w:pPr>
            <w:r>
              <w:rPr>
                <w:b/>
                <w:color w:val="1C3A36"/>
                <w:sz w:val="18"/>
              </w:rPr>
              <w:t>61%</w:t>
            </w:r>
          </w:p>
        </w:tc>
        <w:tc>
          <w:tcPr>
            <w:tcW w:type="dxa" w:w="2232"/>
            <w:shd w:val="clear" w:color="auto" w:fill="F6F1E6"/>
          </w:tcPr>
          <w:p>
            <w:pPr>
              <w:spacing w:after="20"/>
              <w:jc w:val="right"/>
            </w:pPr>
            <w:r>
              <w:rPr>
                <w:b/>
                <w:color w:val="1C3A36"/>
                <w:sz w:val="18"/>
              </w:rPr>
            </w:r>
          </w:p>
        </w:tc>
      </w:tr>
      <w:tr>
        <w:tc>
          <w:tcPr>
            <w:tcW w:type="dxa" w:w="5112"/>
            <w:shd w:val="clear" w:color="auto" w:fill="F6F1E6"/>
          </w:tcPr>
          <w:p>
            <w:pPr>
              <w:spacing w:after="20"/>
            </w:pPr>
            <w:r>
              <w:rPr>
                <w:b/>
                <w:color w:val="1C3A36"/>
                <w:sz w:val="18"/>
              </w:rPr>
              <w:t>Less: net debt</w:t>
            </w:r>
          </w:p>
        </w:tc>
        <w:tc>
          <w:tcPr>
            <w:tcW w:type="dxa" w:w="2304"/>
            <w:shd w:val="clear" w:color="auto" w:fill="F6F1E6"/>
          </w:tcPr>
          <w:p>
            <w:pPr>
              <w:spacing w:after="20"/>
              <w:jc w:val="right"/>
            </w:pPr>
            <w:r>
              <w:rPr>
                <w:b/>
                <w:color w:val="1C3A36"/>
                <w:sz w:val="18"/>
              </w:rPr>
              <w:t>(7,364)</w:t>
            </w:r>
          </w:p>
        </w:tc>
        <w:tc>
          <w:tcPr>
            <w:tcW w:type="dxa" w:w="2232"/>
            <w:shd w:val="clear" w:color="auto" w:fill="F6F1E6"/>
          </w:tcPr>
          <w:p>
            <w:pPr>
              <w:spacing w:after="20"/>
              <w:jc w:val="right"/>
            </w:pPr>
            <w:r>
              <w:rPr>
                <w:b/>
                <w:color w:val="1C3A36"/>
                <w:sz w:val="18"/>
              </w:rPr>
              <w:t>(43.64)</w:t>
            </w:r>
          </w:p>
        </w:tc>
      </w:tr>
      <w:tr>
        <w:tc>
          <w:tcPr>
            <w:tcW w:type="dxa" w:w="5112"/>
          </w:tcPr>
          <w:p>
            <w:pPr>
              <w:spacing w:after="20"/>
            </w:pPr>
            <w:r>
              <w:rPr>
                <w:color w:val="1C3A36"/>
                <w:sz w:val="18"/>
              </w:rPr>
              <w:t>Less: non-controlling interests</w:t>
            </w:r>
          </w:p>
        </w:tc>
        <w:tc>
          <w:tcPr>
            <w:tcW w:type="dxa" w:w="2304"/>
          </w:tcPr>
          <w:p>
            <w:pPr>
              <w:spacing w:after="20"/>
              <w:jc w:val="right"/>
            </w:pPr>
            <w:r>
              <w:rPr>
                <w:color w:val="1C3A36"/>
                <w:sz w:val="18"/>
              </w:rPr>
              <w:t>(4)</w:t>
            </w:r>
          </w:p>
        </w:tc>
        <w:tc>
          <w:tcPr>
            <w:tcW w:type="dxa" w:w="2232"/>
          </w:tcPr>
          <w:p>
            <w:pPr>
              <w:spacing w:after="20"/>
              <w:jc w:val="right"/>
            </w:pPr>
            <w:r>
              <w:rPr>
                <w:color w:val="1C3A36"/>
                <w:sz w:val="18"/>
              </w:rPr>
              <w:t>(0.02)</w:t>
            </w:r>
          </w:p>
        </w:tc>
      </w:tr>
      <w:tr>
        <w:tc>
          <w:tcPr>
            <w:tcW w:type="dxa" w:w="5112"/>
          </w:tcPr>
          <w:p>
            <w:pPr>
              <w:spacing w:after="20"/>
            </w:pPr>
            <w:r>
              <w:rPr>
                <w:color w:val="1C3A36"/>
                <w:sz w:val="18"/>
              </w:rPr>
              <w:t>Equity value — Frame A</w:t>
            </w:r>
          </w:p>
        </w:tc>
        <w:tc>
          <w:tcPr>
            <w:tcW w:type="dxa" w:w="2304"/>
          </w:tcPr>
          <w:p>
            <w:pPr>
              <w:spacing w:after="20"/>
              <w:jc w:val="right"/>
            </w:pPr>
            <w:r>
              <w:rPr>
                <w:color w:val="1C3A36"/>
                <w:sz w:val="18"/>
              </w:rPr>
              <w:t>5,569</w:t>
            </w:r>
          </w:p>
        </w:tc>
        <w:tc>
          <w:tcPr>
            <w:tcW w:type="dxa" w:w="2232"/>
          </w:tcPr>
          <w:p>
            <w:pPr>
              <w:spacing w:after="20"/>
              <w:jc w:val="right"/>
            </w:pPr>
            <w:r>
              <w:rPr>
                <w:color w:val="1C3A36"/>
                <w:sz w:val="18"/>
              </w:rPr>
              <w:t>33.00</w:t>
            </w:r>
          </w:p>
        </w:tc>
      </w:tr>
      <w:tr>
        <w:tc>
          <w:tcPr>
            <w:tcW w:type="dxa" w:w="5112"/>
            <w:shd w:val="clear" w:color="auto" w:fill="F6F1E6"/>
          </w:tcPr>
          <w:p>
            <w:pPr>
              <w:spacing w:after="20"/>
            </w:pPr>
            <w:r>
              <w:rPr>
                <w:b/>
                <w:color w:val="1C3A36"/>
                <w:sz w:val="18"/>
              </w:rPr>
              <w:t>Equity value — Frame B</w:t>
            </w:r>
          </w:p>
        </w:tc>
        <w:tc>
          <w:tcPr>
            <w:tcW w:type="dxa" w:w="2304"/>
            <w:shd w:val="clear" w:color="auto" w:fill="F6F1E6"/>
          </w:tcPr>
          <w:p>
            <w:pPr>
              <w:spacing w:after="20"/>
              <w:jc w:val="right"/>
            </w:pPr>
            <w:r>
              <w:rPr>
                <w:b/>
                <w:color w:val="1C3A36"/>
                <w:sz w:val="18"/>
              </w:rPr>
              <w:t>8,384</w:t>
            </w:r>
          </w:p>
        </w:tc>
        <w:tc>
          <w:tcPr>
            <w:tcW w:type="dxa" w:w="2232"/>
            <w:shd w:val="clear" w:color="auto" w:fill="F6F1E6"/>
          </w:tcPr>
          <w:p>
            <w:pPr>
              <w:spacing w:after="20"/>
              <w:jc w:val="right"/>
            </w:pPr>
            <w:r>
              <w:rPr>
                <w:b/>
                <w:color w:val="1C3A36"/>
                <w:sz w:val="18"/>
              </w:rPr>
              <w:t>49.68</w:t>
            </w:r>
          </w:p>
        </w:tc>
      </w:tr>
    </w:tbl>
    <w:p>
      <w:pPr>
        <w:spacing w:after="40"/>
      </w:pPr>
    </w:p>
    <w:p>
      <w:pPr>
        <w:spacing w:after="200" w:before="0"/>
      </w:pPr>
      <w:r>
        <w:rPr>
          <w:b w:val="0"/>
          <w:i/>
          <w:color w:val="6E7B77"/>
          <w:sz w:val="17"/>
        </w:rPr>
        <w:t>Table 5 — the enterprise-to-equity bridge. The terminal share is shown on BOTH bases, as a line of the bridge rather than a footnote: it is 80% of the CORE operating value and 61% of the total, which also carries the associates and the assets held for sale. The pre-revenue active-ingredient company sits on its OWN line at carrying cost — it is not earnings, and it is not folded into a line that says it is. The non-controlling interest deducted is the post-deconsolidation figure; the audited 31 December 2025 minority of EGP 288.7 million belonged to the subsidiary that was deconsolidated in the first quarter, and section 7 records that the net debt above is the December balance while this deduction is the March one.</w:t>
      </w:r>
    </w:p>
    <w:p>
      <w:pPr>
        <w:spacing w:after="80" w:before="200"/>
      </w:pPr>
      <w:r>
        <w:rPr>
          <w:b/>
          <w:i w:val="0"/>
          <w:color w:val="1C3A36"/>
          <w:sz w:val="24"/>
        </w:rPr>
        <w:t>1.2 Book value and sustainable return</w:t>
      </w:r>
    </w:p>
    <w:p>
      <w:pPr>
        <w:spacing w:after="120" w:before="0"/>
      </w:pPr>
      <w:r>
        <w:rPr>
          <w:b w:val="0"/>
          <w:i w:val="0"/>
          <w:color w:val="1C3A36"/>
          <w:sz w:val="21"/>
        </w:rPr>
        <w:t>Book value attributable to shareholders was EGP 6,243 million at the year end, EGP 37.00 a share. Return on average equity was 24.6% in FY2024 and 26.5% in FY2025. The forecast path is 13.7% / 14.5% / 17.1% / 19.1% / 20.1% — it RISES through the window rather than settling, so the sustainable return used here is the mean of its last three years, 18.75%, read off that path rather than chosen. A business earning 18.8% on equity while its perpetual cost of equity is 16.90% is worth more than its book: the multiple that relationship justifies is (return less growth) over (cost of equity less growth), or 1.19 times book — EGP 43.91 a share.</w:t>
      </w:r>
    </w:p>
    <w:p>
      <w:pPr>
        <w:spacing w:after="80" w:before="200"/>
      </w:pPr>
      <w:r>
        <w:rPr>
          <w:b/>
          <w:i w:val="0"/>
          <w:color w:val="1C3A36"/>
          <w:sz w:val="24"/>
        </w:rPr>
        <w:t>1.3 Relative multiples</w:t>
      </w:r>
    </w:p>
    <w:p>
      <w:pPr>
        <w:spacing w:after="120" w:before="0"/>
      </w:pPr>
      <w:r>
        <w:rPr>
          <w:b w:val="0"/>
          <w:i w:val="0"/>
          <w:color w:val="1C3A36"/>
          <w:sz w:val="21"/>
        </w:rPr>
        <w:t>The company's own traded history is the primary anchor here, because it is computable entirely from primary material: audited attributable profit against the year-end close. It traded on 4.7 times in 2022, 6.6 times in 2023, 6.2 times in 2024, 8.7 times in 2025 — a four-year mean of 6.57. Each year divides that year's audited attributable profit by that year's own weighted-average share count, so FY2025 uses 162.02 million shares rather than the 168.76 million now in issue: the capital increase completed during that year. At EGP 127.30 the shares trade on 14.90 times trailing attributable earnings on the count in issue today, or 14.31 times on the audited weighted average — both readings are legitimate and both are given — and 11.6 times trailing EBITDA. The earnings multiple has more than doubled against its own four-year history. That is the single most important fact about this share price.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952"/>
        <w:gridCol w:w="1008"/>
        <w:gridCol w:w="1368"/>
        <w:gridCol w:w="4320"/>
      </w:tblGrid>
      <w:tr>
        <w:tc>
          <w:tcPr>
            <w:tcW w:type="dxa" w:w="2952"/>
            <w:shd w:val="clear" w:color="auto" w:fill="EAF0EE"/>
          </w:tcPr>
          <w:p>
            <w:pPr>
              <w:spacing w:after="20"/>
            </w:pPr>
            <w:r>
              <w:rPr>
                <w:b/>
                <w:color w:val="1C3A36"/>
                <w:sz w:val="17"/>
              </w:rPr>
              <w:t>Multiple</w:t>
            </w:r>
          </w:p>
        </w:tc>
        <w:tc>
          <w:tcPr>
            <w:tcW w:type="dxa" w:w="1008"/>
            <w:shd w:val="clear" w:color="auto" w:fill="EAF0EE"/>
          </w:tcPr>
          <w:p>
            <w:pPr>
              <w:spacing w:after="20"/>
            </w:pPr>
            <w:r>
              <w:rPr>
                <w:b/>
                <w:color w:val="1C3A36"/>
                <w:sz w:val="17"/>
              </w:rPr>
              <w:t>Times</w:t>
            </w:r>
          </w:p>
        </w:tc>
        <w:tc>
          <w:tcPr>
            <w:tcW w:type="dxa" w:w="1368"/>
            <w:shd w:val="clear" w:color="auto" w:fill="EAF0EE"/>
          </w:tcPr>
          <w:p>
            <w:pPr>
              <w:spacing w:after="20"/>
            </w:pPr>
            <w:r>
              <w:rPr>
                <w:b/>
                <w:color w:val="1C3A36"/>
                <w:sz w:val="17"/>
              </w:rPr>
              <w:t>EGP / share</w:t>
            </w:r>
          </w:p>
        </w:tc>
        <w:tc>
          <w:tcPr>
            <w:tcW w:type="dxa" w:w="4320"/>
            <w:shd w:val="clear" w:color="auto" w:fill="EAF0EE"/>
          </w:tcPr>
          <w:p>
            <w:pPr>
              <w:spacing w:after="20"/>
            </w:pPr>
            <w:r>
              <w:rPr>
                <w:b/>
                <w:color w:val="1C3A36"/>
                <w:sz w:val="17"/>
              </w:rPr>
              <w:t>Where it comes from</w:t>
            </w:r>
          </w:p>
        </w:tc>
      </w:tr>
      <w:tr>
        <w:tc>
          <w:tcPr>
            <w:tcW w:type="dxa" w:w="2952"/>
          </w:tcPr>
          <w:p>
            <w:pPr>
              <w:spacing w:after="20"/>
            </w:pPr>
            <w:r>
              <w:rPr>
                <w:color w:val="1C3A36"/>
                <w:sz w:val="17"/>
              </w:rPr>
              <w:t>Justified forward multiple from this model, on FY2026E earnings</w:t>
            </w:r>
          </w:p>
        </w:tc>
        <w:tc>
          <w:tcPr>
            <w:tcW w:type="dxa" w:w="1008"/>
          </w:tcPr>
          <w:p>
            <w:pPr>
              <w:spacing w:after="20"/>
              <w:jc w:val="right"/>
            </w:pPr>
            <w:r>
              <w:rPr>
                <w:color w:val="1C3A36"/>
                <w:sz w:val="17"/>
              </w:rPr>
              <w:t>6.33x</w:t>
            </w:r>
          </w:p>
        </w:tc>
        <w:tc>
          <w:tcPr>
            <w:tcW w:type="dxa" w:w="1368"/>
          </w:tcPr>
          <w:p>
            <w:pPr>
              <w:spacing w:after="20"/>
              <w:jc w:val="right"/>
            </w:pPr>
            <w:r>
              <w:rPr>
                <w:color w:val="1C3A36"/>
                <w:sz w:val="17"/>
              </w:rPr>
              <w:t>34.55</w:t>
            </w:r>
          </w:p>
        </w:tc>
        <w:tc>
          <w:tcPr>
            <w:tcW w:type="dxa" w:w="4320"/>
          </w:tcPr>
          <w:p>
            <w:pPr>
              <w:spacing w:after="20"/>
              <w:jc w:val="right"/>
            </w:pPr>
            <w:r>
              <w:rPr>
                <w:color w:val="1C3A36"/>
                <w:sz w:val="17"/>
              </w:rPr>
              <w:t>a FORWARD multiple on FORWARD earnings of EGP 5.46. Retention must equal growth 7% over sustainable return 18.8%, so payout is 63%</w:t>
            </w:r>
          </w:p>
        </w:tc>
      </w:tr>
      <w:tr>
        <w:tc>
          <w:tcPr>
            <w:tcW w:type="dxa" w:w="2952"/>
          </w:tcPr>
          <w:p>
            <w:pPr>
              <w:spacing w:after="20"/>
            </w:pPr>
            <w:r>
              <w:rPr>
                <w:color w:val="1C3A36"/>
                <w:sz w:val="17"/>
              </w:rPr>
              <w:t>The company's own four-year mean multiple, on trailing earnings</w:t>
            </w:r>
          </w:p>
        </w:tc>
        <w:tc>
          <w:tcPr>
            <w:tcW w:type="dxa" w:w="1008"/>
          </w:tcPr>
          <w:p>
            <w:pPr>
              <w:spacing w:after="20"/>
              <w:jc w:val="right"/>
            </w:pPr>
            <w:r>
              <w:rPr>
                <w:color w:val="1C3A36"/>
                <w:sz w:val="17"/>
              </w:rPr>
              <w:t>6.57x</w:t>
            </w:r>
          </w:p>
        </w:tc>
        <w:tc>
          <w:tcPr>
            <w:tcW w:type="dxa" w:w="1368"/>
          </w:tcPr>
          <w:p>
            <w:pPr>
              <w:spacing w:after="20"/>
              <w:jc w:val="right"/>
            </w:pPr>
            <w:r>
              <w:rPr>
                <w:color w:val="1C3A36"/>
                <w:sz w:val="17"/>
              </w:rPr>
              <w:t>56.15</w:t>
            </w:r>
          </w:p>
        </w:tc>
        <w:tc>
          <w:tcPr>
            <w:tcW w:type="dxa" w:w="4320"/>
          </w:tcPr>
          <w:p>
            <w:pPr>
              <w:spacing w:after="20"/>
              <w:jc w:val="right"/>
            </w:pPr>
            <w:r>
              <w:rPr>
                <w:color w:val="1C3A36"/>
                <w:sz w:val="17"/>
              </w:rPr>
              <w:t>a TRAILING multiple on TRAILING earnings of EGP 8.54 — year-end closes against audited attributable profit</w:t>
            </w:r>
          </w:p>
        </w:tc>
      </w:tr>
      <w:tr>
        <w:tc>
          <w:tcPr>
            <w:tcW w:type="dxa" w:w="2952"/>
          </w:tcPr>
          <w:p>
            <w:pPr>
              <w:spacing w:after="20"/>
            </w:pPr>
            <w:r>
              <w:rPr>
                <w:color w:val="1C3A36"/>
                <w:sz w:val="17"/>
              </w:rPr>
              <w:t>Struck peer reference, cost-of-equity adjusted, on trailing earnings</w:t>
            </w:r>
          </w:p>
        </w:tc>
        <w:tc>
          <w:tcPr>
            <w:tcW w:type="dxa" w:w="1008"/>
          </w:tcPr>
          <w:p>
            <w:pPr>
              <w:spacing w:after="20"/>
              <w:jc w:val="right"/>
            </w:pPr>
            <w:r>
              <w:rPr>
                <w:color w:val="1C3A36"/>
                <w:sz w:val="17"/>
              </w:rPr>
              <w:t>6.47x</w:t>
            </w:r>
          </w:p>
        </w:tc>
        <w:tc>
          <w:tcPr>
            <w:tcW w:type="dxa" w:w="1368"/>
          </w:tcPr>
          <w:p>
            <w:pPr>
              <w:spacing w:after="20"/>
              <w:jc w:val="right"/>
            </w:pPr>
            <w:r>
              <w:rPr>
                <w:color w:val="1C3A36"/>
                <w:sz w:val="17"/>
              </w:rPr>
              <w:t>55.25</w:t>
            </w:r>
          </w:p>
        </w:tc>
        <w:tc>
          <w:tcPr>
            <w:tcW w:type="dxa" w:w="4320"/>
          </w:tcPr>
          <w:p>
            <w:pPr>
              <w:spacing w:after="20"/>
              <w:jc w:val="right"/>
            </w:pPr>
            <w:r>
              <w:rPr>
                <w:color w:val="1C3A36"/>
                <w:sz w:val="17"/>
              </w:rPr>
              <w:t>a TRAILING multiple on TRAILING earnings. The midpoint of the only two disclosed observations, 26.7x and 16.0x — not a median of a peer set. Those companies face a cost of equity near 10%, not 16.9%</w:t>
            </w:r>
          </w:p>
        </w:tc>
      </w:tr>
      <w:tr>
        <w:tc>
          <w:tcPr>
            <w:tcW w:type="dxa" w:w="2952"/>
            <w:shd w:val="clear" w:color="auto" w:fill="F6F1E6"/>
          </w:tcPr>
          <w:p>
            <w:pPr>
              <w:spacing w:after="20"/>
            </w:pPr>
            <w:r>
              <w:rPr>
                <w:b/>
                <w:color w:val="1C3A36"/>
                <w:sz w:val="17"/>
              </w:rPr>
              <w:t>Average of the three — the relative lens</w:t>
            </w:r>
          </w:p>
        </w:tc>
        <w:tc>
          <w:tcPr>
            <w:tcW w:type="dxa" w:w="1008"/>
            <w:shd w:val="clear" w:color="auto" w:fill="F6F1E6"/>
          </w:tcPr>
          <w:p>
            <w:pPr>
              <w:spacing w:after="20"/>
              <w:jc w:val="right"/>
            </w:pPr>
            <w:r>
              <w:rPr>
                <w:b/>
                <w:color w:val="1C3A36"/>
                <w:sz w:val="17"/>
              </w:rPr>
              <w:t>6.46x</w:t>
            </w:r>
          </w:p>
        </w:tc>
        <w:tc>
          <w:tcPr>
            <w:tcW w:type="dxa" w:w="1368"/>
            <w:shd w:val="clear" w:color="auto" w:fill="F6F1E6"/>
          </w:tcPr>
          <w:p>
            <w:pPr>
              <w:spacing w:after="20"/>
              <w:jc w:val="right"/>
            </w:pPr>
            <w:r>
              <w:rPr>
                <w:b/>
                <w:color w:val="1C3A36"/>
                <w:sz w:val="17"/>
              </w:rPr>
              <w:t>48.65</w:t>
            </w:r>
          </w:p>
        </w:tc>
        <w:tc>
          <w:tcPr>
            <w:tcW w:type="dxa" w:w="4320"/>
            <w:shd w:val="clear" w:color="auto" w:fill="F6F1E6"/>
          </w:tcPr>
          <w:p>
            <w:pPr>
              <w:spacing w:after="20"/>
              <w:jc w:val="right"/>
            </w:pPr>
            <w:r>
              <w:rPr>
                <w:b/>
                <w:color w:val="1C3A36"/>
                <w:sz w:val="17"/>
              </w:rPr>
              <w:t>Averaged on the sheet, not asserted</w:t>
            </w:r>
          </w:p>
        </w:tc>
      </w:tr>
    </w:tbl>
    <w:p>
      <w:pPr>
        <w:spacing w:after="40"/>
      </w:pPr>
    </w:p>
    <w:p>
      <w:pPr>
        <w:spacing w:after="200" w:before="0"/>
      </w:pPr>
      <w:r>
        <w:rPr>
          <w:b w:val="0"/>
          <w:i/>
          <w:color w:val="6E7B77"/>
          <w:sz w:val="17"/>
        </w:rPr>
        <w:t>Table 6 — three multiples triangulated, EACH APPLIED TO THE EARNINGS OF ITS OWN PERIOD. Left unadjusted for the cost-of-equity gap, the struck peer reference alone would give EGP 182.39 a share; the size of that gap IS the country-risk discount, shown rather than hidden. The peers behind the third leg are not named and their financial statements are not published, so that leg cannot be rebuilt from their filings — a stated limitation of the leg, and the reason the lens carries two other legs.</w:t>
      </w:r>
    </w:p>
    <w:p>
      <w:pPr>
        <w:spacing w:after="40"/>
        <w:jc w:val="center"/>
      </w:pPr>
      <w:r>
        <w:drawing>
          <wp:inline xmlns:a="http://schemas.openxmlformats.org/drawingml/2006/main" xmlns:pic="http://schemas.openxmlformats.org/drawingml/2006/picture">
            <wp:extent cx="6035040" cy="2553087"/>
            <wp:docPr id="2" name="Picture 2"/>
            <wp:cNvGraphicFramePr>
              <a:graphicFrameLocks noChangeAspect="1"/>
            </wp:cNvGraphicFramePr>
            <a:graphic>
              <a:graphicData uri="http://schemas.openxmlformats.org/drawingml/2006/picture">
                <pic:pic>
                  <pic:nvPicPr>
                    <pic:cNvPr id="0" name="fig4_multiple.png"/>
                    <pic:cNvPicPr/>
                  </pic:nvPicPr>
                  <pic:blipFill>
                    <a:blip r:embed="rId10"/>
                    <a:stretch>
                      <a:fillRect/>
                    </a:stretch>
                  </pic:blipFill>
                  <pic:spPr>
                    <a:xfrm>
                      <a:off x="0" y="0"/>
                      <a:ext cx="6035040" cy="2553087"/>
                    </a:xfrm>
                    <a:prstGeom prst="rect"/>
                  </pic:spPr>
                </pic:pic>
              </a:graphicData>
            </a:graphic>
          </wp:inline>
        </w:drawing>
      </w:r>
    </w:p>
    <w:p>
      <w:pPr>
        <w:spacing w:after="200" w:before="0"/>
      </w:pPr>
      <w:r>
        <w:rPr>
          <w:b w:val="0"/>
          <w:i/>
          <w:color w:val="6E7B77"/>
          <w:sz w:val="17"/>
        </w:rPr>
        <w:t>Figure 2 — the traded multiple against its own history and against what the model justifies.</w:t>
      </w:r>
    </w:p>
    <w:p>
      <w:pPr>
        <w:spacing w:after="80" w:before="200"/>
      </w:pPr>
      <w:r>
        <w:rPr>
          <w:b/>
          <w:i w:val="0"/>
          <w:color w:val="1C3A36"/>
          <w:sz w:val="24"/>
        </w:rPr>
        <w:t>1.4 Normalised earnings power</w:t>
      </w:r>
    </w:p>
    <w:p>
      <w:pPr>
        <w:spacing w:after="120" w:before="0"/>
      </w:pPr>
      <w:r>
        <w:rPr>
          <w:b w:val="0"/>
          <w:i w:val="0"/>
          <w:color w:val="1C3A36"/>
          <w:sz w:val="21"/>
        </w:rPr>
        <w:t>FY2025 was the best operating year in the company's history: a 25.1% operating margin against 23.5% in FY2023 and 20.1% in FY2024. This lens deliberately gives part of that back. Applying the three-year average margin of 22.9% to FY2027 revenue, financing it at that year's cost of debt, taxing it at 23.5% and adding the normalised associate contribution gives EGP 8.97 a share of sustainable earnings. Capitalised at the PERPETUAL cost of equity of 16.90% less 7% growth, on the 63% payout that growth rate permits, that is EGP 56.78 a share. Using today's crisis-level cost of equity of 25.57% in a perpetuity would be a category error: a steady-state multiple takes a steady-state rate.</w:t>
      </w:r>
    </w:p>
    <w:p>
      <w:pPr>
        <w:spacing w:after="80" w:before="200"/>
      </w:pPr>
      <w:r>
        <w:rPr>
          <w:b/>
          <w:i w:val="0"/>
          <w:color w:val="1C3A36"/>
          <w:sz w:val="24"/>
        </w:rPr>
        <w:t>1.5 Synthesis — four methods, five readings, two centres</w:t>
      </w:r>
    </w:p>
    <w:p>
      <w:pPr>
        <w:spacing w:after="120" w:before="0"/>
      </w:pPr>
      <w:r>
        <w:rPr>
          <w:b w:val="0"/>
          <w:i w:val="0"/>
          <w:color w:val="1C3A36"/>
          <w:sz w:val="21"/>
        </w:rPr>
        <w:t>Four methods produce five readings, because the cash-flow method is run on both framings of the contested provision judgement. They run from EGP 33 to EGP 57. That spread is not a failure of the methods; it is the honest measure of how much the answer depends on which question you ask.</w:t>
      </w:r>
    </w:p>
    <w:p>
      <w:pPr>
        <w:spacing w:after="120" w:before="0"/>
      </w:pPr>
      <w:r>
        <w:rPr>
          <w:b w:val="0"/>
          <w:i w:val="0"/>
          <w:color w:val="1C3A36"/>
          <w:sz w:val="21"/>
        </w:rPr>
        <w:t>There is no single weighted centre, and the absence is deliberate. The two provision frames are never averaged, and weighting both of them inside one number averages them. So the cash-flow weight of 50% is carried in full on ONE frame at a time, beside the three lenses that do not turn on the judgement at all — book value against sustainable return at 20%, relative multiples at 15%, and normalised earnings power at 15%. That gives EGP 33.00 a share on Frame A and EGP 49.68 on Frame B, against a market price of EGP 127.30. Which of the two a reader uses is a judgement about the debtor book, and it belongs to the reader.</w:t>
      </w:r>
    </w:p>
    <w:p>
      <w:pPr>
        <w:spacing w:after="80" w:before="200"/>
      </w:pPr>
      <w:r>
        <w:rPr>
          <w:b/>
          <w:i w:val="0"/>
          <w:color w:val="1C3A36"/>
          <w:sz w:val="24"/>
        </w:rPr>
        <w:t>1.6 Drivers — every segment grown on its own driver</w:t>
      </w:r>
    </w:p>
    <w:p>
      <w:pPr>
        <w:spacing w:after="120" w:before="0"/>
      </w:pPr>
      <w:r>
        <w:rPr>
          <w:b w:val="0"/>
          <w:i w:val="0"/>
          <w:color w:val="1C3A36"/>
          <w:sz w:val="21"/>
        </w:rPr>
        <w:t>Revenue is not grown as a percentage. It is built from THREE product lines, each with its own volume and its own price, all taken from disclosure. The company's board report splits the same total two different ways — by sales channel and by product line — and the two only reconcile once contract manufacturing is separated out.</w:t>
      </w:r>
    </w:p>
    <w:p>
      <w:pPr>
        <w:spacing w:after="120" w:before="0"/>
      </w:pPr>
      <w:r>
        <w:rPr>
          <w:b w:val="0"/>
          <w:i w:val="0"/>
          <w:color w:val="1C3A36"/>
          <w:sz w:val="21"/>
        </w:rPr>
        <w:t>LINE 1 AND LINE 2, the company's OWN preparations. It sold 351.8 million packs of them in FY2025 for EGP 9,160 million. The investor presentation puts export volume at 60 million packs earning EGP 2,967 million, which is USD 1.00 a pack at the disclosed average rate. The remainder — 291.8 million packs carrying EGP 6,193 million — is the domestic book at EGP 21.22 a pack, against EGP 18.85 in FY2024: a realised price up 12.6% on volume up 19.5%.</w:t>
      </w:r>
    </w:p>
    <w:p>
      <w:pPr>
        <w:spacing w:after="120" w:before="0"/>
      </w:pPr>
      <w:r>
        <w:rPr>
          <w:b w:val="0"/>
          <w:i w:val="0"/>
          <w:color w:val="1C3A36"/>
          <w:sz w:val="21"/>
        </w:rPr>
        <w:t>LINE 3, preparations made under contract for third parties. This is a different business and it is now modelled as one: 5.49 million packs in FY2025 against 8.87 million in FY2024, carrying EGP 142.3 million of product value. The company books EGP 49.4 million of that as a manufacturing fee — EGP 9.00 a pack against EGP 4.04 the year before — and the remaining EGP 93.0 million reaches the market through its own domestic channels.</w:t>
      </w:r>
    </w:p>
    <w:p>
      <w:pPr>
        <w:spacing w:after="120" w:before="0"/>
      </w:pPr>
      <w:r>
        <w:rPr>
          <w:b w:val="0"/>
          <w:i w:val="0"/>
          <w:color w:val="1C3A36"/>
          <w:sz w:val="21"/>
        </w:rPr>
        <w:t>That separation matters more than its size. The channel disclosure puts domestic revenue at EGP 6,286 million, but that figure CARRIES the contract-made product while the pack count against it does NOT carry the contract packs. Dividing one by the other reads EGP 21.54 a pack rather than the EGP 21.22 the company actually realised on its own preparations — 1.50% too high, in every forecast year. The two disclosures now close on each other to the thousand pound in both years, and the model asserts it. Margins are an OUTPUT of this build, never an input.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384"/>
        <w:gridCol w:w="1325"/>
        <w:gridCol w:w="1325"/>
        <w:gridCol w:w="1325"/>
        <w:gridCol w:w="1325"/>
        <w:gridCol w:w="1325"/>
      </w:tblGrid>
      <w:tr>
        <w:tc>
          <w:tcPr>
            <w:tcW w:type="dxa" w:w="3384"/>
            <w:shd w:val="clear" w:color="auto" w:fill="EAF0EE"/>
          </w:tcPr>
          <w:p>
            <w:pPr>
              <w:spacing w:after="20"/>
            </w:pPr>
            <w:r>
              <w:rPr>
                <w:b/>
                <w:color w:val="1C3A36"/>
                <w:sz w:val="17"/>
              </w:rPr>
              <w:t>Driver</w:t>
            </w:r>
          </w:p>
        </w:tc>
        <w:tc>
          <w:tcPr>
            <w:tcW w:type="dxa" w:w="1325"/>
            <w:shd w:val="clear" w:color="auto" w:fill="EAF0EE"/>
          </w:tcPr>
          <w:p>
            <w:pPr>
              <w:spacing w:after="20"/>
            </w:pPr>
            <w:r>
              <w:rPr>
                <w:b/>
                <w:color w:val="1C3A36"/>
                <w:sz w:val="17"/>
              </w:rPr>
              <w:t>FY2026E</w:t>
            </w:r>
          </w:p>
        </w:tc>
        <w:tc>
          <w:tcPr>
            <w:tcW w:type="dxa" w:w="1325"/>
            <w:shd w:val="clear" w:color="auto" w:fill="EAF0EE"/>
          </w:tcPr>
          <w:p>
            <w:pPr>
              <w:spacing w:after="20"/>
            </w:pPr>
            <w:r>
              <w:rPr>
                <w:b/>
                <w:color w:val="1C3A36"/>
                <w:sz w:val="17"/>
              </w:rPr>
              <w:t>FY2027E</w:t>
            </w:r>
          </w:p>
        </w:tc>
        <w:tc>
          <w:tcPr>
            <w:tcW w:type="dxa" w:w="1325"/>
            <w:shd w:val="clear" w:color="auto" w:fill="EAF0EE"/>
          </w:tcPr>
          <w:p>
            <w:pPr>
              <w:spacing w:after="20"/>
            </w:pPr>
            <w:r>
              <w:rPr>
                <w:b/>
                <w:color w:val="1C3A36"/>
                <w:sz w:val="17"/>
              </w:rPr>
              <w:t>FY2028E</w:t>
            </w:r>
          </w:p>
        </w:tc>
        <w:tc>
          <w:tcPr>
            <w:tcW w:type="dxa" w:w="1325"/>
            <w:shd w:val="clear" w:color="auto" w:fill="EAF0EE"/>
          </w:tcPr>
          <w:p>
            <w:pPr>
              <w:spacing w:after="20"/>
            </w:pPr>
            <w:r>
              <w:rPr>
                <w:b/>
                <w:color w:val="1C3A36"/>
                <w:sz w:val="17"/>
              </w:rPr>
              <w:t>FY2029E</w:t>
            </w:r>
          </w:p>
        </w:tc>
        <w:tc>
          <w:tcPr>
            <w:tcW w:type="dxa" w:w="1325"/>
            <w:shd w:val="clear" w:color="auto" w:fill="EAF0EE"/>
          </w:tcPr>
          <w:p>
            <w:pPr>
              <w:spacing w:after="20"/>
            </w:pPr>
            <w:r>
              <w:rPr>
                <w:b/>
                <w:color w:val="1C3A36"/>
                <w:sz w:val="17"/>
              </w:rPr>
              <w:t>FY2030E</w:t>
            </w:r>
          </w:p>
        </w:tc>
      </w:tr>
      <w:tr>
        <w:tc>
          <w:tcPr>
            <w:tcW w:type="dxa" w:w="3384"/>
          </w:tcPr>
          <w:p>
            <w:pPr>
              <w:spacing w:after="20"/>
            </w:pPr>
            <w:r>
              <w:rPr>
                <w:color w:val="1C3A36"/>
                <w:sz w:val="17"/>
              </w:rPr>
              <w:t>Domestic packs, own preparations (million)</w:t>
            </w:r>
          </w:p>
        </w:tc>
        <w:tc>
          <w:tcPr>
            <w:tcW w:type="dxa" w:w="1325"/>
          </w:tcPr>
          <w:p>
            <w:pPr>
              <w:spacing w:after="20"/>
              <w:jc w:val="right"/>
            </w:pPr>
            <w:r>
              <w:rPr>
                <w:color w:val="1C3A36"/>
                <w:sz w:val="17"/>
              </w:rPr>
              <w:t>307.9</w:t>
            </w:r>
          </w:p>
        </w:tc>
        <w:tc>
          <w:tcPr>
            <w:tcW w:type="dxa" w:w="1325"/>
          </w:tcPr>
          <w:p>
            <w:pPr>
              <w:spacing w:after="20"/>
              <w:jc w:val="right"/>
            </w:pPr>
            <w:r>
              <w:rPr>
                <w:color w:val="1C3A36"/>
                <w:sz w:val="17"/>
              </w:rPr>
              <w:t>332.5</w:t>
            </w:r>
          </w:p>
        </w:tc>
        <w:tc>
          <w:tcPr>
            <w:tcW w:type="dxa" w:w="1325"/>
          </w:tcPr>
          <w:p>
            <w:pPr>
              <w:spacing w:after="20"/>
              <w:jc w:val="right"/>
            </w:pPr>
            <w:r>
              <w:rPr>
                <w:color w:val="1C3A36"/>
                <w:sz w:val="17"/>
              </w:rPr>
              <w:t>357.4</w:t>
            </w:r>
          </w:p>
        </w:tc>
        <w:tc>
          <w:tcPr>
            <w:tcW w:type="dxa" w:w="1325"/>
          </w:tcPr>
          <w:p>
            <w:pPr>
              <w:spacing w:after="20"/>
              <w:jc w:val="right"/>
            </w:pPr>
            <w:r>
              <w:rPr>
                <w:color w:val="1C3A36"/>
                <w:sz w:val="17"/>
              </w:rPr>
              <w:t>380.7</w:t>
            </w:r>
          </w:p>
        </w:tc>
        <w:tc>
          <w:tcPr>
            <w:tcW w:type="dxa" w:w="1325"/>
          </w:tcPr>
          <w:p>
            <w:pPr>
              <w:spacing w:after="20"/>
              <w:jc w:val="right"/>
            </w:pPr>
            <w:r>
              <w:rPr>
                <w:color w:val="1C3A36"/>
                <w:sz w:val="17"/>
              </w:rPr>
              <w:t>401.6</w:t>
            </w:r>
          </w:p>
        </w:tc>
      </w:tr>
      <w:tr>
        <w:tc>
          <w:tcPr>
            <w:tcW w:type="dxa" w:w="3384"/>
          </w:tcPr>
          <w:p>
            <w:pPr>
              <w:spacing w:after="20"/>
            </w:pPr>
            <w:r>
              <w:rPr>
                <w:color w:val="1C3A36"/>
                <w:sz w:val="17"/>
              </w:rPr>
              <w:t>Domestic price per pack (EGP)</w:t>
            </w:r>
          </w:p>
        </w:tc>
        <w:tc>
          <w:tcPr>
            <w:tcW w:type="dxa" w:w="1325"/>
          </w:tcPr>
          <w:p>
            <w:pPr>
              <w:spacing w:after="20"/>
              <w:jc w:val="right"/>
            </w:pPr>
            <w:r>
              <w:rPr>
                <w:color w:val="1C3A36"/>
                <w:sz w:val="17"/>
              </w:rPr>
              <w:t>22.28</w:t>
            </w:r>
          </w:p>
        </w:tc>
        <w:tc>
          <w:tcPr>
            <w:tcW w:type="dxa" w:w="1325"/>
          </w:tcPr>
          <w:p>
            <w:pPr>
              <w:spacing w:after="20"/>
              <w:jc w:val="right"/>
            </w:pPr>
            <w:r>
              <w:rPr>
                <w:color w:val="1C3A36"/>
                <w:sz w:val="17"/>
              </w:rPr>
              <w:t>24.07</w:t>
            </w:r>
          </w:p>
        </w:tc>
        <w:tc>
          <w:tcPr>
            <w:tcW w:type="dxa" w:w="1325"/>
          </w:tcPr>
          <w:p>
            <w:pPr>
              <w:spacing w:after="20"/>
              <w:jc w:val="right"/>
            </w:pPr>
            <w:r>
              <w:rPr>
                <w:color w:val="1C3A36"/>
                <w:sz w:val="17"/>
              </w:rPr>
              <w:t>25.87</w:t>
            </w:r>
          </w:p>
        </w:tc>
        <w:tc>
          <w:tcPr>
            <w:tcW w:type="dxa" w:w="1325"/>
          </w:tcPr>
          <w:p>
            <w:pPr>
              <w:spacing w:after="20"/>
              <w:jc w:val="right"/>
            </w:pPr>
            <w:r>
              <w:rPr>
                <w:color w:val="1C3A36"/>
                <w:sz w:val="17"/>
              </w:rPr>
              <w:t>27.55</w:t>
            </w:r>
          </w:p>
        </w:tc>
        <w:tc>
          <w:tcPr>
            <w:tcW w:type="dxa" w:w="1325"/>
          </w:tcPr>
          <w:p>
            <w:pPr>
              <w:spacing w:after="20"/>
              <w:jc w:val="right"/>
            </w:pPr>
            <w:r>
              <w:rPr>
                <w:color w:val="1C3A36"/>
                <w:sz w:val="17"/>
              </w:rPr>
              <w:t>29.07</w:t>
            </w:r>
          </w:p>
        </w:tc>
      </w:tr>
      <w:tr>
        <w:tc>
          <w:tcPr>
            <w:tcW w:type="dxa" w:w="3384"/>
          </w:tcPr>
          <w:p>
            <w:pPr>
              <w:spacing w:after="20"/>
            </w:pPr>
            <w:r>
              <w:rPr>
                <w:color w:val="1C3A36"/>
                <w:sz w:val="17"/>
              </w:rPr>
              <w:t>Export packs (million)</w:t>
            </w:r>
          </w:p>
        </w:tc>
        <w:tc>
          <w:tcPr>
            <w:tcW w:type="dxa" w:w="1325"/>
          </w:tcPr>
          <w:p>
            <w:pPr>
              <w:spacing w:after="20"/>
              <w:jc w:val="right"/>
            </w:pPr>
            <w:r>
              <w:rPr>
                <w:color w:val="1C3A36"/>
                <w:sz w:val="17"/>
              </w:rPr>
              <w:t>63.0</w:t>
            </w:r>
          </w:p>
        </w:tc>
        <w:tc>
          <w:tcPr>
            <w:tcW w:type="dxa" w:w="1325"/>
          </w:tcPr>
          <w:p>
            <w:pPr>
              <w:spacing w:after="20"/>
              <w:jc w:val="right"/>
            </w:pPr>
            <w:r>
              <w:rPr>
                <w:color w:val="1C3A36"/>
                <w:sz w:val="17"/>
              </w:rPr>
              <w:t>68.7</w:t>
            </w:r>
          </w:p>
        </w:tc>
        <w:tc>
          <w:tcPr>
            <w:tcW w:type="dxa" w:w="1325"/>
          </w:tcPr>
          <w:p>
            <w:pPr>
              <w:spacing w:after="20"/>
              <w:jc w:val="right"/>
            </w:pPr>
            <w:r>
              <w:rPr>
                <w:color w:val="1C3A36"/>
                <w:sz w:val="17"/>
              </w:rPr>
              <w:t>74.5</w:t>
            </w:r>
          </w:p>
        </w:tc>
        <w:tc>
          <w:tcPr>
            <w:tcW w:type="dxa" w:w="1325"/>
          </w:tcPr>
          <w:p>
            <w:pPr>
              <w:spacing w:after="20"/>
              <w:jc w:val="right"/>
            </w:pPr>
            <w:r>
              <w:rPr>
                <w:color w:val="1C3A36"/>
                <w:sz w:val="17"/>
              </w:rPr>
              <w:t>80.5</w:t>
            </w:r>
          </w:p>
        </w:tc>
        <w:tc>
          <w:tcPr>
            <w:tcW w:type="dxa" w:w="1325"/>
          </w:tcPr>
          <w:p>
            <w:pPr>
              <w:spacing w:after="20"/>
              <w:jc w:val="right"/>
            </w:pPr>
            <w:r>
              <w:rPr>
                <w:color w:val="1C3A36"/>
                <w:sz w:val="17"/>
              </w:rPr>
              <w:t>86.1</w:t>
            </w:r>
          </w:p>
        </w:tc>
      </w:tr>
      <w:tr>
        <w:tc>
          <w:tcPr>
            <w:tcW w:type="dxa" w:w="3384"/>
          </w:tcPr>
          <w:p>
            <w:pPr>
              <w:spacing w:after="20"/>
            </w:pPr>
            <w:r>
              <w:rPr>
                <w:color w:val="1C3A36"/>
                <w:sz w:val="17"/>
              </w:rPr>
              <w:t>Export price per pack (USD)</w:t>
            </w:r>
          </w:p>
        </w:tc>
        <w:tc>
          <w:tcPr>
            <w:tcW w:type="dxa" w:w="1325"/>
          </w:tcPr>
          <w:p>
            <w:pPr>
              <w:spacing w:after="20"/>
              <w:jc w:val="right"/>
            </w:pPr>
            <w:r>
              <w:rPr>
                <w:color w:val="1C3A36"/>
                <w:sz w:val="17"/>
              </w:rPr>
              <w:t>1.01</w:t>
            </w:r>
          </w:p>
        </w:tc>
        <w:tc>
          <w:tcPr>
            <w:tcW w:type="dxa" w:w="1325"/>
          </w:tcPr>
          <w:p>
            <w:pPr>
              <w:spacing w:after="20"/>
              <w:jc w:val="right"/>
            </w:pPr>
            <w:r>
              <w:rPr>
                <w:color w:val="1C3A36"/>
                <w:sz w:val="17"/>
              </w:rPr>
              <w:t>1.02</w:t>
            </w:r>
          </w:p>
        </w:tc>
        <w:tc>
          <w:tcPr>
            <w:tcW w:type="dxa" w:w="1325"/>
          </w:tcPr>
          <w:p>
            <w:pPr>
              <w:spacing w:after="20"/>
              <w:jc w:val="right"/>
            </w:pPr>
            <w:r>
              <w:rPr>
                <w:color w:val="1C3A36"/>
                <w:sz w:val="17"/>
              </w:rPr>
              <w:t>1.03</w:t>
            </w:r>
          </w:p>
        </w:tc>
        <w:tc>
          <w:tcPr>
            <w:tcW w:type="dxa" w:w="1325"/>
          </w:tcPr>
          <w:p>
            <w:pPr>
              <w:spacing w:after="20"/>
              <w:jc w:val="right"/>
            </w:pPr>
            <w:r>
              <w:rPr>
                <w:color w:val="1C3A36"/>
                <w:sz w:val="17"/>
              </w:rPr>
              <w:t>1.04</w:t>
            </w:r>
          </w:p>
        </w:tc>
        <w:tc>
          <w:tcPr>
            <w:tcW w:type="dxa" w:w="1325"/>
          </w:tcPr>
          <w:p>
            <w:pPr>
              <w:spacing w:after="20"/>
              <w:jc w:val="right"/>
            </w:pPr>
            <w:r>
              <w:rPr>
                <w:color w:val="1C3A36"/>
                <w:sz w:val="17"/>
              </w:rPr>
              <w:t>1.05</w:t>
            </w:r>
          </w:p>
        </w:tc>
      </w:tr>
      <w:tr>
        <w:tc>
          <w:tcPr>
            <w:tcW w:type="dxa" w:w="3384"/>
          </w:tcPr>
          <w:p>
            <w:pPr>
              <w:spacing w:after="20"/>
            </w:pPr>
            <w:r>
              <w:rPr>
                <w:color w:val="1C3A36"/>
                <w:sz w:val="17"/>
              </w:rPr>
              <w:t>Exchange rate (EGP per USD)</w:t>
            </w:r>
          </w:p>
        </w:tc>
        <w:tc>
          <w:tcPr>
            <w:tcW w:type="dxa" w:w="1325"/>
          </w:tcPr>
          <w:p>
            <w:pPr>
              <w:spacing w:after="20"/>
              <w:jc w:val="right"/>
            </w:pPr>
            <w:r>
              <w:rPr>
                <w:color w:val="1C3A36"/>
                <w:sz w:val="17"/>
              </w:rPr>
              <w:t>55.1</w:t>
            </w:r>
          </w:p>
        </w:tc>
        <w:tc>
          <w:tcPr>
            <w:tcW w:type="dxa" w:w="1325"/>
          </w:tcPr>
          <w:p>
            <w:pPr>
              <w:spacing w:after="20"/>
              <w:jc w:val="right"/>
            </w:pPr>
            <w:r>
              <w:rPr>
                <w:color w:val="1C3A36"/>
                <w:sz w:val="17"/>
              </w:rPr>
              <w:t>60.2</w:t>
            </w:r>
          </w:p>
        </w:tc>
        <w:tc>
          <w:tcPr>
            <w:tcW w:type="dxa" w:w="1325"/>
          </w:tcPr>
          <w:p>
            <w:pPr>
              <w:spacing w:after="20"/>
              <w:jc w:val="right"/>
            </w:pPr>
            <w:r>
              <w:rPr>
                <w:color w:val="1C3A36"/>
                <w:sz w:val="17"/>
              </w:rPr>
              <w:t>64.0</w:t>
            </w:r>
          </w:p>
        </w:tc>
        <w:tc>
          <w:tcPr>
            <w:tcW w:type="dxa" w:w="1325"/>
          </w:tcPr>
          <w:p>
            <w:pPr>
              <w:spacing w:after="20"/>
              <w:jc w:val="right"/>
            </w:pPr>
            <w:r>
              <w:rPr>
                <w:color w:val="1C3A36"/>
                <w:sz w:val="17"/>
              </w:rPr>
              <w:t>67.2</w:t>
            </w:r>
          </w:p>
        </w:tc>
        <w:tc>
          <w:tcPr>
            <w:tcW w:type="dxa" w:w="1325"/>
          </w:tcPr>
          <w:p>
            <w:pPr>
              <w:spacing w:after="20"/>
              <w:jc w:val="right"/>
            </w:pPr>
            <w:r>
              <w:rPr>
                <w:color w:val="1C3A36"/>
                <w:sz w:val="17"/>
              </w:rPr>
              <w:t>70.1</w:t>
            </w:r>
          </w:p>
        </w:tc>
      </w:tr>
      <w:tr>
        <w:tc>
          <w:tcPr>
            <w:tcW w:type="dxa" w:w="3384"/>
          </w:tcPr>
          <w:p>
            <w:pPr>
              <w:spacing w:after="20"/>
            </w:pPr>
            <w:r>
              <w:rPr>
                <w:color w:val="1C3A36"/>
                <w:sz w:val="17"/>
              </w:rPr>
              <w:t>Contract-manufactured packs (million)</w:t>
            </w:r>
          </w:p>
        </w:tc>
        <w:tc>
          <w:tcPr>
            <w:tcW w:type="dxa" w:w="1325"/>
          </w:tcPr>
          <w:p>
            <w:pPr>
              <w:spacing w:after="20"/>
              <w:jc w:val="right"/>
            </w:pPr>
            <w:r>
              <w:rPr>
                <w:color w:val="1C3A36"/>
                <w:sz w:val="17"/>
              </w:rPr>
              <w:t>6.31</w:t>
            </w:r>
          </w:p>
        </w:tc>
        <w:tc>
          <w:tcPr>
            <w:tcW w:type="dxa" w:w="1325"/>
          </w:tcPr>
          <w:p>
            <w:pPr>
              <w:spacing w:after="20"/>
              <w:jc w:val="right"/>
            </w:pPr>
            <w:r>
              <w:rPr>
                <w:color w:val="1C3A36"/>
                <w:sz w:val="17"/>
              </w:rPr>
              <w:t>7.06</w:t>
            </w:r>
          </w:p>
        </w:tc>
        <w:tc>
          <w:tcPr>
            <w:tcW w:type="dxa" w:w="1325"/>
          </w:tcPr>
          <w:p>
            <w:pPr>
              <w:spacing w:after="20"/>
              <w:jc w:val="right"/>
            </w:pPr>
            <w:r>
              <w:rPr>
                <w:color w:val="1C3A36"/>
                <w:sz w:val="17"/>
              </w:rPr>
              <w:t>7.77</w:t>
            </w:r>
          </w:p>
        </w:tc>
        <w:tc>
          <w:tcPr>
            <w:tcW w:type="dxa" w:w="1325"/>
          </w:tcPr>
          <w:p>
            <w:pPr>
              <w:spacing w:after="20"/>
              <w:jc w:val="right"/>
            </w:pPr>
            <w:r>
              <w:rPr>
                <w:color w:val="1C3A36"/>
                <w:sz w:val="17"/>
              </w:rPr>
              <w:t>8.39</w:t>
            </w:r>
          </w:p>
        </w:tc>
        <w:tc>
          <w:tcPr>
            <w:tcW w:type="dxa" w:w="1325"/>
          </w:tcPr>
          <w:p>
            <w:pPr>
              <w:spacing w:after="20"/>
              <w:jc w:val="right"/>
            </w:pPr>
            <w:r>
              <w:rPr>
                <w:color w:val="1C3A36"/>
                <w:sz w:val="17"/>
              </w:rPr>
              <w:t>8.98</w:t>
            </w:r>
          </w:p>
        </w:tc>
      </w:tr>
      <w:tr>
        <w:tc>
          <w:tcPr>
            <w:tcW w:type="dxa" w:w="3384"/>
          </w:tcPr>
          <w:p>
            <w:pPr>
              <w:spacing w:after="20"/>
            </w:pPr>
            <w:r>
              <w:rPr>
                <w:color w:val="1C3A36"/>
                <w:sz w:val="17"/>
              </w:rPr>
              <w:t>Contract manufacturing fee per pack (EGP)</w:t>
            </w:r>
          </w:p>
        </w:tc>
        <w:tc>
          <w:tcPr>
            <w:tcW w:type="dxa" w:w="1325"/>
          </w:tcPr>
          <w:p>
            <w:pPr>
              <w:spacing w:after="20"/>
              <w:jc w:val="right"/>
            </w:pPr>
            <w:r>
              <w:rPr>
                <w:color w:val="1C3A36"/>
                <w:sz w:val="17"/>
              </w:rPr>
              <w:t>9.45</w:t>
            </w:r>
          </w:p>
        </w:tc>
        <w:tc>
          <w:tcPr>
            <w:tcW w:type="dxa" w:w="1325"/>
          </w:tcPr>
          <w:p>
            <w:pPr>
              <w:spacing w:after="20"/>
              <w:jc w:val="right"/>
            </w:pPr>
            <w:r>
              <w:rPr>
                <w:color w:val="1C3A36"/>
                <w:sz w:val="17"/>
              </w:rPr>
              <w:t>10.21</w:t>
            </w:r>
          </w:p>
        </w:tc>
        <w:tc>
          <w:tcPr>
            <w:tcW w:type="dxa" w:w="1325"/>
          </w:tcPr>
          <w:p>
            <w:pPr>
              <w:spacing w:after="20"/>
              <w:jc w:val="right"/>
            </w:pPr>
            <w:r>
              <w:rPr>
                <w:color w:val="1C3A36"/>
                <w:sz w:val="17"/>
              </w:rPr>
              <w:t>10.97</w:t>
            </w:r>
          </w:p>
        </w:tc>
        <w:tc>
          <w:tcPr>
            <w:tcW w:type="dxa" w:w="1325"/>
          </w:tcPr>
          <w:p>
            <w:pPr>
              <w:spacing w:after="20"/>
              <w:jc w:val="right"/>
            </w:pPr>
            <w:r>
              <w:rPr>
                <w:color w:val="1C3A36"/>
                <w:sz w:val="17"/>
              </w:rPr>
              <w:t>11.68</w:t>
            </w:r>
          </w:p>
        </w:tc>
        <w:tc>
          <w:tcPr>
            <w:tcW w:type="dxa" w:w="1325"/>
          </w:tcPr>
          <w:p>
            <w:pPr>
              <w:spacing w:after="20"/>
              <w:jc w:val="right"/>
            </w:pPr>
            <w:r>
              <w:rPr>
                <w:color w:val="1C3A36"/>
                <w:sz w:val="17"/>
              </w:rPr>
              <w:t>12.33</w:t>
            </w:r>
          </w:p>
        </w:tc>
      </w:tr>
      <w:tr>
        <w:tc>
          <w:tcPr>
            <w:tcW w:type="dxa" w:w="3384"/>
          </w:tcPr>
          <w:p>
            <w:pPr>
              <w:spacing w:after="20"/>
            </w:pPr>
            <w:r>
              <w:rPr>
                <w:color w:val="1C3A36"/>
                <w:sz w:val="17"/>
              </w:rPr>
              <w:t>Contract product resold, price per pack (EGP)</w:t>
            </w:r>
          </w:p>
        </w:tc>
        <w:tc>
          <w:tcPr>
            <w:tcW w:type="dxa" w:w="1325"/>
          </w:tcPr>
          <w:p>
            <w:pPr>
              <w:spacing w:after="20"/>
              <w:jc w:val="right"/>
            </w:pPr>
            <w:r>
              <w:rPr>
                <w:color w:val="1C3A36"/>
                <w:sz w:val="17"/>
              </w:rPr>
              <w:t>17.79</w:t>
            </w:r>
          </w:p>
        </w:tc>
        <w:tc>
          <w:tcPr>
            <w:tcW w:type="dxa" w:w="1325"/>
          </w:tcPr>
          <w:p>
            <w:pPr>
              <w:spacing w:after="20"/>
              <w:jc w:val="right"/>
            </w:pPr>
            <w:r>
              <w:rPr>
                <w:color w:val="1C3A36"/>
                <w:sz w:val="17"/>
              </w:rPr>
              <w:t>19.22</w:t>
            </w:r>
          </w:p>
        </w:tc>
        <w:tc>
          <w:tcPr>
            <w:tcW w:type="dxa" w:w="1325"/>
          </w:tcPr>
          <w:p>
            <w:pPr>
              <w:spacing w:after="20"/>
              <w:jc w:val="right"/>
            </w:pPr>
            <w:r>
              <w:rPr>
                <w:color w:val="1C3A36"/>
                <w:sz w:val="17"/>
              </w:rPr>
              <w:t>20.66</w:t>
            </w:r>
          </w:p>
        </w:tc>
        <w:tc>
          <w:tcPr>
            <w:tcW w:type="dxa" w:w="1325"/>
          </w:tcPr>
          <w:p>
            <w:pPr>
              <w:spacing w:after="20"/>
              <w:jc w:val="right"/>
            </w:pPr>
            <w:r>
              <w:rPr>
                <w:color w:val="1C3A36"/>
                <w:sz w:val="17"/>
              </w:rPr>
              <w:t>22.00</w:t>
            </w:r>
          </w:p>
        </w:tc>
        <w:tc>
          <w:tcPr>
            <w:tcW w:type="dxa" w:w="1325"/>
          </w:tcPr>
          <w:p>
            <w:pPr>
              <w:spacing w:after="20"/>
              <w:jc w:val="right"/>
            </w:pPr>
            <w:r>
              <w:rPr>
                <w:color w:val="1C3A36"/>
                <w:sz w:val="17"/>
              </w:rPr>
              <w:t>23.21</w:t>
            </w:r>
          </w:p>
        </w:tc>
      </w:tr>
      <w:tr>
        <w:tc>
          <w:tcPr>
            <w:tcW w:type="dxa" w:w="3384"/>
          </w:tcPr>
          <w:p>
            <w:pPr>
              <w:spacing w:after="20"/>
            </w:pPr>
            <w:r>
              <w:rPr>
                <w:color w:val="1C3A36"/>
                <w:sz w:val="17"/>
              </w:rPr>
              <w:t>Revenue (EGP million)</w:t>
            </w:r>
          </w:p>
        </w:tc>
        <w:tc>
          <w:tcPr>
            <w:tcW w:type="dxa" w:w="1325"/>
          </w:tcPr>
          <w:p>
            <w:pPr>
              <w:spacing w:after="20"/>
              <w:jc w:val="right"/>
            </w:pPr>
            <w:r>
              <w:rPr>
                <w:color w:val="1C3A36"/>
                <w:sz w:val="17"/>
              </w:rPr>
              <w:t>10,694</w:t>
            </w:r>
          </w:p>
        </w:tc>
        <w:tc>
          <w:tcPr>
            <w:tcW w:type="dxa" w:w="1325"/>
          </w:tcPr>
          <w:p>
            <w:pPr>
              <w:spacing w:after="20"/>
              <w:jc w:val="right"/>
            </w:pPr>
            <w:r>
              <w:rPr>
                <w:color w:val="1C3A36"/>
                <w:sz w:val="17"/>
              </w:rPr>
              <w:t>12,612</w:t>
            </w:r>
          </w:p>
        </w:tc>
        <w:tc>
          <w:tcPr>
            <w:tcW w:type="dxa" w:w="1325"/>
          </w:tcPr>
          <w:p>
            <w:pPr>
              <w:spacing w:after="20"/>
              <w:jc w:val="right"/>
            </w:pPr>
            <w:r>
              <w:rPr>
                <w:color w:val="1C3A36"/>
                <w:sz w:val="17"/>
              </w:rPr>
              <w:t>14,621</w:t>
            </w:r>
          </w:p>
        </w:tc>
        <w:tc>
          <w:tcPr>
            <w:tcW w:type="dxa" w:w="1325"/>
          </w:tcPr>
          <w:p>
            <w:pPr>
              <w:spacing w:after="20"/>
              <w:jc w:val="right"/>
            </w:pPr>
            <w:r>
              <w:rPr>
                <w:color w:val="1C3A36"/>
                <w:sz w:val="17"/>
              </w:rPr>
              <w:t>16,637</w:t>
            </w:r>
          </w:p>
        </w:tc>
        <w:tc>
          <w:tcPr>
            <w:tcW w:type="dxa" w:w="1325"/>
          </w:tcPr>
          <w:p>
            <w:pPr>
              <w:spacing w:after="20"/>
              <w:jc w:val="right"/>
            </w:pPr>
            <w:r>
              <w:rPr>
                <w:color w:val="1C3A36"/>
                <w:sz w:val="17"/>
              </w:rPr>
              <w:t>18,608</w:t>
            </w:r>
          </w:p>
        </w:tc>
      </w:tr>
      <w:tr>
        <w:tc>
          <w:tcPr>
            <w:tcW w:type="dxa" w:w="3384"/>
            <w:shd w:val="clear" w:color="auto" w:fill="F6F1E6"/>
          </w:tcPr>
          <w:p>
            <w:pPr>
              <w:spacing w:after="20"/>
            </w:pPr>
            <w:r>
              <w:rPr>
                <w:b/>
                <w:color w:val="1C3A36"/>
                <w:sz w:val="17"/>
              </w:rPr>
              <w:t>Gross margin (an output)</w:t>
            </w:r>
          </w:p>
        </w:tc>
        <w:tc>
          <w:tcPr>
            <w:tcW w:type="dxa" w:w="1325"/>
            <w:shd w:val="clear" w:color="auto" w:fill="F6F1E6"/>
          </w:tcPr>
          <w:p>
            <w:pPr>
              <w:spacing w:after="20"/>
              <w:jc w:val="right"/>
            </w:pPr>
            <w:r>
              <w:rPr>
                <w:b/>
                <w:color w:val="1C3A36"/>
                <w:sz w:val="17"/>
              </w:rPr>
              <w:t>39.2%</w:t>
            </w:r>
          </w:p>
        </w:tc>
        <w:tc>
          <w:tcPr>
            <w:tcW w:type="dxa" w:w="1325"/>
            <w:shd w:val="clear" w:color="auto" w:fill="F6F1E6"/>
          </w:tcPr>
          <w:p>
            <w:pPr>
              <w:spacing w:after="20"/>
              <w:jc w:val="right"/>
            </w:pPr>
            <w:r>
              <w:rPr>
                <w:b/>
                <w:color w:val="1C3A36"/>
                <w:sz w:val="17"/>
              </w:rPr>
              <w:t>37.3%</w:t>
            </w:r>
          </w:p>
        </w:tc>
        <w:tc>
          <w:tcPr>
            <w:tcW w:type="dxa" w:w="1325"/>
            <w:shd w:val="clear" w:color="auto" w:fill="F6F1E6"/>
          </w:tcPr>
          <w:p>
            <w:pPr>
              <w:spacing w:after="20"/>
              <w:jc w:val="right"/>
            </w:pPr>
            <w:r>
              <w:rPr>
                <w:b/>
                <w:color w:val="1C3A36"/>
                <w:sz w:val="17"/>
              </w:rPr>
              <w:t>36.9%</w:t>
            </w:r>
          </w:p>
        </w:tc>
        <w:tc>
          <w:tcPr>
            <w:tcW w:type="dxa" w:w="1325"/>
            <w:shd w:val="clear" w:color="auto" w:fill="F6F1E6"/>
          </w:tcPr>
          <w:p>
            <w:pPr>
              <w:spacing w:after="20"/>
              <w:jc w:val="right"/>
            </w:pPr>
            <w:r>
              <w:rPr>
                <w:b/>
                <w:color w:val="1C3A36"/>
                <w:sz w:val="17"/>
              </w:rPr>
              <w:t>36.8%</w:t>
            </w:r>
          </w:p>
        </w:tc>
        <w:tc>
          <w:tcPr>
            <w:tcW w:type="dxa" w:w="1325"/>
            <w:shd w:val="clear" w:color="auto" w:fill="F6F1E6"/>
          </w:tcPr>
          <w:p>
            <w:pPr>
              <w:spacing w:after="20"/>
              <w:jc w:val="right"/>
            </w:pPr>
            <w:r>
              <w:rPr>
                <w:b/>
                <w:color w:val="1C3A36"/>
                <w:sz w:val="17"/>
              </w:rPr>
              <w:t>36.5%</w:t>
            </w:r>
          </w:p>
        </w:tc>
      </w:tr>
    </w:tbl>
    <w:p>
      <w:pPr>
        <w:spacing w:after="40"/>
      </w:pPr>
    </w:p>
    <w:p>
      <w:pPr>
        <w:spacing w:after="200" w:before="0"/>
      </w:pPr>
      <w:r>
        <w:rPr>
          <w:b w:val="0"/>
          <w:i/>
          <w:color w:val="6E7B77"/>
          <w:sz w:val="17"/>
        </w:rPr>
        <w:t>Table 7 — the forecast driver table. THREE product lines, each with its own volume and its own price, moving separately and in the currency each is actually earned in. Nothing on this table is a revenue growth rate.</w:t>
      </w:r>
    </w:p>
    <w:p>
      <w:pPr>
        <w:spacing w:after="40"/>
        <w:jc w:val="center"/>
      </w:pPr>
      <w:r>
        <w:drawing>
          <wp:inline xmlns:a="http://schemas.openxmlformats.org/drawingml/2006/main" xmlns:pic="http://schemas.openxmlformats.org/drawingml/2006/picture">
            <wp:extent cx="6309360" cy="2373633"/>
            <wp:docPr id="3" name="Picture 3"/>
            <wp:cNvGraphicFramePr>
              <a:graphicFrameLocks noChangeAspect="1"/>
            </wp:cNvGraphicFramePr>
            <a:graphic>
              <a:graphicData uri="http://schemas.openxmlformats.org/drawingml/2006/picture">
                <pic:pic>
                  <pic:nvPicPr>
                    <pic:cNvPr id="0" name="fig2_volume_price.png"/>
                    <pic:cNvPicPr/>
                  </pic:nvPicPr>
                  <pic:blipFill>
                    <a:blip r:embed="rId11"/>
                    <a:stretch>
                      <a:fillRect/>
                    </a:stretch>
                  </pic:blipFill>
                  <pic:spPr>
                    <a:xfrm>
                      <a:off x="0" y="0"/>
                      <a:ext cx="6309360" cy="2373633"/>
                    </a:xfrm>
                    <a:prstGeom prst="rect"/>
                  </pic:spPr>
                </pic:pic>
              </a:graphicData>
            </a:graphic>
          </wp:inline>
        </w:drawing>
      </w:r>
    </w:p>
    <w:p>
      <w:pPr>
        <w:spacing w:after="200" w:before="0"/>
      </w:pPr>
      <w:r>
        <w:rPr>
          <w:b w:val="0"/>
          <w:i/>
          <w:color w:val="6E7B77"/>
          <w:sz w:val="17"/>
        </w:rPr>
        <w:t>Figure 3 — revenue by book, and the volumes and prices underneath it.</w:t>
      </w:r>
    </w:p>
    <w:p>
      <w:pPr>
        <w:spacing w:after="120" w:before="0"/>
      </w:pPr>
      <w:r>
        <w:rPr>
          <w:b w:val="0"/>
          <w:i w:val="0"/>
          <w:color w:val="1C3A36"/>
          <w:sz w:val="21"/>
        </w:rPr>
        <w:t>The cost side gets the same discipline, and this matters more than it sounds. The audited cost-of-sales note splits production cost into physically distinct lines, and each one is escalated on its OWN driver rather than on a single blended inflation index:</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664"/>
        <w:gridCol w:w="1656"/>
        <w:gridCol w:w="5328"/>
      </w:tblGrid>
      <w:tr>
        <w:tc>
          <w:tcPr>
            <w:tcW w:type="dxa" w:w="2664"/>
            <w:shd w:val="clear" w:color="auto" w:fill="EAF0EE"/>
          </w:tcPr>
          <w:p>
            <w:pPr>
              <w:spacing w:after="20"/>
            </w:pPr>
            <w:r>
              <w:rPr>
                <w:b/>
                <w:color w:val="1C3A36"/>
                <w:sz w:val="17"/>
              </w:rPr>
              <w:t>Cost line</w:t>
            </w:r>
          </w:p>
        </w:tc>
        <w:tc>
          <w:tcPr>
            <w:tcW w:type="dxa" w:w="1656"/>
            <w:shd w:val="clear" w:color="auto" w:fill="EAF0EE"/>
          </w:tcPr>
          <w:p>
            <w:pPr>
              <w:spacing w:after="20"/>
            </w:pPr>
            <w:r>
              <w:rPr>
                <w:b/>
                <w:color w:val="1C3A36"/>
                <w:sz w:val="17"/>
              </w:rPr>
              <w:t>Share of production cost</w:t>
            </w:r>
          </w:p>
        </w:tc>
        <w:tc>
          <w:tcPr>
            <w:tcW w:type="dxa" w:w="5328"/>
            <w:shd w:val="clear" w:color="auto" w:fill="EAF0EE"/>
          </w:tcPr>
          <w:p>
            <w:pPr>
              <w:spacing w:after="20"/>
            </w:pPr>
            <w:r>
              <w:rPr>
                <w:b/>
                <w:color w:val="1C3A36"/>
                <w:sz w:val="17"/>
              </w:rPr>
              <w:t>Escalated on</w:t>
            </w:r>
          </w:p>
        </w:tc>
      </w:tr>
      <w:tr>
        <w:tc>
          <w:tcPr>
            <w:tcW w:type="dxa" w:w="2664"/>
          </w:tcPr>
          <w:p>
            <w:pPr>
              <w:spacing w:after="20"/>
            </w:pPr>
            <w:r>
              <w:rPr>
                <w:color w:val="1C3A36"/>
                <w:sz w:val="17"/>
              </w:rPr>
              <w:t>Imported active ingredients</w:t>
            </w:r>
          </w:p>
        </w:tc>
        <w:tc>
          <w:tcPr>
            <w:tcW w:type="dxa" w:w="1656"/>
          </w:tcPr>
          <w:p>
            <w:pPr>
              <w:spacing w:after="20"/>
              <w:jc w:val="right"/>
            </w:pPr>
            <w:r>
              <w:rPr>
                <w:color w:val="1C3A36"/>
                <w:sz w:val="17"/>
              </w:rPr>
              <w:t>54.9%</w:t>
            </w:r>
          </w:p>
        </w:tc>
        <w:tc>
          <w:tcPr>
            <w:tcW w:type="dxa" w:w="5328"/>
          </w:tcPr>
          <w:p>
            <w:pPr>
              <w:spacing w:after="20"/>
              <w:jc w:val="right"/>
            </w:pPr>
            <w:r>
              <w:rPr>
                <w:color w:val="1C3A36"/>
                <w:sz w:val="17"/>
              </w:rPr>
              <w:t>a hard-currency price path passed through the exchange-rate path</w:t>
            </w:r>
          </w:p>
        </w:tc>
      </w:tr>
      <w:tr>
        <w:tc>
          <w:tcPr>
            <w:tcW w:type="dxa" w:w="2664"/>
          </w:tcPr>
          <w:p>
            <w:pPr>
              <w:spacing w:after="20"/>
            </w:pPr>
            <w:r>
              <w:rPr>
                <w:color w:val="1C3A36"/>
                <w:sz w:val="17"/>
              </w:rPr>
              <w:t>Packaging materials</w:t>
            </w:r>
          </w:p>
        </w:tc>
        <w:tc>
          <w:tcPr>
            <w:tcW w:type="dxa" w:w="1656"/>
          </w:tcPr>
          <w:p>
            <w:pPr>
              <w:spacing w:after="20"/>
              <w:jc w:val="right"/>
            </w:pPr>
            <w:r>
              <w:rPr>
                <w:color w:val="1C3A36"/>
                <w:sz w:val="17"/>
              </w:rPr>
              <w:t>24.6%</w:t>
            </w:r>
          </w:p>
        </w:tc>
        <w:tc>
          <w:tcPr>
            <w:tcW w:type="dxa" w:w="5328"/>
          </w:tcPr>
          <w:p>
            <w:pPr>
              <w:spacing w:after="20"/>
              <w:jc w:val="right"/>
            </w:pPr>
            <w:r>
              <w:rPr>
                <w:color w:val="1C3A36"/>
                <w:sz w:val="17"/>
              </w:rPr>
              <w:t>55% on the hard-currency path, the balance domestic — the group makes its own primary packaging</w:t>
            </w:r>
          </w:p>
        </w:tc>
      </w:tr>
      <w:tr>
        <w:tc>
          <w:tcPr>
            <w:tcW w:type="dxa" w:w="2664"/>
          </w:tcPr>
          <w:p>
            <w:pPr>
              <w:spacing w:after="20"/>
            </w:pPr>
            <w:r>
              <w:rPr>
                <w:color w:val="1C3A36"/>
                <w:sz w:val="17"/>
              </w:rPr>
              <w:t>Labour</w:t>
            </w:r>
          </w:p>
        </w:tc>
        <w:tc>
          <w:tcPr>
            <w:tcW w:type="dxa" w:w="1656"/>
          </w:tcPr>
          <w:p>
            <w:pPr>
              <w:spacing w:after="20"/>
              <w:jc w:val="right"/>
            </w:pPr>
            <w:r>
              <w:rPr>
                <w:color w:val="1C3A36"/>
                <w:sz w:val="17"/>
              </w:rPr>
              <w:t>9.8%</w:t>
            </w:r>
          </w:p>
        </w:tc>
        <w:tc>
          <w:tcPr>
            <w:tcW w:type="dxa" w:w="5328"/>
          </w:tcPr>
          <w:p>
            <w:pPr>
              <w:spacing w:after="20"/>
              <w:jc w:val="right"/>
            </w:pPr>
            <w:r>
              <w:rPr>
                <w:color w:val="1C3A36"/>
                <w:sz w:val="17"/>
              </w:rPr>
              <w:t>Egyptian wage growth, which is running above consumer prices</w:t>
            </w:r>
          </w:p>
        </w:tc>
      </w:tr>
      <w:tr>
        <w:tc>
          <w:tcPr>
            <w:tcW w:type="dxa" w:w="2664"/>
          </w:tcPr>
          <w:p>
            <w:pPr>
              <w:spacing w:after="20"/>
            </w:pPr>
            <w:r>
              <w:rPr>
                <w:color w:val="1C3A36"/>
                <w:sz w:val="17"/>
              </w:rPr>
              <w:t>Energy and utilities</w:t>
            </w:r>
          </w:p>
        </w:tc>
        <w:tc>
          <w:tcPr>
            <w:tcW w:type="dxa" w:w="1656"/>
          </w:tcPr>
          <w:p>
            <w:pPr>
              <w:spacing w:after="20"/>
              <w:jc w:val="right"/>
            </w:pPr>
            <w:r>
              <w:rPr>
                <w:color w:val="1C3A36"/>
                <w:sz w:val="17"/>
              </w:rPr>
              <w:t>3.4%</w:t>
            </w:r>
          </w:p>
        </w:tc>
        <w:tc>
          <w:tcPr>
            <w:tcW w:type="dxa" w:w="5328"/>
          </w:tcPr>
          <w:p>
            <w:pPr>
              <w:spacing w:after="20"/>
              <w:jc w:val="right"/>
            </w:pPr>
            <w:r>
              <w:rPr>
                <w:color w:val="1C3A36"/>
                <w:sz w:val="17"/>
              </w:rPr>
              <w:t>the regulated tariff schedule, ABOVE consumer prices while subsidy reform runs</w:t>
            </w:r>
          </w:p>
        </w:tc>
      </w:tr>
      <w:tr>
        <w:tc>
          <w:tcPr>
            <w:tcW w:type="dxa" w:w="2664"/>
          </w:tcPr>
          <w:p>
            <w:pPr>
              <w:spacing w:after="20"/>
            </w:pPr>
            <w:r>
              <w:rPr>
                <w:color w:val="1C3A36"/>
                <w:sz w:val="17"/>
              </w:rPr>
              <w:t>Other consumables and services</w:t>
            </w:r>
          </w:p>
        </w:tc>
        <w:tc>
          <w:tcPr>
            <w:tcW w:type="dxa" w:w="1656"/>
          </w:tcPr>
          <w:p>
            <w:pPr>
              <w:spacing w:after="20"/>
              <w:jc w:val="right"/>
            </w:pPr>
            <w:r>
              <w:rPr>
                <w:color w:val="1C3A36"/>
                <w:sz w:val="17"/>
              </w:rPr>
              <w:t>5.7%</w:t>
            </w:r>
          </w:p>
        </w:tc>
        <w:tc>
          <w:tcPr>
            <w:tcW w:type="dxa" w:w="5328"/>
          </w:tcPr>
          <w:p>
            <w:pPr>
              <w:spacing w:after="20"/>
              <w:jc w:val="right"/>
            </w:pPr>
            <w:r>
              <w:rPr>
                <w:color w:val="1C3A36"/>
                <w:sz w:val="17"/>
              </w:rPr>
              <w:t>domestic consumer prices</w:t>
            </w:r>
          </w:p>
        </w:tc>
      </w:tr>
      <w:tr>
        <w:tc>
          <w:tcPr>
            <w:tcW w:type="dxa" w:w="2664"/>
          </w:tcPr>
          <w:p>
            <w:pPr>
              <w:spacing w:after="20"/>
            </w:pPr>
            <w:r>
              <w:rPr>
                <w:color w:val="1C3A36"/>
                <w:sz w:val="17"/>
              </w:rPr>
              <w:t>Depreciation</w:t>
            </w:r>
          </w:p>
        </w:tc>
        <w:tc>
          <w:tcPr>
            <w:tcW w:type="dxa" w:w="1656"/>
          </w:tcPr>
          <w:p>
            <w:pPr>
              <w:spacing w:after="20"/>
              <w:jc w:val="right"/>
            </w:pPr>
            <w:r>
              <w:rPr>
                <w:color w:val="1C3A36"/>
                <w:sz w:val="17"/>
              </w:rPr>
              <w:t>1.7%</w:t>
            </w:r>
          </w:p>
        </w:tc>
        <w:tc>
          <w:tcPr>
            <w:tcW w:type="dxa" w:w="5328"/>
          </w:tcPr>
          <w:p>
            <w:pPr>
              <w:spacing w:after="20"/>
              <w:jc w:val="right"/>
            </w:pPr>
            <w:r>
              <w:rPr>
                <w:color w:val="1C3A36"/>
                <w:sz w:val="17"/>
              </w:rPr>
              <w:t>nothing — it is excluded here and comes from the property roll-forward instead</w:t>
            </w:r>
          </w:p>
        </w:tc>
      </w:tr>
    </w:tbl>
    <w:p>
      <w:pPr>
        <w:spacing w:after="40"/>
      </w:pPr>
    </w:p>
    <w:p>
      <w:pPr>
        <w:spacing w:after="200" w:before="0"/>
      </w:pPr>
      <w:r>
        <w:rPr>
          <w:b w:val="0"/>
          <w:i/>
          <w:color w:val="6E7B77"/>
          <w:sz w:val="17"/>
        </w:rPr>
        <w:t>Table 8 — one escalator per driver class. A single blended index across these lines would make the forecast margin an artefact of the index rather than of the business.</w:t>
      </w:r>
    </w:p>
    <w:p>
      <w:pPr>
        <w:spacing w:after="80" w:before="200"/>
      </w:pPr>
      <w:r>
        <w:rPr>
          <w:b/>
          <w:i w:val="0"/>
          <w:color w:val="1C3A36"/>
          <w:sz w:val="24"/>
        </w:rPr>
        <w:t>1.7 The crux</w:t>
      </w:r>
    </w:p>
    <w:p>
      <w:pPr>
        <w:spacing w:after="120" w:before="0"/>
      </w:pPr>
      <w:r>
        <w:rPr>
          <w:b w:val="0"/>
          <w:i w:val="0"/>
          <w:color w:val="1C3A36"/>
          <w:sz w:val="21"/>
        </w:rPr>
        <w:t>The crux is the new plant, and it is worth being precise about what this study does and does not assume. It CHARGES the plant: EGP 4,901 million of construction balance transfers into depreciable assets on the company's own disclosed licensing timetable, taking the depreciation charge from EGP 118 million in FY2025 to EGP 304 million in FY2026 and EGP 446 million by FY2028. What it does NOT do is add the EGP 551 million of interest capitalised into the construction balance in FY2025 back onto the income statement. That would be the textbook consequence of the asset entering service, and the first cut of this model assumed it — but the company's own first quarter of 2026 says otherwise: financing expense of EGP 312.9 million ran DOWN 6.1% year on year, an annual rate near EGP 1,251 million against EGP 1,333 million actually borne in FY2025. The forecast is calibrated to that observed quarter rather than to the textbook, and the difference is disclosed here rather than left as an unexplained gap. It does NOT credit the plant with any revenue, because the company has published none.</w:t>
      </w:r>
    </w:p>
    <w:p>
      <w:pPr>
        <w:spacing w:after="40"/>
        <w:jc w:val="center"/>
      </w:pPr>
      <w:r>
        <w:drawing>
          <wp:inline xmlns:a="http://schemas.openxmlformats.org/drawingml/2006/main" xmlns:pic="http://schemas.openxmlformats.org/drawingml/2006/picture">
            <wp:extent cx="6126480" cy="2753748"/>
            <wp:docPr id="4" name="Picture 4"/>
            <wp:cNvGraphicFramePr>
              <a:graphicFrameLocks noChangeAspect="1"/>
            </wp:cNvGraphicFramePr>
            <a:graphic>
              <a:graphicData uri="http://schemas.openxmlformats.org/drawingml/2006/picture">
                <pic:pic>
                  <pic:nvPicPr>
                    <pic:cNvPr id="0" name="fig3_depreciation.png"/>
                    <pic:cNvPicPr/>
                  </pic:nvPicPr>
                  <pic:blipFill>
                    <a:blip r:embed="rId12"/>
                    <a:stretch>
                      <a:fillRect/>
                    </a:stretch>
                  </pic:blipFill>
                  <pic:spPr>
                    <a:xfrm>
                      <a:off x="0" y="0"/>
                      <a:ext cx="6126480" cy="2753748"/>
                    </a:xfrm>
                    <a:prstGeom prst="rect"/>
                  </pic:spPr>
                </pic:pic>
              </a:graphicData>
            </a:graphic>
          </wp:inline>
        </w:drawing>
      </w:r>
    </w:p>
    <w:p>
      <w:pPr>
        <w:spacing w:after="200" w:before="0"/>
      </w:pPr>
      <w:r>
        <w:rPr>
          <w:b w:val="0"/>
          <w:i/>
          <w:color w:val="6E7B77"/>
          <w:sz w:val="17"/>
        </w:rPr>
        <w:t>Figure 4 — the depreciation step, and the construction balance that causes it.</w:t>
      </w:r>
    </w:p>
    <w:p>
      <w:pPr>
        <w:spacing w:after="120" w:before="0"/>
      </w:pPr>
      <w:r>
        <w:rPr>
          <w:b w:val="0"/>
          <w:i w:val="0"/>
          <w:color w:val="1C3A36"/>
          <w:sz w:val="21"/>
        </w:rPr>
        <w:t>So the honest question is not what the plant is worth. It is how much it must sell. Solving the same model for the market price: an additional EGP 8,871 million of revenue by FY2030 at a 45% contribution margin closes the gap from EGP 33.00 to EGP 127.30. That is 32% of FY2030 revenue, or about USD 127 million a year — 1.27 times the USD 100 million the company says it invested in the plant.</w:t>
      </w:r>
    </w:p>
    <w:p>
      <w:pPr>
        <w:spacing w:after="120" w:before="0"/>
      </w:pPr>
      <w:r>
        <w:rPr>
          <w:b w:val="0"/>
          <w:i w:val="0"/>
          <w:color w:val="1C3A36"/>
          <w:sz w:val="21"/>
        </w:rPr>
        <w:t>Two things have to be published for that hurdle to be checkable, and they are. THE RAMP: the incremental revenue is not dropped into the final year. It is phased 0% / 10% / 30% / 60% / 100% of the FY2030 level across FY2026E to FY2030E. The same total placed entirely in the final year would be a materially LOWER and easier hurdle, so a reverse valuation that does not state its ramp cannot be audited. THE REINVESTMENT: the incremental revenue is charged capital expenditure at the same share of revenue as the existing business, and working capital on the same day ratios, so it meets the identical reinvestment discipline. Left uncharged — which is how the first cut of this model ran it — the hurdle prices out about USD 115 million a year instead of USD 127 million, which understates what the market is actually asking of the plant.</w:t>
      </w:r>
    </w:p>
    <w:p>
      <w:pPr>
        <w:spacing w:after="120" w:before="0"/>
      </w:pPr>
      <w:r>
        <w:rPr>
          <w:b w:val="0"/>
          <w:i w:val="0"/>
          <w:color w:val="1C3A36"/>
          <w:sz w:val="21"/>
        </w:rPr>
        <w:t>The same arithmetic read the other way is worth stating, because it is the plainest summary of what is at issue. At EGP 127.30 the market is paying EGP 94.30 a share — EGP 15,914 million, 74% of the entire share price — for a plant this study values at nothing, against a stated build cost of USD 100 million, about EGP 7,011 million. The market is not merely paying for the plant to work; it is paying roughly 2.3 times what the plant cost to build. That is the proposition, stated as a multiple of an observable outlay rather than as a valuation.</w:t>
      </w:r>
    </w:p>
    <w:tbl>
      <w:tblPr>
        <w:tblW w:type="auto" w:w="0"/>
        <w:tblLook w:firstColumn="1" w:firstRow="1" w:lastColumn="0" w:lastRow="0" w:noHBand="0" w:noVBand="1" w:val="04A0"/>
        <w:tblLayout w:type="fixed"/>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b/>
                <w:color w:val="1C3A36"/>
                <w:sz w:val="19"/>
              </w:rPr>
              <w:t xml:space="preserve">Why this number is useful. </w:t>
            </w:r>
            <w:r>
              <w:rPr>
                <w:color w:val="1C3A36"/>
                <w:sz w:val="19"/>
              </w:rPr>
              <w:t>It is observable. Roughly USD 127 million a year of biosimilar revenue by 2030 is a figure the company will eventually disclose, and a reader can check this study against it. An asset turn of 1.27 times on a specialist biologics facility is demanding but not absurd; whether it is achievable in Egypt, at Egyptian reimbursement prices, on a product set still moving through registration, is the question the market is answering yes to and this study is declining to answer either way.</w:t>
            </w:r>
          </w:p>
        </w:tc>
      </w:tr>
    </w:tbl>
    <w:p>
      <w:pPr>
        <w:spacing w:after="40"/>
      </w:pPr>
    </w:p>
    <w:p>
      <w:pPr>
        <w:spacing w:after="40"/>
        <w:jc w:val="center"/>
      </w:pPr>
      <w:r>
        <w:drawing>
          <wp:inline xmlns:a="http://schemas.openxmlformats.org/drawingml/2006/main" xmlns:pic="http://schemas.openxmlformats.org/drawingml/2006/picture">
            <wp:extent cx="6035040" cy="2717594"/>
            <wp:docPr id="5" name="Picture 5"/>
            <wp:cNvGraphicFramePr>
              <a:graphicFrameLocks noChangeAspect="1"/>
            </wp:cNvGraphicFramePr>
            <a:graphic>
              <a:graphicData uri="http://schemas.openxmlformats.org/drawingml/2006/picture">
                <pic:pic>
                  <pic:nvPicPr>
                    <pic:cNvPr id="0" name="fig7_crux.png"/>
                    <pic:cNvPicPr/>
                  </pic:nvPicPr>
                  <pic:blipFill>
                    <a:blip r:embed="rId13"/>
                    <a:stretch>
                      <a:fillRect/>
                    </a:stretch>
                  </pic:blipFill>
                  <pic:spPr>
                    <a:xfrm>
                      <a:off x="0" y="0"/>
                      <a:ext cx="6035040" cy="2717594"/>
                    </a:xfrm>
                    <a:prstGeom prst="rect"/>
                  </pic:spPr>
                </pic:pic>
              </a:graphicData>
            </a:graphic>
          </wp:inline>
        </w:drawing>
      </w:r>
    </w:p>
    <w:p>
      <w:pPr>
        <w:spacing w:after="200" w:before="0"/>
      </w:pPr>
      <w:r>
        <w:rPr>
          <w:b w:val="0"/>
          <w:i/>
          <w:color w:val="6E7B77"/>
          <w:sz w:val="17"/>
        </w:rPr>
        <w:t>Figure 5 — the crux stated as a reverse valuation.</w:t>
      </w:r>
    </w:p>
    <w:p>
      <w:pPr>
        <w:spacing w:after="120" w:before="0"/>
      </w:pPr>
      <w:r>
        <w:rPr>
          <w:b w:val="0"/>
          <w:i w:val="0"/>
          <w:color w:val="1C3A36"/>
          <w:sz w:val="21"/>
        </w:rPr>
        <w:t>The first quarter of 2026 is the first real test of all this, and it is worth setting the forecast against it line by line rather than claiming a hit.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520"/>
        <w:gridCol w:w="1368"/>
        <w:gridCol w:w="1512"/>
        <w:gridCol w:w="1440"/>
        <w:gridCol w:w="3312"/>
      </w:tblGrid>
      <w:tr>
        <w:tc>
          <w:tcPr>
            <w:tcW w:type="dxa" w:w="2520"/>
            <w:shd w:val="clear" w:color="auto" w:fill="EAF0EE"/>
          </w:tcPr>
          <w:p>
            <w:pPr>
              <w:spacing w:after="20"/>
            </w:pPr>
            <w:r>
              <w:rPr>
                <w:b/>
                <w:color w:val="1C3A36"/>
                <w:sz w:val="16"/>
              </w:rPr>
              <w:t>Line</w:t>
            </w:r>
          </w:p>
        </w:tc>
        <w:tc>
          <w:tcPr>
            <w:tcW w:type="dxa" w:w="1368"/>
            <w:shd w:val="clear" w:color="auto" w:fill="EAF0EE"/>
          </w:tcPr>
          <w:p>
            <w:pPr>
              <w:spacing w:after="20"/>
            </w:pPr>
            <w:r>
              <w:rPr>
                <w:b/>
                <w:color w:val="1C3A36"/>
                <w:sz w:val="16"/>
              </w:rPr>
              <w:t>Q1-2026 actual</w:t>
            </w:r>
          </w:p>
        </w:tc>
        <w:tc>
          <w:tcPr>
            <w:tcW w:type="dxa" w:w="1512"/>
            <w:shd w:val="clear" w:color="auto" w:fill="EAF0EE"/>
          </w:tcPr>
          <w:p>
            <w:pPr>
              <w:spacing w:after="20"/>
            </w:pPr>
            <w:r>
              <w:rPr>
                <w:b/>
                <w:color w:val="1C3A36"/>
                <w:sz w:val="16"/>
              </w:rPr>
              <w:t>Read into a full year</w:t>
            </w:r>
          </w:p>
        </w:tc>
        <w:tc>
          <w:tcPr>
            <w:tcW w:type="dxa" w:w="1440"/>
            <w:shd w:val="clear" w:color="auto" w:fill="EAF0EE"/>
          </w:tcPr>
          <w:p>
            <w:pPr>
              <w:spacing w:after="20"/>
            </w:pPr>
            <w:r>
              <w:rPr>
                <w:b/>
                <w:color w:val="1C3A36"/>
                <w:sz w:val="16"/>
              </w:rPr>
              <w:t>This study's FY2026</w:t>
            </w:r>
          </w:p>
        </w:tc>
        <w:tc>
          <w:tcPr>
            <w:tcW w:type="dxa" w:w="3312"/>
            <w:shd w:val="clear" w:color="auto" w:fill="EAF0EE"/>
          </w:tcPr>
          <w:p>
            <w:pPr>
              <w:spacing w:after="20"/>
            </w:pPr>
            <w:r>
              <w:rPr>
                <w:b/>
                <w:color w:val="1C3A36"/>
                <w:sz w:val="16"/>
              </w:rPr>
              <w:t>How the forecast stands against it</w:t>
            </w:r>
          </w:p>
        </w:tc>
      </w:tr>
      <w:tr>
        <w:tc>
          <w:tcPr>
            <w:tcW w:type="dxa" w:w="2520"/>
          </w:tcPr>
          <w:p>
            <w:pPr>
              <w:spacing w:after="20"/>
            </w:pPr>
            <w:r>
              <w:rPr>
                <w:color w:val="1C3A36"/>
                <w:sz w:val="16"/>
              </w:rPr>
              <w:t>Net sales (EGP m)</w:t>
            </w:r>
          </w:p>
        </w:tc>
        <w:tc>
          <w:tcPr>
            <w:tcW w:type="dxa" w:w="1368"/>
          </w:tcPr>
          <w:p>
            <w:pPr>
              <w:spacing w:after="20"/>
              <w:jc w:val="right"/>
            </w:pPr>
            <w:r>
              <w:rPr>
                <w:color w:val="1C3A36"/>
                <w:sz w:val="16"/>
              </w:rPr>
              <w:t>2,533</w:t>
            </w:r>
          </w:p>
        </w:tc>
        <w:tc>
          <w:tcPr>
            <w:tcW w:type="dxa" w:w="1512"/>
          </w:tcPr>
          <w:p>
            <w:pPr>
              <w:spacing w:after="20"/>
              <w:jc w:val="right"/>
            </w:pPr>
            <w:r>
              <w:rPr>
                <w:color w:val="1C3A36"/>
                <w:sz w:val="16"/>
              </w:rPr>
              <w:t>10,398</w:t>
            </w:r>
          </w:p>
        </w:tc>
        <w:tc>
          <w:tcPr>
            <w:tcW w:type="dxa" w:w="1440"/>
          </w:tcPr>
          <w:p>
            <w:pPr>
              <w:spacing w:after="20"/>
              <w:jc w:val="right"/>
            </w:pPr>
            <w:r>
              <w:rPr>
                <w:color w:val="1C3A36"/>
                <w:sz w:val="16"/>
              </w:rPr>
              <w:t>10,694</w:t>
            </w:r>
          </w:p>
        </w:tc>
        <w:tc>
          <w:tcPr>
            <w:tcW w:type="dxa" w:w="3312"/>
          </w:tcPr>
          <w:p>
            <w:pPr>
              <w:spacing w:after="20"/>
              <w:jc w:val="right"/>
            </w:pPr>
            <w:r>
              <w:rPr>
                <w:color w:val="1C3A36"/>
                <w:sz w:val="16"/>
              </w:rPr>
              <w:t>2.9% against the quarter's run-rate</w:t>
            </w:r>
          </w:p>
        </w:tc>
      </w:tr>
      <w:tr>
        <w:tc>
          <w:tcPr>
            <w:tcW w:type="dxa" w:w="2520"/>
          </w:tcPr>
          <w:p>
            <w:pPr>
              <w:spacing w:after="20"/>
            </w:pPr>
            <w:r>
              <w:rPr>
                <w:color w:val="1C3A36"/>
                <w:sz w:val="16"/>
              </w:rPr>
              <w:t>Gross margin</w:t>
            </w:r>
          </w:p>
        </w:tc>
        <w:tc>
          <w:tcPr>
            <w:tcW w:type="dxa" w:w="1368"/>
          </w:tcPr>
          <w:p>
            <w:pPr>
              <w:spacing w:after="20"/>
              <w:jc w:val="right"/>
            </w:pPr>
            <w:r>
              <w:rPr>
                <w:color w:val="1C3A36"/>
                <w:sz w:val="16"/>
              </w:rPr>
              <w:t>42.4%</w:t>
            </w:r>
          </w:p>
        </w:tc>
        <w:tc>
          <w:tcPr>
            <w:tcW w:type="dxa" w:w="1512"/>
          </w:tcPr>
          <w:p>
            <w:pPr>
              <w:spacing w:after="20"/>
              <w:jc w:val="right"/>
            </w:pPr>
            <w:r>
              <w:rPr>
                <w:color w:val="1C3A36"/>
                <w:sz w:val="16"/>
              </w:rPr>
              <w:t>—</w:t>
            </w:r>
          </w:p>
        </w:tc>
        <w:tc>
          <w:tcPr>
            <w:tcW w:type="dxa" w:w="1440"/>
          </w:tcPr>
          <w:p>
            <w:pPr>
              <w:spacing w:after="20"/>
              <w:jc w:val="right"/>
            </w:pPr>
            <w:r>
              <w:rPr>
                <w:color w:val="1C3A36"/>
                <w:sz w:val="16"/>
              </w:rPr>
              <w:t>39.2%</w:t>
            </w:r>
          </w:p>
        </w:tc>
        <w:tc>
          <w:tcPr>
            <w:tcW w:type="dxa" w:w="3312"/>
          </w:tcPr>
          <w:p>
            <w:pPr>
              <w:spacing w:after="20"/>
              <w:jc w:val="right"/>
            </w:pPr>
            <w:r>
              <w:rPr>
                <w:color w:val="1C3A36"/>
                <w:sz w:val="16"/>
              </w:rPr>
              <w:t>within 320 basis points</w:t>
            </w:r>
          </w:p>
        </w:tc>
      </w:tr>
      <w:tr>
        <w:tc>
          <w:tcPr>
            <w:tcW w:type="dxa" w:w="2520"/>
          </w:tcPr>
          <w:p>
            <w:pPr>
              <w:spacing w:after="20"/>
            </w:pPr>
            <w:r>
              <w:rPr>
                <w:color w:val="1C3A36"/>
                <w:sz w:val="16"/>
              </w:rPr>
              <w:t>Depreciation and amortisation (EGP m)</w:t>
            </w:r>
          </w:p>
        </w:tc>
        <w:tc>
          <w:tcPr>
            <w:tcW w:type="dxa" w:w="1368"/>
          </w:tcPr>
          <w:p>
            <w:pPr>
              <w:spacing w:after="20"/>
              <w:jc w:val="right"/>
            </w:pPr>
            <w:r>
              <w:rPr>
                <w:color w:val="1C3A36"/>
                <w:sz w:val="16"/>
              </w:rPr>
              <w:t>56.2</w:t>
            </w:r>
          </w:p>
        </w:tc>
        <w:tc>
          <w:tcPr>
            <w:tcW w:type="dxa" w:w="1512"/>
          </w:tcPr>
          <w:p>
            <w:pPr>
              <w:spacing w:after="20"/>
              <w:jc w:val="right"/>
            </w:pPr>
            <w:r>
              <w:rPr>
                <w:color w:val="1C3A36"/>
                <w:sz w:val="16"/>
              </w:rPr>
              <w:t>225</w:t>
            </w:r>
          </w:p>
        </w:tc>
        <w:tc>
          <w:tcPr>
            <w:tcW w:type="dxa" w:w="1440"/>
          </w:tcPr>
          <w:p>
            <w:pPr>
              <w:spacing w:after="20"/>
              <w:jc w:val="right"/>
            </w:pPr>
            <w:r>
              <w:rPr>
                <w:color w:val="1C3A36"/>
                <w:sz w:val="16"/>
              </w:rPr>
              <w:t>304</w:t>
            </w:r>
          </w:p>
        </w:tc>
        <w:tc>
          <w:tcPr>
            <w:tcW w:type="dxa" w:w="3312"/>
          </w:tcPr>
          <w:p>
            <w:pPr>
              <w:spacing w:after="20"/>
              <w:jc w:val="right"/>
            </w:pPr>
            <w:r>
              <w:rPr>
                <w:color w:val="1C3A36"/>
                <w:sz w:val="16"/>
              </w:rPr>
              <w:t>the step is real; the study is ahead on timing only</w:t>
            </w:r>
          </w:p>
        </w:tc>
      </w:tr>
      <w:tr>
        <w:tc>
          <w:tcPr>
            <w:tcW w:type="dxa" w:w="2520"/>
          </w:tcPr>
          <w:p>
            <w:pPr>
              <w:spacing w:after="20"/>
            </w:pPr>
            <w:r>
              <w:rPr>
                <w:color w:val="1C3A36"/>
                <w:sz w:val="16"/>
              </w:rPr>
              <w:t>Transfers out of construction (EGP m)</w:t>
            </w:r>
          </w:p>
        </w:tc>
        <w:tc>
          <w:tcPr>
            <w:tcW w:type="dxa" w:w="1368"/>
          </w:tcPr>
          <w:p>
            <w:pPr>
              <w:spacing w:after="20"/>
              <w:jc w:val="right"/>
            </w:pPr>
            <w:r>
              <w:rPr>
                <w:color w:val="1C3A36"/>
                <w:sz w:val="16"/>
              </w:rPr>
              <w:t>918</w:t>
            </w:r>
          </w:p>
        </w:tc>
        <w:tc>
          <w:tcPr>
            <w:tcW w:type="dxa" w:w="1512"/>
          </w:tcPr>
          <w:p>
            <w:pPr>
              <w:spacing w:after="20"/>
              <w:jc w:val="right"/>
            </w:pPr>
            <w:r>
              <w:rPr>
                <w:color w:val="1C3A36"/>
                <w:sz w:val="16"/>
              </w:rPr>
              <w:t>3,670</w:t>
            </w:r>
          </w:p>
        </w:tc>
        <w:tc>
          <w:tcPr>
            <w:tcW w:type="dxa" w:w="1440"/>
          </w:tcPr>
          <w:p>
            <w:pPr>
              <w:spacing w:after="20"/>
              <w:jc w:val="right"/>
            </w:pPr>
            <w:r>
              <w:rPr>
                <w:color w:val="1C3A36"/>
                <w:sz w:val="16"/>
              </w:rPr>
              <w:t>3,400</w:t>
            </w:r>
          </w:p>
        </w:tc>
        <w:tc>
          <w:tcPr>
            <w:tcW w:type="dxa" w:w="3312"/>
          </w:tcPr>
          <w:p>
            <w:pPr>
              <w:spacing w:after="20"/>
              <w:jc w:val="right"/>
            </w:pPr>
            <w:r>
              <w:rPr>
                <w:color w:val="1C3A36"/>
                <w:sz w:val="16"/>
              </w:rPr>
              <w:t>confirmed, and the study is if anything conservative</w:t>
            </w:r>
          </w:p>
        </w:tc>
      </w:tr>
      <w:tr>
        <w:tc>
          <w:tcPr>
            <w:tcW w:type="dxa" w:w="2520"/>
          </w:tcPr>
          <w:p>
            <w:pPr>
              <w:spacing w:after="20"/>
            </w:pPr>
            <w:r>
              <w:rPr>
                <w:color w:val="1C3A36"/>
                <w:sz w:val="16"/>
              </w:rPr>
              <w:t>Finance cost (EGP m)</w:t>
            </w:r>
          </w:p>
        </w:tc>
        <w:tc>
          <w:tcPr>
            <w:tcW w:type="dxa" w:w="1368"/>
          </w:tcPr>
          <w:p>
            <w:pPr>
              <w:spacing w:after="20"/>
              <w:jc w:val="right"/>
            </w:pPr>
            <w:r>
              <w:rPr>
                <w:color w:val="1C3A36"/>
                <w:sz w:val="16"/>
              </w:rPr>
              <w:t>313</w:t>
            </w:r>
          </w:p>
        </w:tc>
        <w:tc>
          <w:tcPr>
            <w:tcW w:type="dxa" w:w="1512"/>
          </w:tcPr>
          <w:p>
            <w:pPr>
              <w:spacing w:after="20"/>
              <w:jc w:val="right"/>
            </w:pPr>
            <w:r>
              <w:rPr>
                <w:color w:val="1C3A36"/>
                <w:sz w:val="16"/>
              </w:rPr>
              <w:t>1,251</w:t>
            </w:r>
          </w:p>
        </w:tc>
        <w:tc>
          <w:tcPr>
            <w:tcW w:type="dxa" w:w="1440"/>
          </w:tcPr>
          <w:p>
            <w:pPr>
              <w:spacing w:after="20"/>
              <w:jc w:val="right"/>
            </w:pPr>
            <w:r>
              <w:rPr>
                <w:color w:val="1C3A36"/>
                <w:sz w:val="16"/>
              </w:rPr>
              <w:t>1,250</w:t>
            </w:r>
          </w:p>
        </w:tc>
        <w:tc>
          <w:tcPr>
            <w:tcW w:type="dxa" w:w="3312"/>
          </w:tcPr>
          <w:p>
            <w:pPr>
              <w:spacing w:after="20"/>
              <w:jc w:val="right"/>
            </w:pPr>
            <w:r>
              <w:rPr>
                <w:color w:val="1C3A36"/>
                <w:sz w:val="16"/>
              </w:rPr>
              <w:t>reset to the quarter</w:t>
            </w:r>
          </w:p>
        </w:tc>
      </w:tr>
      <w:tr>
        <w:tc>
          <w:tcPr>
            <w:tcW w:type="dxa" w:w="2520"/>
          </w:tcPr>
          <w:p>
            <w:pPr>
              <w:spacing w:after="20"/>
            </w:pPr>
            <w:r>
              <w:rPr>
                <w:color w:val="1C3A36"/>
                <w:sz w:val="16"/>
              </w:rPr>
              <w:t>Provision charge as a share of sales</w:t>
            </w:r>
          </w:p>
        </w:tc>
        <w:tc>
          <w:tcPr>
            <w:tcW w:type="dxa" w:w="1368"/>
          </w:tcPr>
          <w:p>
            <w:pPr>
              <w:spacing w:after="20"/>
              <w:jc w:val="right"/>
            </w:pPr>
            <w:r>
              <w:rPr>
                <w:color w:val="1C3A36"/>
                <w:sz w:val="16"/>
              </w:rPr>
              <w:t>2.57%</w:t>
            </w:r>
          </w:p>
        </w:tc>
        <w:tc>
          <w:tcPr>
            <w:tcW w:type="dxa" w:w="1512"/>
          </w:tcPr>
          <w:p>
            <w:pPr>
              <w:spacing w:after="20"/>
              <w:jc w:val="right"/>
            </w:pPr>
            <w:r>
              <w:rPr>
                <w:color w:val="1C3A36"/>
                <w:sz w:val="16"/>
              </w:rPr>
              <w:t>—</w:t>
            </w:r>
          </w:p>
        </w:tc>
        <w:tc>
          <w:tcPr>
            <w:tcW w:type="dxa" w:w="1440"/>
          </w:tcPr>
          <w:p>
            <w:pPr>
              <w:spacing w:after="20"/>
              <w:jc w:val="right"/>
            </w:pPr>
            <w:r>
              <w:rPr>
                <w:color w:val="1C3A36"/>
                <w:sz w:val="16"/>
              </w:rPr>
              <w:t>5.25% / 4.50%</w:t>
            </w:r>
          </w:p>
        </w:tc>
        <w:tc>
          <w:tcPr>
            <w:tcW w:type="dxa" w:w="3312"/>
          </w:tcPr>
          <w:p>
            <w:pPr>
              <w:spacing w:after="20"/>
              <w:jc w:val="right"/>
            </w:pPr>
            <w:r>
              <w:rPr>
                <w:color w:val="1C3A36"/>
                <w:sz w:val="16"/>
              </w:rPr>
              <w:t>no credit-loss charge was taken at all — see below</w:t>
            </w:r>
          </w:p>
        </w:tc>
      </w:tr>
      <w:tr>
        <w:tc>
          <w:tcPr>
            <w:tcW w:type="dxa" w:w="2520"/>
          </w:tcPr>
          <w:p>
            <w:pPr>
              <w:spacing w:after="20"/>
            </w:pPr>
            <w:r>
              <w:rPr>
                <w:color w:val="1C3A36"/>
                <w:sz w:val="16"/>
              </w:rPr>
              <w:t>Associates (EGP m)</w:t>
            </w:r>
          </w:p>
        </w:tc>
        <w:tc>
          <w:tcPr>
            <w:tcW w:type="dxa" w:w="1368"/>
          </w:tcPr>
          <w:p>
            <w:pPr>
              <w:spacing w:after="20"/>
              <w:jc w:val="right"/>
            </w:pPr>
            <w:r>
              <w:rPr>
                <w:color w:val="1C3A36"/>
                <w:sz w:val="16"/>
              </w:rPr>
              <w:t>13.1</w:t>
            </w:r>
          </w:p>
        </w:tc>
        <w:tc>
          <w:tcPr>
            <w:tcW w:type="dxa" w:w="1512"/>
          </w:tcPr>
          <w:p>
            <w:pPr>
              <w:spacing w:after="20"/>
              <w:jc w:val="right"/>
            </w:pPr>
            <w:r>
              <w:rPr>
                <w:color w:val="1C3A36"/>
                <w:sz w:val="16"/>
              </w:rPr>
              <w:t>52</w:t>
            </w:r>
          </w:p>
        </w:tc>
        <w:tc>
          <w:tcPr>
            <w:tcW w:type="dxa" w:w="1440"/>
          </w:tcPr>
          <w:p>
            <w:pPr>
              <w:spacing w:after="20"/>
              <w:jc w:val="right"/>
            </w:pPr>
            <w:r>
              <w:rPr>
                <w:color w:val="1C3A36"/>
                <w:sz w:val="16"/>
              </w:rPr>
              <w:t>250</w:t>
            </w:r>
          </w:p>
        </w:tc>
        <w:tc>
          <w:tcPr>
            <w:tcW w:type="dxa" w:w="3312"/>
          </w:tcPr>
          <w:p>
            <w:pPr>
              <w:spacing w:after="20"/>
              <w:jc w:val="right"/>
            </w:pPr>
            <w:r>
              <w:rPr>
                <w:color w:val="1C3A36"/>
                <w:sz w:val="16"/>
              </w:rPr>
              <w:t>the quarter is incomplete by the auditor's own statement</w:t>
            </w:r>
          </w:p>
        </w:tc>
      </w:tr>
      <w:tr>
        <w:tc>
          <w:tcPr>
            <w:tcW w:type="dxa" w:w="2520"/>
          </w:tcPr>
          <w:p>
            <w:pPr>
              <w:spacing w:after="20"/>
            </w:pPr>
            <w:r>
              <w:rPr>
                <w:color w:val="1C3A36"/>
                <w:sz w:val="16"/>
              </w:rPr>
              <w:t>Capital expenditure (EGP m)</w:t>
            </w:r>
          </w:p>
        </w:tc>
        <w:tc>
          <w:tcPr>
            <w:tcW w:type="dxa" w:w="1368"/>
          </w:tcPr>
          <w:p>
            <w:pPr>
              <w:spacing w:after="20"/>
              <w:jc w:val="right"/>
            </w:pPr>
            <w:r>
              <w:rPr>
                <w:color w:val="1C3A36"/>
                <w:sz w:val="16"/>
              </w:rPr>
              <w:t>325</w:t>
            </w:r>
          </w:p>
        </w:tc>
        <w:tc>
          <w:tcPr>
            <w:tcW w:type="dxa" w:w="1512"/>
          </w:tcPr>
          <w:p>
            <w:pPr>
              <w:spacing w:after="20"/>
              <w:jc w:val="right"/>
            </w:pPr>
            <w:r>
              <w:rPr>
                <w:color w:val="1C3A36"/>
                <w:sz w:val="16"/>
              </w:rPr>
              <w:t>1,299</w:t>
            </w:r>
          </w:p>
        </w:tc>
        <w:tc>
          <w:tcPr>
            <w:tcW w:type="dxa" w:w="1440"/>
          </w:tcPr>
          <w:p>
            <w:pPr>
              <w:spacing w:after="20"/>
              <w:jc w:val="right"/>
            </w:pPr>
            <w:r>
              <w:rPr>
                <w:color w:val="1C3A36"/>
                <w:sz w:val="16"/>
              </w:rPr>
              <w:t>1,337</w:t>
            </w:r>
          </w:p>
        </w:tc>
        <w:tc>
          <w:tcPr>
            <w:tcW w:type="dxa" w:w="3312"/>
          </w:tcPr>
          <w:p>
            <w:pPr>
              <w:spacing w:after="20"/>
              <w:jc w:val="right"/>
            </w:pPr>
            <w:r>
              <w:rPr>
                <w:color w:val="1C3A36"/>
                <w:sz w:val="16"/>
              </w:rPr>
              <w:t>reset upward to the quarter</w:t>
            </w:r>
          </w:p>
        </w:tc>
      </w:tr>
      <w:tr>
        <w:tc>
          <w:tcPr>
            <w:tcW w:type="dxa" w:w="2520"/>
          </w:tcPr>
          <w:p>
            <w:pPr>
              <w:spacing w:after="20"/>
            </w:pPr>
            <w:r>
              <w:rPr>
                <w:color w:val="1C3A36"/>
                <w:sz w:val="16"/>
              </w:rPr>
              <w:t>Attributable profit (EGP m)</w:t>
            </w:r>
          </w:p>
        </w:tc>
        <w:tc>
          <w:tcPr>
            <w:tcW w:type="dxa" w:w="1368"/>
          </w:tcPr>
          <w:p>
            <w:pPr>
              <w:spacing w:after="20"/>
              <w:jc w:val="right"/>
            </w:pPr>
            <w:r>
              <w:rPr>
                <w:color w:val="1C3A36"/>
                <w:sz w:val="16"/>
              </w:rPr>
              <w:t>284</w:t>
            </w:r>
          </w:p>
        </w:tc>
        <w:tc>
          <w:tcPr>
            <w:tcW w:type="dxa" w:w="1512"/>
          </w:tcPr>
          <w:p>
            <w:pPr>
              <w:spacing w:after="20"/>
              <w:jc w:val="right"/>
            </w:pPr>
            <w:r>
              <w:rPr>
                <w:color w:val="1C3A36"/>
                <w:sz w:val="16"/>
              </w:rPr>
              <w:t>1,285</w:t>
            </w:r>
          </w:p>
        </w:tc>
        <w:tc>
          <w:tcPr>
            <w:tcW w:type="dxa" w:w="1440"/>
          </w:tcPr>
          <w:p>
            <w:pPr>
              <w:spacing w:after="20"/>
              <w:jc w:val="right"/>
            </w:pPr>
            <w:r>
              <w:rPr>
                <w:color w:val="1C3A36"/>
                <w:sz w:val="16"/>
              </w:rPr>
              <w:t>891</w:t>
            </w:r>
          </w:p>
        </w:tc>
        <w:tc>
          <w:tcPr>
            <w:tcW w:type="dxa" w:w="3312"/>
          </w:tcPr>
          <w:p>
            <w:pPr>
              <w:spacing w:after="20"/>
              <w:jc w:val="right"/>
            </w:pPr>
            <w:r>
              <w:rPr>
                <w:color w:val="1C3A36"/>
                <w:sz w:val="16"/>
              </w:rPr>
              <w:t>the study is -31% below the quarter's seasonal read</w:t>
            </w:r>
          </w:p>
        </w:tc>
      </w:tr>
      <w:tr>
        <w:tc>
          <w:tcPr>
            <w:tcW w:type="dxa" w:w="2520"/>
          </w:tcPr>
          <w:p>
            <w:pPr>
              <w:spacing w:after="20"/>
            </w:pPr>
            <w:r>
              <w:rPr>
                <w:color w:val="1C3A36"/>
                <w:sz w:val="16"/>
              </w:rPr>
              <w:t>Attributable earnings per share (EGP)</w:t>
            </w:r>
          </w:p>
        </w:tc>
        <w:tc>
          <w:tcPr>
            <w:tcW w:type="dxa" w:w="1368"/>
          </w:tcPr>
          <w:p>
            <w:pPr>
              <w:spacing w:after="20"/>
              <w:jc w:val="right"/>
            </w:pPr>
            <w:r>
              <w:rPr>
                <w:color w:val="1C3A36"/>
                <w:sz w:val="16"/>
              </w:rPr>
              <w:t>1.68</w:t>
            </w:r>
          </w:p>
        </w:tc>
        <w:tc>
          <w:tcPr>
            <w:tcW w:type="dxa" w:w="1512"/>
          </w:tcPr>
          <w:p>
            <w:pPr>
              <w:spacing w:after="20"/>
              <w:jc w:val="right"/>
            </w:pPr>
            <w:r>
              <w:rPr>
                <w:color w:val="1C3A36"/>
                <w:sz w:val="16"/>
              </w:rPr>
              <w:t>7.61</w:t>
            </w:r>
          </w:p>
        </w:tc>
        <w:tc>
          <w:tcPr>
            <w:tcW w:type="dxa" w:w="1440"/>
          </w:tcPr>
          <w:p>
            <w:pPr>
              <w:spacing w:after="20"/>
              <w:jc w:val="right"/>
            </w:pPr>
            <w:r>
              <w:rPr>
                <w:color w:val="1C3A36"/>
                <w:sz w:val="16"/>
              </w:rPr>
              <w:t>5.28</w:t>
            </w:r>
          </w:p>
        </w:tc>
        <w:tc>
          <w:tcPr>
            <w:tcW w:type="dxa" w:w="3312"/>
          </w:tcPr>
          <w:p>
            <w:pPr>
              <w:spacing w:after="20"/>
              <w:jc w:val="right"/>
            </w:pPr>
            <w:r>
              <w:rPr>
                <w:color w:val="1C3A36"/>
                <w:sz w:val="16"/>
              </w:rPr>
              <w:t>the two lines the appendix must reproduce, checked here</w:t>
            </w:r>
          </w:p>
        </w:tc>
      </w:tr>
    </w:tbl>
    <w:p>
      <w:pPr>
        <w:spacing w:after="40"/>
      </w:pPr>
    </w:p>
    <w:p>
      <w:pPr>
        <w:spacing w:after="200" w:before="0"/>
      </w:pPr>
      <w:r>
        <w:rPr>
          <w:b w:val="0"/>
          <w:i/>
          <w:color w:val="6E7B77"/>
          <w:sz w:val="17"/>
        </w:rPr>
        <w:t>Table 9 — the forecast against the first quarter it can be checked on, INCLUDING the bottom line. The middle column reads the quarter into a year on the FY2025 seasonal shape ONLY for net sales (24.4% of sales) and for attributable profit and earnings per share (22.1% of profit). Every other line in that column is a plain four-times annualisation, because no seasonal shape is disclosed for it — stated rather than implied.</w:t>
      </w:r>
    </w:p>
    <w:p>
      <w:pPr>
        <w:spacing w:after="120" w:before="0"/>
      </w:pPr>
      <w:r>
        <w:rPr>
          <w:b w:val="0"/>
          <w:i w:val="0"/>
          <w:color w:val="1C3A36"/>
          <w:sz w:val="21"/>
        </w:rPr>
        <w:t>Two of those rows carry more weight than the rest. The depreciation line is the study's central claim and it is confirmed: the charge is running at roughly double last year on a plant that has only just entered service, and the model's own depreciation rate reproduces the quarter to within 3%. The provision line is the study's contested judgement, and here the quarter does NOT settle it: the company took EGP 65 million of provisions and inventory write-downs but no credit-loss charge whatsoever, against receivables that grew EGP 798 million in the same three months. The auditor qualified the review on precisely that point. Put a number on it: Frame A's 5.25% of revenue applied to the quarter's own sales would have charged EGP 133.0 million — 47% of the attributable profit the quarter actually reported — and even the three-year expected-credit-loss mean of 3.03% would have charged EGP 76.6 million, or 27% of it. A charge that is omitted in the first quarter is deferred, not avoided, which is why both frames still run.</w:t>
      </w:r>
    </w:p>
    <w:p>
      <w:pPr>
        <w:spacing w:after="80" w:before="200"/>
      </w:pPr>
      <w:r>
        <w:rPr>
          <w:b/>
          <w:i w:val="0"/>
          <w:color w:val="1C3A36"/>
          <w:sz w:val="24"/>
        </w:rPr>
        <w:t>1.8 Macro and country — the cost of capital</w:t>
      </w:r>
    </w:p>
    <w:p>
      <w:pPr>
        <w:spacing w:after="120" w:before="0"/>
      </w:pPr>
      <w:r>
        <w:rPr>
          <w:b w:val="0"/>
          <w:i w:val="0"/>
          <w:color w:val="1C3A36"/>
          <w:sz w:val="21"/>
        </w:rPr>
        <w:t>The quoted ten-year Egyptian local-currency government yield is 23.00%. That yield is not riskless: it contains the sovereign's own default risk. Subtracting Egypt's sovereign credit-default-swap spread of 3.42% leaves a normalised risk-free rate of 19.58%. Adding beta times the TOTAL equity risk premium gives the cost of equity. Charging the raw 23.00% yield AND a country-loaded premium would give 28.99% and would count sovereign risk twice; that construction is not used here.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808"/>
        <w:gridCol w:w="1368"/>
        <w:gridCol w:w="1368"/>
        <w:gridCol w:w="4536"/>
      </w:tblGrid>
      <w:tr>
        <w:tc>
          <w:tcPr>
            <w:tcW w:type="dxa" w:w="2808"/>
            <w:shd w:val="clear" w:color="auto" w:fill="EAF0EE"/>
          </w:tcPr>
          <w:p>
            <w:pPr>
              <w:spacing w:after="20"/>
            </w:pPr>
            <w:r>
              <w:rPr>
                <w:b/>
                <w:color w:val="1C3A36"/>
                <w:sz w:val="16"/>
              </w:rPr>
              <w:t>Cost of capital</w:t>
            </w:r>
          </w:p>
        </w:tc>
        <w:tc>
          <w:tcPr>
            <w:tcW w:type="dxa" w:w="1368"/>
            <w:shd w:val="clear" w:color="auto" w:fill="EAF0EE"/>
          </w:tcPr>
          <w:p>
            <w:pPr>
              <w:spacing w:after="20"/>
            </w:pPr>
            <w:r>
              <w:rPr>
                <w:b/>
                <w:color w:val="1C3A36"/>
                <w:sz w:val="16"/>
              </w:rPr>
              <w:t>Swap basis</w:t>
            </w:r>
          </w:p>
        </w:tc>
        <w:tc>
          <w:tcPr>
            <w:tcW w:type="dxa" w:w="1368"/>
            <w:shd w:val="clear" w:color="auto" w:fill="EAF0EE"/>
          </w:tcPr>
          <w:p>
            <w:pPr>
              <w:spacing w:after="20"/>
            </w:pPr>
            <w:r>
              <w:rPr>
                <w:b/>
                <w:color w:val="1C3A36"/>
                <w:sz w:val="16"/>
              </w:rPr>
              <w:t>Rating basis</w:t>
            </w:r>
          </w:p>
        </w:tc>
        <w:tc>
          <w:tcPr>
            <w:tcW w:type="dxa" w:w="4536"/>
            <w:shd w:val="clear" w:color="auto" w:fill="EAF0EE"/>
          </w:tcPr>
          <w:p>
            <w:pPr>
              <w:spacing w:after="20"/>
            </w:pPr>
            <w:r>
              <w:rPr>
                <w:b/>
                <w:color w:val="1C3A36"/>
                <w:sz w:val="16"/>
              </w:rPr>
              <w:t>Source and construction</w:t>
            </w:r>
          </w:p>
        </w:tc>
      </w:tr>
      <w:tr>
        <w:tc>
          <w:tcPr>
            <w:tcW w:type="dxa" w:w="2808"/>
          </w:tcPr>
          <w:p>
            <w:pPr>
              <w:spacing w:after="20"/>
            </w:pPr>
            <w:r>
              <w:rPr>
                <w:color w:val="1C3A36"/>
                <w:sz w:val="16"/>
              </w:rPr>
              <w:t>Ten-year local-currency yield</w:t>
            </w:r>
          </w:p>
        </w:tc>
        <w:tc>
          <w:tcPr>
            <w:tcW w:type="dxa" w:w="1368"/>
          </w:tcPr>
          <w:p>
            <w:pPr>
              <w:spacing w:after="20"/>
              <w:jc w:val="right"/>
            </w:pPr>
            <w:r>
              <w:rPr>
                <w:color w:val="1C3A36"/>
                <w:sz w:val="16"/>
              </w:rPr>
              <w:t>23.00%</w:t>
            </w:r>
          </w:p>
        </w:tc>
        <w:tc>
          <w:tcPr>
            <w:tcW w:type="dxa" w:w="1368"/>
          </w:tcPr>
          <w:p>
            <w:pPr>
              <w:spacing w:after="20"/>
              <w:jc w:val="right"/>
            </w:pPr>
            <w:r>
              <w:rPr>
                <w:color w:val="1C3A36"/>
                <w:sz w:val="16"/>
              </w:rPr>
              <w:t>23.00%</w:t>
            </w:r>
          </w:p>
        </w:tc>
        <w:tc>
          <w:tcPr>
            <w:tcW w:type="dxa" w:w="4536"/>
          </w:tcPr>
          <w:p>
            <w:pPr>
              <w:spacing w:after="20"/>
              <w:jc w:val="right"/>
            </w:pPr>
            <w:r>
              <w:rPr>
                <w:color w:val="1C3A36"/>
                <w:sz w:val="16"/>
              </w:rPr>
              <w:t>Observable print of 6 August 2026 — the SAME date as the share price used throughout. A market-data series, not an auction print: the central bank auction page could not be read, so the level is indicated rather than proven, and it is sensitised</w:t>
            </w:r>
          </w:p>
        </w:tc>
      </w:tr>
      <w:tr>
        <w:tc>
          <w:tcPr>
            <w:tcW w:type="dxa" w:w="2808"/>
          </w:tcPr>
          <w:p>
            <w:pPr>
              <w:spacing w:after="20"/>
            </w:pPr>
            <w:r>
              <w:rPr>
                <w:color w:val="1C3A36"/>
                <w:sz w:val="16"/>
              </w:rPr>
              <w:t>Less sovereign default spread</w:t>
            </w:r>
          </w:p>
        </w:tc>
        <w:tc>
          <w:tcPr>
            <w:tcW w:type="dxa" w:w="1368"/>
          </w:tcPr>
          <w:p>
            <w:pPr>
              <w:spacing w:after="20"/>
              <w:jc w:val="right"/>
            </w:pPr>
            <w:r>
              <w:rPr>
                <w:color w:val="1C3A36"/>
                <w:sz w:val="16"/>
              </w:rPr>
              <w:t>3.42%</w:t>
            </w:r>
          </w:p>
        </w:tc>
        <w:tc>
          <w:tcPr>
            <w:tcW w:type="dxa" w:w="1368"/>
          </w:tcPr>
          <w:p>
            <w:pPr>
              <w:spacing w:after="20"/>
              <w:jc w:val="right"/>
            </w:pPr>
            <w:r>
              <w:rPr>
                <w:color w:val="1C3A36"/>
                <w:sz w:val="16"/>
              </w:rPr>
              <w:t>5.97%</w:t>
            </w:r>
          </w:p>
        </w:tc>
        <w:tc>
          <w:tcPr>
            <w:tcW w:type="dxa" w:w="4536"/>
          </w:tcPr>
          <w:p>
            <w:pPr>
              <w:spacing w:after="20"/>
              <w:jc w:val="right"/>
            </w:pPr>
            <w:r>
              <w:rPr>
                <w:color w:val="1C3A36"/>
                <w:sz w:val="16"/>
              </w:rPr>
              <w:t>Country risk-premium dataset, Egypt row, MID-YEAR (July 2026) vintage, spreads measured 30 June 2026</w:t>
            </w:r>
          </w:p>
        </w:tc>
      </w:tr>
      <w:tr>
        <w:tc>
          <w:tcPr>
            <w:tcW w:type="dxa" w:w="2808"/>
          </w:tcPr>
          <w:p>
            <w:pPr>
              <w:spacing w:after="20"/>
            </w:pPr>
            <w:r>
              <w:rPr>
                <w:color w:val="1C3A36"/>
                <w:sz w:val="16"/>
              </w:rPr>
              <w:t>Normalised risk-free rate</w:t>
            </w:r>
          </w:p>
        </w:tc>
        <w:tc>
          <w:tcPr>
            <w:tcW w:type="dxa" w:w="1368"/>
          </w:tcPr>
          <w:p>
            <w:pPr>
              <w:spacing w:after="20"/>
              <w:jc w:val="right"/>
            </w:pPr>
            <w:r>
              <w:rPr>
                <w:color w:val="1C3A36"/>
                <w:sz w:val="16"/>
              </w:rPr>
              <w:t>19.58%</w:t>
            </w:r>
          </w:p>
        </w:tc>
        <w:tc>
          <w:tcPr>
            <w:tcW w:type="dxa" w:w="1368"/>
          </w:tcPr>
          <w:p>
            <w:pPr>
              <w:spacing w:after="20"/>
              <w:jc w:val="right"/>
            </w:pPr>
            <w:r>
              <w:rPr>
                <w:color w:val="1C3A36"/>
                <w:sz w:val="16"/>
              </w:rPr>
              <w:t>17.03%</w:t>
            </w:r>
          </w:p>
        </w:tc>
        <w:tc>
          <w:tcPr>
            <w:tcW w:type="dxa" w:w="4536"/>
          </w:tcPr>
          <w:p>
            <w:pPr>
              <w:spacing w:after="20"/>
              <w:jc w:val="right"/>
            </w:pPr>
            <w:r>
              <w:rPr>
                <w:color w:val="1C3A36"/>
                <w:sz w:val="16"/>
              </w:rPr>
              <w:t>The subtraction above</w:t>
            </w:r>
          </w:p>
        </w:tc>
      </w:tr>
      <w:tr>
        <w:tc>
          <w:tcPr>
            <w:tcW w:type="dxa" w:w="2808"/>
          </w:tcPr>
          <w:p>
            <w:pPr>
              <w:spacing w:after="20"/>
            </w:pPr>
            <w:r>
              <w:rPr>
                <w:color w:val="1C3A36"/>
                <w:sz w:val="16"/>
              </w:rPr>
              <w:t>TOTAL equity risk premium</w:t>
            </w:r>
          </w:p>
        </w:tc>
        <w:tc>
          <w:tcPr>
            <w:tcW w:type="dxa" w:w="1368"/>
          </w:tcPr>
          <w:p>
            <w:pPr>
              <w:spacing w:after="20"/>
              <w:jc w:val="right"/>
            </w:pPr>
            <w:r>
              <w:rPr>
                <w:color w:val="1C3A36"/>
                <w:sz w:val="16"/>
              </w:rPr>
              <w:t>9.52%</w:t>
            </w:r>
          </w:p>
        </w:tc>
        <w:tc>
          <w:tcPr>
            <w:tcW w:type="dxa" w:w="1368"/>
          </w:tcPr>
          <w:p>
            <w:pPr>
              <w:spacing w:after="20"/>
              <w:jc w:val="right"/>
            </w:pPr>
            <w:r>
              <w:rPr>
                <w:color w:val="1C3A36"/>
                <w:sz w:val="16"/>
              </w:rPr>
              <w:t>13.48%</w:t>
            </w:r>
          </w:p>
        </w:tc>
        <w:tc>
          <w:tcPr>
            <w:tcW w:type="dxa" w:w="4536"/>
          </w:tcPr>
          <w:p>
            <w:pPr>
              <w:spacing w:after="20"/>
              <w:jc w:val="right"/>
            </w:pPr>
            <w:r>
              <w:rPr>
                <w:color w:val="1C3A36"/>
                <w:sz w:val="16"/>
              </w:rPr>
              <w:t>Same dataset, same row, its two TOTAL equity risk premium columns. This is the figure that multiplies beta</w:t>
            </w:r>
          </w:p>
        </w:tc>
      </w:tr>
      <w:tr>
        <w:tc>
          <w:tcPr>
            <w:tcW w:type="dxa" w:w="2808"/>
          </w:tcPr>
          <w:p>
            <w:pPr>
              <w:spacing w:after="20"/>
            </w:pPr>
            <w:r>
              <w:rPr>
                <w:color w:val="1C3A36"/>
                <w:sz w:val="16"/>
              </w:rPr>
              <w:t xml:space="preserve">   memorandum: country risk premium</w:t>
            </w:r>
          </w:p>
        </w:tc>
        <w:tc>
          <w:tcPr>
            <w:tcW w:type="dxa" w:w="1368"/>
          </w:tcPr>
          <w:p>
            <w:pPr>
              <w:spacing w:after="20"/>
              <w:jc w:val="right"/>
            </w:pPr>
            <w:r>
              <w:rPr>
                <w:color w:val="1C3A36"/>
                <w:sz w:val="16"/>
              </w:rPr>
              <w:t>5.32%</w:t>
            </w:r>
          </w:p>
        </w:tc>
        <w:tc>
          <w:tcPr>
            <w:tcW w:type="dxa" w:w="1368"/>
          </w:tcPr>
          <w:p>
            <w:pPr>
              <w:spacing w:after="20"/>
              <w:jc w:val="right"/>
            </w:pPr>
            <w:r>
              <w:rPr>
                <w:color w:val="1C3A36"/>
                <w:sz w:val="16"/>
              </w:rPr>
              <w:t>9.28%</w:t>
            </w:r>
          </w:p>
        </w:tc>
        <w:tc>
          <w:tcPr>
            <w:tcW w:type="dxa" w:w="4536"/>
          </w:tcPr>
          <w:p>
            <w:pPr>
              <w:spacing w:after="20"/>
              <w:jc w:val="right"/>
            </w:pPr>
            <w:r>
              <w:rPr>
                <w:color w:val="1C3A36"/>
                <w:sz w:val="16"/>
              </w:rPr>
              <w:t>The dataset's separate COUNTRY risk premium column, shown so a reader checking that column finds the same numbers this study calls by that name. It is NOT added to the cost of equity — the total premium above already contains it</w:t>
            </w:r>
          </w:p>
        </w:tc>
      </w:tr>
      <w:tr>
        <w:tc>
          <w:tcPr>
            <w:tcW w:type="dxa" w:w="2808"/>
          </w:tcPr>
          <w:p>
            <w:pPr>
              <w:spacing w:after="20"/>
            </w:pPr>
            <w:r>
              <w:rPr>
                <w:color w:val="1C3A36"/>
                <w:sz w:val="16"/>
              </w:rPr>
              <w:t>Beta</w:t>
            </w:r>
          </w:p>
        </w:tc>
        <w:tc>
          <w:tcPr>
            <w:tcW w:type="dxa" w:w="1368"/>
          </w:tcPr>
          <w:p>
            <w:pPr>
              <w:spacing w:after="20"/>
              <w:jc w:val="right"/>
            </w:pPr>
            <w:r>
              <w:rPr>
                <w:color w:val="1C3A36"/>
                <w:sz w:val="16"/>
              </w:rPr>
              <w:t>0.629</w:t>
            </w:r>
          </w:p>
        </w:tc>
        <w:tc>
          <w:tcPr>
            <w:tcW w:type="dxa" w:w="1368"/>
          </w:tcPr>
          <w:p>
            <w:pPr>
              <w:spacing w:after="20"/>
              <w:jc w:val="right"/>
            </w:pPr>
            <w:r>
              <w:rPr>
                <w:color w:val="1C3A36"/>
                <w:sz w:val="16"/>
              </w:rPr>
              <w:t>0.629</w:t>
            </w:r>
          </w:p>
        </w:tc>
        <w:tc>
          <w:tcPr>
            <w:tcW w:type="dxa" w:w="4536"/>
          </w:tcPr>
          <w:p>
            <w:pPr>
              <w:spacing w:after="20"/>
              <w:jc w:val="right"/>
            </w:pPr>
            <w:r>
              <w:rPr>
                <w:color w:val="1C3A36"/>
                <w:sz w:val="16"/>
              </w:rPr>
              <w:t>Own-stock weekly regression against a 36-name local composite, five years; R-squared 0.235, n = 257, standard error 0.071</w:t>
            </w:r>
          </w:p>
        </w:tc>
      </w:tr>
      <w:tr>
        <w:tc>
          <w:tcPr>
            <w:tcW w:type="dxa" w:w="2808"/>
            <w:shd w:val="clear" w:color="auto" w:fill="F6F1E6"/>
          </w:tcPr>
          <w:p>
            <w:pPr>
              <w:spacing w:after="20"/>
            </w:pPr>
            <w:r>
              <w:rPr>
                <w:b/>
                <w:color w:val="1C3A36"/>
                <w:sz w:val="16"/>
              </w:rPr>
              <w:t>COST OF EQUITY</w:t>
            </w:r>
          </w:p>
        </w:tc>
        <w:tc>
          <w:tcPr>
            <w:tcW w:type="dxa" w:w="1368"/>
            <w:shd w:val="clear" w:color="auto" w:fill="F6F1E6"/>
          </w:tcPr>
          <w:p>
            <w:pPr>
              <w:spacing w:after="20"/>
              <w:jc w:val="right"/>
            </w:pPr>
            <w:r>
              <w:rPr>
                <w:b/>
                <w:color w:val="1C3A36"/>
                <w:sz w:val="16"/>
              </w:rPr>
              <w:t>25.57%</w:t>
            </w:r>
          </w:p>
        </w:tc>
        <w:tc>
          <w:tcPr>
            <w:tcW w:type="dxa" w:w="1368"/>
            <w:shd w:val="clear" w:color="auto" w:fill="F6F1E6"/>
          </w:tcPr>
          <w:p>
            <w:pPr>
              <w:spacing w:after="20"/>
              <w:jc w:val="right"/>
            </w:pPr>
            <w:r>
              <w:rPr>
                <w:b/>
                <w:color w:val="1C3A36"/>
                <w:sz w:val="16"/>
              </w:rPr>
              <w:t>25.51%</w:t>
            </w:r>
          </w:p>
        </w:tc>
        <w:tc>
          <w:tcPr>
            <w:tcW w:type="dxa" w:w="4536"/>
            <w:shd w:val="clear" w:color="auto" w:fill="F6F1E6"/>
          </w:tcPr>
          <w:p>
            <w:pPr>
              <w:spacing w:after="20"/>
              <w:jc w:val="right"/>
            </w:pPr>
            <w:r>
              <w:rPr>
                <w:b/>
                <w:color w:val="1C3A36"/>
                <w:sz w:val="16"/>
              </w:rPr>
              <w:t>The two bases agree to 6 basis points</w:t>
            </w:r>
          </w:p>
        </w:tc>
      </w:tr>
      <w:tr>
        <w:tc>
          <w:tcPr>
            <w:tcW w:type="dxa" w:w="2808"/>
          </w:tcPr>
          <w:p>
            <w:pPr>
              <w:spacing w:after="20"/>
            </w:pPr>
            <w:r>
              <w:rPr>
                <w:color w:val="1C3A36"/>
                <w:sz w:val="16"/>
              </w:rPr>
              <w:t>Cost of debt, local currency</w:t>
            </w:r>
          </w:p>
        </w:tc>
        <w:tc>
          <w:tcPr>
            <w:tcW w:type="dxa" w:w="1368"/>
          </w:tcPr>
          <w:p>
            <w:pPr>
              <w:spacing w:after="20"/>
              <w:jc w:val="right"/>
            </w:pPr>
            <w:r>
              <w:rPr>
                <w:color w:val="1C3A36"/>
                <w:sz w:val="16"/>
              </w:rPr>
              <w:t>24.81%</w:t>
            </w:r>
          </w:p>
        </w:tc>
        <w:tc>
          <w:tcPr>
            <w:tcW w:type="dxa" w:w="1368"/>
          </w:tcPr>
          <w:p>
            <w:pPr>
              <w:spacing w:after="20"/>
              <w:jc w:val="right"/>
            </w:pPr>
            <w:r>
              <w:rPr>
                <w:color w:val="1C3A36"/>
                <w:sz w:val="16"/>
              </w:rPr>
              <w:t>24.81%</w:t>
            </w:r>
          </w:p>
        </w:tc>
        <w:tc>
          <w:tcPr>
            <w:tcW w:type="dxa" w:w="4536"/>
          </w:tcPr>
          <w:p>
            <w:pPr>
              <w:spacing w:after="20"/>
              <w:jc w:val="right"/>
            </w:pPr>
            <w:r>
              <w:rPr>
                <w:color w:val="1C3A36"/>
                <w:sz w:val="16"/>
              </w:rPr>
              <w:t>Sovereign yield plus 250 basis points — above the sovereign by construction</w:t>
            </w:r>
          </w:p>
        </w:tc>
      </w:tr>
      <w:tr>
        <w:tc>
          <w:tcPr>
            <w:tcW w:type="dxa" w:w="2808"/>
          </w:tcPr>
          <w:p>
            <w:pPr>
              <w:spacing w:after="20"/>
            </w:pPr>
            <w:r>
              <w:rPr>
                <w:color w:val="1C3A36"/>
                <w:sz w:val="16"/>
              </w:rPr>
              <w:t>Cost of debt, hard currency</w:t>
            </w:r>
          </w:p>
        </w:tc>
        <w:tc>
          <w:tcPr>
            <w:tcW w:type="dxa" w:w="1368"/>
          </w:tcPr>
          <w:p>
            <w:pPr>
              <w:spacing w:after="20"/>
              <w:jc w:val="right"/>
            </w:pPr>
            <w:r>
              <w:rPr>
                <w:color w:val="1C3A36"/>
                <w:sz w:val="16"/>
              </w:rPr>
              <w:t>7.50%</w:t>
            </w:r>
          </w:p>
        </w:tc>
        <w:tc>
          <w:tcPr>
            <w:tcW w:type="dxa" w:w="1368"/>
          </w:tcPr>
          <w:p>
            <w:pPr>
              <w:spacing w:after="20"/>
              <w:jc w:val="right"/>
            </w:pPr>
            <w:r>
              <w:rPr>
                <w:color w:val="1C3A36"/>
                <w:sz w:val="16"/>
              </w:rPr>
              <w:t>7.50%</w:t>
            </w:r>
          </w:p>
        </w:tc>
        <w:tc>
          <w:tcPr>
            <w:tcW w:type="dxa" w:w="4536"/>
          </w:tcPr>
          <w:p>
            <w:pPr>
              <w:spacing w:after="20"/>
              <w:jc w:val="right"/>
            </w:pPr>
            <w:r>
              <w:rPr>
                <w:color w:val="1C3A36"/>
                <w:sz w:val="16"/>
              </w:rPr>
              <w:t>Dollar and euro term loans from two Gulf banks</w:t>
            </w:r>
          </w:p>
        </w:tc>
      </w:tr>
      <w:tr>
        <w:tc>
          <w:tcPr>
            <w:tcW w:type="dxa" w:w="2808"/>
          </w:tcPr>
          <w:p>
            <w:pPr>
              <w:spacing w:after="20"/>
            </w:pPr>
            <w:r>
              <w:rPr>
                <w:color w:val="1C3A36"/>
                <w:sz w:val="16"/>
              </w:rPr>
              <w:t xml:space="preserve">   carried at local-equivalent cost</w:t>
            </w:r>
          </w:p>
        </w:tc>
        <w:tc>
          <w:tcPr>
            <w:tcW w:type="dxa" w:w="1368"/>
          </w:tcPr>
          <w:p>
            <w:pPr>
              <w:spacing w:after="20"/>
              <w:jc w:val="right"/>
            </w:pPr>
            <w:r>
              <w:rPr>
                <w:color w:val="1C3A36"/>
                <w:sz w:val="16"/>
              </w:rPr>
              <w:t>12.34%</w:t>
            </w:r>
          </w:p>
        </w:tc>
        <w:tc>
          <w:tcPr>
            <w:tcW w:type="dxa" w:w="1368"/>
          </w:tcPr>
          <w:p>
            <w:pPr>
              <w:spacing w:after="20"/>
              <w:jc w:val="right"/>
            </w:pPr>
            <w:r>
              <w:rPr>
                <w:color w:val="1C3A36"/>
                <w:sz w:val="16"/>
              </w:rPr>
              <w:t>12.34%</w:t>
            </w:r>
          </w:p>
        </w:tc>
        <w:tc>
          <w:tcPr>
            <w:tcW w:type="dxa" w:w="4536"/>
          </w:tcPr>
          <w:p>
            <w:pPr>
              <w:spacing w:after="20"/>
              <w:jc w:val="right"/>
            </w:pPr>
            <w:r>
              <w:rPr>
                <w:color w:val="1C3A36"/>
                <w:sz w:val="16"/>
              </w:rPr>
              <w:t>coupon compounded with 4.5% expected currency depreciation</w:t>
            </w:r>
          </w:p>
        </w:tc>
      </w:tr>
      <w:tr>
        <w:tc>
          <w:tcPr>
            <w:tcW w:type="dxa" w:w="2808"/>
          </w:tcPr>
          <w:p>
            <w:pPr>
              <w:spacing w:after="20"/>
            </w:pPr>
            <w:r>
              <w:rPr>
                <w:color w:val="1C3A36"/>
                <w:sz w:val="16"/>
              </w:rPr>
              <w:t>Blended cost of debt, after tax</w:t>
            </w:r>
          </w:p>
        </w:tc>
        <w:tc>
          <w:tcPr>
            <w:tcW w:type="dxa" w:w="1368"/>
          </w:tcPr>
          <w:p>
            <w:pPr>
              <w:spacing w:after="20"/>
              <w:jc w:val="right"/>
            </w:pPr>
            <w:r>
              <w:rPr>
                <w:color w:val="1C3A36"/>
                <w:sz w:val="16"/>
              </w:rPr>
              <w:t>14.38%</w:t>
            </w:r>
          </w:p>
        </w:tc>
        <w:tc>
          <w:tcPr>
            <w:tcW w:type="dxa" w:w="1368"/>
          </w:tcPr>
          <w:p>
            <w:pPr>
              <w:spacing w:after="20"/>
              <w:jc w:val="right"/>
            </w:pPr>
            <w:r>
              <w:rPr>
                <w:color w:val="1C3A36"/>
                <w:sz w:val="16"/>
              </w:rPr>
              <w:t>14.38%</w:t>
            </w:r>
          </w:p>
        </w:tc>
        <w:tc>
          <w:tcPr>
            <w:tcW w:type="dxa" w:w="4536"/>
          </w:tcPr>
          <w:p>
            <w:pPr>
              <w:spacing w:after="20"/>
              <w:jc w:val="right"/>
            </w:pPr>
            <w:r>
              <w:rPr>
                <w:color w:val="1C3A36"/>
                <w:sz w:val="16"/>
              </w:rPr>
              <w:t>book split 50% local / 50% hard currency, borrowings note (17)</w:t>
            </w:r>
          </w:p>
        </w:tc>
      </w:tr>
      <w:tr>
        <w:tc>
          <w:tcPr>
            <w:tcW w:type="dxa" w:w="2808"/>
          </w:tcPr>
          <w:p>
            <w:pPr>
              <w:spacing w:after="20"/>
            </w:pPr>
            <w:r>
              <w:rPr>
                <w:color w:val="1C3A36"/>
                <w:sz w:val="16"/>
              </w:rPr>
              <w:t>Weights (net debt basis)</w:t>
            </w:r>
          </w:p>
        </w:tc>
        <w:tc>
          <w:tcPr>
            <w:tcW w:type="dxa" w:w="1368"/>
          </w:tcPr>
          <w:p>
            <w:pPr>
              <w:spacing w:after="20"/>
              <w:jc w:val="right"/>
            </w:pPr>
            <w:r>
              <w:rPr>
                <w:color w:val="1C3A36"/>
                <w:sz w:val="16"/>
              </w:rPr>
              <w:t>74% / 26%</w:t>
            </w:r>
          </w:p>
        </w:tc>
        <w:tc>
          <w:tcPr>
            <w:tcW w:type="dxa" w:w="1368"/>
          </w:tcPr>
          <w:p>
            <w:pPr>
              <w:spacing w:after="20"/>
              <w:jc w:val="right"/>
            </w:pPr>
            <w:r>
              <w:rPr>
                <w:color w:val="1C3A36"/>
                <w:sz w:val="16"/>
              </w:rPr>
              <w:t>74% / 26%</w:t>
            </w:r>
          </w:p>
        </w:tc>
        <w:tc>
          <w:tcPr>
            <w:tcW w:type="dxa" w:w="4536"/>
          </w:tcPr>
          <w:p>
            <w:pPr>
              <w:spacing w:after="20"/>
              <w:jc w:val="right"/>
            </w:pPr>
            <w:r>
              <w:rPr>
                <w:color w:val="1C3A36"/>
                <w:sz w:val="16"/>
              </w:rPr>
              <w:t>Market-value equity, never book equity</w:t>
            </w:r>
          </w:p>
        </w:tc>
      </w:tr>
      <w:tr>
        <w:tc>
          <w:tcPr>
            <w:tcW w:type="dxa" w:w="2808"/>
            <w:shd w:val="clear" w:color="auto" w:fill="F6F1E6"/>
          </w:tcPr>
          <w:p>
            <w:pPr>
              <w:spacing w:after="20"/>
            </w:pPr>
            <w:r>
              <w:rPr>
                <w:b/>
                <w:color w:val="1C3A36"/>
                <w:sz w:val="16"/>
              </w:rPr>
              <w:t>DISCOUNT RATE, FIRST YEAR</w:t>
            </w:r>
          </w:p>
        </w:tc>
        <w:tc>
          <w:tcPr>
            <w:tcW w:type="dxa" w:w="1368"/>
            <w:shd w:val="clear" w:color="auto" w:fill="F6F1E6"/>
          </w:tcPr>
          <w:p>
            <w:pPr>
              <w:spacing w:after="20"/>
              <w:jc w:val="right"/>
            </w:pPr>
            <w:r>
              <w:rPr>
                <w:b/>
                <w:color w:val="1C3A36"/>
                <w:sz w:val="16"/>
              </w:rPr>
              <w:t>22.71%</w:t>
            </w:r>
          </w:p>
        </w:tc>
        <w:tc>
          <w:tcPr>
            <w:tcW w:type="dxa" w:w="1368"/>
            <w:shd w:val="clear" w:color="auto" w:fill="F6F1E6"/>
          </w:tcPr>
          <w:p>
            <w:pPr>
              <w:spacing w:after="20"/>
              <w:jc w:val="right"/>
            </w:pPr>
            <w:r>
              <w:rPr>
                <w:b/>
                <w:color w:val="1C3A36"/>
                <w:sz w:val="16"/>
              </w:rPr>
            </w:r>
          </w:p>
        </w:tc>
        <w:tc>
          <w:tcPr>
            <w:tcW w:type="dxa" w:w="4536"/>
            <w:shd w:val="clear" w:color="auto" w:fill="F6F1E6"/>
          </w:tcPr>
          <w:p>
            <w:pPr>
              <w:spacing w:after="20"/>
              <w:jc w:val="right"/>
            </w:pPr>
            <w:r>
              <w:rPr>
                <w:b/>
                <w:color w:val="1C3A36"/>
                <w:sz w:val="16"/>
              </w:rPr>
              <w:t>On gross debt: 22.31% — both published</w:t>
            </w:r>
          </w:p>
        </w:tc>
      </w:tr>
      <w:tr>
        <w:tc>
          <w:tcPr>
            <w:tcW w:type="dxa" w:w="2808"/>
            <w:shd w:val="clear" w:color="auto" w:fill="F6F1E6"/>
          </w:tcPr>
          <w:p>
            <w:pPr>
              <w:spacing w:after="20"/>
            </w:pPr>
            <w:r>
              <w:rPr>
                <w:b/>
                <w:color w:val="1C3A36"/>
                <w:sz w:val="16"/>
              </w:rPr>
              <w:t>DISCOUNT RATE, TERMINAL</w:t>
            </w:r>
          </w:p>
        </w:tc>
        <w:tc>
          <w:tcPr>
            <w:tcW w:type="dxa" w:w="1368"/>
            <w:shd w:val="clear" w:color="auto" w:fill="F6F1E6"/>
          </w:tcPr>
          <w:p>
            <w:pPr>
              <w:spacing w:after="20"/>
              <w:jc w:val="right"/>
            </w:pPr>
            <w:r>
              <w:rPr>
                <w:b/>
                <w:color w:val="1C3A36"/>
                <w:sz w:val="16"/>
              </w:rPr>
              <w:t>15.03%</w:t>
            </w:r>
          </w:p>
        </w:tc>
        <w:tc>
          <w:tcPr>
            <w:tcW w:type="dxa" w:w="1368"/>
            <w:shd w:val="clear" w:color="auto" w:fill="F6F1E6"/>
          </w:tcPr>
          <w:p>
            <w:pPr>
              <w:spacing w:after="20"/>
              <w:jc w:val="right"/>
            </w:pPr>
            <w:r>
              <w:rPr>
                <w:b/>
                <w:color w:val="1C3A36"/>
                <w:sz w:val="16"/>
              </w:rPr>
            </w:r>
          </w:p>
        </w:tc>
        <w:tc>
          <w:tcPr>
            <w:tcW w:type="dxa" w:w="4536"/>
            <w:shd w:val="clear" w:color="auto" w:fill="F6F1E6"/>
          </w:tcPr>
          <w:p>
            <w:pPr>
              <w:spacing w:after="20"/>
              <w:jc w:val="right"/>
            </w:pPr>
            <w:r>
              <w:rPr>
                <w:b/>
                <w:color w:val="1C3A36"/>
                <w:sz w:val="16"/>
              </w:rPr>
              <w:t>cost of equity 16.90%, cost of debt after tax 9.56%, DERIVED debt weight 25.5% on today's market values. The forecast balance sheet, once funded, carries 47.9% on book at FY2030E, which would give 13.38% — both are published and neither is 20%</w:t>
            </w:r>
          </w:p>
        </w:tc>
      </w:tr>
    </w:tbl>
    <w:p>
      <w:pPr>
        <w:spacing w:after="40"/>
      </w:pPr>
    </w:p>
    <w:p>
      <w:pPr>
        <w:spacing w:after="200" w:before="0"/>
      </w:pPr>
      <w:r>
        <w:rPr>
          <w:b w:val="0"/>
          <w:i/>
          <w:color w:val="6E7B77"/>
          <w:sz w:val="17"/>
        </w:rPr>
        <w:t>Table 10 — the cost of capital, built rather than asserted, and published on both bases the source provides.</w:t>
      </w:r>
    </w:p>
    <w:p>
      <w:pPr>
        <w:spacing w:after="120" w:before="0"/>
      </w:pPr>
      <w:r>
        <w:rPr>
          <w:b w:val="0"/>
          <w:i w:val="0"/>
          <w:color w:val="1C3A36"/>
          <w:sz w:val="21"/>
        </w:rPr>
        <w:t>A cost-of-debt cross-check that a reader can run. Two FY2025 figures are in play and they are not the same line: INTEREST ON CREDIT FACILITIES of EGP 1,275.31 million, which is what an interest RATE has to be computed on, and the income statement's FINANCE COSTS of EGP 1,332.95 million, which is that interest plus EGP 57.63 million of bank commissions and charges. Both are in the same note. The company expensed EGP 1,275 million of interest in FY2025 and capitalised a further EGP 551 million into the construction balance. On average gross debt of EGP 8,999 million that is 14.2% expensed and 20.3% all-in. The 18.5% marginal rate used here sits inside that pair, which is the test that matters: a marginal rate below what the company actually pays, or above what it actually incurs, would not be credible.</w:t>
      </w:r>
    </w:p>
    <w:p>
      <w:pPr>
        <w:spacing w:after="120" w:before="0"/>
      </w:pPr>
      <w:r>
        <w:rPr>
          <w:b w:val="0"/>
          <w:i w:val="0"/>
          <w:color w:val="1C3A36"/>
          <w:sz w:val="21"/>
        </w:rPr>
        <w:t>One arithmetic point that looks wrong and is not. The first-year discount rate of 22.71% sits close to the 23.00% quoted government yield. That is a consequence of the normalisation, not an error: the quoted yield contains default risk that this build strips out and re-charges inside the equity premium, where it belongs. Comparing a cost of capital built on a normalised risk-free rate to a raw quoted yield is comparing two different things.</w:t>
      </w:r>
    </w:p>
    <w:p>
      <w:pPr>
        <w:spacing w:after="80" w:before="200"/>
      </w:pPr>
      <w:r>
        <w:rPr>
          <w:b/>
          <w:i w:val="0"/>
          <w:color w:val="1C3A36"/>
          <w:sz w:val="24"/>
        </w:rPr>
        <w:t>1.9 Sensitivity</w:t>
      </w:r>
    </w:p>
    <w:p>
      <w:pPr>
        <w:spacing w:after="120" w:before="0"/>
      </w:pPr>
      <w:r>
        <w:rPr>
          <w:b w:val="0"/>
          <w:i w:val="0"/>
          <w:color w:val="1C3A36"/>
          <w:sz w:val="21"/>
        </w:rPr>
        <w:t>Before the grids, the one input that carries the study's contested judgement, read every way the disclosed statements allow. Frame A carries 5.25% of revenue. That is NOT the three-year average, and this edition no longer calls it one: it is struck marginally above the mean of the two years either side of the FY2024 spike. Every reading, and what each is worth:</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5040"/>
        <w:gridCol w:w="1944"/>
        <w:gridCol w:w="2664"/>
      </w:tblGrid>
      <w:tr>
        <w:tc>
          <w:tcPr>
            <w:tcW w:type="dxa" w:w="5040"/>
            <w:shd w:val="clear" w:color="auto" w:fill="EAF0EE"/>
          </w:tcPr>
          <w:p>
            <w:pPr>
              <w:spacing w:after="20"/>
            </w:pPr>
            <w:r>
              <w:rPr>
                <w:b/>
                <w:color w:val="1C3A36"/>
                <w:sz w:val="17"/>
              </w:rPr>
              <w:t>Reading of the provision charge</w:t>
            </w:r>
          </w:p>
        </w:tc>
        <w:tc>
          <w:tcPr>
            <w:tcW w:type="dxa" w:w="1944"/>
            <w:shd w:val="clear" w:color="auto" w:fill="EAF0EE"/>
          </w:tcPr>
          <w:p>
            <w:pPr>
              <w:spacing w:after="20"/>
            </w:pPr>
            <w:r>
              <w:rPr>
                <w:b/>
                <w:color w:val="1C3A36"/>
                <w:sz w:val="17"/>
              </w:rPr>
              <w:t>Share of revenue</w:t>
            </w:r>
          </w:p>
        </w:tc>
        <w:tc>
          <w:tcPr>
            <w:tcW w:type="dxa" w:w="2664"/>
            <w:shd w:val="clear" w:color="auto" w:fill="EAF0EE"/>
          </w:tcPr>
          <w:p>
            <w:pPr>
              <w:spacing w:after="20"/>
            </w:pPr>
            <w:r>
              <w:rPr>
                <w:b/>
                <w:color w:val="1C3A36"/>
                <w:sz w:val="17"/>
              </w:rPr>
              <w:t>Frame A value (EGP/share)</w:t>
            </w:r>
          </w:p>
        </w:tc>
      </w:tr>
      <w:tr>
        <w:tc>
          <w:tcPr>
            <w:tcW w:type="dxa" w:w="5040"/>
            <w:shd w:val="clear" w:color="auto" w:fill="F6F1E6"/>
          </w:tcPr>
          <w:p>
            <w:pPr>
              <w:spacing w:after="20"/>
            </w:pPr>
            <w:r>
              <w:rPr>
                <w:b/>
                <w:color w:val="1C3A36"/>
                <w:sz w:val="17"/>
              </w:rPr>
              <w:t>Carried — struck above the two non-outlier years</w:t>
            </w:r>
          </w:p>
        </w:tc>
        <w:tc>
          <w:tcPr>
            <w:tcW w:type="dxa" w:w="1944"/>
            <w:shd w:val="clear" w:color="auto" w:fill="F6F1E6"/>
          </w:tcPr>
          <w:p>
            <w:pPr>
              <w:spacing w:after="20"/>
              <w:jc w:val="right"/>
            </w:pPr>
            <w:r>
              <w:rPr>
                <w:b/>
                <w:color w:val="1C3A36"/>
                <w:sz w:val="17"/>
              </w:rPr>
              <w:t>5.25%</w:t>
            </w:r>
          </w:p>
        </w:tc>
        <w:tc>
          <w:tcPr>
            <w:tcW w:type="dxa" w:w="2664"/>
            <w:shd w:val="clear" w:color="auto" w:fill="F6F1E6"/>
          </w:tcPr>
          <w:p>
            <w:pPr>
              <w:spacing w:after="20"/>
              <w:jc w:val="right"/>
            </w:pPr>
            <w:r>
              <w:rPr>
                <w:b/>
                <w:color w:val="1C3A36"/>
                <w:sz w:val="17"/>
              </w:rPr>
              <w:t>33.00</w:t>
            </w:r>
          </w:p>
        </w:tc>
      </w:tr>
      <w:tr>
        <w:tc>
          <w:tcPr>
            <w:tcW w:type="dxa" w:w="5040"/>
          </w:tcPr>
          <w:p>
            <w:pPr>
              <w:spacing w:after="20"/>
            </w:pPr>
            <w:r>
              <w:rPr>
                <w:color w:val="1C3A36"/>
                <w:sz w:val="17"/>
              </w:rPr>
              <w:t>Mean of the three disclosed years, including the FY2024 spike</w:t>
            </w:r>
          </w:p>
        </w:tc>
        <w:tc>
          <w:tcPr>
            <w:tcW w:type="dxa" w:w="1944"/>
          </w:tcPr>
          <w:p>
            <w:pPr>
              <w:spacing w:after="20"/>
              <w:jc w:val="right"/>
            </w:pPr>
            <w:r>
              <w:rPr>
                <w:color w:val="1C3A36"/>
                <w:sz w:val="17"/>
              </w:rPr>
              <w:t>6.52%</w:t>
            </w:r>
          </w:p>
        </w:tc>
        <w:tc>
          <w:tcPr>
            <w:tcW w:type="dxa" w:w="2664"/>
          </w:tcPr>
          <w:p>
            <w:pPr>
              <w:spacing w:after="20"/>
              <w:jc w:val="right"/>
            </w:pPr>
            <w:r>
              <w:rPr>
                <w:color w:val="1C3A36"/>
                <w:sz w:val="17"/>
              </w:rPr>
              <w:t>24.55</w:t>
            </w:r>
          </w:p>
        </w:tc>
      </w:tr>
      <w:tr>
        <w:tc>
          <w:tcPr>
            <w:tcW w:type="dxa" w:w="5040"/>
          </w:tcPr>
          <w:p>
            <w:pPr>
              <w:spacing w:after="20"/>
            </w:pPr>
            <w:r>
              <w:rPr>
                <w:color w:val="1C3A36"/>
                <w:sz w:val="17"/>
              </w:rPr>
              <w:t>Expected-credit-loss component alone, three-year mean</w:t>
            </w:r>
          </w:p>
        </w:tc>
        <w:tc>
          <w:tcPr>
            <w:tcW w:type="dxa" w:w="1944"/>
          </w:tcPr>
          <w:p>
            <w:pPr>
              <w:spacing w:after="20"/>
              <w:jc w:val="right"/>
            </w:pPr>
            <w:r>
              <w:rPr>
                <w:color w:val="1C3A36"/>
                <w:sz w:val="17"/>
              </w:rPr>
              <w:t>3.03%</w:t>
            </w:r>
          </w:p>
        </w:tc>
        <w:tc>
          <w:tcPr>
            <w:tcW w:type="dxa" w:w="2664"/>
          </w:tcPr>
          <w:p>
            <w:pPr>
              <w:spacing w:after="20"/>
              <w:jc w:val="right"/>
            </w:pPr>
            <w:r>
              <w:rPr>
                <w:color w:val="1C3A36"/>
                <w:sz w:val="17"/>
              </w:rPr>
              <w:t>47.84</w:t>
            </w:r>
          </w:p>
        </w:tc>
      </w:tr>
      <w:tr>
        <w:tc>
          <w:tcPr>
            <w:tcW w:type="dxa" w:w="5040"/>
          </w:tcPr>
          <w:p>
            <w:pPr>
              <w:spacing w:after="20"/>
            </w:pPr>
            <w:r>
              <w:rPr>
                <w:color w:val="1C3A36"/>
                <w:sz w:val="17"/>
              </w:rPr>
              <w:t>The two non-outlier years, FY2023 and FY2025</w:t>
            </w:r>
          </w:p>
        </w:tc>
        <w:tc>
          <w:tcPr>
            <w:tcW w:type="dxa" w:w="1944"/>
          </w:tcPr>
          <w:p>
            <w:pPr>
              <w:spacing w:after="20"/>
              <w:jc w:val="right"/>
            </w:pPr>
            <w:r>
              <w:rPr>
                <w:color w:val="1C3A36"/>
                <w:sz w:val="17"/>
              </w:rPr>
              <w:t>5.15%</w:t>
            </w:r>
          </w:p>
        </w:tc>
        <w:tc>
          <w:tcPr>
            <w:tcW w:type="dxa" w:w="2664"/>
          </w:tcPr>
          <w:p>
            <w:pPr>
              <w:spacing w:after="20"/>
              <w:jc w:val="right"/>
            </w:pPr>
            <w:r>
              <w:rPr>
                <w:color w:val="1C3A36"/>
                <w:sz w:val="17"/>
              </w:rPr>
              <w:t>33.67</w:t>
            </w:r>
          </w:p>
        </w:tc>
      </w:tr>
    </w:tbl>
    <w:p>
      <w:pPr>
        <w:spacing w:after="40"/>
      </w:pPr>
    </w:p>
    <w:p>
      <w:pPr>
        <w:spacing w:after="200" w:before="0"/>
      </w:pPr>
      <w:r>
        <w:rPr>
          <w:b w:val="0"/>
          <w:i/>
          <w:color w:val="6E7B77"/>
          <w:sz w:val="17"/>
        </w:rPr>
        <w:t>Table 11 — the contested judgement, priced on every reading of it the audited statements support. The three-year mean of 6.52% includes the FY2024 spike of 9.25%; the expected-credit-loss component alone averages 3.03% across the same three years. For context that none of these readings carries: the first quarter of 2026 booked NO expected credit loss at all.</w:t>
      </w:r>
    </w:p>
    <w:p>
      <w:pPr>
        <w:spacing w:after="40"/>
        <w:jc w:val="center"/>
      </w:pPr>
      <w:r>
        <w:drawing>
          <wp:inline xmlns:a="http://schemas.openxmlformats.org/drawingml/2006/main" xmlns:pic="http://schemas.openxmlformats.org/drawingml/2006/picture">
            <wp:extent cx="6126480" cy="2631359"/>
            <wp:docPr id="6" name="Picture 6"/>
            <wp:cNvGraphicFramePr>
              <a:graphicFrameLocks noChangeAspect="1"/>
            </wp:cNvGraphicFramePr>
            <a:graphic>
              <a:graphicData uri="http://schemas.openxmlformats.org/drawingml/2006/picture">
                <pic:pic>
                  <pic:nvPicPr>
                    <pic:cNvPr id="0" name="fig6_tornado.png"/>
                    <pic:cNvPicPr/>
                  </pic:nvPicPr>
                  <pic:blipFill>
                    <a:blip r:embed="rId14"/>
                    <a:stretch>
                      <a:fillRect/>
                    </a:stretch>
                  </pic:blipFill>
                  <pic:spPr>
                    <a:xfrm>
                      <a:off x="0" y="0"/>
                      <a:ext cx="6126480" cy="2631359"/>
                    </a:xfrm>
                    <a:prstGeom prst="rect"/>
                  </pic:spPr>
                </pic:pic>
              </a:graphicData>
            </a:graphic>
          </wp:inline>
        </w:drawing>
      </w:r>
    </w:p>
    <w:p>
      <w:pPr>
        <w:spacing w:after="200" w:before="0"/>
      </w:pPr>
      <w:r>
        <w:rPr>
          <w:b w:val="0"/>
          <w:i/>
          <w:color w:val="6E7B77"/>
          <w:sz w:val="17"/>
        </w:rPr>
        <w:t>Figure 6 — what actually moves the answer. Each bar is the full range of the value per share across a plausible range of that one input.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096"/>
        <w:gridCol w:w="1368"/>
        <w:gridCol w:w="1368"/>
        <w:gridCol w:w="1368"/>
        <w:gridCol w:w="1368"/>
        <w:gridCol w:w="1368"/>
      </w:tblGrid>
      <w:tr>
        <w:tc>
          <w:tcPr>
            <w:tcW w:type="dxa" w:w="3096"/>
            <w:shd w:val="clear" w:color="auto" w:fill="EAF0EE"/>
          </w:tcPr>
          <w:p>
            <w:pPr>
              <w:spacing w:after="20"/>
            </w:pPr>
            <w:r>
              <w:rPr>
                <w:b/>
                <w:color w:val="1C3A36"/>
                <w:sz w:val="17"/>
              </w:rPr>
              <w:t>Terminal growth →</w:t>
            </w:r>
          </w:p>
        </w:tc>
        <w:tc>
          <w:tcPr>
            <w:tcW w:type="dxa" w:w="1368"/>
            <w:shd w:val="clear" w:color="auto" w:fill="EAF0EE"/>
          </w:tcPr>
          <w:p>
            <w:pPr>
              <w:spacing w:after="20"/>
            </w:pPr>
            <w:r>
              <w:rPr>
                <w:b/>
                <w:color w:val="1C3A36"/>
                <w:sz w:val="17"/>
              </w:rPr>
              <w:t>3%</w:t>
            </w:r>
          </w:p>
        </w:tc>
        <w:tc>
          <w:tcPr>
            <w:tcW w:type="dxa" w:w="1368"/>
            <w:shd w:val="clear" w:color="auto" w:fill="EAF0EE"/>
          </w:tcPr>
          <w:p>
            <w:pPr>
              <w:spacing w:after="20"/>
            </w:pPr>
            <w:r>
              <w:rPr>
                <w:b/>
                <w:color w:val="1C3A36"/>
                <w:sz w:val="17"/>
              </w:rPr>
              <w:t>4%</w:t>
            </w:r>
          </w:p>
        </w:tc>
        <w:tc>
          <w:tcPr>
            <w:tcW w:type="dxa" w:w="1368"/>
            <w:shd w:val="clear" w:color="auto" w:fill="EAF0EE"/>
          </w:tcPr>
          <w:p>
            <w:pPr>
              <w:spacing w:after="20"/>
            </w:pPr>
            <w:r>
              <w:rPr>
                <w:b/>
                <w:color w:val="1C3A36"/>
                <w:sz w:val="17"/>
              </w:rPr>
              <w:t>5%</w:t>
            </w:r>
          </w:p>
        </w:tc>
        <w:tc>
          <w:tcPr>
            <w:tcW w:type="dxa" w:w="1368"/>
            <w:shd w:val="clear" w:color="auto" w:fill="EAF0EE"/>
          </w:tcPr>
          <w:p>
            <w:pPr>
              <w:spacing w:after="20"/>
            </w:pPr>
            <w:r>
              <w:rPr>
                <w:b/>
                <w:color w:val="1C3A36"/>
                <w:sz w:val="17"/>
              </w:rPr>
              <w:t>6%</w:t>
            </w:r>
          </w:p>
        </w:tc>
        <w:tc>
          <w:tcPr>
            <w:tcW w:type="dxa" w:w="1368"/>
            <w:shd w:val="clear" w:color="auto" w:fill="EAF0EE"/>
          </w:tcPr>
          <w:p>
            <w:pPr>
              <w:spacing w:after="20"/>
            </w:pPr>
            <w:r>
              <w:rPr>
                <w:b/>
                <w:color w:val="1C3A36"/>
                <w:sz w:val="17"/>
              </w:rPr>
              <w:t>7%</w:t>
            </w:r>
          </w:p>
        </w:tc>
      </w:tr>
      <w:tr>
        <w:tc>
          <w:tcPr>
            <w:tcW w:type="dxa" w:w="3096"/>
          </w:tcPr>
          <w:p>
            <w:pPr>
              <w:spacing w:after="20"/>
            </w:pPr>
            <w:r>
              <w:rPr>
                <w:color w:val="1C3A36"/>
                <w:sz w:val="17"/>
              </w:rPr>
              <w:t>Cost of equity -200 basis points</w:t>
            </w:r>
          </w:p>
        </w:tc>
        <w:tc>
          <w:tcPr>
            <w:tcW w:type="dxa" w:w="1368"/>
          </w:tcPr>
          <w:p>
            <w:pPr>
              <w:spacing w:after="20"/>
              <w:jc w:val="right"/>
            </w:pPr>
            <w:r>
              <w:rPr>
                <w:color w:val="1C3A36"/>
                <w:sz w:val="17"/>
              </w:rPr>
              <w:t>33</w:t>
            </w:r>
          </w:p>
        </w:tc>
        <w:tc>
          <w:tcPr>
            <w:tcW w:type="dxa" w:w="1368"/>
          </w:tcPr>
          <w:p>
            <w:pPr>
              <w:spacing w:after="20"/>
              <w:jc w:val="right"/>
            </w:pPr>
            <w:r>
              <w:rPr>
                <w:color w:val="1C3A36"/>
                <w:sz w:val="17"/>
              </w:rPr>
              <w:t>35</w:t>
            </w:r>
          </w:p>
        </w:tc>
        <w:tc>
          <w:tcPr>
            <w:tcW w:type="dxa" w:w="1368"/>
          </w:tcPr>
          <w:p>
            <w:pPr>
              <w:spacing w:after="20"/>
              <w:jc w:val="right"/>
            </w:pPr>
            <w:r>
              <w:rPr>
                <w:color w:val="1C3A36"/>
                <w:sz w:val="17"/>
              </w:rPr>
              <w:t>39</w:t>
            </w:r>
          </w:p>
        </w:tc>
        <w:tc>
          <w:tcPr>
            <w:tcW w:type="dxa" w:w="1368"/>
          </w:tcPr>
          <w:p>
            <w:pPr>
              <w:spacing w:after="20"/>
              <w:jc w:val="right"/>
            </w:pPr>
            <w:r>
              <w:rPr>
                <w:color w:val="1C3A36"/>
                <w:sz w:val="17"/>
              </w:rPr>
              <w:t>43</w:t>
            </w:r>
          </w:p>
        </w:tc>
        <w:tc>
          <w:tcPr>
            <w:tcW w:type="dxa" w:w="1368"/>
          </w:tcPr>
          <w:p>
            <w:pPr>
              <w:spacing w:after="20"/>
              <w:jc w:val="right"/>
            </w:pPr>
            <w:r>
              <w:rPr>
                <w:color w:val="1C3A36"/>
                <w:sz w:val="17"/>
              </w:rPr>
              <w:t>48</w:t>
            </w:r>
          </w:p>
        </w:tc>
      </w:tr>
      <w:tr>
        <w:tc>
          <w:tcPr>
            <w:tcW w:type="dxa" w:w="3096"/>
          </w:tcPr>
          <w:p>
            <w:pPr>
              <w:spacing w:after="20"/>
            </w:pPr>
            <w:r>
              <w:rPr>
                <w:color w:val="1C3A36"/>
                <w:sz w:val="17"/>
              </w:rPr>
              <w:t>Cost of equity -100 basis points</w:t>
            </w:r>
          </w:p>
        </w:tc>
        <w:tc>
          <w:tcPr>
            <w:tcW w:type="dxa" w:w="1368"/>
          </w:tcPr>
          <w:p>
            <w:pPr>
              <w:spacing w:after="20"/>
              <w:jc w:val="right"/>
            </w:pPr>
            <w:r>
              <w:rPr>
                <w:color w:val="1C3A36"/>
                <w:sz w:val="17"/>
              </w:rPr>
              <w:t>28</w:t>
            </w:r>
          </w:p>
        </w:tc>
        <w:tc>
          <w:tcPr>
            <w:tcW w:type="dxa" w:w="1368"/>
          </w:tcPr>
          <w:p>
            <w:pPr>
              <w:spacing w:after="20"/>
              <w:jc w:val="right"/>
            </w:pPr>
            <w:r>
              <w:rPr>
                <w:color w:val="1C3A36"/>
                <w:sz w:val="17"/>
              </w:rPr>
              <w:t>30</w:t>
            </w:r>
          </w:p>
        </w:tc>
        <w:tc>
          <w:tcPr>
            <w:tcW w:type="dxa" w:w="1368"/>
          </w:tcPr>
          <w:p>
            <w:pPr>
              <w:spacing w:after="20"/>
              <w:jc w:val="right"/>
            </w:pPr>
            <w:r>
              <w:rPr>
                <w:color w:val="1C3A36"/>
                <w:sz w:val="17"/>
              </w:rPr>
              <w:t>33</w:t>
            </w:r>
          </w:p>
        </w:tc>
        <w:tc>
          <w:tcPr>
            <w:tcW w:type="dxa" w:w="1368"/>
          </w:tcPr>
          <w:p>
            <w:pPr>
              <w:spacing w:after="20"/>
              <w:jc w:val="right"/>
            </w:pPr>
            <w:r>
              <w:rPr>
                <w:color w:val="1C3A36"/>
                <w:sz w:val="17"/>
              </w:rPr>
              <w:t>36</w:t>
            </w:r>
          </w:p>
        </w:tc>
        <w:tc>
          <w:tcPr>
            <w:tcW w:type="dxa" w:w="1368"/>
          </w:tcPr>
          <w:p>
            <w:pPr>
              <w:spacing w:after="20"/>
              <w:jc w:val="right"/>
            </w:pPr>
            <w:r>
              <w:rPr>
                <w:color w:val="1C3A36"/>
                <w:sz w:val="17"/>
              </w:rPr>
              <w:t>40</w:t>
            </w:r>
          </w:p>
        </w:tc>
      </w:tr>
      <w:tr>
        <w:tc>
          <w:tcPr>
            <w:tcW w:type="dxa" w:w="3096"/>
          </w:tcPr>
          <w:p>
            <w:pPr>
              <w:spacing w:after="20"/>
            </w:pPr>
            <w:r>
              <w:rPr>
                <w:color w:val="1C3A36"/>
                <w:sz w:val="17"/>
              </w:rPr>
              <w:t>Cost of equity +0 basis points</w:t>
            </w:r>
          </w:p>
        </w:tc>
        <w:tc>
          <w:tcPr>
            <w:tcW w:type="dxa" w:w="1368"/>
          </w:tcPr>
          <w:p>
            <w:pPr>
              <w:spacing w:after="20"/>
              <w:jc w:val="right"/>
            </w:pPr>
            <w:r>
              <w:rPr>
                <w:color w:val="1C3A36"/>
                <w:sz w:val="17"/>
              </w:rPr>
              <w:t>24</w:t>
            </w:r>
          </w:p>
        </w:tc>
        <w:tc>
          <w:tcPr>
            <w:tcW w:type="dxa" w:w="1368"/>
          </w:tcPr>
          <w:p>
            <w:pPr>
              <w:spacing w:after="20"/>
              <w:jc w:val="right"/>
            </w:pPr>
            <w:r>
              <w:rPr>
                <w:color w:val="1C3A36"/>
                <w:sz w:val="17"/>
              </w:rPr>
              <w:t>26</w:t>
            </w:r>
          </w:p>
        </w:tc>
        <w:tc>
          <w:tcPr>
            <w:tcW w:type="dxa" w:w="1368"/>
          </w:tcPr>
          <w:p>
            <w:pPr>
              <w:spacing w:after="20"/>
              <w:jc w:val="right"/>
            </w:pPr>
            <w:r>
              <w:rPr>
                <w:color w:val="1C3A36"/>
                <w:sz w:val="17"/>
              </w:rPr>
              <w:t>28</w:t>
            </w:r>
          </w:p>
        </w:tc>
        <w:tc>
          <w:tcPr>
            <w:tcW w:type="dxa" w:w="1368"/>
          </w:tcPr>
          <w:p>
            <w:pPr>
              <w:spacing w:after="20"/>
              <w:jc w:val="right"/>
            </w:pPr>
            <w:r>
              <w:rPr>
                <w:color w:val="1C3A36"/>
                <w:sz w:val="17"/>
              </w:rPr>
              <w:t>30</w:t>
            </w:r>
          </w:p>
        </w:tc>
        <w:tc>
          <w:tcPr>
            <w:tcW w:type="dxa" w:w="1368"/>
          </w:tcPr>
          <w:p>
            <w:pPr>
              <w:spacing w:after="20"/>
              <w:jc w:val="right"/>
            </w:pPr>
            <w:r>
              <w:rPr>
                <w:color w:val="1C3A36"/>
                <w:sz w:val="17"/>
              </w:rPr>
              <w:t>33</w:t>
            </w:r>
          </w:p>
        </w:tc>
      </w:tr>
      <w:tr>
        <w:tc>
          <w:tcPr>
            <w:tcW w:type="dxa" w:w="3096"/>
          </w:tcPr>
          <w:p>
            <w:pPr>
              <w:spacing w:after="20"/>
            </w:pPr>
            <w:r>
              <w:rPr>
                <w:color w:val="1C3A36"/>
                <w:sz w:val="17"/>
              </w:rPr>
              <w:t>Cost of equity +100 basis points</w:t>
            </w:r>
          </w:p>
        </w:tc>
        <w:tc>
          <w:tcPr>
            <w:tcW w:type="dxa" w:w="1368"/>
          </w:tcPr>
          <w:p>
            <w:pPr>
              <w:spacing w:after="20"/>
              <w:jc w:val="right"/>
            </w:pPr>
            <w:r>
              <w:rPr>
                <w:color w:val="1C3A36"/>
                <w:sz w:val="17"/>
              </w:rPr>
              <w:t>20</w:t>
            </w:r>
          </w:p>
        </w:tc>
        <w:tc>
          <w:tcPr>
            <w:tcW w:type="dxa" w:w="1368"/>
          </w:tcPr>
          <w:p>
            <w:pPr>
              <w:spacing w:after="20"/>
              <w:jc w:val="right"/>
            </w:pPr>
            <w:r>
              <w:rPr>
                <w:color w:val="1C3A36"/>
                <w:sz w:val="17"/>
              </w:rPr>
              <w:t>22</w:t>
            </w:r>
          </w:p>
        </w:tc>
        <w:tc>
          <w:tcPr>
            <w:tcW w:type="dxa" w:w="1368"/>
          </w:tcPr>
          <w:p>
            <w:pPr>
              <w:spacing w:after="20"/>
              <w:jc w:val="right"/>
            </w:pPr>
            <w:r>
              <w:rPr>
                <w:color w:val="1C3A36"/>
                <w:sz w:val="17"/>
              </w:rPr>
              <w:t>23</w:t>
            </w:r>
          </w:p>
        </w:tc>
        <w:tc>
          <w:tcPr>
            <w:tcW w:type="dxa" w:w="1368"/>
          </w:tcPr>
          <w:p>
            <w:pPr>
              <w:spacing w:after="20"/>
              <w:jc w:val="right"/>
            </w:pPr>
            <w:r>
              <w:rPr>
                <w:color w:val="1C3A36"/>
                <w:sz w:val="17"/>
              </w:rPr>
              <w:t>25</w:t>
            </w:r>
          </w:p>
        </w:tc>
        <w:tc>
          <w:tcPr>
            <w:tcW w:type="dxa" w:w="1368"/>
          </w:tcPr>
          <w:p>
            <w:pPr>
              <w:spacing w:after="20"/>
              <w:jc w:val="right"/>
            </w:pPr>
            <w:r>
              <w:rPr>
                <w:color w:val="1C3A36"/>
                <w:sz w:val="17"/>
              </w:rPr>
              <w:t>27</w:t>
            </w:r>
          </w:p>
        </w:tc>
      </w:tr>
      <w:tr>
        <w:tc>
          <w:tcPr>
            <w:tcW w:type="dxa" w:w="3096"/>
          </w:tcPr>
          <w:p>
            <w:pPr>
              <w:spacing w:after="20"/>
            </w:pPr>
            <w:r>
              <w:rPr>
                <w:color w:val="1C3A36"/>
                <w:sz w:val="17"/>
              </w:rPr>
              <w:t>Cost of equity +200 basis points</w:t>
            </w:r>
          </w:p>
        </w:tc>
        <w:tc>
          <w:tcPr>
            <w:tcW w:type="dxa" w:w="1368"/>
          </w:tcPr>
          <w:p>
            <w:pPr>
              <w:spacing w:after="20"/>
              <w:jc w:val="right"/>
            </w:pPr>
            <w:r>
              <w:rPr>
                <w:color w:val="1C3A36"/>
                <w:sz w:val="17"/>
              </w:rPr>
              <w:t>17</w:t>
            </w:r>
          </w:p>
        </w:tc>
        <w:tc>
          <w:tcPr>
            <w:tcW w:type="dxa" w:w="1368"/>
          </w:tcPr>
          <w:p>
            <w:pPr>
              <w:spacing w:after="20"/>
              <w:jc w:val="right"/>
            </w:pPr>
            <w:r>
              <w:rPr>
                <w:color w:val="1C3A36"/>
                <w:sz w:val="17"/>
              </w:rPr>
              <w:t>18</w:t>
            </w:r>
          </w:p>
        </w:tc>
        <w:tc>
          <w:tcPr>
            <w:tcW w:type="dxa" w:w="1368"/>
          </w:tcPr>
          <w:p>
            <w:pPr>
              <w:spacing w:after="20"/>
              <w:jc w:val="right"/>
            </w:pPr>
            <w:r>
              <w:rPr>
                <w:color w:val="1C3A36"/>
                <w:sz w:val="17"/>
              </w:rPr>
              <w:t>19</w:t>
            </w:r>
          </w:p>
        </w:tc>
        <w:tc>
          <w:tcPr>
            <w:tcW w:type="dxa" w:w="1368"/>
          </w:tcPr>
          <w:p>
            <w:pPr>
              <w:spacing w:after="20"/>
              <w:jc w:val="right"/>
            </w:pPr>
            <w:r>
              <w:rPr>
                <w:color w:val="1C3A36"/>
                <w:sz w:val="17"/>
              </w:rPr>
              <w:t>21</w:t>
            </w:r>
          </w:p>
        </w:tc>
        <w:tc>
          <w:tcPr>
            <w:tcW w:type="dxa" w:w="1368"/>
          </w:tcPr>
          <w:p>
            <w:pPr>
              <w:spacing w:after="20"/>
              <w:jc w:val="right"/>
            </w:pPr>
            <w:r>
              <w:rPr>
                <w:color w:val="1C3A36"/>
                <w:sz w:val="17"/>
              </w:rPr>
              <w:t>23</w:t>
            </w:r>
          </w:p>
        </w:tc>
      </w:tr>
    </w:tbl>
    <w:p>
      <w:pPr>
        <w:spacing w:after="40"/>
      </w:pPr>
    </w:p>
    <w:p>
      <w:pPr>
        <w:spacing w:after="200" w:before="0"/>
      </w:pPr>
      <w:r>
        <w:rPr>
          <w:b w:val="0"/>
          <w:i/>
          <w:color w:val="6E7B77"/>
          <w:sz w:val="17"/>
        </w:rPr>
        <w:t>Table 12 — the value per share across the cost of equity and terminal growth together. Every cell is a complete revaluation. The grid runs from EGP 17 to EGP 48 a share, and that FULL range is what is published — quoting only its upper part would delete the half of the study's own risk display that matters most.</w:t>
      </w:r>
    </w:p>
    <w:p>
      <w:pPr>
        <w:spacing w:after="120" w:before="0"/>
      </w:pPr>
      <w:r>
        <w:rPr>
          <w:b w:val="0"/>
          <w:i w:val="0"/>
          <w:color w:val="1C3A36"/>
          <w:sz w:val="21"/>
        </w:rPr>
        <w:t>The crux is sensitised in real observable units rather than in percentage points. On the published ramp and with the incremental revenue charged the same reinvestment identity as the existing business, a quarter of the required revenue — EGP 2,218 million of FY2030 sales, or USD 32 million a year — is worth about EGP 23.58 a share.</w:t>
      </w:r>
    </w:p>
    <w:p>
      <w:pPr>
        <w:spacing w:after="120" w:before="280"/>
      </w:pPr>
      <w:r>
        <w:rPr>
          <w:b/>
          <w:i w:val="0"/>
          <w:color w:val="1C3A36"/>
          <w:sz w:val="30"/>
        </w:rPr>
        <w:t>2. Technical and price structure</w:t>
      </w:r>
    </w:p>
    <w:p>
      <w:pPr>
        <w:spacing w:after="120" w:before="0"/>
      </w:pPr>
      <w:r>
        <w:rPr>
          <w:b w:val="0"/>
          <w:i w:val="0"/>
          <w:color w:val="1C3A36"/>
          <w:sz w:val="21"/>
        </w:rPr>
        <w:t>The price closed 130.05 above a rising 20-day (101.58), a rising 50-day (92.49) and a rising 200-day (82.58). Momentum is stretched: RSI(14) is ~71 and the daily ATR near 7.84 (~6.0%) points to a volatile tape. MACD (12·26·9) is positive and rising (+11.68 / +7.24 / +4.44). Over the last year it has ranged 43.60–156.00; the last close sits 17% below that high and 198% above that low.</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672"/>
        <w:gridCol w:w="1440"/>
        <w:gridCol w:w="2664"/>
      </w:tblGrid>
      <w:tr>
        <w:tc>
          <w:tcPr>
            <w:tcW w:type="dxa" w:w="3672"/>
            <w:shd w:val="clear" w:color="auto" w:fill="EAF0EE"/>
          </w:tcPr>
          <w:p>
            <w:pPr>
              <w:spacing w:after="20"/>
            </w:pPr>
            <w:r>
              <w:rPr>
                <w:b/>
                <w:color w:val="1C3A36"/>
                <w:sz w:val="18"/>
              </w:rPr>
              <w:t>Level</w:t>
            </w:r>
          </w:p>
        </w:tc>
        <w:tc>
          <w:tcPr>
            <w:tcW w:type="dxa" w:w="1440"/>
            <w:shd w:val="clear" w:color="auto" w:fill="EAF0EE"/>
          </w:tcPr>
          <w:p>
            <w:pPr>
              <w:spacing w:after="20"/>
            </w:pPr>
            <w:r>
              <w:rPr>
                <w:b/>
                <w:color w:val="1C3A36"/>
                <w:sz w:val="18"/>
              </w:rPr>
              <w:t>EGP</w:t>
            </w:r>
          </w:p>
        </w:tc>
        <w:tc>
          <w:tcPr>
            <w:tcW w:type="dxa" w:w="2664"/>
            <w:shd w:val="clear" w:color="auto" w:fill="EAF0EE"/>
          </w:tcPr>
          <w:p>
            <w:pPr>
              <w:spacing w:after="20"/>
            </w:pPr>
            <w:r>
              <w:rPr>
                <w:b/>
                <w:color w:val="1C3A36"/>
                <w:sz w:val="18"/>
              </w:rPr>
              <w:t>Distance from the close</w:t>
            </w:r>
          </w:p>
        </w:tc>
      </w:tr>
      <w:tr>
        <w:tc>
          <w:tcPr>
            <w:tcW w:type="dxa" w:w="3672"/>
          </w:tcPr>
          <w:p>
            <w:pPr>
              <w:spacing w:after="20"/>
            </w:pPr>
            <w:r>
              <w:rPr>
                <w:color w:val="1C3A36"/>
                <w:sz w:val="18"/>
              </w:rPr>
              <w:t>Third resistance</w:t>
            </w:r>
          </w:p>
        </w:tc>
        <w:tc>
          <w:tcPr>
            <w:tcW w:type="dxa" w:w="1440"/>
          </w:tcPr>
          <w:p>
            <w:pPr>
              <w:spacing w:after="20"/>
              <w:jc w:val="right"/>
            </w:pPr>
            <w:r>
              <w:rPr>
                <w:color w:val="1C3A36"/>
                <w:sz w:val="18"/>
              </w:rPr>
              <w:t>156.00</w:t>
            </w:r>
          </w:p>
        </w:tc>
        <w:tc>
          <w:tcPr>
            <w:tcW w:type="dxa" w:w="2664"/>
          </w:tcPr>
          <w:p>
            <w:pPr>
              <w:spacing w:after="20"/>
              <w:jc w:val="right"/>
            </w:pPr>
            <w:r>
              <w:rPr>
                <w:color w:val="1C3A36"/>
                <w:sz w:val="18"/>
              </w:rPr>
              <w:t>22.5%</w:t>
            </w:r>
          </w:p>
        </w:tc>
      </w:tr>
      <w:tr>
        <w:tc>
          <w:tcPr>
            <w:tcW w:type="dxa" w:w="3672"/>
          </w:tcPr>
          <w:p>
            <w:pPr>
              <w:spacing w:after="20"/>
            </w:pPr>
            <w:r>
              <w:rPr>
                <w:color w:val="1C3A36"/>
                <w:sz w:val="18"/>
              </w:rPr>
              <w:t>Second resistance</w:t>
            </w:r>
          </w:p>
        </w:tc>
        <w:tc>
          <w:tcPr>
            <w:tcW w:type="dxa" w:w="1440"/>
          </w:tcPr>
          <w:p>
            <w:pPr>
              <w:spacing w:after="20"/>
              <w:jc w:val="right"/>
            </w:pPr>
            <w:r>
              <w:rPr>
                <w:color w:val="1C3A36"/>
                <w:sz w:val="18"/>
              </w:rPr>
              <w:t>150.00</w:t>
            </w:r>
          </w:p>
        </w:tc>
        <w:tc>
          <w:tcPr>
            <w:tcW w:type="dxa" w:w="2664"/>
          </w:tcPr>
          <w:p>
            <w:pPr>
              <w:spacing w:after="20"/>
              <w:jc w:val="right"/>
            </w:pPr>
            <w:r>
              <w:rPr>
                <w:color w:val="1C3A36"/>
                <w:sz w:val="18"/>
              </w:rPr>
              <w:t>17.8%</w:t>
            </w:r>
          </w:p>
        </w:tc>
      </w:tr>
      <w:tr>
        <w:tc>
          <w:tcPr>
            <w:tcW w:type="dxa" w:w="3672"/>
          </w:tcPr>
          <w:p>
            <w:pPr>
              <w:spacing w:after="20"/>
            </w:pPr>
            <w:r>
              <w:rPr>
                <w:color w:val="1C3A36"/>
                <w:sz w:val="18"/>
              </w:rPr>
              <w:t>Nearest resistance</w:t>
            </w:r>
          </w:p>
        </w:tc>
        <w:tc>
          <w:tcPr>
            <w:tcW w:type="dxa" w:w="1440"/>
          </w:tcPr>
          <w:p>
            <w:pPr>
              <w:spacing w:after="20"/>
              <w:jc w:val="right"/>
            </w:pPr>
            <w:r>
              <w:rPr>
                <w:color w:val="1C3A36"/>
                <w:sz w:val="18"/>
              </w:rPr>
              <w:t>140.00</w:t>
            </w:r>
          </w:p>
        </w:tc>
        <w:tc>
          <w:tcPr>
            <w:tcW w:type="dxa" w:w="2664"/>
          </w:tcPr>
          <w:p>
            <w:pPr>
              <w:spacing w:after="20"/>
              <w:jc w:val="right"/>
            </w:pPr>
            <w:r>
              <w:rPr>
                <w:color w:val="1C3A36"/>
                <w:sz w:val="18"/>
              </w:rPr>
              <w:t>10.0%</w:t>
            </w:r>
          </w:p>
        </w:tc>
      </w:tr>
      <w:tr>
        <w:tc>
          <w:tcPr>
            <w:tcW w:type="dxa" w:w="3672"/>
            <w:shd w:val="clear" w:color="auto" w:fill="F6F1E6"/>
          </w:tcPr>
          <w:p>
            <w:pPr>
              <w:spacing w:after="20"/>
            </w:pPr>
            <w:r>
              <w:rPr>
                <w:b/>
                <w:color w:val="1C3A36"/>
                <w:sz w:val="18"/>
              </w:rPr>
              <w:t>Last close</w:t>
            </w:r>
          </w:p>
        </w:tc>
        <w:tc>
          <w:tcPr>
            <w:tcW w:type="dxa" w:w="1440"/>
            <w:shd w:val="clear" w:color="auto" w:fill="F6F1E6"/>
          </w:tcPr>
          <w:p>
            <w:pPr>
              <w:spacing w:after="20"/>
              <w:jc w:val="right"/>
            </w:pPr>
            <w:r>
              <w:rPr>
                <w:b/>
                <w:color w:val="1C3A36"/>
                <w:sz w:val="18"/>
              </w:rPr>
              <w:t>127.30</w:t>
            </w:r>
          </w:p>
        </w:tc>
        <w:tc>
          <w:tcPr>
            <w:tcW w:type="dxa" w:w="2664"/>
            <w:shd w:val="clear" w:color="auto" w:fill="F6F1E6"/>
          </w:tcPr>
          <w:p>
            <w:pPr>
              <w:spacing w:after="20"/>
              <w:jc w:val="right"/>
            </w:pPr>
            <w:r>
              <w:rPr>
                <w:b/>
                <w:color w:val="1C3A36"/>
                <w:sz w:val="18"/>
              </w:rPr>
              <w:t>—</w:t>
            </w:r>
          </w:p>
        </w:tc>
      </w:tr>
      <w:tr>
        <w:tc>
          <w:tcPr>
            <w:tcW w:type="dxa" w:w="3672"/>
          </w:tcPr>
          <w:p>
            <w:pPr>
              <w:spacing w:after="20"/>
            </w:pPr>
            <w:r>
              <w:rPr>
                <w:color w:val="1C3A36"/>
                <w:sz w:val="18"/>
              </w:rPr>
              <w:t>Nearest support</w:t>
            </w:r>
          </w:p>
        </w:tc>
        <w:tc>
          <w:tcPr>
            <w:tcW w:type="dxa" w:w="1440"/>
          </w:tcPr>
          <w:p>
            <w:pPr>
              <w:spacing w:after="20"/>
              <w:jc w:val="right"/>
            </w:pPr>
            <w:r>
              <w:rPr>
                <w:color w:val="1C3A36"/>
                <w:sz w:val="18"/>
              </w:rPr>
              <w:t>92.40</w:t>
            </w:r>
          </w:p>
        </w:tc>
        <w:tc>
          <w:tcPr>
            <w:tcW w:type="dxa" w:w="2664"/>
          </w:tcPr>
          <w:p>
            <w:pPr>
              <w:spacing w:after="20"/>
              <w:jc w:val="right"/>
            </w:pPr>
            <w:r>
              <w:rPr>
                <w:color w:val="1C3A36"/>
                <w:sz w:val="18"/>
              </w:rPr>
              <w:t>-27.4%</w:t>
            </w:r>
          </w:p>
        </w:tc>
      </w:tr>
      <w:tr>
        <w:tc>
          <w:tcPr>
            <w:tcW w:type="dxa" w:w="3672"/>
          </w:tcPr>
          <w:p>
            <w:pPr>
              <w:spacing w:after="20"/>
            </w:pPr>
            <w:r>
              <w:rPr>
                <w:color w:val="1C3A36"/>
                <w:sz w:val="18"/>
              </w:rPr>
              <w:t>Second support</w:t>
            </w:r>
          </w:p>
        </w:tc>
        <w:tc>
          <w:tcPr>
            <w:tcW w:type="dxa" w:w="1440"/>
          </w:tcPr>
          <w:p>
            <w:pPr>
              <w:spacing w:after="20"/>
              <w:jc w:val="right"/>
            </w:pPr>
            <w:r>
              <w:rPr>
                <w:color w:val="1C3A36"/>
                <w:sz w:val="18"/>
              </w:rPr>
              <w:t>88.49</w:t>
            </w:r>
          </w:p>
        </w:tc>
        <w:tc>
          <w:tcPr>
            <w:tcW w:type="dxa" w:w="2664"/>
          </w:tcPr>
          <w:p>
            <w:pPr>
              <w:spacing w:after="20"/>
              <w:jc w:val="right"/>
            </w:pPr>
            <w:r>
              <w:rPr>
                <w:color w:val="1C3A36"/>
                <w:sz w:val="18"/>
              </w:rPr>
              <w:t>-30.5%</w:t>
            </w:r>
          </w:p>
        </w:tc>
      </w:tr>
      <w:tr>
        <w:tc>
          <w:tcPr>
            <w:tcW w:type="dxa" w:w="3672"/>
          </w:tcPr>
          <w:p>
            <w:pPr>
              <w:spacing w:after="20"/>
            </w:pPr>
            <w:r>
              <w:rPr>
                <w:color w:val="1C3A36"/>
                <w:sz w:val="18"/>
              </w:rPr>
              <w:t>Third support</w:t>
            </w:r>
          </w:p>
        </w:tc>
        <w:tc>
          <w:tcPr>
            <w:tcW w:type="dxa" w:w="1440"/>
          </w:tcPr>
          <w:p>
            <w:pPr>
              <w:spacing w:after="20"/>
              <w:jc w:val="right"/>
            </w:pPr>
            <w:r>
              <w:rPr>
                <w:color w:val="1C3A36"/>
                <w:sz w:val="18"/>
              </w:rPr>
              <w:t>85.40</w:t>
            </w:r>
          </w:p>
        </w:tc>
        <w:tc>
          <w:tcPr>
            <w:tcW w:type="dxa" w:w="2664"/>
          </w:tcPr>
          <w:p>
            <w:pPr>
              <w:spacing w:after="20"/>
              <w:jc w:val="right"/>
            </w:pPr>
            <w:r>
              <w:rPr>
                <w:color w:val="1C3A36"/>
                <w:sz w:val="18"/>
              </w:rPr>
              <w:t>-32.9%</w:t>
            </w:r>
          </w:p>
        </w:tc>
      </w:tr>
    </w:tbl>
    <w:p>
      <w:pPr>
        <w:spacing w:after="40"/>
      </w:pPr>
    </w:p>
    <w:p>
      <w:pPr>
        <w:spacing w:after="200" w:before="0"/>
      </w:pPr>
      <w:r>
        <w:rPr>
          <w:b w:val="0"/>
          <w:i/>
          <w:color w:val="6E7B77"/>
          <w:sz w:val="17"/>
        </w:rPr>
        <w:t>Table 13 — support and resistance, computed from recency-weighted pivot clusters on the same cleaned price history the probability map uses.</w:t>
      </w:r>
    </w:p>
    <w:p>
      <w:pPr>
        <w:spacing w:after="120" w:before="0"/>
      </w:pPr>
      <w:r>
        <w:rPr>
          <w:b w:val="0"/>
          <w:i w:val="0"/>
          <w:color w:val="1C3A36"/>
          <w:sz w:val="21"/>
        </w:rPr>
        <w:t>The structural point matters more than the levels. The nearest support sits -27% below the last close. The move that took this share from about EGP 90 in late July to EGP 150 on 3 August happened in four sessions, two of them at the exchange's daily limit, and it left no traded structure behind it. A price that gaps up through empty space has nothing under it if sentiment turns — which is why the three-month probability band below is as wide as it is.</w:t>
      </w:r>
    </w:p>
    <w:p>
      <w:pPr>
        <w:spacing w:after="120" w:before="0"/>
      </w:pPr>
      <w:r>
        <w:rPr>
          <w:b w:val="0"/>
          <w:i w:val="0"/>
          <w:color w:val="1C3A36"/>
          <w:sz w:val="21"/>
        </w:rPr>
        <w:t>A daily close back above 140.00 would clear the nearest resistance and open the 156.00 zone. A close below 92.40 would break the nearest support and open the 85.40 zone.</w:t>
      </w:r>
    </w:p>
    <w:p>
      <w:pPr>
        <w:spacing w:after="120" w:before="280"/>
      </w:pPr>
      <w:r>
        <w:rPr>
          <w:b/>
          <w:i w:val="0"/>
          <w:color w:val="1C3A36"/>
          <w:sz w:val="30"/>
        </w:rPr>
        <w:t>3. Probabilistic price map</w:t>
      </w:r>
    </w:p>
    <w:p>
      <w:pPr>
        <w:spacing w:after="120" w:before="0"/>
      </w:pPr>
      <w:r>
        <w:rPr>
          <w:b w:val="0"/>
          <w:i w:val="0"/>
          <w:color w:val="1C3A36"/>
          <w:sz w:val="21"/>
        </w:rPr>
        <w:t>The valuation above says where the shares should be. This section says something different and narrower: given how this share has actually behaved, where might the price be in one and three months? It is a statement about the distribution of outcomes, not a forecast of one.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608"/>
        <w:gridCol w:w="1728"/>
        <w:gridCol w:w="1728"/>
      </w:tblGrid>
      <w:tr>
        <w:tc>
          <w:tcPr>
            <w:tcW w:type="dxa" w:w="4608"/>
            <w:shd w:val="clear" w:color="auto" w:fill="EAF0EE"/>
          </w:tcPr>
          <w:p>
            <w:pPr>
              <w:spacing w:after="20"/>
            </w:pPr>
            <w:r>
              <w:rPr>
                <w:b/>
                <w:color w:val="1C3A36"/>
                <w:sz w:val="18"/>
              </w:rPr>
              <w:t>Percentile of the simulated distribution</w:t>
            </w:r>
          </w:p>
        </w:tc>
        <w:tc>
          <w:tcPr>
            <w:tcW w:type="dxa" w:w="1728"/>
            <w:shd w:val="clear" w:color="auto" w:fill="EAF0EE"/>
          </w:tcPr>
          <w:p>
            <w:pPr>
              <w:spacing w:after="20"/>
            </w:pPr>
            <w:r>
              <w:rPr>
                <w:b/>
                <w:color w:val="1C3A36"/>
                <w:sz w:val="18"/>
              </w:rPr>
              <w:t>One month</w:t>
            </w:r>
          </w:p>
        </w:tc>
        <w:tc>
          <w:tcPr>
            <w:tcW w:type="dxa" w:w="1728"/>
            <w:shd w:val="clear" w:color="auto" w:fill="EAF0EE"/>
          </w:tcPr>
          <w:p>
            <w:pPr>
              <w:spacing w:after="20"/>
            </w:pPr>
            <w:r>
              <w:rPr>
                <w:b/>
                <w:color w:val="1C3A36"/>
                <w:sz w:val="18"/>
              </w:rPr>
              <w:t>Three months</w:t>
            </w:r>
          </w:p>
        </w:tc>
      </w:tr>
      <w:tr>
        <w:tc>
          <w:tcPr>
            <w:tcW w:type="dxa" w:w="4608"/>
          </w:tcPr>
          <w:p>
            <w:pPr>
              <w:spacing w:after="20"/>
            </w:pPr>
            <w:r>
              <w:rPr>
                <w:color w:val="1C3A36"/>
                <w:sz w:val="18"/>
              </w:rPr>
              <w:t>5th percentile</w:t>
            </w:r>
          </w:p>
        </w:tc>
        <w:tc>
          <w:tcPr>
            <w:tcW w:type="dxa" w:w="1728"/>
          </w:tcPr>
          <w:p>
            <w:pPr>
              <w:spacing w:after="20"/>
              <w:jc w:val="right"/>
            </w:pPr>
            <w:r>
              <w:rPr>
                <w:color w:val="1C3A36"/>
                <w:sz w:val="18"/>
              </w:rPr>
              <w:t>103.80</w:t>
            </w:r>
          </w:p>
        </w:tc>
        <w:tc>
          <w:tcPr>
            <w:tcW w:type="dxa" w:w="1728"/>
          </w:tcPr>
          <w:p>
            <w:pPr>
              <w:spacing w:after="20"/>
              <w:jc w:val="right"/>
            </w:pPr>
            <w:r>
              <w:rPr>
                <w:color w:val="1C3A36"/>
                <w:sz w:val="18"/>
              </w:rPr>
              <w:t>94.40</w:t>
            </w:r>
          </w:p>
        </w:tc>
      </w:tr>
      <w:tr>
        <w:tc>
          <w:tcPr>
            <w:tcW w:type="dxa" w:w="4608"/>
          </w:tcPr>
          <w:p>
            <w:pPr>
              <w:spacing w:after="20"/>
            </w:pPr>
            <w:r>
              <w:rPr>
                <w:color w:val="1C3A36"/>
                <w:sz w:val="18"/>
              </w:rPr>
              <w:t>25th percentile</w:t>
            </w:r>
          </w:p>
        </w:tc>
        <w:tc>
          <w:tcPr>
            <w:tcW w:type="dxa" w:w="1728"/>
          </w:tcPr>
          <w:p>
            <w:pPr>
              <w:spacing w:after="20"/>
              <w:jc w:val="right"/>
            </w:pPr>
            <w:r>
              <w:rPr>
                <w:color w:val="1C3A36"/>
                <w:sz w:val="18"/>
              </w:rPr>
              <w:t>120.56</w:t>
            </w:r>
          </w:p>
        </w:tc>
        <w:tc>
          <w:tcPr>
            <w:tcW w:type="dxa" w:w="1728"/>
          </w:tcPr>
          <w:p>
            <w:pPr>
              <w:spacing w:after="20"/>
              <w:jc w:val="right"/>
            </w:pPr>
            <w:r>
              <w:rPr>
                <w:color w:val="1C3A36"/>
                <w:sz w:val="18"/>
              </w:rPr>
              <w:t>118.42</w:t>
            </w:r>
          </w:p>
        </w:tc>
      </w:tr>
      <w:tr>
        <w:tc>
          <w:tcPr>
            <w:tcW w:type="dxa" w:w="4608"/>
          </w:tcPr>
          <w:p>
            <w:pPr>
              <w:spacing w:after="20"/>
            </w:pPr>
            <w:r>
              <w:rPr>
                <w:color w:val="1C3A36"/>
                <w:sz w:val="18"/>
              </w:rPr>
              <w:t>50th percentile</w:t>
            </w:r>
          </w:p>
        </w:tc>
        <w:tc>
          <w:tcPr>
            <w:tcW w:type="dxa" w:w="1728"/>
          </w:tcPr>
          <w:p>
            <w:pPr>
              <w:spacing w:after="20"/>
              <w:jc w:val="right"/>
            </w:pPr>
            <w:r>
              <w:rPr>
                <w:color w:val="1C3A36"/>
                <w:sz w:val="18"/>
              </w:rPr>
              <w:t>131.69</w:t>
            </w:r>
          </w:p>
        </w:tc>
        <w:tc>
          <w:tcPr>
            <w:tcW w:type="dxa" w:w="1728"/>
          </w:tcPr>
          <w:p>
            <w:pPr>
              <w:spacing w:after="20"/>
              <w:jc w:val="right"/>
            </w:pPr>
            <w:r>
              <w:rPr>
                <w:color w:val="1C3A36"/>
                <w:sz w:val="18"/>
              </w:rPr>
              <w:t>135.30</w:t>
            </w:r>
          </w:p>
        </w:tc>
      </w:tr>
      <w:tr>
        <w:tc>
          <w:tcPr>
            <w:tcW w:type="dxa" w:w="4608"/>
          </w:tcPr>
          <w:p>
            <w:pPr>
              <w:spacing w:after="20"/>
            </w:pPr>
            <w:r>
              <w:rPr>
                <w:color w:val="1C3A36"/>
                <w:sz w:val="18"/>
              </w:rPr>
              <w:t>75th percentile</w:t>
            </w:r>
          </w:p>
        </w:tc>
        <w:tc>
          <w:tcPr>
            <w:tcW w:type="dxa" w:w="1728"/>
          </w:tcPr>
          <w:p>
            <w:pPr>
              <w:spacing w:after="20"/>
              <w:jc w:val="right"/>
            </w:pPr>
            <w:r>
              <w:rPr>
                <w:color w:val="1C3A36"/>
                <w:sz w:val="18"/>
              </w:rPr>
              <w:t>143.94</w:t>
            </w:r>
          </w:p>
        </w:tc>
        <w:tc>
          <w:tcPr>
            <w:tcW w:type="dxa" w:w="1728"/>
          </w:tcPr>
          <w:p>
            <w:pPr>
              <w:spacing w:after="20"/>
              <w:jc w:val="right"/>
            </w:pPr>
            <w:r>
              <w:rPr>
                <w:color w:val="1C3A36"/>
                <w:sz w:val="18"/>
              </w:rPr>
              <w:t>154.39</w:t>
            </w:r>
          </w:p>
        </w:tc>
      </w:tr>
      <w:tr>
        <w:tc>
          <w:tcPr>
            <w:tcW w:type="dxa" w:w="4608"/>
          </w:tcPr>
          <w:p>
            <w:pPr>
              <w:spacing w:after="20"/>
            </w:pPr>
            <w:r>
              <w:rPr>
                <w:color w:val="1C3A36"/>
                <w:sz w:val="18"/>
              </w:rPr>
              <w:t>95th percentile</w:t>
            </w:r>
          </w:p>
        </w:tc>
        <w:tc>
          <w:tcPr>
            <w:tcW w:type="dxa" w:w="1728"/>
          </w:tcPr>
          <w:p>
            <w:pPr>
              <w:spacing w:after="20"/>
              <w:jc w:val="right"/>
            </w:pPr>
            <w:r>
              <w:rPr>
                <w:color w:val="1C3A36"/>
                <w:sz w:val="18"/>
              </w:rPr>
              <w:t>167.17</w:t>
            </w:r>
          </w:p>
        </w:tc>
        <w:tc>
          <w:tcPr>
            <w:tcW w:type="dxa" w:w="1728"/>
          </w:tcPr>
          <w:p>
            <w:pPr>
              <w:spacing w:after="20"/>
              <w:jc w:val="right"/>
            </w:pPr>
            <w:r>
              <w:rPr>
                <w:color w:val="1C3A36"/>
                <w:sz w:val="18"/>
              </w:rPr>
              <w:t>193.82</w:t>
            </w:r>
          </w:p>
        </w:tc>
      </w:tr>
      <w:tr>
        <w:tc>
          <w:tcPr>
            <w:tcW w:type="dxa" w:w="4608"/>
            <w:shd w:val="clear" w:color="auto" w:fill="F6F1E6"/>
          </w:tcPr>
          <w:p>
            <w:pPr>
              <w:spacing w:after="20"/>
            </w:pPr>
            <w:r>
              <w:rPr>
                <w:b/>
                <w:color w:val="1C3A36"/>
                <w:sz w:val="18"/>
              </w:rPr>
              <w:t>Check date</w:t>
            </w:r>
          </w:p>
        </w:tc>
        <w:tc>
          <w:tcPr>
            <w:tcW w:type="dxa" w:w="1728"/>
            <w:shd w:val="clear" w:color="auto" w:fill="F6F1E6"/>
          </w:tcPr>
          <w:p>
            <w:pPr>
              <w:spacing w:after="20"/>
              <w:jc w:val="right"/>
            </w:pPr>
            <w:r>
              <w:rPr>
                <w:b/>
                <w:color w:val="1C3A36"/>
                <w:sz w:val="18"/>
              </w:rPr>
              <w:t>2026-09-06</w:t>
            </w:r>
          </w:p>
        </w:tc>
        <w:tc>
          <w:tcPr>
            <w:tcW w:type="dxa" w:w="1728"/>
            <w:shd w:val="clear" w:color="auto" w:fill="F6F1E6"/>
          </w:tcPr>
          <w:p>
            <w:pPr>
              <w:spacing w:after="20"/>
              <w:jc w:val="right"/>
            </w:pPr>
            <w:r>
              <w:rPr>
                <w:b/>
                <w:color w:val="1C3A36"/>
                <w:sz w:val="18"/>
              </w:rPr>
              <w:t>2026-11-08</w:t>
            </w:r>
          </w:p>
        </w:tc>
      </w:tr>
    </w:tbl>
    <w:p>
      <w:pPr>
        <w:spacing w:after="40"/>
      </w:pPr>
    </w:p>
    <w:p>
      <w:pPr>
        <w:spacing w:after="200" w:before="0"/>
      </w:pPr>
      <w:r>
        <w:rPr>
          <w:b w:val="0"/>
          <w:i/>
          <w:color w:val="6E7B77"/>
          <w:sz w:val="17"/>
        </w:rPr>
        <w:t>Table 14 — the percentile map. The anchor is the EGP 130.05 close of 2026-08-06.</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608"/>
        <w:gridCol w:w="1728"/>
        <w:gridCol w:w="1728"/>
      </w:tblGrid>
      <w:tr>
        <w:tc>
          <w:tcPr>
            <w:tcW w:type="dxa" w:w="4608"/>
            <w:shd w:val="clear" w:color="auto" w:fill="EAF0EE"/>
          </w:tcPr>
          <w:p>
            <w:pPr>
              <w:spacing w:after="20"/>
            </w:pPr>
            <w:r>
              <w:rPr>
                <w:b/>
                <w:color w:val="1C3A36"/>
                <w:sz w:val="18"/>
              </w:rPr>
              <w:t>Probability</w:t>
            </w:r>
          </w:p>
        </w:tc>
        <w:tc>
          <w:tcPr>
            <w:tcW w:type="dxa" w:w="1728"/>
            <w:shd w:val="clear" w:color="auto" w:fill="EAF0EE"/>
          </w:tcPr>
          <w:p>
            <w:pPr>
              <w:spacing w:after="20"/>
            </w:pPr>
            <w:r>
              <w:rPr>
                <w:b/>
                <w:color w:val="1C3A36"/>
                <w:sz w:val="18"/>
              </w:rPr>
              <w:t>One month</w:t>
            </w:r>
          </w:p>
        </w:tc>
        <w:tc>
          <w:tcPr>
            <w:tcW w:type="dxa" w:w="1728"/>
            <w:shd w:val="clear" w:color="auto" w:fill="EAF0EE"/>
          </w:tcPr>
          <w:p>
            <w:pPr>
              <w:spacing w:after="20"/>
            </w:pPr>
            <w:r>
              <w:rPr>
                <w:b/>
                <w:color w:val="1C3A36"/>
                <w:sz w:val="18"/>
              </w:rPr>
              <w:t>Three months</w:t>
            </w:r>
          </w:p>
        </w:tc>
      </w:tr>
      <w:tr>
        <w:tc>
          <w:tcPr>
            <w:tcW w:type="dxa" w:w="4608"/>
          </w:tcPr>
          <w:p>
            <w:pPr>
              <w:spacing w:after="20"/>
            </w:pPr>
            <w:r>
              <w:rPr>
                <w:color w:val="1C3A36"/>
                <w:sz w:val="18"/>
              </w:rPr>
              <w:t>Finishes above the anchor</w:t>
            </w:r>
          </w:p>
        </w:tc>
        <w:tc>
          <w:tcPr>
            <w:tcW w:type="dxa" w:w="1728"/>
          </w:tcPr>
          <w:p>
            <w:pPr>
              <w:spacing w:after="20"/>
              <w:jc w:val="right"/>
            </w:pPr>
            <w:r>
              <w:rPr>
                <w:color w:val="1C3A36"/>
                <w:sz w:val="18"/>
              </w:rPr>
              <w:t>54%</w:t>
            </w:r>
          </w:p>
        </w:tc>
        <w:tc>
          <w:tcPr>
            <w:tcW w:type="dxa" w:w="1728"/>
          </w:tcPr>
          <w:p>
            <w:pPr>
              <w:spacing w:after="20"/>
              <w:jc w:val="right"/>
            </w:pPr>
            <w:r>
              <w:rPr>
                <w:color w:val="1C3A36"/>
                <w:sz w:val="18"/>
              </w:rPr>
              <w:t>58%</w:t>
            </w:r>
          </w:p>
        </w:tc>
      </w:tr>
      <w:tr>
        <w:tc>
          <w:tcPr>
            <w:tcW w:type="dxa" w:w="4608"/>
          </w:tcPr>
          <w:p>
            <w:pPr>
              <w:spacing w:after="20"/>
            </w:pPr>
            <w:r>
              <w:rPr>
                <w:color w:val="1C3A36"/>
                <w:sz w:val="18"/>
              </w:rPr>
              <w:t>Finishes 10% or more above</w:t>
            </w:r>
          </w:p>
        </w:tc>
        <w:tc>
          <w:tcPr>
            <w:tcW w:type="dxa" w:w="1728"/>
          </w:tcPr>
          <w:p>
            <w:pPr>
              <w:spacing w:after="20"/>
              <w:jc w:val="right"/>
            </w:pPr>
            <w:r>
              <w:rPr>
                <w:color w:val="1C3A36"/>
                <w:sz w:val="18"/>
              </w:rPr>
              <w:t>26%</w:t>
            </w:r>
          </w:p>
        </w:tc>
        <w:tc>
          <w:tcPr>
            <w:tcW w:type="dxa" w:w="1728"/>
          </w:tcPr>
          <w:p>
            <w:pPr>
              <w:spacing w:after="20"/>
              <w:jc w:val="right"/>
            </w:pPr>
            <w:r>
              <w:rPr>
                <w:color w:val="1C3A36"/>
                <w:sz w:val="18"/>
              </w:rPr>
              <w:t>39%</w:t>
            </w:r>
          </w:p>
        </w:tc>
      </w:tr>
      <w:tr>
        <w:tc>
          <w:tcPr>
            <w:tcW w:type="dxa" w:w="4608"/>
          </w:tcPr>
          <w:p>
            <w:pPr>
              <w:spacing w:after="20"/>
            </w:pPr>
            <w:r>
              <w:rPr>
                <w:color w:val="1C3A36"/>
                <w:sz w:val="18"/>
              </w:rPr>
              <w:t>Finishes 10% or more below</w:t>
            </w:r>
          </w:p>
        </w:tc>
        <w:tc>
          <w:tcPr>
            <w:tcW w:type="dxa" w:w="1728"/>
          </w:tcPr>
          <w:p>
            <w:pPr>
              <w:spacing w:after="20"/>
              <w:jc w:val="right"/>
            </w:pPr>
            <w:r>
              <w:rPr>
                <w:color w:val="1C3A36"/>
                <w:sz w:val="18"/>
              </w:rPr>
              <w:t>19%</w:t>
            </w:r>
          </w:p>
        </w:tc>
        <w:tc>
          <w:tcPr>
            <w:tcW w:type="dxa" w:w="1728"/>
          </w:tcPr>
          <w:p>
            <w:pPr>
              <w:spacing w:after="20"/>
              <w:jc w:val="right"/>
            </w:pPr>
            <w:r>
              <w:rPr>
                <w:color w:val="1C3A36"/>
                <w:sz w:val="18"/>
              </w:rPr>
              <w:t>23%</w:t>
            </w:r>
          </w:p>
        </w:tc>
      </w:tr>
      <w:tr>
        <w:tc>
          <w:tcPr>
            <w:tcW w:type="dxa" w:w="4608"/>
          </w:tcPr>
          <w:p>
            <w:pPr>
              <w:spacing w:after="20"/>
            </w:pPr>
            <w:r>
              <w:rPr>
                <w:color w:val="1C3A36"/>
                <w:sz w:val="18"/>
              </w:rPr>
              <w:t>TOUCHES 10% above at any point</w:t>
            </w:r>
          </w:p>
        </w:tc>
        <w:tc>
          <w:tcPr>
            <w:tcW w:type="dxa" w:w="1728"/>
          </w:tcPr>
          <w:p>
            <w:pPr>
              <w:spacing w:after="20"/>
              <w:jc w:val="right"/>
            </w:pPr>
            <w:r>
              <w:rPr>
                <w:color w:val="1C3A36"/>
                <w:sz w:val="18"/>
              </w:rPr>
              <w:t>43%</w:t>
            </w:r>
          </w:p>
        </w:tc>
        <w:tc>
          <w:tcPr>
            <w:tcW w:type="dxa" w:w="1728"/>
          </w:tcPr>
          <w:p>
            <w:pPr>
              <w:spacing w:after="20"/>
              <w:jc w:val="right"/>
            </w:pPr>
            <w:r>
              <w:rPr>
                <w:color w:val="1C3A36"/>
                <w:sz w:val="18"/>
              </w:rPr>
              <w:t>64%</w:t>
            </w:r>
          </w:p>
        </w:tc>
      </w:tr>
      <w:tr>
        <w:tc>
          <w:tcPr>
            <w:tcW w:type="dxa" w:w="4608"/>
          </w:tcPr>
          <w:p>
            <w:pPr>
              <w:spacing w:after="20"/>
            </w:pPr>
            <w:r>
              <w:rPr>
                <w:color w:val="1C3A36"/>
                <w:sz w:val="18"/>
              </w:rPr>
              <w:t>TOUCHES 10% below at any point</w:t>
            </w:r>
          </w:p>
        </w:tc>
        <w:tc>
          <w:tcPr>
            <w:tcW w:type="dxa" w:w="1728"/>
          </w:tcPr>
          <w:p>
            <w:pPr>
              <w:spacing w:after="20"/>
              <w:jc w:val="right"/>
            </w:pPr>
            <w:r>
              <w:rPr>
                <w:color w:val="1C3A36"/>
                <w:sz w:val="18"/>
              </w:rPr>
              <w:t>33%</w:t>
            </w:r>
          </w:p>
        </w:tc>
        <w:tc>
          <w:tcPr>
            <w:tcW w:type="dxa" w:w="1728"/>
          </w:tcPr>
          <w:p>
            <w:pPr>
              <w:spacing w:after="20"/>
              <w:jc w:val="right"/>
            </w:pPr>
            <w:r>
              <w:rPr>
                <w:color w:val="1C3A36"/>
                <w:sz w:val="18"/>
              </w:rPr>
              <w:t>48%</w:t>
            </w:r>
          </w:p>
        </w:tc>
      </w:tr>
    </w:tbl>
    <w:p>
      <w:pPr>
        <w:spacing w:after="40"/>
      </w:pPr>
    </w:p>
    <w:p>
      <w:pPr>
        <w:spacing w:after="200" w:before="0"/>
      </w:pPr>
      <w:r>
        <w:rPr>
          <w:b w:val="0"/>
          <w:i/>
          <w:color w:val="6E7B77"/>
          <w:sz w:val="17"/>
        </w:rPr>
        <w:t>Table 15 — the level-touch ladder. Touching a level at any point during the window is far more likely than finishing beyond it.</w:t>
      </w:r>
    </w:p>
    <w:p>
      <w:pPr>
        <w:spacing w:after="40"/>
        <w:jc w:val="center"/>
      </w:pPr>
      <w:r>
        <w:drawing>
          <wp:inline xmlns:a="http://schemas.openxmlformats.org/drawingml/2006/main" xmlns:pic="http://schemas.openxmlformats.org/drawingml/2006/picture">
            <wp:extent cx="6309360" cy="2636520"/>
            <wp:docPr id="7" name="Picture 7"/>
            <wp:cNvGraphicFramePr>
              <a:graphicFrameLocks noChangeAspect="1"/>
            </wp:cNvGraphicFramePr>
            <a:graphic>
              <a:graphicData uri="http://schemas.openxmlformats.org/drawingml/2006/picture">
                <pic:pic>
                  <pic:nvPicPr>
                    <pic:cNvPr id="0" name="fig5_cone.png"/>
                    <pic:cNvPicPr/>
                  </pic:nvPicPr>
                  <pic:blipFill>
                    <a:blip r:embed="rId15"/>
                    <a:stretch>
                      <a:fillRect/>
                    </a:stretch>
                  </pic:blipFill>
                  <pic:spPr>
                    <a:xfrm>
                      <a:off x="0" y="0"/>
                      <a:ext cx="6309360" cy="2636520"/>
                    </a:xfrm>
                    <a:prstGeom prst="rect"/>
                  </pic:spPr>
                </pic:pic>
              </a:graphicData>
            </a:graphic>
          </wp:inline>
        </w:drawing>
      </w:r>
    </w:p>
    <w:p>
      <w:pPr>
        <w:spacing w:after="200" w:before="0"/>
      </w:pPr>
      <w:r>
        <w:rPr>
          <w:b w:val="0"/>
          <w:i/>
          <w:color w:val="6E7B77"/>
          <w:sz w:val="17"/>
        </w:rPr>
        <w:t>Figure 7 — the price history and the one- and three-month bands.</w:t>
      </w:r>
    </w:p>
    <w:p>
      <w:pPr>
        <w:spacing w:after="120" w:before="0"/>
      </w:pPr>
      <w:r>
        <w:rPr>
          <w:b w:val="0"/>
          <w:i w:val="0"/>
          <w:color w:val="1C3A36"/>
          <w:sz w:val="21"/>
        </w:rPr>
        <w:t>How much should a reader trust this? The method was tested by re-running it every quarter across the whole cleaned price history, without ever letting it see the future, and scoring each forecast against what actually happened. Over the last five years of those tests — 19 non-overlapping three-month windows — it scored marginally better than a random walk anchored on the same carry, by +0.0021 on a scale where zero means no better and one means perfect. Over the full 13.8-year history and 56 windows it scored -0.0177. A third set was run on the period AFTER the currency break that dominates the older history — 16 windows from 2022-06-20 to 2026-03-24, scoring -0.0109 — and it is published here because it is the set that matches the period the bands shown above are built on. All three are reported together; reporting only two of three would be a choice about which evidence a reader sees. In plain terms: on this single share the method is indistinguishable from a random walk, and this study says so rather than claiming an edge it cannot demonstrate.</w:t>
      </w:r>
    </w:p>
    <w:p>
      <w:pPr>
        <w:spacing w:after="120" w:before="0"/>
      </w:pPr>
      <w:r>
        <w:rPr>
          <w:b w:val="0"/>
          <w:i w:val="0"/>
          <w:color w:val="1C3A36"/>
          <w:sz w:val="21"/>
        </w:rPr>
        <w:t>What the tests DO show is that the bands are honestly sized, which is the property that matters for reading them. Across the five-year window set the outcome fell inside the 90% band 100% of the time and inside the 50% band 47% of the time, and the distribution of where outcomes landed within the bands was statistically indistinguishable from uniform (chi-square p = 0.447, Kolmogorov-Smirnov p = 0.676). The bands are also about 1.47 times as wide as the benchmark's, which means they are conservative rather than flattering. Read them as an honest width, not as a claim to foresight.</w:t>
      </w:r>
    </w:p>
    <w:p>
      <w:pPr>
        <w:spacing w:after="120" w:before="0"/>
      </w:pPr>
      <w:r>
        <w:rPr>
          <w:b w:val="0"/>
          <w:i w:val="0"/>
          <w:color w:val="1C3A36"/>
          <w:sz w:val="21"/>
        </w:rPr>
        <w:t>Two volatilities, both published. The simulation is fed 62.90% annualised at the one-month horizon and 53.55% at three months — the two windows genuinely differ, and stating only the lower of them would understate the near-term width the map itself shows. A reader who back-solves an annualised volatility from the published fifth and ninety-fifth percentiles under a plain lognormal will get a NARROWER number than either, because the simulated process is not a plain lognormal: it carries a fat-tailed innovation and mean reversion in variance, both of which pull the central quantiles in relative to the volatility that feeds them. The generator, its parameters and the window outcomes behind the coverage statistics are listed in the accompanying bibliography so the check can be run properly rather than approximated.</w:t>
      </w:r>
    </w:p>
    <w:p>
      <w:pPr>
        <w:spacing w:after="120" w:before="280"/>
      </w:pPr>
      <w:r>
        <w:rPr>
          <w:b/>
          <w:i w:val="0"/>
          <w:color w:val="1C3A36"/>
          <w:sz w:val="30"/>
        </w:rPr>
        <w:t>4. Comparison of the lenses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664"/>
        <w:gridCol w:w="1224"/>
        <w:gridCol w:w="2952"/>
        <w:gridCol w:w="3816"/>
      </w:tblGrid>
      <w:tr>
        <w:tc>
          <w:tcPr>
            <w:tcW w:type="dxa" w:w="2664"/>
            <w:shd w:val="clear" w:color="auto" w:fill="EAF0EE"/>
          </w:tcPr>
          <w:p>
            <w:pPr>
              <w:spacing w:after="20"/>
            </w:pPr>
            <w:r>
              <w:rPr>
                <w:b/>
                <w:color w:val="1C3A36"/>
                <w:sz w:val="16"/>
              </w:rPr>
              <w:t>Lens</w:t>
            </w:r>
          </w:p>
        </w:tc>
        <w:tc>
          <w:tcPr>
            <w:tcW w:type="dxa" w:w="1224"/>
            <w:shd w:val="clear" w:color="auto" w:fill="EAF0EE"/>
          </w:tcPr>
          <w:p>
            <w:pPr>
              <w:spacing w:after="20"/>
            </w:pPr>
            <w:r>
              <w:rPr>
                <w:b/>
                <w:color w:val="1C3A36"/>
                <w:sz w:val="16"/>
              </w:rPr>
              <w:t>EGP / share</w:t>
            </w:r>
          </w:p>
        </w:tc>
        <w:tc>
          <w:tcPr>
            <w:tcW w:type="dxa" w:w="2952"/>
            <w:shd w:val="clear" w:color="auto" w:fill="EAF0EE"/>
          </w:tcPr>
          <w:p>
            <w:pPr>
              <w:spacing w:after="20"/>
            </w:pPr>
            <w:r>
              <w:rPr>
                <w:b/>
                <w:color w:val="1C3A36"/>
                <w:sz w:val="16"/>
              </w:rPr>
              <w:t>What it is most sensitive to</w:t>
            </w:r>
          </w:p>
        </w:tc>
        <w:tc>
          <w:tcPr>
            <w:tcW w:type="dxa" w:w="3816"/>
            <w:shd w:val="clear" w:color="auto" w:fill="EAF0EE"/>
          </w:tcPr>
          <w:p>
            <w:pPr>
              <w:spacing w:after="20"/>
            </w:pPr>
            <w:r>
              <w:rPr>
                <w:b/>
                <w:color w:val="1C3A36"/>
                <w:sz w:val="16"/>
              </w:rPr>
              <w:t>When it misleads</w:t>
            </w:r>
          </w:p>
        </w:tc>
      </w:tr>
      <w:tr>
        <w:tc>
          <w:tcPr>
            <w:tcW w:type="dxa" w:w="2664"/>
          </w:tcPr>
          <w:p>
            <w:pPr>
              <w:spacing w:after="20"/>
            </w:pPr>
            <w:r>
              <w:rPr>
                <w:color w:val="1C3A36"/>
                <w:sz w:val="16"/>
              </w:rPr>
              <w:t>Discounted cash flow, Frame A</w:t>
            </w:r>
          </w:p>
        </w:tc>
        <w:tc>
          <w:tcPr>
            <w:tcW w:type="dxa" w:w="1224"/>
          </w:tcPr>
          <w:p>
            <w:pPr>
              <w:spacing w:after="20"/>
              <w:jc w:val="right"/>
            </w:pPr>
            <w:r>
              <w:rPr>
                <w:color w:val="1C3A36"/>
                <w:sz w:val="16"/>
              </w:rPr>
              <w:t>33.00</w:t>
            </w:r>
          </w:p>
        </w:tc>
        <w:tc>
          <w:tcPr>
            <w:tcW w:type="dxa" w:w="2952"/>
          </w:tcPr>
          <w:p>
            <w:pPr>
              <w:spacing w:after="20"/>
              <w:jc w:val="right"/>
            </w:pPr>
            <w:r>
              <w:rPr>
                <w:color w:val="1C3A36"/>
                <w:sz w:val="16"/>
              </w:rPr>
              <w:t>the terminal discount rate and the terminal growth rate — 80% of the value is in the terminal block</w:t>
            </w:r>
          </w:p>
        </w:tc>
        <w:tc>
          <w:tcPr>
            <w:tcW w:type="dxa" w:w="3816"/>
          </w:tcPr>
          <w:p>
            <w:pPr>
              <w:spacing w:after="20"/>
              <w:jc w:val="right"/>
            </w:pPr>
            <w:r>
              <w:rPr>
                <w:color w:val="1C3A36"/>
                <w:sz w:val="16"/>
              </w:rPr>
              <w:t>when five explicit years are not long enough to reach a steady state, which for a plant entering service is exactly the risk</w:t>
            </w:r>
          </w:p>
        </w:tc>
      </w:tr>
      <w:tr>
        <w:tc>
          <w:tcPr>
            <w:tcW w:type="dxa" w:w="2664"/>
          </w:tcPr>
          <w:p>
            <w:pPr>
              <w:spacing w:after="20"/>
            </w:pPr>
            <w:r>
              <w:rPr>
                <w:color w:val="1C3A36"/>
                <w:sz w:val="16"/>
              </w:rPr>
              <w:t>Discounted cash flow, Frame B</w:t>
            </w:r>
          </w:p>
        </w:tc>
        <w:tc>
          <w:tcPr>
            <w:tcW w:type="dxa" w:w="1224"/>
          </w:tcPr>
          <w:p>
            <w:pPr>
              <w:spacing w:after="20"/>
              <w:jc w:val="right"/>
            </w:pPr>
            <w:r>
              <w:rPr>
                <w:color w:val="1C3A36"/>
                <w:sz w:val="16"/>
              </w:rPr>
              <w:t>49.68</w:t>
            </w:r>
          </w:p>
        </w:tc>
        <w:tc>
          <w:tcPr>
            <w:tcW w:type="dxa" w:w="2952"/>
          </w:tcPr>
          <w:p>
            <w:pPr>
              <w:spacing w:after="20"/>
              <w:jc w:val="right"/>
            </w:pPr>
            <w:r>
              <w:rPr>
                <w:color w:val="1C3A36"/>
                <w:sz w:val="16"/>
              </w:rPr>
              <w:t>the same, plus the speed at which the provision charge normalises</w:t>
            </w:r>
          </w:p>
        </w:tc>
        <w:tc>
          <w:tcPr>
            <w:tcW w:type="dxa" w:w="3816"/>
          </w:tcPr>
          <w:p>
            <w:pPr>
              <w:spacing w:after="20"/>
              <w:jc w:val="right"/>
            </w:pPr>
            <w:r>
              <w:rPr>
                <w:color w:val="1C3A36"/>
                <w:sz w:val="16"/>
              </w:rPr>
              <w:t>if the credit losses are structural rather than cyclical</w:t>
            </w:r>
          </w:p>
        </w:tc>
      </w:tr>
      <w:tr>
        <w:tc>
          <w:tcPr>
            <w:tcW w:type="dxa" w:w="2664"/>
          </w:tcPr>
          <w:p>
            <w:pPr>
              <w:spacing w:after="20"/>
            </w:pPr>
            <w:r>
              <w:rPr>
                <w:color w:val="1C3A36"/>
                <w:sz w:val="16"/>
              </w:rPr>
              <w:t>Book value and sustainable return</w:t>
            </w:r>
          </w:p>
        </w:tc>
        <w:tc>
          <w:tcPr>
            <w:tcW w:type="dxa" w:w="1224"/>
          </w:tcPr>
          <w:p>
            <w:pPr>
              <w:spacing w:after="20"/>
              <w:jc w:val="right"/>
            </w:pPr>
            <w:r>
              <w:rPr>
                <w:color w:val="1C3A36"/>
                <w:sz w:val="16"/>
              </w:rPr>
              <w:t>43.91</w:t>
            </w:r>
          </w:p>
        </w:tc>
        <w:tc>
          <w:tcPr>
            <w:tcW w:type="dxa" w:w="2952"/>
          </w:tcPr>
          <w:p>
            <w:pPr>
              <w:spacing w:after="20"/>
              <w:jc w:val="right"/>
            </w:pPr>
            <w:r>
              <w:rPr>
                <w:color w:val="1C3A36"/>
                <w:sz w:val="16"/>
              </w:rPr>
              <w:t>the sustainable return on equity and the perpetual cost of equity</w:t>
            </w:r>
          </w:p>
        </w:tc>
        <w:tc>
          <w:tcPr>
            <w:tcW w:type="dxa" w:w="3816"/>
          </w:tcPr>
          <w:p>
            <w:pPr>
              <w:spacing w:after="20"/>
              <w:jc w:val="right"/>
            </w:pPr>
            <w:r>
              <w:rPr>
                <w:color w:val="1C3A36"/>
                <w:sz w:val="16"/>
              </w:rPr>
              <w:t>when a large part of the asset base is not yet earning — which is true here, with EGP 4,901 million still in construction at the year end</w:t>
            </w:r>
          </w:p>
        </w:tc>
      </w:tr>
      <w:tr>
        <w:tc>
          <w:tcPr>
            <w:tcW w:type="dxa" w:w="2664"/>
          </w:tcPr>
          <w:p>
            <w:pPr>
              <w:spacing w:after="20"/>
            </w:pPr>
            <w:r>
              <w:rPr>
                <w:color w:val="1C3A36"/>
                <w:sz w:val="16"/>
              </w:rPr>
              <w:t>Relative multiples</w:t>
            </w:r>
          </w:p>
        </w:tc>
        <w:tc>
          <w:tcPr>
            <w:tcW w:type="dxa" w:w="1224"/>
          </w:tcPr>
          <w:p>
            <w:pPr>
              <w:spacing w:after="20"/>
              <w:jc w:val="right"/>
            </w:pPr>
            <w:r>
              <w:rPr>
                <w:color w:val="1C3A36"/>
                <w:sz w:val="16"/>
              </w:rPr>
              <w:t>48.65</w:t>
            </w:r>
          </w:p>
        </w:tc>
        <w:tc>
          <w:tcPr>
            <w:tcW w:type="dxa" w:w="2952"/>
          </w:tcPr>
          <w:p>
            <w:pPr>
              <w:spacing w:after="20"/>
              <w:jc w:val="right"/>
            </w:pPr>
            <w:r>
              <w:rPr>
                <w:color w:val="1C3A36"/>
                <w:sz w:val="16"/>
              </w:rPr>
              <w:t>the cost of equity, through all three of its inputs</w:t>
            </w:r>
          </w:p>
        </w:tc>
        <w:tc>
          <w:tcPr>
            <w:tcW w:type="dxa" w:w="3816"/>
          </w:tcPr>
          <w:p>
            <w:pPr>
              <w:spacing w:after="20"/>
              <w:jc w:val="right"/>
            </w:pPr>
            <w:r>
              <w:rPr>
                <w:color w:val="1C3A36"/>
                <w:sz w:val="16"/>
              </w:rPr>
              <w:t>when the comparable companies face a different country risk, which is why the struck reference is adjusted rather than applied raw</w:t>
            </w:r>
          </w:p>
        </w:tc>
      </w:tr>
      <w:tr>
        <w:tc>
          <w:tcPr>
            <w:tcW w:type="dxa" w:w="2664"/>
          </w:tcPr>
          <w:p>
            <w:pPr>
              <w:spacing w:after="20"/>
            </w:pPr>
            <w:r>
              <w:rPr>
                <w:color w:val="1C3A36"/>
                <w:sz w:val="16"/>
              </w:rPr>
              <w:t>Normalised earnings power</w:t>
            </w:r>
          </w:p>
        </w:tc>
        <w:tc>
          <w:tcPr>
            <w:tcW w:type="dxa" w:w="1224"/>
          </w:tcPr>
          <w:p>
            <w:pPr>
              <w:spacing w:after="20"/>
              <w:jc w:val="right"/>
            </w:pPr>
            <w:r>
              <w:rPr>
                <w:color w:val="1C3A36"/>
                <w:sz w:val="16"/>
              </w:rPr>
              <w:t>56.78</w:t>
            </w:r>
          </w:p>
        </w:tc>
        <w:tc>
          <w:tcPr>
            <w:tcW w:type="dxa" w:w="2952"/>
          </w:tcPr>
          <w:p>
            <w:pPr>
              <w:spacing w:after="20"/>
              <w:jc w:val="right"/>
            </w:pPr>
            <w:r>
              <w:rPr>
                <w:color w:val="1C3A36"/>
                <w:sz w:val="16"/>
              </w:rPr>
              <w:t>the choice of normal margin</w:t>
            </w:r>
          </w:p>
        </w:tc>
        <w:tc>
          <w:tcPr>
            <w:tcW w:type="dxa" w:w="3816"/>
          </w:tcPr>
          <w:p>
            <w:pPr>
              <w:spacing w:after="20"/>
              <w:jc w:val="right"/>
            </w:pPr>
            <w:r>
              <w:rPr>
                <w:color w:val="1C3A36"/>
                <w:sz w:val="16"/>
              </w:rPr>
              <w:t>when the business has genuinely re-based upward, in which case a three-year average understates it</w:t>
            </w:r>
          </w:p>
        </w:tc>
      </w:tr>
    </w:tbl>
    <w:p>
      <w:pPr>
        <w:spacing w:after="40"/>
      </w:pPr>
    </w:p>
    <w:p>
      <w:pPr>
        <w:spacing w:after="200" w:before="0"/>
      </w:pPr>
      <w:r>
        <w:rPr>
          <w:b w:val="0"/>
          <w:i/>
          <w:color w:val="6E7B77"/>
          <w:sz w:val="17"/>
        </w:rPr>
        <w:t>Table 16 — the four methods against each other — five readings, because the cash-flow method is run on both framings of the contested judgement — including where each one fails.</w:t>
      </w:r>
    </w:p>
    <w:p>
      <w:pPr>
        <w:spacing w:after="120" w:before="0"/>
      </w:pPr>
      <w:r>
        <w:rPr>
          <w:b w:val="0"/>
          <w:i w:val="0"/>
          <w:color w:val="1C3A36"/>
          <w:sz w:val="21"/>
        </w:rPr>
        <w:t>The readings disagree in an informative direction. The lowest is the cash-flow reading on the permanent-provision frame at EGP 33.00; the highest is the normalised-earnings lens at EGP 56.78. The cash-flow readings charge the new plant's full cost and credit it with nothing, so they sit low despite capturing five years of the volume and price growth the existing business is already delivering. The relative lens prices the company on what a 18.8% return and a 16.9% perpetual cost of equity can justify, which supports about 6.33 times forward earnings against the 14.90 times trailing the market pays. None of them is wrong. The gap between them is the value of growth, and the market is paying for more of it than any of them contains.</w:t>
      </w:r>
    </w:p>
    <w:p>
      <w:pPr>
        <w:spacing w:after="120" w:before="280"/>
      </w:pPr>
      <w:r>
        <w:rPr>
          <w:b/>
          <w:i w:val="0"/>
          <w:color w:val="1C3A36"/>
          <w:sz w:val="30"/>
        </w:rPr>
        <w:t>5. Catalysts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520"/>
        <w:gridCol w:w="5112"/>
        <w:gridCol w:w="2304"/>
      </w:tblGrid>
      <w:tr>
        <w:tc>
          <w:tcPr>
            <w:tcW w:type="dxa" w:w="2520"/>
            <w:shd w:val="clear" w:color="auto" w:fill="EAF0EE"/>
          </w:tcPr>
          <w:p>
            <w:pPr>
              <w:spacing w:after="20"/>
            </w:pPr>
            <w:r>
              <w:rPr>
                <w:b/>
                <w:color w:val="1C3A36"/>
                <w:sz w:val="16"/>
              </w:rPr>
              <w:t>What to watch</w:t>
            </w:r>
          </w:p>
        </w:tc>
        <w:tc>
          <w:tcPr>
            <w:tcW w:type="dxa" w:w="5112"/>
            <w:shd w:val="clear" w:color="auto" w:fill="EAF0EE"/>
          </w:tcPr>
          <w:p>
            <w:pPr>
              <w:spacing w:after="20"/>
            </w:pPr>
            <w:r>
              <w:rPr>
                <w:b/>
                <w:color w:val="1C3A36"/>
                <w:sz w:val="16"/>
              </w:rPr>
              <w:t>Why it matters</w:t>
            </w:r>
          </w:p>
        </w:tc>
        <w:tc>
          <w:tcPr>
            <w:tcW w:type="dxa" w:w="2304"/>
            <w:shd w:val="clear" w:color="auto" w:fill="EAF0EE"/>
          </w:tcPr>
          <w:p>
            <w:pPr>
              <w:spacing w:after="20"/>
            </w:pPr>
            <w:r>
              <w:rPr>
                <w:b/>
                <w:color w:val="1C3A36"/>
                <w:sz w:val="16"/>
              </w:rPr>
              <w:t>When</w:t>
            </w:r>
          </w:p>
        </w:tc>
      </w:tr>
      <w:tr>
        <w:tc>
          <w:tcPr>
            <w:tcW w:type="dxa" w:w="2520"/>
          </w:tcPr>
          <w:p>
            <w:pPr>
              <w:spacing w:after="20"/>
            </w:pPr>
            <w:r>
              <w:rPr>
                <w:color w:val="1C3A36"/>
                <w:sz w:val="16"/>
              </w:rPr>
              <w:t>First disclosed revenue from the biologicals plant</w:t>
            </w:r>
          </w:p>
        </w:tc>
        <w:tc>
          <w:tcPr>
            <w:tcW w:type="dxa" w:w="5112"/>
          </w:tcPr>
          <w:p>
            <w:pPr>
              <w:spacing w:after="20"/>
              <w:jc w:val="right"/>
            </w:pPr>
            <w:r>
              <w:rPr>
                <w:color w:val="1C3A36"/>
                <w:sz w:val="16"/>
              </w:rPr>
              <w:t>the whole crux. Section 1.7 says roughly USD 127 million a year by 2030 is required to justify the market price; the first disclosure calibrates how plausible that is</w:t>
            </w:r>
          </w:p>
        </w:tc>
        <w:tc>
          <w:tcPr>
            <w:tcW w:type="dxa" w:w="2304"/>
          </w:tcPr>
          <w:p>
            <w:pPr>
              <w:spacing w:after="20"/>
              <w:jc w:val="right"/>
            </w:pPr>
            <w:r>
              <w:rPr>
                <w:color w:val="1C3A36"/>
                <w:sz w:val="16"/>
              </w:rPr>
              <w:t>FY2026 results, and every quarter after</w:t>
            </w:r>
          </w:p>
        </w:tc>
      </w:tr>
      <w:tr>
        <w:tc>
          <w:tcPr>
            <w:tcW w:type="dxa" w:w="2520"/>
          </w:tcPr>
          <w:p>
            <w:pPr>
              <w:spacing w:after="20"/>
            </w:pPr>
            <w:r>
              <w:rPr>
                <w:color w:val="1C3A36"/>
                <w:sz w:val="16"/>
              </w:rPr>
              <w:t>The FY2026 depreciation charge</w:t>
            </w:r>
          </w:p>
        </w:tc>
        <w:tc>
          <w:tcPr>
            <w:tcW w:type="dxa" w:w="5112"/>
          </w:tcPr>
          <w:p>
            <w:pPr>
              <w:spacing w:after="20"/>
              <w:jc w:val="right"/>
            </w:pPr>
            <w:r>
              <w:rPr>
                <w:color w:val="1C3A36"/>
                <w:sz w:val="16"/>
              </w:rPr>
              <w:t>this study assumes it steps from EGP 118 million to about EGP 304 million as the construction balance transfers. A materially smaller step means the plant is being commissioned more slowly than assumed</w:t>
            </w:r>
          </w:p>
        </w:tc>
        <w:tc>
          <w:tcPr>
            <w:tcW w:type="dxa" w:w="2304"/>
          </w:tcPr>
          <w:p>
            <w:pPr>
              <w:spacing w:after="20"/>
              <w:jc w:val="right"/>
            </w:pPr>
            <w:r>
              <w:rPr>
                <w:color w:val="1C3A36"/>
                <w:sz w:val="16"/>
              </w:rPr>
              <w:t>FY2026 results</w:t>
            </w:r>
          </w:p>
        </w:tc>
      </w:tr>
      <w:tr>
        <w:tc>
          <w:tcPr>
            <w:tcW w:type="dxa" w:w="2520"/>
          </w:tcPr>
          <w:p>
            <w:pPr>
              <w:spacing w:after="20"/>
            </w:pPr>
            <w:r>
              <w:rPr>
                <w:color w:val="1C3A36"/>
                <w:sz w:val="16"/>
              </w:rPr>
              <w:t>Whether capitalised interest stops</w:t>
            </w:r>
          </w:p>
        </w:tc>
        <w:tc>
          <w:tcPr>
            <w:tcW w:type="dxa" w:w="5112"/>
          </w:tcPr>
          <w:p>
            <w:pPr>
              <w:spacing w:after="20"/>
              <w:jc w:val="right"/>
            </w:pPr>
            <w:r>
              <w:rPr>
                <w:color w:val="1C3A36"/>
                <w:sz w:val="16"/>
              </w:rPr>
              <w:t>EGP 551 million of interest was capitalised in FY2025. The textbook consequence of the plant entering service is that this becomes an expense. It has NOT happened yet — the first quarter of 2026 ran financing expense DOWN 6.1% year on year — and this study charges the observed quarter, not the textbook. If the step does arrive it is worth about EGP 551 million a year of pre-tax profit</w:t>
            </w:r>
          </w:p>
        </w:tc>
        <w:tc>
          <w:tcPr>
            <w:tcW w:type="dxa" w:w="2304"/>
          </w:tcPr>
          <w:p>
            <w:pPr>
              <w:spacing w:after="20"/>
              <w:jc w:val="right"/>
            </w:pPr>
            <w:r>
              <w:rPr>
                <w:color w:val="1C3A36"/>
                <w:sz w:val="16"/>
              </w:rPr>
              <w:t>FY2026 interim and full year</w:t>
            </w:r>
          </w:p>
        </w:tc>
      </w:tr>
      <w:tr>
        <w:tc>
          <w:tcPr>
            <w:tcW w:type="dxa" w:w="2520"/>
          </w:tcPr>
          <w:p>
            <w:pPr>
              <w:spacing w:after="20"/>
            </w:pPr>
            <w:r>
              <w:rPr>
                <w:color w:val="1C3A36"/>
                <w:sz w:val="16"/>
              </w:rPr>
              <w:t>The credit-loss and provision charge</w:t>
            </w:r>
          </w:p>
        </w:tc>
        <w:tc>
          <w:tcPr>
            <w:tcW w:type="dxa" w:w="5112"/>
          </w:tcPr>
          <w:p>
            <w:pPr>
              <w:spacing w:after="20"/>
              <w:jc w:val="right"/>
            </w:pPr>
            <w:r>
              <w:rPr>
                <w:color w:val="1C3A36"/>
                <w:sz w:val="16"/>
              </w:rPr>
              <w:t>the study's contested judgement. The disclosed charge runs 5.07%, 9.25% and 5.23% of revenue across the three audited years — a three-year mean of 6.52% — and the first quarter of 2026 took none at all. Which frame the next two years resemble is worth more than a point of margin</w:t>
            </w:r>
          </w:p>
        </w:tc>
        <w:tc>
          <w:tcPr>
            <w:tcW w:type="dxa" w:w="2304"/>
          </w:tcPr>
          <w:p>
            <w:pPr>
              <w:spacing w:after="20"/>
              <w:jc w:val="right"/>
            </w:pPr>
            <w:r>
              <w:rPr>
                <w:color w:val="1C3A36"/>
                <w:sz w:val="16"/>
              </w:rPr>
              <w:t>each set of results</w:t>
            </w:r>
          </w:p>
        </w:tc>
      </w:tr>
      <w:tr>
        <w:tc>
          <w:tcPr>
            <w:tcW w:type="dxa" w:w="2520"/>
          </w:tcPr>
          <w:p>
            <w:pPr>
              <w:spacing w:after="20"/>
            </w:pPr>
            <w:r>
              <w:rPr>
                <w:color w:val="1C3A36"/>
                <w:sz w:val="16"/>
              </w:rPr>
              <w:t>The Saudi associate</w:t>
            </w:r>
          </w:p>
        </w:tc>
        <w:tc>
          <w:tcPr>
            <w:tcW w:type="dxa" w:w="5112"/>
          </w:tcPr>
          <w:p>
            <w:pPr>
              <w:spacing w:after="20"/>
              <w:jc w:val="right"/>
            </w:pPr>
            <w:r>
              <w:rPr>
                <w:color w:val="1C3A36"/>
                <w:sz w:val="16"/>
              </w:rPr>
              <w:t>note (33) attributes EGP 428 million of associate income to this one holding in FY2025 and EGP 190 million in FY2024. The FY2024 figure EXCEEDS the group associate line of EGP 151.6 million for that year, so the other holdings were a net drag of EGP 38.4 million — the individual disclosure and the group line are both reported here rather than one being quoted without the other. This study normalises the WHOLE associate stream to EGP 250 million against a three-year mean of EGP 246.1 million</w:t>
            </w:r>
          </w:p>
        </w:tc>
        <w:tc>
          <w:tcPr>
            <w:tcW w:type="dxa" w:w="2304"/>
          </w:tcPr>
          <w:p>
            <w:pPr>
              <w:spacing w:after="20"/>
              <w:jc w:val="right"/>
            </w:pPr>
            <w:r>
              <w:rPr>
                <w:color w:val="1C3A36"/>
                <w:sz w:val="16"/>
              </w:rPr>
              <w:t>each set of results</w:t>
            </w:r>
          </w:p>
        </w:tc>
      </w:tr>
      <w:tr>
        <w:tc>
          <w:tcPr>
            <w:tcW w:type="dxa" w:w="2520"/>
          </w:tcPr>
          <w:p>
            <w:pPr>
              <w:spacing w:after="20"/>
            </w:pPr>
            <w:r>
              <w:rPr>
                <w:color w:val="1C3A36"/>
                <w:sz w:val="16"/>
              </w:rPr>
              <w:t>The active-ingredient project</w:t>
            </w:r>
          </w:p>
        </w:tc>
        <w:tc>
          <w:tcPr>
            <w:tcW w:type="dxa" w:w="5112"/>
          </w:tcPr>
          <w:p>
            <w:pPr>
              <w:spacing w:after="20"/>
              <w:jc w:val="right"/>
            </w:pPr>
            <w:r>
              <w:rPr>
                <w:color w:val="1C3A36"/>
                <w:sz w:val="16"/>
              </w:rPr>
              <w:t>a separate USD 165 million company that this study does NOT consolidate and does NOT value. It reaches the accounts only through the associate line</w:t>
            </w:r>
          </w:p>
        </w:tc>
        <w:tc>
          <w:tcPr>
            <w:tcW w:type="dxa" w:w="2304"/>
          </w:tcPr>
          <w:p>
            <w:pPr>
              <w:spacing w:after="20"/>
              <w:jc w:val="right"/>
            </w:pPr>
            <w:r>
              <w:rPr>
                <w:color w:val="1C3A36"/>
                <w:sz w:val="16"/>
              </w:rPr>
              <w:t>trial batches indicated for 2027</w:t>
            </w:r>
          </w:p>
        </w:tc>
      </w:tr>
      <w:tr>
        <w:tc>
          <w:tcPr>
            <w:tcW w:type="dxa" w:w="2520"/>
          </w:tcPr>
          <w:p>
            <w:pPr>
              <w:spacing w:after="20"/>
            </w:pPr>
            <w:r>
              <w:rPr>
                <w:color w:val="1C3A36"/>
                <w:sz w:val="16"/>
              </w:rPr>
              <w:t>The exchange rate</w:t>
            </w:r>
          </w:p>
        </w:tc>
        <w:tc>
          <w:tcPr>
            <w:tcW w:type="dxa" w:w="5112"/>
          </w:tcPr>
          <w:p>
            <w:pPr>
              <w:spacing w:after="20"/>
              <w:jc w:val="right"/>
            </w:pPr>
            <w:r>
              <w:rPr>
                <w:color w:val="1C3A36"/>
                <w:sz w:val="16"/>
              </w:rPr>
              <w:t>exports are 32% of revenue but hard-currency inputs are 68.4% of the disclosed cost stack — the imported active ingredient plus the imported SHARE of packaging, not the whole packaging line, because the group makes its own primary packaging. So a weaker pound is a NET NEGATIVE for this company, the opposite of the usual exporter reflex</w:t>
            </w:r>
          </w:p>
        </w:tc>
        <w:tc>
          <w:tcPr>
            <w:tcW w:type="dxa" w:w="2304"/>
          </w:tcPr>
          <w:p>
            <w:pPr>
              <w:spacing w:after="20"/>
              <w:jc w:val="right"/>
            </w:pPr>
            <w:r>
              <w:rPr>
                <w:color w:val="1C3A36"/>
                <w:sz w:val="16"/>
              </w:rPr>
              <w:t>continuous</w:t>
            </w:r>
          </w:p>
        </w:tc>
      </w:tr>
    </w:tbl>
    <w:p>
      <w:pPr>
        <w:spacing w:after="40"/>
      </w:pPr>
    </w:p>
    <w:p>
      <w:pPr>
        <w:spacing w:after="200" w:before="0"/>
      </w:pPr>
      <w:r>
        <w:rPr>
          <w:b w:val="0"/>
          <w:i/>
          <w:color w:val="6E7B77"/>
          <w:sz w:val="17"/>
        </w:rPr>
        <w:t>Table 17 — the events that would move this valuation, and the direction each cuts.</w:t>
      </w:r>
    </w:p>
    <w:p>
      <w:pPr>
        <w:spacing w:after="120" w:before="280"/>
      </w:pPr>
      <w:r>
        <w:rPr>
          <w:b/>
          <w:i w:val="0"/>
          <w:color w:val="1C3A36"/>
          <w:sz w:val="30"/>
        </w:rPr>
        <w:t>6. Reading the probability zones</w:t>
      </w:r>
    </w:p>
    <w:p>
      <w:pPr>
        <w:spacing w:after="120" w:before="0"/>
      </w:pPr>
      <w:r>
        <w:rPr>
          <w:b w:val="0"/>
          <w:i w:val="0"/>
          <w:color w:val="1C3A36"/>
          <w:sz w:val="21"/>
        </w:rPr>
        <w:t>The bands in section 3 are frequently misread, so here is how to use them.</w:t>
      </w:r>
    </w:p>
    <w:p>
      <w:pPr>
        <w:pStyle w:val="ListBullet"/>
        <w:spacing w:after="60"/>
      </w:pPr>
      <w:r>
        <w:rPr>
          <w:b/>
          <w:color w:val="1C3A36"/>
          <w:sz w:val="21"/>
        </w:rPr>
        <w:t xml:space="preserve">The percentile map </w:t>
      </w:r>
      <w:r>
        <w:rPr>
          <w:color w:val="1C3A36"/>
          <w:sz w:val="21"/>
        </w:rPr>
        <w:t>is the probability that the price ENDS the window beyond a level. It is what a position held to the check date experiences.</w:t>
      </w:r>
    </w:p>
    <w:p>
      <w:pPr>
        <w:pStyle w:val="ListBullet"/>
        <w:spacing w:after="60"/>
      </w:pPr>
      <w:r>
        <w:rPr>
          <w:b/>
          <w:color w:val="1C3A36"/>
          <w:sz w:val="21"/>
        </w:rPr>
        <w:t xml:space="preserve">The touch ladder </w:t>
      </w:r>
      <w:r>
        <w:rPr>
          <w:color w:val="1C3A36"/>
          <w:sz w:val="21"/>
        </w:rPr>
        <w:t>is the probability that the price TOUCHES a level at any point inside the window, even if it comes back. It is always the larger of the two, and it is what a stop-loss experiences. On the three-month window the difference is substantial: 23% of paths finish 10% or more below the anchor, but 48% touch that level at some point.</w:t>
      </w:r>
    </w:p>
    <w:p>
      <w:pPr>
        <w:pStyle w:val="ListBullet"/>
        <w:spacing w:after="60"/>
      </w:pPr>
      <w:r>
        <w:rPr>
          <w:b/>
          <w:color w:val="1C3A36"/>
          <w:sz w:val="21"/>
        </w:rPr>
        <w:t xml:space="preserve">A band is not a limit: </w:t>
      </w:r>
      <w:r>
        <w:rPr>
          <w:color w:val="1C3A36"/>
          <w:sz w:val="21"/>
        </w:rPr>
        <w:t>the 90% band is not a maximum. One outcome in ten is designed to fall outside it, and over a long enough run one will.</w:t>
      </w:r>
    </w:p>
    <w:p>
      <w:pPr>
        <w:pStyle w:val="ListBullet"/>
        <w:spacing w:after="60"/>
      </w:pPr>
      <w:r>
        <w:rPr>
          <w:b/>
          <w:color w:val="1C3A36"/>
          <w:sz w:val="21"/>
        </w:rPr>
        <w:t xml:space="preserve">Width is information: </w:t>
      </w:r>
      <w:r>
        <w:rPr>
          <w:color w:val="1C3A36"/>
          <w:sz w:val="21"/>
        </w:rPr>
        <w:t>the bands here are wide — the three-month 90% band runs from EGP 94.40 to EGP 193.82 — because this share has been genuinely volatile: the annualised volatility implied by its recent trading is about 54%. A narrow band on a share that moved 44% in two sessions would be a lie.</w:t>
      </w:r>
    </w:p>
    <w:p>
      <w:pPr>
        <w:pStyle w:val="ListBullet"/>
        <w:spacing w:after="60"/>
      </w:pPr>
      <w:r>
        <w:rPr>
          <w:b/>
          <w:color w:val="1C3A36"/>
          <w:sz w:val="21"/>
        </w:rPr>
        <w:t xml:space="preserve">These are not a valuation: </w:t>
      </w:r>
      <w:r>
        <w:rPr>
          <w:color w:val="1C3A36"/>
          <w:sz w:val="21"/>
        </w:rPr>
        <w:t>the bands describe where the PRICE may go. The valuation describes what the BUSINESS appears to be worth. They are different questions and this study keeps them apart on purpose. BOTH fundamental centres — EGP 33.00 and EGP 49.68 — sit below the entire three-month band, and that is worth noticing rather than reconciling away.</w:t>
      </w:r>
    </w:p>
    <w:p>
      <w:pPr>
        <w:spacing w:after="120" w:before="280"/>
      </w:pPr>
      <w:r>
        <w:rPr>
          <w:b/>
          <w:i w:val="0"/>
          <w:color w:val="1C3A36"/>
          <w:sz w:val="30"/>
        </w:rPr>
        <w:t>7. Caveats, and what would change our mind</w:t>
      </w:r>
    </w:p>
    <w:p>
      <w:pPr>
        <w:spacing w:after="80" w:before="200"/>
      </w:pPr>
      <w:r>
        <w:rPr>
          <w:b/>
          <w:i w:val="0"/>
          <w:color w:val="1C3A36"/>
          <w:sz w:val="24"/>
        </w:rPr>
        <w:t>7.1 What changed in this edition, and by how much</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888"/>
        <w:gridCol w:w="6048"/>
      </w:tblGrid>
      <w:tr>
        <w:tc>
          <w:tcPr>
            <w:tcW w:type="dxa" w:w="3888"/>
            <w:shd w:val="clear" w:color="auto" w:fill="EAF0EE"/>
          </w:tcPr>
          <w:p>
            <w:pPr>
              <w:spacing w:after="20"/>
            </w:pPr>
            <w:r>
              <w:rPr>
                <w:b/>
                <w:color w:val="1C3A36"/>
                <w:sz w:val="16"/>
              </w:rPr>
              <w:t>Change</w:t>
            </w:r>
          </w:p>
        </w:tc>
        <w:tc>
          <w:tcPr>
            <w:tcW w:type="dxa" w:w="6048"/>
            <w:shd w:val="clear" w:color="auto" w:fill="EAF0EE"/>
          </w:tcPr>
          <w:p>
            <w:pPr>
              <w:spacing w:after="20"/>
            </w:pPr>
            <w:r>
              <w:rPr>
                <w:b/>
                <w:color w:val="1C3A36"/>
                <w:sz w:val="16"/>
              </w:rPr>
              <w:t>Effect</w:t>
            </w:r>
          </w:p>
        </w:tc>
      </w:tr>
      <w:tr>
        <w:tc>
          <w:tcPr>
            <w:tcW w:type="dxa" w:w="3888"/>
          </w:tcPr>
          <w:p>
            <w:pPr>
              <w:spacing w:after="20"/>
            </w:pPr>
            <w:r>
              <w:rPr>
                <w:color w:val="1C3A36"/>
                <w:sz w:val="16"/>
              </w:rPr>
              <w:t>FY2026 revenue growth reset from 17.5% to the quarter's 10.1%</w:t>
            </w:r>
          </w:p>
        </w:tc>
        <w:tc>
          <w:tcPr>
            <w:tcW w:type="dxa" w:w="6048"/>
          </w:tcPr>
          <w:p>
            <w:pPr>
              <w:spacing w:after="20"/>
              <w:jc w:val="right"/>
            </w:pPr>
            <w:r>
              <w:rPr>
                <w:color w:val="1C3A36"/>
                <w:sz w:val="16"/>
              </w:rPr>
              <w:t>the largest single change; it lowers the base every later year compounds from</w:t>
            </w:r>
          </w:p>
        </w:tc>
      </w:tr>
      <w:tr>
        <w:tc>
          <w:tcPr>
            <w:tcW w:type="dxa" w:w="3888"/>
          </w:tcPr>
          <w:p>
            <w:pPr>
              <w:spacing w:after="20"/>
            </w:pPr>
            <w:r>
              <w:rPr>
                <w:color w:val="1C3A36"/>
                <w:sz w:val="16"/>
              </w:rPr>
              <w:t>FY2026 capital expenditure raised to the quarter's run-rate</w:t>
            </w:r>
          </w:p>
        </w:tc>
        <w:tc>
          <w:tcPr>
            <w:tcW w:type="dxa" w:w="6048"/>
          </w:tcPr>
          <w:p>
            <w:pPr>
              <w:spacing w:after="20"/>
              <w:jc w:val="right"/>
            </w:pPr>
            <w:r>
              <w:rPr>
                <w:color w:val="1C3A36"/>
                <w:sz w:val="16"/>
              </w:rPr>
              <w:t>more cash out of free cash flow in the first forecast year</w:t>
            </w:r>
          </w:p>
        </w:tc>
      </w:tr>
      <w:tr>
        <w:tc>
          <w:tcPr>
            <w:tcW w:type="dxa" w:w="3888"/>
          </w:tcPr>
          <w:p>
            <w:pPr>
              <w:spacing w:after="20"/>
            </w:pPr>
            <w:r>
              <w:rPr>
                <w:color w:val="1C3A36"/>
                <w:sz w:val="16"/>
              </w:rPr>
              <w:t>Finance cost charged to profit reset to the quarter, and separated from the marginal cost of debt used in the discount rate</w:t>
            </w:r>
          </w:p>
        </w:tc>
        <w:tc>
          <w:tcPr>
            <w:tcW w:type="dxa" w:w="6048"/>
          </w:tcPr>
          <w:p>
            <w:pPr>
              <w:spacing w:after="20"/>
              <w:jc w:val="right"/>
            </w:pPr>
            <w:r>
              <w:rPr>
                <w:color w:val="1C3A36"/>
                <w:sz w:val="16"/>
              </w:rPr>
              <w:t>raises forecast earnings; the two were being conflated and are now distinct rows</w:t>
            </w:r>
          </w:p>
        </w:tc>
      </w:tr>
      <w:tr>
        <w:tc>
          <w:tcPr>
            <w:tcW w:type="dxa" w:w="3888"/>
          </w:tcPr>
          <w:p>
            <w:pPr>
              <w:spacing w:after="20"/>
            </w:pPr>
            <w:r>
              <w:rPr>
                <w:color w:val="1C3A36"/>
                <w:sz w:val="16"/>
              </w:rPr>
              <w:t>Normalised associate contribution cut from EGP 320m to EGP 250m, the like-for-like three-year average</w:t>
            </w:r>
          </w:p>
        </w:tc>
        <w:tc>
          <w:tcPr>
            <w:tcW w:type="dxa" w:w="6048"/>
          </w:tcPr>
          <w:p>
            <w:pPr>
              <w:spacing w:after="20"/>
              <w:jc w:val="right"/>
            </w:pPr>
            <w:r>
              <w:rPr>
                <w:color w:val="1C3A36"/>
                <w:sz w:val="16"/>
              </w:rPr>
              <w:t>lowers the bridge; the quarter reported only EGP 13.1m, but the auditor states the associates' statements were not received, so it is not decisive</w:t>
            </w:r>
          </w:p>
        </w:tc>
      </w:tr>
      <w:tr>
        <w:tc>
          <w:tcPr>
            <w:tcW w:type="dxa" w:w="3888"/>
          </w:tcPr>
          <w:p>
            <w:pPr>
              <w:spacing w:after="20"/>
            </w:pPr>
            <w:r>
              <w:rPr>
                <w:color w:val="1C3A36"/>
                <w:sz w:val="16"/>
              </w:rPr>
              <w:t>The active-ingredient company added to the bridge at carrying cost, and the non-controlling interest deducted there replaced with the post-deconsolidation figure</w:t>
            </w:r>
          </w:p>
        </w:tc>
        <w:tc>
          <w:tcPr>
            <w:tcW w:type="dxa" w:w="6048"/>
          </w:tcPr>
          <w:p>
            <w:pPr>
              <w:spacing w:after="20"/>
              <w:jc w:val="right"/>
            </w:pPr>
            <w:r>
              <w:rPr>
                <w:color w:val="1C3A36"/>
                <w:sz w:val="16"/>
              </w:rPr>
              <w:t>both POSITIVE, and they are two halves of one event: that company left the consolidation in the quarter, taking EGP 284.7m of minorities out and adding EGP 228.5m of associate carrying value</w:t>
            </w:r>
          </w:p>
        </w:tc>
      </w:tr>
      <w:tr>
        <w:tc>
          <w:tcPr>
            <w:tcW w:type="dxa" w:w="3888"/>
          </w:tcPr>
          <w:p>
            <w:pPr>
              <w:spacing w:after="20"/>
            </w:pPr>
            <w:r>
              <w:rPr>
                <w:color w:val="1C3A36"/>
                <w:sz w:val="16"/>
              </w:rPr>
              <w:t>Dividend-distribution tax given its own line in all three history years, following the separately issued statements</w:t>
            </w:r>
          </w:p>
        </w:tc>
        <w:tc>
          <w:tcPr>
            <w:tcW w:type="dxa" w:w="6048"/>
          </w:tcPr>
          <w:p>
            <w:pPr>
              <w:spacing w:after="20"/>
              <w:jc w:val="right"/>
            </w:pPr>
            <w:r>
              <w:rPr>
                <w:color w:val="1C3A36"/>
                <w:sz w:val="16"/>
              </w:rPr>
              <w:t>lifts FY2023 operating profit by EGP 4.1m (0.34%); worth about EGP 0.12 a share</w:t>
            </w:r>
          </w:p>
        </w:tc>
      </w:tr>
      <w:tr>
        <w:tc>
          <w:tcPr>
            <w:tcW w:type="dxa" w:w="3888"/>
            <w:shd w:val="clear" w:color="auto" w:fill="F6F1E6"/>
          </w:tcPr>
          <w:p>
            <w:pPr>
              <w:spacing w:after="20"/>
            </w:pPr>
            <w:r>
              <w:rPr>
                <w:b/>
                <w:color w:val="1C3A36"/>
                <w:sz w:val="16"/>
              </w:rPr>
              <w:t>THE SINGLE WEIGHTED CENTRE IS WITHDRAWN</w:t>
            </w:r>
          </w:p>
        </w:tc>
        <w:tc>
          <w:tcPr>
            <w:tcW w:type="dxa" w:w="6048"/>
            <w:shd w:val="clear" w:color="auto" w:fill="F6F1E6"/>
          </w:tcPr>
          <w:p>
            <w:pPr>
              <w:spacing w:after="20"/>
              <w:jc w:val="right"/>
            </w:pPr>
            <w:r>
              <w:rPr>
                <w:b/>
                <w:color w:val="1C3A36"/>
                <w:sz w:val="16"/>
              </w:rPr>
              <w:t>the first edition weighted Frame A and Frame B at a quarter each inside one number. Weighting both frames inside one number IS averaging them, which this study says five times that it never does. Each frame now carries the cash-flow weight in full, on its own, and TWO centres are published</w:t>
            </w:r>
          </w:p>
        </w:tc>
      </w:tr>
      <w:tr>
        <w:tc>
          <w:tcPr>
            <w:tcW w:type="dxa" w:w="3888"/>
          </w:tcPr>
          <w:p>
            <w:pPr>
              <w:spacing w:after="20"/>
            </w:pPr>
            <w:r>
              <w:rPr>
                <w:color w:val="1C3A36"/>
                <w:sz w:val="16"/>
              </w:rPr>
              <w:t>The terminal return on invested capital is now COMPUTED, not assumed</w:t>
            </w:r>
          </w:p>
        </w:tc>
        <w:tc>
          <w:tcPr>
            <w:tcW w:type="dxa" w:w="6048"/>
          </w:tcPr>
          <w:p>
            <w:pPr>
              <w:spacing w:after="20"/>
              <w:jc w:val="right"/>
            </w:pPr>
            <w:r>
              <w:rPr>
                <w:color w:val="1C3A36"/>
                <w:sz w:val="16"/>
              </w:rPr>
              <w:t>it was asserted at 20% against a forecast that reaches 12.73% in FY2030E. It now READS the model's own final year, so terminal reinvestment rises from 25.0% to 55.0% of terminal operating profit after tax</w:t>
            </w:r>
          </w:p>
        </w:tc>
      </w:tr>
      <w:tr>
        <w:tc>
          <w:tcPr>
            <w:tcW w:type="dxa" w:w="3888"/>
          </w:tcPr>
          <w:p>
            <w:pPr>
              <w:spacing w:after="20"/>
            </w:pPr>
            <w:r>
              <w:rPr>
                <w:color w:val="1C3A36"/>
                <w:sz w:val="16"/>
              </w:rPr>
              <w:t>The terminal year is charged the depreciation the forecast never charged</w:t>
            </w:r>
          </w:p>
        </w:tc>
        <w:tc>
          <w:tcPr>
            <w:tcW w:type="dxa" w:w="6048"/>
          </w:tcPr>
          <w:p>
            <w:pPr>
              <w:spacing w:after="20"/>
              <w:jc w:val="right"/>
            </w:pPr>
            <w:r>
              <w:rPr>
                <w:color w:val="1C3A36"/>
                <w:sz w:val="16"/>
              </w:rPr>
              <w:t>EGP 3,108 million of construction is still parked at FY2030E and had never entered the depreciable base. A perpetuity cannot capitalise profit on capital it never charges, so EGP 193 million a year is now deducted before the terminal value is struck</w:t>
            </w:r>
          </w:p>
        </w:tc>
      </w:tr>
      <w:tr>
        <w:tc>
          <w:tcPr>
            <w:tcW w:type="dxa" w:w="3888"/>
          </w:tcPr>
          <w:p>
            <w:pPr>
              <w:spacing w:after="20"/>
            </w:pPr>
            <w:r>
              <w:rPr>
                <w:color w:val="1C3A36"/>
                <w:sz w:val="16"/>
              </w:rPr>
              <w:t>The terminal debt weight is now DERIVED and published on both bases</w:t>
            </w:r>
          </w:p>
        </w:tc>
        <w:tc>
          <w:tcPr>
            <w:tcW w:type="dxa" w:w="6048"/>
          </w:tcPr>
          <w:p>
            <w:pPr>
              <w:spacing w:after="20"/>
              <w:jc w:val="right"/>
            </w:pPr>
            <w:r>
              <w:rPr>
                <w:color w:val="1C3A36"/>
                <w:sz w:val="16"/>
              </w:rPr>
              <w:t>it was 20%, described as reconciled to the forecast balance sheet. It reconciled to neither reading of that sheet: 25.5% on today's market values, 47.9% on the funded forecast book. The market reading is used and both are shown</w:t>
            </w:r>
          </w:p>
        </w:tc>
      </w:tr>
      <w:tr>
        <w:tc>
          <w:tcPr>
            <w:tcW w:type="dxa" w:w="3888"/>
          </w:tcPr>
          <w:p>
            <w:pPr>
              <w:spacing w:after="20"/>
            </w:pPr>
            <w:r>
              <w:rPr>
                <w:color w:val="1C3A36"/>
                <w:sz w:val="16"/>
              </w:rPr>
              <w:t>Free cash flow is taxed at the EFFECTIVE rate, not the statutory rate</w:t>
            </w:r>
          </w:p>
        </w:tc>
        <w:tc>
          <w:tcPr>
            <w:tcW w:type="dxa" w:w="6048"/>
          </w:tcPr>
          <w:p>
            <w:pPr>
              <w:spacing w:after="20"/>
              <w:jc w:val="right"/>
            </w:pPr>
            <w:r>
              <w:rPr>
                <w:color w:val="1C3A36"/>
                <w:sz w:val="16"/>
              </w:rPr>
              <w:t>the model conceded a 23.5% effective burden in one place and applied 22.5% in the cash-flow engine. One rate now runs both</w:t>
            </w:r>
          </w:p>
        </w:tc>
      </w:tr>
      <w:tr>
        <w:tc>
          <w:tcPr>
            <w:tcW w:type="dxa" w:w="3888"/>
          </w:tcPr>
          <w:p>
            <w:pPr>
              <w:spacing w:after="20"/>
            </w:pPr>
            <w:r>
              <w:rPr>
                <w:color w:val="1C3A36"/>
                <w:sz w:val="16"/>
              </w:rPr>
              <w:t>The forecast balance sheet is FUNDED and now balances</w:t>
            </w:r>
          </w:p>
        </w:tc>
        <w:tc>
          <w:tcPr>
            <w:tcW w:type="dxa" w:w="6048"/>
          </w:tcPr>
          <w:p>
            <w:pPr>
              <w:spacing w:after="20"/>
              <w:jc w:val="right"/>
            </w:pPr>
            <w:r>
              <w:rPr>
                <w:color w:val="1C3A36"/>
                <w:sz w:val="16"/>
              </w:rPr>
              <w:t>cash and gross borrowings were frozen at their audited levels for five years while equity compounded, so the statement was out by up to 6.6% of total assets and no balance check was ever computed. Gross borrowings are now the funding plug, a total liabilities-and-equity row and a balance check have been added, and both are zero in every forecast column</w:t>
            </w:r>
          </w:p>
        </w:tc>
      </w:tr>
      <w:tr>
        <w:tc>
          <w:tcPr>
            <w:tcW w:type="dxa" w:w="3888"/>
          </w:tcPr>
          <w:p>
            <w:pPr>
              <w:spacing w:after="20"/>
            </w:pPr>
            <w:r>
              <w:rPr>
                <w:color w:val="1C3A36"/>
                <w:sz w:val="16"/>
              </w:rPr>
              <w:t>The trailing multiples are applied to TRAILING earnings</w:t>
            </w:r>
          </w:p>
        </w:tc>
        <w:tc>
          <w:tcPr>
            <w:tcW w:type="dxa" w:w="6048"/>
          </w:tcPr>
          <w:p>
            <w:pPr>
              <w:spacing w:after="20"/>
              <w:jc w:val="right"/>
            </w:pPr>
            <w:r>
              <w:rPr>
                <w:color w:val="1C3A36"/>
                <w:sz w:val="16"/>
              </w:rPr>
              <w:t>two of the three legs of the relative lens were labelled trailing and applied to FY2026E earnings, which are BELOW trailing because of the depreciation step. Each leg now takes the earnings of its own period</w:t>
            </w:r>
          </w:p>
        </w:tc>
      </w:tr>
      <w:tr>
        <w:tc>
          <w:tcPr>
            <w:tcW w:type="dxa" w:w="3888"/>
          </w:tcPr>
          <w:p>
            <w:pPr>
              <w:spacing w:after="20"/>
            </w:pPr>
            <w:r>
              <w:rPr>
                <w:color w:val="1C3A36"/>
                <w:sz w:val="16"/>
              </w:rPr>
              <w:t>The peer anchor is relabelled a struck reference and moved to the midpoint</w:t>
            </w:r>
          </w:p>
        </w:tc>
        <w:tc>
          <w:tcPr>
            <w:tcW w:type="dxa" w:w="6048"/>
          </w:tcPr>
          <w:p>
            <w:pPr>
              <w:spacing w:after="20"/>
              <w:jc w:val="right"/>
            </w:pPr>
            <w:r>
              <w:rPr>
                <w:color w:val="1C3A36"/>
                <w:sz w:val="16"/>
              </w:rPr>
              <w:t>it was called a peer median at 19.5 times. Only two observations are disclosed, 26.7x and 16.0x, whose midpoint is 21.35x. It is now that midpoint and it is not called a median</w:t>
            </w:r>
          </w:p>
        </w:tc>
      </w:tr>
      <w:tr>
        <w:tc>
          <w:tcPr>
            <w:tcW w:type="dxa" w:w="3888"/>
          </w:tcPr>
          <w:p>
            <w:pPr>
              <w:spacing w:after="20"/>
            </w:pPr>
            <w:r>
              <w:rPr>
                <w:color w:val="1C3A36"/>
                <w:sz w:val="16"/>
              </w:rPr>
              <w:t>The risk-free rate and the share price are struck on ONE date</w:t>
            </w:r>
          </w:p>
        </w:tc>
        <w:tc>
          <w:tcPr>
            <w:tcW w:type="dxa" w:w="6048"/>
          </w:tcPr>
          <w:p>
            <w:pPr>
              <w:spacing w:after="20"/>
              <w:jc w:val="right"/>
            </w:pPr>
            <w:r>
              <w:rPr>
                <w:color w:val="1C3A36"/>
                <w:sz w:val="16"/>
              </w:rPr>
              <w:t>the yield carried a 21 July 2026 print against a 6 August 2026 share price. Both are now 6 August, and the country-risk dataset moves to its mid-year vintage</w:t>
            </w:r>
          </w:p>
        </w:tc>
      </w:tr>
      <w:tr>
        <w:tc>
          <w:tcPr>
            <w:tcW w:type="dxa" w:w="3888"/>
          </w:tcPr>
          <w:p>
            <w:pPr>
              <w:spacing w:after="20"/>
            </w:pPr>
            <w:r>
              <w:rPr>
                <w:color w:val="1C3A36"/>
                <w:sz w:val="16"/>
              </w:rPr>
              <w:t>The sustainable return and the book lens are live in the workbook</w:t>
            </w:r>
          </w:p>
        </w:tc>
        <w:tc>
          <w:tcPr>
            <w:tcW w:type="dxa" w:w="6048"/>
          </w:tcPr>
          <w:p>
            <w:pPr>
              <w:spacing w:after="20"/>
              <w:jc w:val="right"/>
            </w:pPr>
            <w:r>
              <w:rPr>
                <w:color w:val="1C3A36"/>
                <w:sz w:val="16"/>
              </w:rPr>
              <w:t>the book-value lens was a constant multiple typed inside a formula, so that lens did not move for any driver. Both the multiple and the return behind it now read the forecast</w:t>
            </w:r>
          </w:p>
        </w:tc>
      </w:tr>
      <w:tr>
        <w:tc>
          <w:tcPr>
            <w:tcW w:type="dxa" w:w="3888"/>
          </w:tcPr>
          <w:p>
            <w:pPr>
              <w:spacing w:after="20"/>
            </w:pPr>
            <w:r>
              <w:rPr>
                <w:color w:val="1C3A36"/>
                <w:sz w:val="16"/>
              </w:rPr>
              <w:t>The appendix income statement prints what the model computes</w:t>
            </w:r>
          </w:p>
        </w:tc>
        <w:tc>
          <w:tcPr>
            <w:tcW w:type="dxa" w:w="6048"/>
          </w:tcPr>
          <w:p>
            <w:pPr>
              <w:spacing w:after="20"/>
              <w:jc w:val="right"/>
            </w:pPr>
            <w:r>
              <w:rPr>
                <w:color w:val="1C3A36"/>
                <w:sz w:val="16"/>
              </w:rPr>
              <w:t>its attributable-profit row printed retained earnings and its finance-cost row was a first-edition artefact. Both now come from the model rows the valuation uses</w:t>
            </w:r>
          </w:p>
        </w:tc>
      </w:tr>
      <w:tr>
        <w:tc>
          <w:tcPr>
            <w:tcW w:type="dxa" w:w="3888"/>
          </w:tcPr>
          <w:p>
            <w:pPr>
              <w:spacing w:after="20"/>
            </w:pPr>
            <w:r>
              <w:rPr>
                <w:color w:val="1C3A36"/>
                <w:sz w:val="16"/>
              </w:rPr>
              <w:t>The terminal is fed the LAST forecast year’s cash flow, not a year already grown</w:t>
            </w:r>
          </w:p>
        </w:tc>
        <w:tc>
          <w:tcPr>
            <w:tcW w:type="dxa" w:w="6048"/>
          </w:tcPr>
          <w:p>
            <w:pPr>
              <w:spacing w:after="20"/>
              <w:jc w:val="right"/>
            </w:pPr>
            <w:r>
              <w:rPr>
                <w:color w:val="1C3A36"/>
                <w:sz w:val="16"/>
              </w:rPr>
              <w:t>the terminal formula grows the free cash flow one year itself and values the result at the end of the last forecast year, which is where the discount factor lands it. The profit, the depreciation and the working capital handed to it had already been grown once, so the terminal capitalised a flow a year further out than the factor it was discounted at. Correcting it lowers the terminal by -7.2% on Frame A and -7.0% on Frame B, and the value per share by -9.9% and -8.4% — the larger share effect is gearing, not a second change</w:t>
            </w:r>
          </w:p>
        </w:tc>
      </w:tr>
      <w:tr>
        <w:tc>
          <w:tcPr>
            <w:tcW w:type="dxa" w:w="3888"/>
            <w:shd w:val="clear" w:color="auto" w:fill="F6F1E6"/>
          </w:tcPr>
          <w:p>
            <w:pPr>
              <w:spacing w:after="20"/>
            </w:pPr>
            <w:r>
              <w:rPr>
                <w:b/>
                <w:color w:val="1C3A36"/>
                <w:sz w:val="16"/>
              </w:rPr>
              <w:t>NET EFFECT ON THE CENTRE</w:t>
            </w:r>
          </w:p>
        </w:tc>
        <w:tc>
          <w:tcPr>
            <w:tcW w:type="dxa" w:w="6048"/>
            <w:shd w:val="clear" w:color="auto" w:fill="F6F1E6"/>
          </w:tcPr>
          <w:p>
            <w:pPr>
              <w:spacing w:after="20"/>
              <w:jc w:val="right"/>
            </w:pPr>
            <w:r>
              <w:rPr>
                <w:b/>
                <w:color w:val="1C3A36"/>
                <w:sz w:val="16"/>
              </w:rPr>
              <w:t>a single EGP 79.64 becomes a PAIR: EGP 33.00 on Frame A (-59%) and EGP 49.68 on Frame B (-38%)</w:t>
            </w:r>
          </w:p>
        </w:tc>
      </w:tr>
    </w:tbl>
    <w:p>
      <w:pPr>
        <w:spacing w:after="40"/>
      </w:pPr>
    </w:p>
    <w:p>
      <w:pPr>
        <w:spacing w:after="200" w:before="0"/>
      </w:pPr>
      <w:r>
        <w:rPr>
          <w:b w:val="0"/>
          <w:i/>
          <w:color w:val="6E7B77"/>
          <w:sz w:val="17"/>
        </w:rPr>
        <w:t>Table 18 — every change from the first edition, and its direction.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736"/>
        <w:gridCol w:w="4824"/>
        <w:gridCol w:w="2376"/>
      </w:tblGrid>
      <w:tr>
        <w:tc>
          <w:tcPr>
            <w:tcW w:type="dxa" w:w="2736"/>
            <w:shd w:val="clear" w:color="auto" w:fill="EAF0EE"/>
          </w:tcPr>
          <w:p>
            <w:pPr>
              <w:spacing w:after="20"/>
            </w:pPr>
            <w:r>
              <w:rPr>
                <w:b/>
                <w:color w:val="1C3A36"/>
                <w:sz w:val="16"/>
              </w:rPr>
              <w:t>Caveat</w:t>
            </w:r>
          </w:p>
        </w:tc>
        <w:tc>
          <w:tcPr>
            <w:tcW w:type="dxa" w:w="4824"/>
            <w:shd w:val="clear" w:color="auto" w:fill="EAF0EE"/>
          </w:tcPr>
          <w:p>
            <w:pPr>
              <w:spacing w:after="20"/>
            </w:pPr>
            <w:r>
              <w:rPr>
                <w:b/>
                <w:color w:val="1C3A36"/>
                <w:sz w:val="16"/>
              </w:rPr>
              <w:t>What it costs the study</w:t>
            </w:r>
          </w:p>
        </w:tc>
        <w:tc>
          <w:tcPr>
            <w:tcW w:type="dxa" w:w="2376"/>
            <w:shd w:val="clear" w:color="auto" w:fill="EAF0EE"/>
          </w:tcPr>
          <w:p>
            <w:pPr>
              <w:spacing w:after="20"/>
            </w:pPr>
            <w:r>
              <w:rPr>
                <w:b/>
                <w:color w:val="1C3A36"/>
                <w:sz w:val="16"/>
              </w:rPr>
              <w:t>What would settle it</w:t>
            </w:r>
          </w:p>
        </w:tc>
      </w:tr>
      <w:tr>
        <w:tc>
          <w:tcPr>
            <w:tcW w:type="dxa" w:w="2736"/>
          </w:tcPr>
          <w:p>
            <w:pPr>
              <w:spacing w:after="20"/>
            </w:pPr>
            <w:r>
              <w:rPr>
                <w:color w:val="1C3A36"/>
                <w:sz w:val="16"/>
              </w:rPr>
              <w:t>The first-quarter review conclusion is QUALIFIED on three matters</w:t>
            </w:r>
          </w:p>
        </w:tc>
        <w:tc>
          <w:tcPr>
            <w:tcW w:type="dxa" w:w="4824"/>
          </w:tcPr>
          <w:p>
            <w:pPr>
              <w:spacing w:after="20"/>
              <w:jc w:val="right"/>
            </w:pPr>
            <w:r>
              <w:rPr>
                <w:color w:val="1C3A36"/>
                <w:sz w:val="16"/>
              </w:rPr>
              <w:t>no expected-credit-loss charge was recognised in the quarter; the associates' own statements were not received; and the active-ingredient company was recognised at cost after loss of control rather than remeasured and equity-accounted. The first flatters the quarter's profit, the second makes the associate line incomplete, the third is a measurement question this study side-steps by carrying that company at cost</w:t>
            </w:r>
          </w:p>
        </w:tc>
        <w:tc>
          <w:tcPr>
            <w:tcW w:type="dxa" w:w="2376"/>
          </w:tcPr>
          <w:p>
            <w:pPr>
              <w:spacing w:after="20"/>
              <w:jc w:val="right"/>
            </w:pPr>
            <w:r>
              <w:rPr>
                <w:color w:val="1C3A36"/>
                <w:sz w:val="16"/>
              </w:rPr>
              <w:t>an unqualified half-year review</w:t>
            </w:r>
          </w:p>
        </w:tc>
      </w:tr>
      <w:tr>
        <w:tc>
          <w:tcPr>
            <w:tcW w:type="dxa" w:w="2736"/>
          </w:tcPr>
          <w:p>
            <w:pPr>
              <w:spacing w:after="20"/>
            </w:pPr>
            <w:r>
              <w:rPr>
                <w:color w:val="1C3A36"/>
                <w:sz w:val="16"/>
              </w:rPr>
              <w:t>No revenue is modelled for the biologicals plant</w:t>
            </w:r>
          </w:p>
        </w:tc>
        <w:tc>
          <w:tcPr>
            <w:tcW w:type="dxa" w:w="4824"/>
          </w:tcPr>
          <w:p>
            <w:pPr>
              <w:spacing w:after="20"/>
              <w:jc w:val="right"/>
            </w:pPr>
            <w:r>
              <w:rPr>
                <w:color w:val="1C3A36"/>
                <w:sz w:val="16"/>
              </w:rPr>
              <w:t>the cash-flow lenses are understated by whatever the plant earns. This is the largest single limitation and it is deliberate</w:t>
            </w:r>
          </w:p>
        </w:tc>
        <w:tc>
          <w:tcPr>
            <w:tcW w:type="dxa" w:w="2376"/>
          </w:tcPr>
          <w:p>
            <w:pPr>
              <w:spacing w:after="20"/>
              <w:jc w:val="right"/>
            </w:pPr>
            <w:r>
              <w:rPr>
                <w:color w:val="1C3A36"/>
                <w:sz w:val="16"/>
              </w:rPr>
              <w:t>the company disclosing biosimilar revenue, volumes or utilisation</w:t>
            </w:r>
          </w:p>
        </w:tc>
      </w:tr>
      <w:tr>
        <w:tc>
          <w:tcPr>
            <w:tcW w:type="dxa" w:w="2736"/>
          </w:tcPr>
          <w:p>
            <w:pPr>
              <w:spacing w:after="20"/>
            </w:pPr>
            <w:r>
              <w:rPr>
                <w:color w:val="1C3A36"/>
                <w:sz w:val="16"/>
              </w:rPr>
              <w:t>The valuation bridge is anchored on the audited 31 December 2025 balance sheet, not on the March one</w:t>
            </w:r>
          </w:p>
        </w:tc>
        <w:tc>
          <w:tcPr>
            <w:tcW w:type="dxa" w:w="4824"/>
          </w:tcPr>
          <w:p>
            <w:pPr>
              <w:spacing w:after="20"/>
              <w:jc w:val="right"/>
            </w:pPr>
            <w:r>
              <w:rPr>
                <w:color w:val="1C3A36"/>
                <w:sz w:val="16"/>
              </w:rPr>
              <w:t>net debt was EGP 9,065m at 31 March against EGP 7,364m at 31 December, but the quarter also paid the FY2025 dividend and built working capital, and the forecast still carries a full FY2026 of cash flow. Using the March balance sheet AND a full forecast year would charge the same quarter twice. On the March net debt alone the value would be about EGP 10 a share lower</w:t>
            </w:r>
          </w:p>
        </w:tc>
        <w:tc>
          <w:tcPr>
            <w:tcW w:type="dxa" w:w="2376"/>
          </w:tcPr>
          <w:p>
            <w:pPr>
              <w:spacing w:after="20"/>
              <w:jc w:val="right"/>
            </w:pPr>
            <w:r>
              <w:rPr>
                <w:color w:val="1C3A36"/>
                <w:sz w:val="16"/>
              </w:rPr>
              <w:t>a half-year balance sheet, at which point the anchor can move forward cleanly</w:t>
            </w:r>
          </w:p>
        </w:tc>
      </w:tr>
      <w:tr>
        <w:tc>
          <w:tcPr>
            <w:tcW w:type="dxa" w:w="2736"/>
          </w:tcPr>
          <w:p>
            <w:pPr>
              <w:spacing w:after="20"/>
            </w:pPr>
            <w:r>
              <w:rPr>
                <w:color w:val="1C3A36"/>
                <w:sz w:val="16"/>
              </w:rPr>
              <w:t>The ten-year government yield is a market-data series, not an auction print</w:t>
            </w:r>
          </w:p>
        </w:tc>
        <w:tc>
          <w:tcPr>
            <w:tcW w:type="dxa" w:w="4824"/>
          </w:tcPr>
          <w:p>
            <w:pPr>
              <w:spacing w:after="20"/>
              <w:jc w:val="right"/>
            </w:pPr>
            <w:r>
              <w:rPr>
                <w:color w:val="1C3A36"/>
                <w:sz w:val="16"/>
              </w:rPr>
              <w:t>the discount rate now carries the 23.00% level observable on the same date as the share price, but the central bank's own auction page refused the request, so the level is indicated rather than proven. The rate is sensitised over a wide range in section 1.9</w:t>
            </w:r>
          </w:p>
        </w:tc>
        <w:tc>
          <w:tcPr>
            <w:tcW w:type="dxa" w:w="2376"/>
          </w:tcPr>
          <w:p>
            <w:pPr>
              <w:spacing w:after="20"/>
              <w:jc w:val="right"/>
            </w:pPr>
            <w:r>
              <w:rPr>
                <w:color w:val="1C3A36"/>
                <w:sz w:val="16"/>
              </w:rPr>
              <w:t>a live read of the auction curve; a 200 basis-point error is worth about EGP 7 a share</w:t>
            </w:r>
          </w:p>
        </w:tc>
      </w:tr>
      <w:tr>
        <w:tc>
          <w:tcPr>
            <w:tcW w:type="dxa" w:w="2736"/>
          </w:tcPr>
          <w:p>
            <w:pPr>
              <w:spacing w:after="20"/>
            </w:pPr>
            <w:r>
              <w:rPr>
                <w:color w:val="1C3A36"/>
                <w:sz w:val="16"/>
              </w:rPr>
              <w:t>The enterprise-to-equity bridge mixes two consolidation perimeters</w:t>
            </w:r>
          </w:p>
        </w:tc>
        <w:tc>
          <w:tcPr>
            <w:tcW w:type="dxa" w:w="4824"/>
          </w:tcPr>
          <w:p>
            <w:pPr>
              <w:spacing w:after="20"/>
              <w:jc w:val="right"/>
            </w:pPr>
            <w:r>
              <w:rPr>
                <w:color w:val="1C3A36"/>
                <w:sz w:val="16"/>
              </w:rPr>
              <w:t>net debt is the audited 31 December 2025 figure, when the active-ingredient company was still consolidated; the non-controlling interest deducted, EGP 4.0 million, is the post-deconsolidation figure, and the retained stake is added separately at cost. A single perimeter would either deduct the December minority of EGP 288.7 million without the separate addition, or move the whole bridge to the March balance sheet. The difference is about EGP 3.04 a share on the cash-flow readings</w:t>
            </w:r>
          </w:p>
        </w:tc>
        <w:tc>
          <w:tcPr>
            <w:tcW w:type="dxa" w:w="2376"/>
          </w:tcPr>
          <w:p>
            <w:pPr>
              <w:spacing w:after="20"/>
              <w:jc w:val="right"/>
            </w:pPr>
            <w:r>
              <w:rPr>
                <w:color w:val="1C3A36"/>
                <w:sz w:val="16"/>
              </w:rPr>
              <w:t>a half-year balance sheet on one perimeter</w:t>
            </w:r>
          </w:p>
        </w:tc>
      </w:tr>
      <w:tr>
        <w:tc>
          <w:tcPr>
            <w:tcW w:type="dxa" w:w="2736"/>
          </w:tcPr>
          <w:p>
            <w:pPr>
              <w:spacing w:after="20"/>
            </w:pPr>
            <w:r>
              <w:rPr>
                <w:color w:val="1C3A36"/>
                <w:sz w:val="16"/>
              </w:rPr>
              <w:t>The forward interest path falls while the debt does not</w:t>
            </w:r>
          </w:p>
        </w:tc>
        <w:tc>
          <w:tcPr>
            <w:tcW w:type="dxa" w:w="4824"/>
          </w:tcPr>
          <w:p>
            <w:pPr>
              <w:spacing w:after="20"/>
              <w:jc w:val="right"/>
            </w:pPr>
            <w:r>
              <w:rPr>
                <w:color w:val="1C3A36"/>
                <w:sz w:val="16"/>
              </w:rPr>
              <w:t>the charge is calibrated to the first quarter of 2026 and is right for FY2026E, but it declines to EGP 1,030 million by FY2030E on a funded borrowing book that ends the window near where it started. The implied average rate falls to 9.30% against a blended MARGINAL cost of debt of 18.55% used in the discount rate. This affects the earnings-based lenses, not the cash-flow ones, which are computed before interest</w:t>
            </w:r>
          </w:p>
        </w:tc>
        <w:tc>
          <w:tcPr>
            <w:tcW w:type="dxa" w:w="2376"/>
          </w:tcPr>
          <w:p>
            <w:pPr>
              <w:spacing w:after="20"/>
              <w:jc w:val="right"/>
            </w:pPr>
            <w:r>
              <w:rPr>
                <w:color w:val="1C3A36"/>
                <w:sz w:val="16"/>
              </w:rPr>
              <w:t>a disclosed debt-amortisation schedule</w:t>
            </w:r>
          </w:p>
        </w:tc>
      </w:tr>
      <w:tr>
        <w:tc>
          <w:tcPr>
            <w:tcW w:type="dxa" w:w="2736"/>
          </w:tcPr>
          <w:p>
            <w:pPr>
              <w:spacing w:after="20"/>
            </w:pPr>
            <w:r>
              <w:rPr>
                <w:color w:val="1C3A36"/>
                <w:sz w:val="16"/>
              </w:rPr>
              <w:t>The associate contribution is normalised, not built up</w:t>
            </w:r>
          </w:p>
        </w:tc>
        <w:tc>
          <w:tcPr>
            <w:tcW w:type="dxa" w:w="4824"/>
          </w:tcPr>
          <w:p>
            <w:pPr>
              <w:spacing w:after="20"/>
              <w:jc w:val="right"/>
            </w:pPr>
            <w:r>
              <w:rPr>
                <w:color w:val="1C3A36"/>
                <w:sz w:val="16"/>
              </w:rPr>
              <w:t>the associates published no accounts through this company's filings, so a EGP 250 million normalisation stands in for a real forecast. It is worth EGP 16.30 a share</w:t>
            </w:r>
          </w:p>
        </w:tc>
        <w:tc>
          <w:tcPr>
            <w:tcW w:type="dxa" w:w="2376"/>
          </w:tcPr>
          <w:p>
            <w:pPr>
              <w:spacing w:after="20"/>
              <w:jc w:val="right"/>
            </w:pPr>
            <w:r>
              <w:rPr>
                <w:color w:val="1C3A36"/>
                <w:sz w:val="16"/>
              </w:rPr>
              <w:t>the Saudi associate publishing separate accounts</w:t>
            </w:r>
          </w:p>
        </w:tc>
      </w:tr>
      <w:tr>
        <w:tc>
          <w:tcPr>
            <w:tcW w:type="dxa" w:w="2736"/>
          </w:tcPr>
          <w:p>
            <w:pPr>
              <w:spacing w:after="20"/>
            </w:pPr>
            <w:r>
              <w:rPr>
                <w:color w:val="1C3A36"/>
                <w:sz w:val="16"/>
              </w:rPr>
              <w:t>Peer multiples are market data, not primary company data</w:t>
            </w:r>
          </w:p>
        </w:tc>
        <w:tc>
          <w:tcPr>
            <w:tcW w:type="dxa" w:w="4824"/>
          </w:tcPr>
          <w:p>
            <w:pPr>
              <w:spacing w:after="20"/>
              <w:jc w:val="right"/>
            </w:pPr>
            <w:r>
              <w:rPr>
                <w:color w:val="1C3A36"/>
                <w:sz w:val="16"/>
              </w:rPr>
              <w:t>the relative lens's third leg rests on observed peer trading rather than on peer filings. It is one of three legs and is labelled as a cross-check throughout</w:t>
            </w:r>
          </w:p>
        </w:tc>
        <w:tc>
          <w:tcPr>
            <w:tcW w:type="dxa" w:w="2376"/>
          </w:tcPr>
          <w:p>
            <w:pPr>
              <w:spacing w:after="20"/>
              <w:jc w:val="right"/>
            </w:pPr>
            <w:r>
              <w:rPr>
                <w:color w:val="1C3A36"/>
                <w:sz w:val="16"/>
              </w:rPr>
              <w:t>building each peer from its own audited statements</w:t>
            </w:r>
          </w:p>
        </w:tc>
      </w:tr>
      <w:tr>
        <w:tc>
          <w:tcPr>
            <w:tcW w:type="dxa" w:w="2736"/>
          </w:tcPr>
          <w:p>
            <w:pPr>
              <w:spacing w:after="20"/>
            </w:pPr>
            <w:r>
              <w:rPr>
                <w:color w:val="1C3A36"/>
                <w:sz w:val="16"/>
              </w:rPr>
              <w:t>One disclosed operating figure was restated between annual reports</w:t>
            </w:r>
          </w:p>
        </w:tc>
        <w:tc>
          <w:tcPr>
            <w:tcW w:type="dxa" w:w="4824"/>
          </w:tcPr>
          <w:p>
            <w:pPr>
              <w:spacing w:after="20"/>
              <w:jc w:val="right"/>
            </w:pPr>
            <w:r>
              <w:rPr>
                <w:color w:val="1C3A36"/>
                <w:sz w:val="16"/>
              </w:rPr>
              <w:t>the FY2024 tablet production line reads 1,513 million units in the FY2024 report and 1,352 million in the FY2025 report. The later filing is used. It affects a utilisation statistic, not a valuation input</w:t>
            </w:r>
          </w:p>
        </w:tc>
        <w:tc>
          <w:tcPr>
            <w:tcW w:type="dxa" w:w="2376"/>
          </w:tcPr>
          <w:p>
            <w:pPr>
              <w:spacing w:after="20"/>
              <w:jc w:val="right"/>
            </w:pPr>
            <w:r>
              <w:rPr>
                <w:color w:val="1C3A36"/>
                <w:sz w:val="16"/>
              </w:rPr>
              <w:t>a company explanation of the restatement</w:t>
            </w:r>
          </w:p>
        </w:tc>
      </w:tr>
      <w:tr>
        <w:tc>
          <w:tcPr>
            <w:tcW w:type="dxa" w:w="2736"/>
          </w:tcPr>
          <w:p>
            <w:pPr>
              <w:spacing w:after="20"/>
            </w:pPr>
            <w:r>
              <w:rPr>
                <w:color w:val="1C3A36"/>
                <w:sz w:val="16"/>
              </w:rPr>
              <w:t>The beta composite contains the subject itself</w:t>
            </w:r>
          </w:p>
        </w:tc>
        <w:tc>
          <w:tcPr>
            <w:tcW w:type="dxa" w:w="4824"/>
          </w:tcPr>
          <w:p>
            <w:pPr>
              <w:spacing w:after="20"/>
              <w:jc w:val="right"/>
            </w:pPr>
            <w:r>
              <w:rPr>
                <w:color w:val="1C3A36"/>
                <w:sz w:val="16"/>
              </w:rPr>
              <w:t>the 36-name equal-weighted local composite the beta is regressed against includes this company at about 2.8% weight, which biases the coefficient toward one. Removing it gives 0.565 rather than 0.629, which would RAISE the two centres by about EGP 32.04 and EGP 23.18 a share. The in-index coefficient is carried because it is the more conservative of the two and because it is what a real local index produces; both are published in the bibliography</w:t>
            </w:r>
          </w:p>
        </w:tc>
        <w:tc>
          <w:tcPr>
            <w:tcW w:type="dxa" w:w="2376"/>
          </w:tcPr>
          <w:p>
            <w:pPr>
              <w:spacing w:after="20"/>
              <w:jc w:val="right"/>
            </w:pPr>
            <w:r>
              <w:rPr>
                <w:color w:val="1C3A36"/>
                <w:sz w:val="16"/>
              </w:rPr>
              <w:t>a published local index that excludes the constituent under study</w:t>
            </w:r>
          </w:p>
        </w:tc>
      </w:tr>
      <w:tr>
        <w:tc>
          <w:tcPr>
            <w:tcW w:type="dxa" w:w="2736"/>
          </w:tcPr>
          <w:p>
            <w:pPr>
              <w:spacing w:after="20"/>
            </w:pPr>
            <w:r>
              <w:rPr>
                <w:color w:val="1C3A36"/>
                <w:sz w:val="16"/>
              </w:rPr>
              <w:t>The pre-2020 portion of the price history is thin</w:t>
            </w:r>
          </w:p>
        </w:tc>
        <w:tc>
          <w:tcPr>
            <w:tcW w:type="dxa" w:w="4824"/>
          </w:tcPr>
          <w:p>
            <w:pPr>
              <w:spacing w:after="20"/>
              <w:jc w:val="right"/>
            </w:pPr>
            <w:r>
              <w:rPr>
                <w:color w:val="1C3A36"/>
                <w:sz w:val="16"/>
              </w:rPr>
              <w:t>the price export carries 162–195 sessions a year before 2020 against roughly 245 real exchange sessions. It affects only the longest calibration window, not the live bands, which are built on the post-2022 period</w:t>
            </w:r>
          </w:p>
        </w:tc>
        <w:tc>
          <w:tcPr>
            <w:tcW w:type="dxa" w:w="2376"/>
          </w:tcPr>
          <w:p>
            <w:pPr>
              <w:spacing w:after="20"/>
              <w:jc w:val="right"/>
            </w:pPr>
            <w:r>
              <w:rPr>
                <w:color w:val="1C3A36"/>
                <w:sz w:val="16"/>
              </w:rPr>
              <w:t>a complete exchange-sourced price history</w:t>
            </w:r>
          </w:p>
        </w:tc>
      </w:tr>
    </w:tbl>
    <w:p>
      <w:pPr>
        <w:spacing w:after="40"/>
      </w:pPr>
    </w:p>
    <w:p>
      <w:pPr>
        <w:spacing w:after="200" w:before="0"/>
      </w:pPr>
      <w:r>
        <w:rPr>
          <w:b w:val="0"/>
          <w:i/>
          <w:color w:val="6E7B77"/>
          <w:sz w:val="17"/>
        </w:rPr>
        <w:t>Table 19 — every limitation this study knows about, and what would resolve it.</w:t>
      </w:r>
    </w:p>
    <w:p>
      <w:pPr>
        <w:spacing w:after="120" w:before="0"/>
      </w:pPr>
      <w:r>
        <w:rPr>
          <w:b w:val="0"/>
          <w:i w:val="0"/>
          <w:color w:val="1C3A36"/>
          <w:sz w:val="21"/>
        </w:rPr>
        <w:t>One caveat from the first edition is now closed: the FY2026 first-quarter interim, which could not be reached at any official source online, was supplied directly and is in this edition. The secondary reporting recorded then as an unverified cross-check turned out to be accurate to the pound on both sales and attributable profit.</w:t>
      </w:r>
    </w:p>
    <w:p>
      <w:pPr>
        <w:spacing w:after="120" w:before="0"/>
      </w:pPr>
      <w:r>
        <w:rPr>
          <w:b w:val="0"/>
          <w:i w:val="0"/>
          <w:color w:val="1C3A36"/>
          <w:sz w:val="21"/>
        </w:rPr>
        <w:t>What would change the conclusion, stated in advance so it can be checked: if the company disclosed biosimilar revenue on a path toward USD 127 million a year, the cash-flow lenses would move to the market price and this study would be wrong to have flagged the gap. If the FY2026 depreciation charge came in near EGP 118 million rather than EGP 304 million, the plant is not in service and the whole timetable in this study shifts out a year.</w:t>
      </w:r>
    </w:p>
    <w:p>
      <w:pPr>
        <w:spacing w:after="120" w:before="280"/>
      </w:pPr>
      <w:r>
        <w:rPr>
          <w:b/>
          <w:i w:val="0"/>
          <w:color w:val="1C3A36"/>
          <w:sz w:val="30"/>
        </w:rPr>
        <w:t>Appendix A — the financial statements</w:t>
      </w:r>
    </w:p>
    <w:p>
      <w:pPr>
        <w:spacing w:after="80" w:before="200"/>
      </w:pPr>
      <w:r>
        <w:rPr>
          <w:b/>
          <w:i w:val="0"/>
          <w:color w:val="1C3A36"/>
          <w:sz w:val="24"/>
        </w:rPr>
        <w:t>A.1 Income statement: three audited years and five forecast years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77"/>
        <w:gridCol w:w="1037"/>
        <w:gridCol w:w="1037"/>
        <w:gridCol w:w="1037"/>
        <w:gridCol w:w="1037"/>
        <w:gridCol w:w="1037"/>
        <w:gridCol w:w="1037"/>
        <w:gridCol w:w="1037"/>
        <w:gridCol w:w="1037"/>
      </w:tblGrid>
      <w:tr>
        <w:tc>
          <w:tcPr>
            <w:tcW w:type="dxa" w:w="2477"/>
            <w:shd w:val="clear" w:color="auto" w:fill="EAF0EE"/>
          </w:tcPr>
          <w:p>
            <w:pPr>
              <w:spacing w:after="20"/>
            </w:pPr>
            <w:r>
              <w:rPr>
                <w:b/>
                <w:color w:val="1C3A36"/>
                <w:sz w:val="15"/>
              </w:rPr>
              <w:t>EGP million</w:t>
            </w:r>
          </w:p>
        </w:tc>
        <w:tc>
          <w:tcPr>
            <w:tcW w:type="dxa" w:w="1037"/>
            <w:shd w:val="clear" w:color="auto" w:fill="EAF0EE"/>
          </w:tcPr>
          <w:p>
            <w:pPr>
              <w:spacing w:after="20"/>
            </w:pPr>
            <w:r>
              <w:rPr>
                <w:b/>
                <w:color w:val="1C3A36"/>
                <w:sz w:val="15"/>
              </w:rPr>
              <w:t>FY2023</w:t>
            </w:r>
          </w:p>
        </w:tc>
        <w:tc>
          <w:tcPr>
            <w:tcW w:type="dxa" w:w="1037"/>
            <w:shd w:val="clear" w:color="auto" w:fill="EAF0EE"/>
          </w:tcPr>
          <w:p>
            <w:pPr>
              <w:spacing w:after="20"/>
            </w:pPr>
            <w:r>
              <w:rPr>
                <w:b/>
                <w:color w:val="1C3A36"/>
                <w:sz w:val="15"/>
              </w:rPr>
              <w:t>FY2024</w:t>
            </w:r>
          </w:p>
        </w:tc>
        <w:tc>
          <w:tcPr>
            <w:tcW w:type="dxa" w:w="1037"/>
            <w:shd w:val="clear" w:color="auto" w:fill="EAF0EE"/>
          </w:tcPr>
          <w:p>
            <w:pPr>
              <w:spacing w:after="20"/>
            </w:pPr>
            <w:r>
              <w:rPr>
                <w:b/>
                <w:color w:val="1C3A36"/>
                <w:sz w:val="15"/>
              </w:rPr>
              <w:t>FY2025</w:t>
            </w:r>
          </w:p>
        </w:tc>
        <w:tc>
          <w:tcPr>
            <w:tcW w:type="dxa" w:w="1037"/>
            <w:shd w:val="clear" w:color="auto" w:fill="EAF0EE"/>
          </w:tcPr>
          <w:p>
            <w:pPr>
              <w:spacing w:after="20"/>
            </w:pPr>
            <w:r>
              <w:rPr>
                <w:b/>
                <w:color w:val="1C3A36"/>
                <w:sz w:val="15"/>
              </w:rPr>
              <w:t>2026E</w:t>
            </w:r>
          </w:p>
        </w:tc>
        <w:tc>
          <w:tcPr>
            <w:tcW w:type="dxa" w:w="1037"/>
            <w:shd w:val="clear" w:color="auto" w:fill="EAF0EE"/>
          </w:tcPr>
          <w:p>
            <w:pPr>
              <w:spacing w:after="20"/>
            </w:pPr>
            <w:r>
              <w:rPr>
                <w:b/>
                <w:color w:val="1C3A36"/>
                <w:sz w:val="15"/>
              </w:rPr>
              <w:t>2027E</w:t>
            </w:r>
          </w:p>
        </w:tc>
        <w:tc>
          <w:tcPr>
            <w:tcW w:type="dxa" w:w="1037"/>
            <w:shd w:val="clear" w:color="auto" w:fill="EAF0EE"/>
          </w:tcPr>
          <w:p>
            <w:pPr>
              <w:spacing w:after="20"/>
            </w:pPr>
            <w:r>
              <w:rPr>
                <w:b/>
                <w:color w:val="1C3A36"/>
                <w:sz w:val="15"/>
              </w:rPr>
              <w:t>2028E</w:t>
            </w:r>
          </w:p>
        </w:tc>
        <w:tc>
          <w:tcPr>
            <w:tcW w:type="dxa" w:w="1037"/>
            <w:shd w:val="clear" w:color="auto" w:fill="EAF0EE"/>
          </w:tcPr>
          <w:p>
            <w:pPr>
              <w:spacing w:after="20"/>
            </w:pPr>
            <w:r>
              <w:rPr>
                <w:b/>
                <w:color w:val="1C3A36"/>
                <w:sz w:val="15"/>
              </w:rPr>
              <w:t>2029E</w:t>
            </w:r>
          </w:p>
        </w:tc>
        <w:tc>
          <w:tcPr>
            <w:tcW w:type="dxa" w:w="1037"/>
            <w:shd w:val="clear" w:color="auto" w:fill="EAF0EE"/>
          </w:tcPr>
          <w:p>
            <w:pPr>
              <w:spacing w:after="20"/>
            </w:pPr>
            <w:r>
              <w:rPr>
                <w:b/>
                <w:color w:val="1C3A36"/>
                <w:sz w:val="15"/>
              </w:rPr>
              <w:t>2030E</w:t>
            </w:r>
          </w:p>
        </w:tc>
      </w:tr>
      <w:tr>
        <w:tc>
          <w:tcPr>
            <w:tcW w:type="dxa" w:w="2477"/>
          </w:tcPr>
          <w:p>
            <w:pPr>
              <w:spacing w:after="20"/>
            </w:pPr>
            <w:r>
              <w:rPr>
                <w:color w:val="1C3A36"/>
                <w:sz w:val="15"/>
              </w:rPr>
              <w:t>Revenue</w:t>
            </w:r>
          </w:p>
        </w:tc>
        <w:tc>
          <w:tcPr>
            <w:tcW w:type="dxa" w:w="1037"/>
          </w:tcPr>
          <w:p>
            <w:pPr>
              <w:spacing w:after="20"/>
              <w:jc w:val="right"/>
            </w:pPr>
            <w:r>
              <w:rPr>
                <w:color w:val="1C3A36"/>
                <w:sz w:val="15"/>
              </w:rPr>
              <w:t>5,232</w:t>
            </w:r>
          </w:p>
        </w:tc>
        <w:tc>
          <w:tcPr>
            <w:tcW w:type="dxa" w:w="1037"/>
          </w:tcPr>
          <w:p>
            <w:pPr>
              <w:spacing w:after="20"/>
              <w:jc w:val="right"/>
            </w:pPr>
            <w:r>
              <w:rPr>
                <w:color w:val="1C3A36"/>
                <w:sz w:val="15"/>
              </w:rPr>
              <w:t>7,591</w:t>
            </w:r>
          </w:p>
        </w:tc>
        <w:tc>
          <w:tcPr>
            <w:tcW w:type="dxa" w:w="1037"/>
          </w:tcPr>
          <w:p>
            <w:pPr>
              <w:spacing w:after="20"/>
              <w:jc w:val="right"/>
            </w:pPr>
            <w:r>
              <w:rPr>
                <w:color w:val="1C3A36"/>
                <w:sz w:val="15"/>
              </w:rPr>
              <w:t>9,441</w:t>
            </w:r>
          </w:p>
        </w:tc>
        <w:tc>
          <w:tcPr>
            <w:tcW w:type="dxa" w:w="1037"/>
          </w:tcPr>
          <w:p>
            <w:pPr>
              <w:spacing w:after="20"/>
              <w:jc w:val="right"/>
            </w:pPr>
            <w:r>
              <w:rPr>
                <w:color w:val="1C3A36"/>
                <w:sz w:val="15"/>
              </w:rPr>
              <w:t>10,694</w:t>
            </w:r>
          </w:p>
        </w:tc>
        <w:tc>
          <w:tcPr>
            <w:tcW w:type="dxa" w:w="1037"/>
          </w:tcPr>
          <w:p>
            <w:pPr>
              <w:spacing w:after="20"/>
              <w:jc w:val="right"/>
            </w:pPr>
            <w:r>
              <w:rPr>
                <w:color w:val="1C3A36"/>
                <w:sz w:val="15"/>
              </w:rPr>
              <w:t>12,612</w:t>
            </w:r>
          </w:p>
        </w:tc>
        <w:tc>
          <w:tcPr>
            <w:tcW w:type="dxa" w:w="1037"/>
          </w:tcPr>
          <w:p>
            <w:pPr>
              <w:spacing w:after="20"/>
              <w:jc w:val="right"/>
            </w:pPr>
            <w:r>
              <w:rPr>
                <w:color w:val="1C3A36"/>
                <w:sz w:val="15"/>
              </w:rPr>
              <w:t>14,621</w:t>
            </w:r>
          </w:p>
        </w:tc>
        <w:tc>
          <w:tcPr>
            <w:tcW w:type="dxa" w:w="1037"/>
          </w:tcPr>
          <w:p>
            <w:pPr>
              <w:spacing w:after="20"/>
              <w:jc w:val="right"/>
            </w:pPr>
            <w:r>
              <w:rPr>
                <w:color w:val="1C3A36"/>
                <w:sz w:val="15"/>
              </w:rPr>
              <w:t>16,637</w:t>
            </w:r>
          </w:p>
        </w:tc>
        <w:tc>
          <w:tcPr>
            <w:tcW w:type="dxa" w:w="1037"/>
          </w:tcPr>
          <w:p>
            <w:pPr>
              <w:spacing w:after="20"/>
              <w:jc w:val="right"/>
            </w:pPr>
            <w:r>
              <w:rPr>
                <w:color w:val="1C3A36"/>
                <w:sz w:val="15"/>
              </w:rPr>
              <w:t>18,608</w:t>
            </w:r>
          </w:p>
        </w:tc>
      </w:tr>
      <w:tr>
        <w:tc>
          <w:tcPr>
            <w:tcW w:type="dxa" w:w="2477"/>
          </w:tcPr>
          <w:p>
            <w:pPr>
              <w:spacing w:after="20"/>
            </w:pPr>
            <w:r>
              <w:rPr>
                <w:color w:val="1C3A36"/>
                <w:sz w:val="15"/>
              </w:rPr>
              <w:t>Cost of sales</w:t>
            </w:r>
          </w:p>
        </w:tc>
        <w:tc>
          <w:tcPr>
            <w:tcW w:type="dxa" w:w="1037"/>
          </w:tcPr>
          <w:p>
            <w:pPr>
              <w:spacing w:after="20"/>
              <w:jc w:val="right"/>
            </w:pPr>
            <w:r>
              <w:rPr>
                <w:color w:val="1C3A36"/>
                <w:sz w:val="15"/>
              </w:rPr>
              <w:t>2,896</w:t>
            </w:r>
          </w:p>
        </w:tc>
        <w:tc>
          <w:tcPr>
            <w:tcW w:type="dxa" w:w="1037"/>
          </w:tcPr>
          <w:p>
            <w:pPr>
              <w:spacing w:after="20"/>
              <w:jc w:val="right"/>
            </w:pPr>
            <w:r>
              <w:rPr>
                <w:color w:val="1C3A36"/>
                <w:sz w:val="15"/>
              </w:rPr>
              <w:t>4,184</w:t>
            </w:r>
          </w:p>
        </w:tc>
        <w:tc>
          <w:tcPr>
            <w:tcW w:type="dxa" w:w="1037"/>
          </w:tcPr>
          <w:p>
            <w:pPr>
              <w:spacing w:after="20"/>
              <w:jc w:val="right"/>
            </w:pPr>
            <w:r>
              <w:rPr>
                <w:color w:val="1C3A36"/>
                <w:sz w:val="15"/>
              </w:rPr>
              <w:t>5,287</w:t>
            </w:r>
          </w:p>
        </w:tc>
        <w:tc>
          <w:tcPr>
            <w:tcW w:type="dxa" w:w="1037"/>
          </w:tcPr>
          <w:p>
            <w:pPr>
              <w:spacing w:after="20"/>
              <w:jc w:val="right"/>
            </w:pPr>
            <w:r>
              <w:rPr>
                <w:color w:val="1C3A36"/>
                <w:sz w:val="15"/>
              </w:rPr>
              <w:t>6,503</w:t>
            </w:r>
          </w:p>
        </w:tc>
        <w:tc>
          <w:tcPr>
            <w:tcW w:type="dxa" w:w="1037"/>
          </w:tcPr>
          <w:p>
            <w:pPr>
              <w:spacing w:after="20"/>
              <w:jc w:val="right"/>
            </w:pPr>
            <w:r>
              <w:rPr>
                <w:color w:val="1C3A36"/>
                <w:sz w:val="15"/>
              </w:rPr>
              <w:t>7,910</w:t>
            </w:r>
          </w:p>
        </w:tc>
        <w:tc>
          <w:tcPr>
            <w:tcW w:type="dxa" w:w="1037"/>
          </w:tcPr>
          <w:p>
            <w:pPr>
              <w:spacing w:after="20"/>
              <w:jc w:val="right"/>
            </w:pPr>
            <w:r>
              <w:rPr>
                <w:color w:val="1C3A36"/>
                <w:sz w:val="15"/>
              </w:rPr>
              <w:t>9,231</w:t>
            </w:r>
          </w:p>
        </w:tc>
        <w:tc>
          <w:tcPr>
            <w:tcW w:type="dxa" w:w="1037"/>
          </w:tcPr>
          <w:p>
            <w:pPr>
              <w:spacing w:after="20"/>
              <w:jc w:val="right"/>
            </w:pPr>
            <w:r>
              <w:rPr>
                <w:color w:val="1C3A36"/>
                <w:sz w:val="15"/>
              </w:rPr>
              <w:t>10,522</w:t>
            </w:r>
          </w:p>
        </w:tc>
        <w:tc>
          <w:tcPr>
            <w:tcW w:type="dxa" w:w="1037"/>
          </w:tcPr>
          <w:p>
            <w:pPr>
              <w:spacing w:after="20"/>
              <w:jc w:val="right"/>
            </w:pPr>
            <w:r>
              <w:rPr>
                <w:color w:val="1C3A36"/>
                <w:sz w:val="15"/>
              </w:rPr>
              <w:t>11,823</w:t>
            </w:r>
          </w:p>
        </w:tc>
      </w:tr>
      <w:tr>
        <w:tc>
          <w:tcPr>
            <w:tcW w:type="dxa" w:w="2477"/>
            <w:shd w:val="clear" w:color="auto" w:fill="F6F1E6"/>
          </w:tcPr>
          <w:p>
            <w:pPr>
              <w:spacing w:after="20"/>
            </w:pPr>
            <w:r>
              <w:rPr>
                <w:b/>
                <w:color w:val="1C3A36"/>
                <w:sz w:val="15"/>
              </w:rPr>
              <w:t>Gross profit</w:t>
            </w:r>
          </w:p>
        </w:tc>
        <w:tc>
          <w:tcPr>
            <w:tcW w:type="dxa" w:w="1037"/>
            <w:shd w:val="clear" w:color="auto" w:fill="F6F1E6"/>
          </w:tcPr>
          <w:p>
            <w:pPr>
              <w:spacing w:after="20"/>
              <w:jc w:val="right"/>
            </w:pPr>
            <w:r>
              <w:rPr>
                <w:b/>
                <w:color w:val="1C3A36"/>
                <w:sz w:val="15"/>
              </w:rPr>
              <w:t>2,335</w:t>
            </w:r>
          </w:p>
        </w:tc>
        <w:tc>
          <w:tcPr>
            <w:tcW w:type="dxa" w:w="1037"/>
            <w:shd w:val="clear" w:color="auto" w:fill="F6F1E6"/>
          </w:tcPr>
          <w:p>
            <w:pPr>
              <w:spacing w:after="20"/>
              <w:jc w:val="right"/>
            </w:pPr>
            <w:r>
              <w:rPr>
                <w:b/>
                <w:color w:val="1C3A36"/>
                <w:sz w:val="15"/>
              </w:rPr>
              <w:t>3,406</w:t>
            </w:r>
          </w:p>
        </w:tc>
        <w:tc>
          <w:tcPr>
            <w:tcW w:type="dxa" w:w="1037"/>
            <w:shd w:val="clear" w:color="auto" w:fill="F6F1E6"/>
          </w:tcPr>
          <w:p>
            <w:pPr>
              <w:spacing w:after="20"/>
              <w:jc w:val="right"/>
            </w:pPr>
            <w:r>
              <w:rPr>
                <w:b/>
                <w:color w:val="1C3A36"/>
                <w:sz w:val="15"/>
              </w:rPr>
              <w:t>4,154</w:t>
            </w:r>
          </w:p>
        </w:tc>
        <w:tc>
          <w:tcPr>
            <w:tcW w:type="dxa" w:w="1037"/>
            <w:shd w:val="clear" w:color="auto" w:fill="F6F1E6"/>
          </w:tcPr>
          <w:p>
            <w:pPr>
              <w:spacing w:after="20"/>
              <w:jc w:val="right"/>
            </w:pPr>
            <w:r>
              <w:rPr>
                <w:b/>
                <w:color w:val="1C3A36"/>
                <w:sz w:val="15"/>
              </w:rPr>
              <w:t>4,191</w:t>
            </w:r>
          </w:p>
        </w:tc>
        <w:tc>
          <w:tcPr>
            <w:tcW w:type="dxa" w:w="1037"/>
            <w:shd w:val="clear" w:color="auto" w:fill="F6F1E6"/>
          </w:tcPr>
          <w:p>
            <w:pPr>
              <w:spacing w:after="20"/>
              <w:jc w:val="right"/>
            </w:pPr>
            <w:r>
              <w:rPr>
                <w:b/>
                <w:color w:val="1C3A36"/>
                <w:sz w:val="15"/>
              </w:rPr>
              <w:t>4,702</w:t>
            </w:r>
          </w:p>
        </w:tc>
        <w:tc>
          <w:tcPr>
            <w:tcW w:type="dxa" w:w="1037"/>
            <w:shd w:val="clear" w:color="auto" w:fill="F6F1E6"/>
          </w:tcPr>
          <w:p>
            <w:pPr>
              <w:spacing w:after="20"/>
              <w:jc w:val="right"/>
            </w:pPr>
            <w:r>
              <w:rPr>
                <w:b/>
                <w:color w:val="1C3A36"/>
                <w:sz w:val="15"/>
              </w:rPr>
              <w:t>5,390</w:t>
            </w:r>
          </w:p>
        </w:tc>
        <w:tc>
          <w:tcPr>
            <w:tcW w:type="dxa" w:w="1037"/>
            <w:shd w:val="clear" w:color="auto" w:fill="F6F1E6"/>
          </w:tcPr>
          <w:p>
            <w:pPr>
              <w:spacing w:after="20"/>
              <w:jc w:val="right"/>
            </w:pPr>
            <w:r>
              <w:rPr>
                <w:b/>
                <w:color w:val="1C3A36"/>
                <w:sz w:val="15"/>
              </w:rPr>
              <w:t>6,115</w:t>
            </w:r>
          </w:p>
        </w:tc>
        <w:tc>
          <w:tcPr>
            <w:tcW w:type="dxa" w:w="1037"/>
            <w:shd w:val="clear" w:color="auto" w:fill="F6F1E6"/>
          </w:tcPr>
          <w:p>
            <w:pPr>
              <w:spacing w:after="20"/>
              <w:jc w:val="right"/>
            </w:pPr>
            <w:r>
              <w:rPr>
                <w:b/>
                <w:color w:val="1C3A36"/>
                <w:sz w:val="15"/>
              </w:rPr>
              <w:t>6,785</w:t>
            </w:r>
          </w:p>
        </w:tc>
      </w:tr>
      <w:tr>
        <w:tc>
          <w:tcPr>
            <w:tcW w:type="dxa" w:w="2477"/>
          </w:tcPr>
          <w:p>
            <w:pPr>
              <w:spacing w:after="20"/>
            </w:pPr>
            <w:r>
              <w:rPr>
                <w:color w:val="1C3A36"/>
                <w:sz w:val="15"/>
              </w:rPr>
              <w:t>Gross margin</w:t>
            </w:r>
          </w:p>
        </w:tc>
        <w:tc>
          <w:tcPr>
            <w:tcW w:type="dxa" w:w="1037"/>
          </w:tcPr>
          <w:p>
            <w:pPr>
              <w:spacing w:after="20"/>
              <w:jc w:val="right"/>
            </w:pPr>
            <w:r>
              <w:rPr>
                <w:color w:val="1C3A36"/>
                <w:sz w:val="15"/>
              </w:rPr>
              <w:t>44.6%</w:t>
            </w:r>
          </w:p>
        </w:tc>
        <w:tc>
          <w:tcPr>
            <w:tcW w:type="dxa" w:w="1037"/>
          </w:tcPr>
          <w:p>
            <w:pPr>
              <w:spacing w:after="20"/>
              <w:jc w:val="right"/>
            </w:pPr>
            <w:r>
              <w:rPr>
                <w:color w:val="1C3A36"/>
                <w:sz w:val="15"/>
              </w:rPr>
              <w:t>44.9%</w:t>
            </w:r>
          </w:p>
        </w:tc>
        <w:tc>
          <w:tcPr>
            <w:tcW w:type="dxa" w:w="1037"/>
          </w:tcPr>
          <w:p>
            <w:pPr>
              <w:spacing w:after="20"/>
              <w:jc w:val="right"/>
            </w:pPr>
            <w:r>
              <w:rPr>
                <w:color w:val="1C3A36"/>
                <w:sz w:val="15"/>
              </w:rPr>
              <w:t>44.0%</w:t>
            </w:r>
          </w:p>
        </w:tc>
        <w:tc>
          <w:tcPr>
            <w:tcW w:type="dxa" w:w="1037"/>
          </w:tcPr>
          <w:p>
            <w:pPr>
              <w:spacing w:after="20"/>
              <w:jc w:val="right"/>
            </w:pPr>
            <w:r>
              <w:rPr>
                <w:color w:val="1C3A36"/>
                <w:sz w:val="15"/>
              </w:rPr>
              <w:t>39.2%</w:t>
            </w:r>
          </w:p>
        </w:tc>
        <w:tc>
          <w:tcPr>
            <w:tcW w:type="dxa" w:w="1037"/>
          </w:tcPr>
          <w:p>
            <w:pPr>
              <w:spacing w:after="20"/>
              <w:jc w:val="right"/>
            </w:pPr>
            <w:r>
              <w:rPr>
                <w:color w:val="1C3A36"/>
                <w:sz w:val="15"/>
              </w:rPr>
              <w:t>37.3%</w:t>
            </w:r>
          </w:p>
        </w:tc>
        <w:tc>
          <w:tcPr>
            <w:tcW w:type="dxa" w:w="1037"/>
          </w:tcPr>
          <w:p>
            <w:pPr>
              <w:spacing w:after="20"/>
              <w:jc w:val="right"/>
            </w:pPr>
            <w:r>
              <w:rPr>
                <w:color w:val="1C3A36"/>
                <w:sz w:val="15"/>
              </w:rPr>
              <w:t>36.9%</w:t>
            </w:r>
          </w:p>
        </w:tc>
        <w:tc>
          <w:tcPr>
            <w:tcW w:type="dxa" w:w="1037"/>
          </w:tcPr>
          <w:p>
            <w:pPr>
              <w:spacing w:after="20"/>
              <w:jc w:val="right"/>
            </w:pPr>
            <w:r>
              <w:rPr>
                <w:color w:val="1C3A36"/>
                <w:sz w:val="15"/>
              </w:rPr>
              <w:t>36.8%</w:t>
            </w:r>
          </w:p>
        </w:tc>
        <w:tc>
          <w:tcPr>
            <w:tcW w:type="dxa" w:w="1037"/>
          </w:tcPr>
          <w:p>
            <w:pPr>
              <w:spacing w:after="20"/>
              <w:jc w:val="right"/>
            </w:pPr>
            <w:r>
              <w:rPr>
                <w:color w:val="1C3A36"/>
                <w:sz w:val="15"/>
              </w:rPr>
              <w:t>36.5%</w:t>
            </w:r>
          </w:p>
        </w:tc>
      </w:tr>
      <w:tr>
        <w:tc>
          <w:tcPr>
            <w:tcW w:type="dxa" w:w="2477"/>
          </w:tcPr>
          <w:p>
            <w:pPr>
              <w:spacing w:after="20"/>
            </w:pPr>
            <w:r>
              <w:rPr>
                <w:color w:val="1C3A36"/>
                <w:sz w:val="15"/>
              </w:rPr>
              <w:t>Selling and marketing</w:t>
            </w:r>
          </w:p>
        </w:tc>
        <w:tc>
          <w:tcPr>
            <w:tcW w:type="dxa" w:w="1037"/>
          </w:tcPr>
          <w:p>
            <w:pPr>
              <w:spacing w:after="20"/>
              <w:jc w:val="right"/>
            </w:pPr>
            <w:r>
              <w:rPr>
                <w:color w:val="1C3A36"/>
                <w:sz w:val="15"/>
              </w:rPr>
              <w:t>648</w:t>
            </w:r>
          </w:p>
        </w:tc>
        <w:tc>
          <w:tcPr>
            <w:tcW w:type="dxa" w:w="1037"/>
          </w:tcPr>
          <w:p>
            <w:pPr>
              <w:spacing w:after="20"/>
              <w:jc w:val="right"/>
            </w:pPr>
            <w:r>
              <w:rPr>
                <w:color w:val="1C3A36"/>
                <w:sz w:val="15"/>
              </w:rPr>
              <w:t>915</w:t>
            </w:r>
          </w:p>
        </w:tc>
        <w:tc>
          <w:tcPr>
            <w:tcW w:type="dxa" w:w="1037"/>
          </w:tcPr>
          <w:p>
            <w:pPr>
              <w:spacing w:after="20"/>
              <w:jc w:val="right"/>
            </w:pPr>
            <w:r>
              <w:rPr>
                <w:color w:val="1C3A36"/>
                <w:sz w:val="15"/>
              </w:rPr>
              <w:t>1,000</w:t>
            </w:r>
          </w:p>
        </w:tc>
        <w:tc>
          <w:tcPr>
            <w:tcW w:type="dxa" w:w="1037"/>
          </w:tcPr>
          <w:p>
            <w:pPr>
              <w:spacing w:after="20"/>
              <w:jc w:val="right"/>
            </w:pPr>
            <w:r>
              <w:rPr>
                <w:color w:val="1C3A36"/>
                <w:sz w:val="15"/>
              </w:rPr>
              <w:t>1,112</w:t>
            </w:r>
          </w:p>
        </w:tc>
        <w:tc>
          <w:tcPr>
            <w:tcW w:type="dxa" w:w="1037"/>
          </w:tcPr>
          <w:p>
            <w:pPr>
              <w:spacing w:after="20"/>
              <w:jc w:val="right"/>
            </w:pPr>
            <w:r>
              <w:rPr>
                <w:color w:val="1C3A36"/>
                <w:sz w:val="15"/>
              </w:rPr>
              <w:t>1,286</w:t>
            </w:r>
          </w:p>
        </w:tc>
        <w:tc>
          <w:tcPr>
            <w:tcW w:type="dxa" w:w="1037"/>
          </w:tcPr>
          <w:p>
            <w:pPr>
              <w:spacing w:after="20"/>
              <w:jc w:val="right"/>
            </w:pPr>
            <w:r>
              <w:rPr>
                <w:color w:val="1C3A36"/>
                <w:sz w:val="15"/>
              </w:rPr>
              <w:t>1,462</w:t>
            </w:r>
          </w:p>
        </w:tc>
        <w:tc>
          <w:tcPr>
            <w:tcW w:type="dxa" w:w="1037"/>
          </w:tcPr>
          <w:p>
            <w:pPr>
              <w:spacing w:after="20"/>
              <w:jc w:val="right"/>
            </w:pPr>
            <w:r>
              <w:rPr>
                <w:color w:val="1C3A36"/>
                <w:sz w:val="15"/>
              </w:rPr>
              <w:t>1,647</w:t>
            </w:r>
          </w:p>
        </w:tc>
        <w:tc>
          <w:tcPr>
            <w:tcW w:type="dxa" w:w="1037"/>
          </w:tcPr>
          <w:p>
            <w:pPr>
              <w:spacing w:after="20"/>
              <w:jc w:val="right"/>
            </w:pPr>
            <w:r>
              <w:rPr>
                <w:color w:val="1C3A36"/>
                <w:sz w:val="15"/>
              </w:rPr>
              <w:t>1,824</w:t>
            </w:r>
          </w:p>
        </w:tc>
      </w:tr>
      <w:tr>
        <w:tc>
          <w:tcPr>
            <w:tcW w:type="dxa" w:w="2477"/>
          </w:tcPr>
          <w:p>
            <w:pPr>
              <w:spacing w:after="20"/>
            </w:pPr>
            <w:r>
              <w:rPr>
                <w:color w:val="1C3A36"/>
                <w:sz w:val="15"/>
              </w:rPr>
              <w:t>Research and development</w:t>
            </w:r>
          </w:p>
        </w:tc>
        <w:tc>
          <w:tcPr>
            <w:tcW w:type="dxa" w:w="1037"/>
          </w:tcPr>
          <w:p>
            <w:pPr>
              <w:spacing w:after="20"/>
              <w:jc w:val="right"/>
            </w:pPr>
            <w:r>
              <w:rPr>
                <w:color w:val="1C3A36"/>
                <w:sz w:val="15"/>
              </w:rPr>
              <w:t>43.2</w:t>
            </w:r>
          </w:p>
        </w:tc>
        <w:tc>
          <w:tcPr>
            <w:tcW w:type="dxa" w:w="1037"/>
          </w:tcPr>
          <w:p>
            <w:pPr>
              <w:spacing w:after="20"/>
              <w:jc w:val="right"/>
            </w:pPr>
            <w:r>
              <w:rPr>
                <w:color w:val="1C3A36"/>
                <w:sz w:val="15"/>
              </w:rPr>
              <w:t>70.5</w:t>
            </w:r>
          </w:p>
        </w:tc>
        <w:tc>
          <w:tcPr>
            <w:tcW w:type="dxa" w:w="1037"/>
          </w:tcPr>
          <w:p>
            <w:pPr>
              <w:spacing w:after="20"/>
              <w:jc w:val="right"/>
            </w:pPr>
            <w:r>
              <w:rPr>
                <w:color w:val="1C3A36"/>
                <w:sz w:val="15"/>
              </w:rPr>
              <w:t>70.9</w:t>
            </w:r>
          </w:p>
        </w:tc>
        <w:tc>
          <w:tcPr>
            <w:tcW w:type="dxa" w:w="1037"/>
          </w:tcPr>
          <w:p>
            <w:pPr>
              <w:spacing w:after="20"/>
              <w:jc w:val="right"/>
            </w:pPr>
            <w:r>
              <w:rPr>
                <w:color w:val="1C3A36"/>
                <w:sz w:val="15"/>
              </w:rPr>
              <w:t>90.9</w:t>
            </w:r>
          </w:p>
        </w:tc>
        <w:tc>
          <w:tcPr>
            <w:tcW w:type="dxa" w:w="1037"/>
          </w:tcPr>
          <w:p>
            <w:pPr>
              <w:spacing w:after="20"/>
              <w:jc w:val="right"/>
            </w:pPr>
            <w:r>
              <w:rPr>
                <w:color w:val="1C3A36"/>
                <w:sz w:val="15"/>
              </w:rPr>
              <w:t>113.5</w:t>
            </w:r>
          </w:p>
        </w:tc>
        <w:tc>
          <w:tcPr>
            <w:tcW w:type="dxa" w:w="1037"/>
          </w:tcPr>
          <w:p>
            <w:pPr>
              <w:spacing w:after="20"/>
              <w:jc w:val="right"/>
            </w:pPr>
            <w:r>
              <w:rPr>
                <w:color w:val="1C3A36"/>
                <w:sz w:val="15"/>
              </w:rPr>
              <w:t>138.9</w:t>
            </w:r>
          </w:p>
        </w:tc>
        <w:tc>
          <w:tcPr>
            <w:tcW w:type="dxa" w:w="1037"/>
          </w:tcPr>
          <w:p>
            <w:pPr>
              <w:spacing w:after="20"/>
              <w:jc w:val="right"/>
            </w:pPr>
            <w:r>
              <w:rPr>
                <w:color w:val="1C3A36"/>
                <w:sz w:val="15"/>
              </w:rPr>
              <w:t>166.4</w:t>
            </w:r>
          </w:p>
        </w:tc>
        <w:tc>
          <w:tcPr>
            <w:tcW w:type="dxa" w:w="1037"/>
          </w:tcPr>
          <w:p>
            <w:pPr>
              <w:spacing w:after="20"/>
              <w:jc w:val="right"/>
            </w:pPr>
            <w:r>
              <w:rPr>
                <w:color w:val="1C3A36"/>
                <w:sz w:val="15"/>
              </w:rPr>
              <w:t>186.1</w:t>
            </w:r>
          </w:p>
        </w:tc>
      </w:tr>
      <w:tr>
        <w:tc>
          <w:tcPr>
            <w:tcW w:type="dxa" w:w="2477"/>
          </w:tcPr>
          <w:p>
            <w:pPr>
              <w:spacing w:after="20"/>
            </w:pPr>
            <w:r>
              <w:rPr>
                <w:color w:val="1C3A36"/>
                <w:sz w:val="15"/>
              </w:rPr>
              <w:t>General and administrative</w:t>
            </w:r>
          </w:p>
        </w:tc>
        <w:tc>
          <w:tcPr>
            <w:tcW w:type="dxa" w:w="1037"/>
          </w:tcPr>
          <w:p>
            <w:pPr>
              <w:spacing w:after="20"/>
              <w:jc w:val="right"/>
            </w:pPr>
            <w:r>
              <w:rPr>
                <w:color w:val="1C3A36"/>
                <w:sz w:val="15"/>
              </w:rPr>
              <w:t>147.5</w:t>
            </w:r>
          </w:p>
        </w:tc>
        <w:tc>
          <w:tcPr>
            <w:tcW w:type="dxa" w:w="1037"/>
          </w:tcPr>
          <w:p>
            <w:pPr>
              <w:spacing w:after="20"/>
              <w:jc w:val="right"/>
            </w:pPr>
            <w:r>
              <w:rPr>
                <w:color w:val="1C3A36"/>
                <w:sz w:val="15"/>
              </w:rPr>
              <w:t>188.5</w:t>
            </w:r>
          </w:p>
        </w:tc>
        <w:tc>
          <w:tcPr>
            <w:tcW w:type="dxa" w:w="1037"/>
          </w:tcPr>
          <w:p>
            <w:pPr>
              <w:spacing w:after="20"/>
              <w:jc w:val="right"/>
            </w:pPr>
            <w:r>
              <w:rPr>
                <w:color w:val="1C3A36"/>
                <w:sz w:val="15"/>
              </w:rPr>
              <w:t>221.1</w:t>
            </w:r>
          </w:p>
        </w:tc>
        <w:tc>
          <w:tcPr>
            <w:tcW w:type="dxa" w:w="1037"/>
          </w:tcPr>
          <w:p>
            <w:pPr>
              <w:spacing w:after="20"/>
              <w:jc w:val="right"/>
            </w:pPr>
            <w:r>
              <w:rPr>
                <w:color w:val="1C3A36"/>
                <w:sz w:val="15"/>
              </w:rPr>
              <w:t>251.3</w:t>
            </w:r>
          </w:p>
        </w:tc>
        <w:tc>
          <w:tcPr>
            <w:tcW w:type="dxa" w:w="1037"/>
          </w:tcPr>
          <w:p>
            <w:pPr>
              <w:spacing w:after="20"/>
              <w:jc w:val="right"/>
            </w:pPr>
            <w:r>
              <w:rPr>
                <w:color w:val="1C3A36"/>
                <w:sz w:val="15"/>
              </w:rPr>
              <w:t>296.4</w:t>
            </w:r>
          </w:p>
        </w:tc>
        <w:tc>
          <w:tcPr>
            <w:tcW w:type="dxa" w:w="1037"/>
          </w:tcPr>
          <w:p>
            <w:pPr>
              <w:spacing w:after="20"/>
              <w:jc w:val="right"/>
            </w:pPr>
            <w:r>
              <w:rPr>
                <w:color w:val="1C3A36"/>
                <w:sz w:val="15"/>
              </w:rPr>
              <w:t>336.3</w:t>
            </w:r>
          </w:p>
        </w:tc>
        <w:tc>
          <w:tcPr>
            <w:tcW w:type="dxa" w:w="1037"/>
          </w:tcPr>
          <w:p>
            <w:pPr>
              <w:spacing w:after="20"/>
              <w:jc w:val="right"/>
            </w:pPr>
            <w:r>
              <w:rPr>
                <w:color w:val="1C3A36"/>
                <w:sz w:val="15"/>
              </w:rPr>
              <w:t>379.3</w:t>
            </w:r>
          </w:p>
        </w:tc>
        <w:tc>
          <w:tcPr>
            <w:tcW w:type="dxa" w:w="1037"/>
          </w:tcPr>
          <w:p>
            <w:pPr>
              <w:spacing w:after="20"/>
              <w:jc w:val="right"/>
            </w:pPr>
            <w:r>
              <w:rPr>
                <w:color w:val="1C3A36"/>
                <w:sz w:val="15"/>
              </w:rPr>
              <w:t>418.7</w:t>
            </w:r>
          </w:p>
        </w:tc>
      </w:tr>
      <w:tr>
        <w:tc>
          <w:tcPr>
            <w:tcW w:type="dxa" w:w="2477"/>
          </w:tcPr>
          <w:p>
            <w:pPr>
              <w:spacing w:after="20"/>
            </w:pPr>
            <w:r>
              <w:rPr>
                <w:color w:val="1C3A36"/>
                <w:sz w:val="15"/>
              </w:rPr>
              <w:t>Credit losses and provisions</w:t>
            </w:r>
          </w:p>
        </w:tc>
        <w:tc>
          <w:tcPr>
            <w:tcW w:type="dxa" w:w="1037"/>
          </w:tcPr>
          <w:p>
            <w:pPr>
              <w:spacing w:after="20"/>
              <w:jc w:val="right"/>
            </w:pPr>
            <w:r>
              <w:rPr>
                <w:color w:val="1C3A36"/>
                <w:sz w:val="15"/>
              </w:rPr>
              <w:t>265</w:t>
            </w:r>
          </w:p>
        </w:tc>
        <w:tc>
          <w:tcPr>
            <w:tcW w:type="dxa" w:w="1037"/>
          </w:tcPr>
          <w:p>
            <w:pPr>
              <w:spacing w:after="20"/>
              <w:jc w:val="right"/>
            </w:pPr>
            <w:r>
              <w:rPr>
                <w:color w:val="1C3A36"/>
                <w:sz w:val="15"/>
              </w:rPr>
              <w:t>702</w:t>
            </w:r>
          </w:p>
        </w:tc>
        <w:tc>
          <w:tcPr>
            <w:tcW w:type="dxa" w:w="1037"/>
          </w:tcPr>
          <w:p>
            <w:pPr>
              <w:spacing w:after="20"/>
              <w:jc w:val="right"/>
            </w:pPr>
            <w:r>
              <w:rPr>
                <w:color w:val="1C3A36"/>
                <w:sz w:val="15"/>
              </w:rPr>
              <w:t>494</w:t>
            </w:r>
          </w:p>
        </w:tc>
        <w:tc>
          <w:tcPr>
            <w:tcW w:type="dxa" w:w="1037"/>
          </w:tcPr>
          <w:p>
            <w:pPr>
              <w:spacing w:after="20"/>
              <w:jc w:val="right"/>
            </w:pPr>
            <w:r>
              <w:rPr>
                <w:color w:val="1C3A36"/>
                <w:sz w:val="15"/>
              </w:rPr>
              <w:t>561</w:t>
            </w:r>
          </w:p>
        </w:tc>
        <w:tc>
          <w:tcPr>
            <w:tcW w:type="dxa" w:w="1037"/>
          </w:tcPr>
          <w:p>
            <w:pPr>
              <w:spacing w:after="20"/>
              <w:jc w:val="right"/>
            </w:pPr>
            <w:r>
              <w:rPr>
                <w:color w:val="1C3A36"/>
                <w:sz w:val="15"/>
              </w:rPr>
              <w:t>662</w:t>
            </w:r>
          </w:p>
        </w:tc>
        <w:tc>
          <w:tcPr>
            <w:tcW w:type="dxa" w:w="1037"/>
          </w:tcPr>
          <w:p>
            <w:pPr>
              <w:spacing w:after="20"/>
              <w:jc w:val="right"/>
            </w:pPr>
            <w:r>
              <w:rPr>
                <w:color w:val="1C3A36"/>
                <w:sz w:val="15"/>
              </w:rPr>
              <w:t>768</w:t>
            </w:r>
          </w:p>
        </w:tc>
        <w:tc>
          <w:tcPr>
            <w:tcW w:type="dxa" w:w="1037"/>
          </w:tcPr>
          <w:p>
            <w:pPr>
              <w:spacing w:after="20"/>
              <w:jc w:val="right"/>
            </w:pPr>
            <w:r>
              <w:rPr>
                <w:color w:val="1C3A36"/>
                <w:sz w:val="15"/>
              </w:rPr>
              <w:t>873</w:t>
            </w:r>
          </w:p>
        </w:tc>
        <w:tc>
          <w:tcPr>
            <w:tcW w:type="dxa" w:w="1037"/>
          </w:tcPr>
          <w:p>
            <w:pPr>
              <w:spacing w:after="20"/>
              <w:jc w:val="right"/>
            </w:pPr>
            <w:r>
              <w:rPr>
                <w:color w:val="1C3A36"/>
                <w:sz w:val="15"/>
              </w:rPr>
              <w:t>977</w:t>
            </w:r>
          </w:p>
        </w:tc>
      </w:tr>
      <w:tr>
        <w:tc>
          <w:tcPr>
            <w:tcW w:type="dxa" w:w="2477"/>
            <w:shd w:val="clear" w:color="auto" w:fill="F6F1E6"/>
          </w:tcPr>
          <w:p>
            <w:pPr>
              <w:spacing w:after="20"/>
            </w:pPr>
            <w:r>
              <w:rPr>
                <w:b/>
                <w:color w:val="1C3A36"/>
                <w:sz w:val="15"/>
              </w:rPr>
              <w:t>Operating profit</w:t>
            </w:r>
          </w:p>
        </w:tc>
        <w:tc>
          <w:tcPr>
            <w:tcW w:type="dxa" w:w="1037"/>
            <w:shd w:val="clear" w:color="auto" w:fill="F6F1E6"/>
          </w:tcPr>
          <w:p>
            <w:pPr>
              <w:spacing w:after="20"/>
              <w:jc w:val="right"/>
            </w:pPr>
            <w:r>
              <w:rPr>
                <w:b/>
                <w:color w:val="1C3A36"/>
                <w:sz w:val="15"/>
              </w:rPr>
              <w:t>1,229</w:t>
            </w:r>
          </w:p>
        </w:tc>
        <w:tc>
          <w:tcPr>
            <w:tcW w:type="dxa" w:w="1037"/>
            <w:shd w:val="clear" w:color="auto" w:fill="F6F1E6"/>
          </w:tcPr>
          <w:p>
            <w:pPr>
              <w:spacing w:after="20"/>
              <w:jc w:val="right"/>
            </w:pPr>
            <w:r>
              <w:rPr>
                <w:b/>
                <w:color w:val="1C3A36"/>
                <w:sz w:val="15"/>
              </w:rPr>
              <w:t>1,529</w:t>
            </w:r>
          </w:p>
        </w:tc>
        <w:tc>
          <w:tcPr>
            <w:tcW w:type="dxa" w:w="1037"/>
            <w:shd w:val="clear" w:color="auto" w:fill="F6F1E6"/>
          </w:tcPr>
          <w:p>
            <w:pPr>
              <w:spacing w:after="20"/>
              <w:jc w:val="right"/>
            </w:pPr>
            <w:r>
              <w:rPr>
                <w:b/>
                <w:color w:val="1C3A36"/>
                <w:sz w:val="15"/>
              </w:rPr>
              <w:t>2,366</w:t>
            </w:r>
          </w:p>
        </w:tc>
        <w:tc>
          <w:tcPr>
            <w:tcW w:type="dxa" w:w="1037"/>
            <w:shd w:val="clear" w:color="auto" w:fill="F6F1E6"/>
          </w:tcPr>
          <w:p>
            <w:pPr>
              <w:spacing w:after="20"/>
              <w:jc w:val="right"/>
            </w:pPr>
            <w:r>
              <w:rPr>
                <w:b/>
                <w:color w:val="1C3A36"/>
                <w:sz w:val="15"/>
              </w:rPr>
              <w:t>2,111</w:t>
            </w:r>
          </w:p>
        </w:tc>
        <w:tc>
          <w:tcPr>
            <w:tcW w:type="dxa" w:w="1037"/>
            <w:shd w:val="clear" w:color="auto" w:fill="F6F1E6"/>
          </w:tcPr>
          <w:p>
            <w:pPr>
              <w:spacing w:after="20"/>
              <w:jc w:val="right"/>
            </w:pPr>
            <w:r>
              <w:rPr>
                <w:b/>
                <w:color w:val="1C3A36"/>
                <w:sz w:val="15"/>
              </w:rPr>
              <w:t>2,254</w:t>
            </w:r>
          </w:p>
        </w:tc>
        <w:tc>
          <w:tcPr>
            <w:tcW w:type="dxa" w:w="1037"/>
            <w:shd w:val="clear" w:color="auto" w:fill="F6F1E6"/>
          </w:tcPr>
          <w:p>
            <w:pPr>
              <w:spacing w:after="20"/>
              <w:jc w:val="right"/>
            </w:pPr>
            <w:r>
              <w:rPr>
                <w:b/>
                <w:color w:val="1C3A36"/>
                <w:sz w:val="15"/>
              </w:rPr>
              <w:t>2,591</w:t>
            </w:r>
          </w:p>
        </w:tc>
        <w:tc>
          <w:tcPr>
            <w:tcW w:type="dxa" w:w="1037"/>
            <w:shd w:val="clear" w:color="auto" w:fill="F6F1E6"/>
          </w:tcPr>
          <w:p>
            <w:pPr>
              <w:spacing w:after="20"/>
              <w:jc w:val="right"/>
            </w:pPr>
            <w:r>
              <w:rPr>
                <w:b/>
                <w:color w:val="1C3A36"/>
                <w:sz w:val="15"/>
              </w:rPr>
              <w:t>2,957</w:t>
            </w:r>
          </w:p>
        </w:tc>
        <w:tc>
          <w:tcPr>
            <w:tcW w:type="dxa" w:w="1037"/>
            <w:shd w:val="clear" w:color="auto" w:fill="F6F1E6"/>
          </w:tcPr>
          <w:p>
            <w:pPr>
              <w:spacing w:after="20"/>
              <w:jc w:val="right"/>
            </w:pPr>
            <w:r>
              <w:rPr>
                <w:b/>
                <w:color w:val="1C3A36"/>
                <w:sz w:val="15"/>
              </w:rPr>
              <w:t>3,290</w:t>
            </w:r>
          </w:p>
        </w:tc>
      </w:tr>
      <w:tr>
        <w:tc>
          <w:tcPr>
            <w:tcW w:type="dxa" w:w="2477"/>
          </w:tcPr>
          <w:p>
            <w:pPr>
              <w:spacing w:after="20"/>
            </w:pPr>
            <w:r>
              <w:rPr>
                <w:color w:val="1C3A36"/>
                <w:sz w:val="15"/>
              </w:rPr>
              <w:t>EBITDA</w:t>
            </w:r>
          </w:p>
        </w:tc>
        <w:tc>
          <w:tcPr>
            <w:tcW w:type="dxa" w:w="1037"/>
          </w:tcPr>
          <w:p>
            <w:pPr>
              <w:spacing w:after="20"/>
              <w:jc w:val="right"/>
            </w:pPr>
            <w:r>
              <w:rPr>
                <w:color w:val="1C3A36"/>
                <w:sz w:val="15"/>
              </w:rPr>
              <w:t>1,335</w:t>
            </w:r>
          </w:p>
        </w:tc>
        <w:tc>
          <w:tcPr>
            <w:tcW w:type="dxa" w:w="1037"/>
          </w:tcPr>
          <w:p>
            <w:pPr>
              <w:spacing w:after="20"/>
              <w:jc w:val="right"/>
            </w:pPr>
            <w:r>
              <w:rPr>
                <w:color w:val="1C3A36"/>
                <w:sz w:val="15"/>
              </w:rPr>
              <w:t>1,631</w:t>
            </w:r>
          </w:p>
        </w:tc>
        <w:tc>
          <w:tcPr>
            <w:tcW w:type="dxa" w:w="1037"/>
          </w:tcPr>
          <w:p>
            <w:pPr>
              <w:spacing w:after="20"/>
              <w:jc w:val="right"/>
            </w:pPr>
            <w:r>
              <w:rPr>
                <w:color w:val="1C3A36"/>
                <w:sz w:val="15"/>
              </w:rPr>
              <w:t>2,484</w:t>
            </w:r>
          </w:p>
        </w:tc>
        <w:tc>
          <w:tcPr>
            <w:tcW w:type="dxa" w:w="1037"/>
          </w:tcPr>
          <w:p>
            <w:pPr>
              <w:spacing w:after="20"/>
              <w:jc w:val="right"/>
            </w:pPr>
            <w:r>
              <w:rPr>
                <w:color w:val="1C3A36"/>
                <w:sz w:val="15"/>
              </w:rPr>
              <w:t>2,415</w:t>
            </w:r>
          </w:p>
        </w:tc>
        <w:tc>
          <w:tcPr>
            <w:tcW w:type="dxa" w:w="1037"/>
          </w:tcPr>
          <w:p>
            <w:pPr>
              <w:spacing w:after="20"/>
              <w:jc w:val="right"/>
            </w:pPr>
            <w:r>
              <w:rPr>
                <w:color w:val="1C3A36"/>
                <w:sz w:val="15"/>
              </w:rPr>
              <w:t>2,679</w:t>
            </w:r>
          </w:p>
        </w:tc>
        <w:tc>
          <w:tcPr>
            <w:tcW w:type="dxa" w:w="1037"/>
          </w:tcPr>
          <w:p>
            <w:pPr>
              <w:spacing w:after="20"/>
              <w:jc w:val="right"/>
            </w:pPr>
            <w:r>
              <w:rPr>
                <w:color w:val="1C3A36"/>
                <w:sz w:val="15"/>
              </w:rPr>
              <w:t>3,037</w:t>
            </w:r>
          </w:p>
        </w:tc>
        <w:tc>
          <w:tcPr>
            <w:tcW w:type="dxa" w:w="1037"/>
          </w:tcPr>
          <w:p>
            <w:pPr>
              <w:spacing w:after="20"/>
              <w:jc w:val="right"/>
            </w:pPr>
            <w:r>
              <w:rPr>
                <w:color w:val="1C3A36"/>
                <w:sz w:val="15"/>
              </w:rPr>
              <w:t>3,394</w:t>
            </w:r>
          </w:p>
        </w:tc>
        <w:tc>
          <w:tcPr>
            <w:tcW w:type="dxa" w:w="1037"/>
          </w:tcPr>
          <w:p>
            <w:pPr>
              <w:spacing w:after="20"/>
              <w:jc w:val="right"/>
            </w:pPr>
            <w:r>
              <w:rPr>
                <w:color w:val="1C3A36"/>
                <w:sz w:val="15"/>
              </w:rPr>
              <w:t>3,713</w:t>
            </w:r>
          </w:p>
        </w:tc>
      </w:tr>
      <w:tr>
        <w:tc>
          <w:tcPr>
            <w:tcW w:type="dxa" w:w="2477"/>
          </w:tcPr>
          <w:p>
            <w:pPr>
              <w:spacing w:after="20"/>
            </w:pPr>
            <w:r>
              <w:rPr>
                <w:color w:val="1C3A36"/>
                <w:sz w:val="15"/>
              </w:rPr>
              <w:t>Depreciation and amortisation</w:t>
            </w:r>
          </w:p>
        </w:tc>
        <w:tc>
          <w:tcPr>
            <w:tcW w:type="dxa" w:w="1037"/>
          </w:tcPr>
          <w:p>
            <w:pPr>
              <w:spacing w:after="20"/>
              <w:jc w:val="right"/>
            </w:pPr>
            <w:r>
              <w:rPr>
                <w:color w:val="1C3A36"/>
                <w:sz w:val="15"/>
              </w:rPr>
              <w:t>105.2</w:t>
            </w:r>
          </w:p>
        </w:tc>
        <w:tc>
          <w:tcPr>
            <w:tcW w:type="dxa" w:w="1037"/>
          </w:tcPr>
          <w:p>
            <w:pPr>
              <w:spacing w:after="20"/>
              <w:jc w:val="right"/>
            </w:pPr>
            <w:r>
              <w:rPr>
                <w:color w:val="1C3A36"/>
                <w:sz w:val="15"/>
              </w:rPr>
              <w:t>102.8</w:t>
            </w:r>
          </w:p>
        </w:tc>
        <w:tc>
          <w:tcPr>
            <w:tcW w:type="dxa" w:w="1037"/>
          </w:tcPr>
          <w:p>
            <w:pPr>
              <w:spacing w:after="20"/>
              <w:jc w:val="right"/>
            </w:pPr>
            <w:r>
              <w:rPr>
                <w:color w:val="1C3A36"/>
                <w:sz w:val="15"/>
              </w:rPr>
              <w:t>117.7</w:t>
            </w:r>
          </w:p>
        </w:tc>
        <w:tc>
          <w:tcPr>
            <w:tcW w:type="dxa" w:w="1037"/>
          </w:tcPr>
          <w:p>
            <w:pPr>
              <w:spacing w:after="20"/>
              <w:jc w:val="right"/>
            </w:pPr>
            <w:r>
              <w:rPr>
                <w:color w:val="1C3A36"/>
                <w:sz w:val="15"/>
              </w:rPr>
              <w:t>304.0</w:t>
            </w:r>
          </w:p>
        </w:tc>
        <w:tc>
          <w:tcPr>
            <w:tcW w:type="dxa" w:w="1037"/>
          </w:tcPr>
          <w:p>
            <w:pPr>
              <w:spacing w:after="20"/>
              <w:jc w:val="right"/>
            </w:pPr>
            <w:r>
              <w:rPr>
                <w:color w:val="1C3A36"/>
                <w:sz w:val="15"/>
              </w:rPr>
              <w:t>425.2</w:t>
            </w:r>
          </w:p>
        </w:tc>
        <w:tc>
          <w:tcPr>
            <w:tcW w:type="dxa" w:w="1037"/>
          </w:tcPr>
          <w:p>
            <w:pPr>
              <w:spacing w:after="20"/>
              <w:jc w:val="right"/>
            </w:pPr>
            <w:r>
              <w:rPr>
                <w:color w:val="1C3A36"/>
                <w:sz w:val="15"/>
              </w:rPr>
              <w:t>445.8</w:t>
            </w:r>
          </w:p>
        </w:tc>
        <w:tc>
          <w:tcPr>
            <w:tcW w:type="dxa" w:w="1037"/>
          </w:tcPr>
          <w:p>
            <w:pPr>
              <w:spacing w:after="20"/>
              <w:jc w:val="right"/>
            </w:pPr>
            <w:r>
              <w:rPr>
                <w:color w:val="1C3A36"/>
                <w:sz w:val="15"/>
              </w:rPr>
              <w:t>437.3</w:t>
            </w:r>
          </w:p>
        </w:tc>
        <w:tc>
          <w:tcPr>
            <w:tcW w:type="dxa" w:w="1037"/>
          </w:tcPr>
          <w:p>
            <w:pPr>
              <w:spacing w:after="20"/>
              <w:jc w:val="right"/>
            </w:pPr>
            <w:r>
              <w:rPr>
                <w:color w:val="1C3A36"/>
                <w:sz w:val="15"/>
              </w:rPr>
              <w:t>423.1</w:t>
            </w:r>
          </w:p>
        </w:tc>
      </w:tr>
      <w:tr>
        <w:tc>
          <w:tcPr>
            <w:tcW w:type="dxa" w:w="2477"/>
          </w:tcPr>
          <w:p>
            <w:pPr>
              <w:spacing w:after="20"/>
            </w:pPr>
            <w:r>
              <w:rPr>
                <w:color w:val="1C3A36"/>
                <w:sz w:val="15"/>
              </w:rPr>
              <w:t>Finance costs</w:t>
            </w:r>
          </w:p>
        </w:tc>
        <w:tc>
          <w:tcPr>
            <w:tcW w:type="dxa" w:w="1037"/>
          </w:tcPr>
          <w:p>
            <w:pPr>
              <w:spacing w:after="20"/>
              <w:jc w:val="right"/>
            </w:pPr>
            <w:r>
              <w:rPr>
                <w:color w:val="1C3A36"/>
                <w:sz w:val="15"/>
              </w:rPr>
              <w:t>408</w:t>
            </w:r>
          </w:p>
        </w:tc>
        <w:tc>
          <w:tcPr>
            <w:tcW w:type="dxa" w:w="1037"/>
          </w:tcPr>
          <w:p>
            <w:pPr>
              <w:spacing w:after="20"/>
              <w:jc w:val="right"/>
            </w:pPr>
            <w:r>
              <w:rPr>
                <w:color w:val="1C3A36"/>
                <w:sz w:val="15"/>
              </w:rPr>
              <w:t>960</w:t>
            </w:r>
          </w:p>
        </w:tc>
        <w:tc>
          <w:tcPr>
            <w:tcW w:type="dxa" w:w="1037"/>
          </w:tcPr>
          <w:p>
            <w:pPr>
              <w:spacing w:after="20"/>
              <w:jc w:val="right"/>
            </w:pPr>
            <w:r>
              <w:rPr>
                <w:color w:val="1C3A36"/>
                <w:sz w:val="15"/>
              </w:rPr>
              <w:t>1,333</w:t>
            </w:r>
          </w:p>
        </w:tc>
        <w:tc>
          <w:tcPr>
            <w:tcW w:type="dxa" w:w="1037"/>
          </w:tcPr>
          <w:p>
            <w:pPr>
              <w:spacing w:after="20"/>
              <w:jc w:val="right"/>
            </w:pPr>
            <w:r>
              <w:rPr>
                <w:color w:val="1C3A36"/>
                <w:sz w:val="15"/>
              </w:rPr>
              <w:t>1,250</w:t>
            </w:r>
          </w:p>
        </w:tc>
        <w:tc>
          <w:tcPr>
            <w:tcW w:type="dxa" w:w="1037"/>
          </w:tcPr>
          <w:p>
            <w:pPr>
              <w:spacing w:after="20"/>
              <w:jc w:val="right"/>
            </w:pPr>
            <w:r>
              <w:rPr>
                <w:color w:val="1C3A36"/>
                <w:sz w:val="15"/>
              </w:rPr>
              <w:t>1,210</w:t>
            </w:r>
          </w:p>
        </w:tc>
        <w:tc>
          <w:tcPr>
            <w:tcW w:type="dxa" w:w="1037"/>
          </w:tcPr>
          <w:p>
            <w:pPr>
              <w:spacing w:after="20"/>
              <w:jc w:val="right"/>
            </w:pPr>
            <w:r>
              <w:rPr>
                <w:color w:val="1C3A36"/>
                <w:sz w:val="15"/>
              </w:rPr>
              <w:t>1,150</w:t>
            </w:r>
          </w:p>
        </w:tc>
        <w:tc>
          <w:tcPr>
            <w:tcW w:type="dxa" w:w="1037"/>
          </w:tcPr>
          <w:p>
            <w:pPr>
              <w:spacing w:after="20"/>
              <w:jc w:val="right"/>
            </w:pPr>
            <w:r>
              <w:rPr>
                <w:color w:val="1C3A36"/>
                <w:sz w:val="15"/>
              </w:rPr>
              <w:t>1,090</w:t>
            </w:r>
          </w:p>
        </w:tc>
        <w:tc>
          <w:tcPr>
            <w:tcW w:type="dxa" w:w="1037"/>
          </w:tcPr>
          <w:p>
            <w:pPr>
              <w:spacing w:after="20"/>
              <w:jc w:val="right"/>
            </w:pPr>
            <w:r>
              <w:rPr>
                <w:color w:val="1C3A36"/>
                <w:sz w:val="15"/>
              </w:rPr>
              <w:t>1,030</w:t>
            </w:r>
          </w:p>
        </w:tc>
      </w:tr>
      <w:tr>
        <w:tc>
          <w:tcPr>
            <w:tcW w:type="dxa" w:w="2477"/>
          </w:tcPr>
          <w:p>
            <w:pPr>
              <w:spacing w:after="20"/>
            </w:pPr>
            <w:r>
              <w:rPr>
                <w:color w:val="1C3A36"/>
                <w:sz w:val="15"/>
              </w:rPr>
              <w:t>Share of associates</w:t>
            </w:r>
          </w:p>
        </w:tc>
        <w:tc>
          <w:tcPr>
            <w:tcW w:type="dxa" w:w="1037"/>
          </w:tcPr>
          <w:p>
            <w:pPr>
              <w:spacing w:after="20"/>
              <w:jc w:val="right"/>
            </w:pPr>
            <w:r>
              <w:rPr>
                <w:color w:val="1C3A36"/>
                <w:sz w:val="15"/>
              </w:rPr>
              <w:t>75</w:t>
            </w:r>
          </w:p>
        </w:tc>
        <w:tc>
          <w:tcPr>
            <w:tcW w:type="dxa" w:w="1037"/>
          </w:tcPr>
          <w:p>
            <w:pPr>
              <w:spacing w:after="20"/>
              <w:jc w:val="right"/>
            </w:pPr>
            <w:r>
              <w:rPr>
                <w:color w:val="1C3A36"/>
                <w:sz w:val="15"/>
              </w:rPr>
              <w:t>152</w:t>
            </w:r>
          </w:p>
        </w:tc>
        <w:tc>
          <w:tcPr>
            <w:tcW w:type="dxa" w:w="1037"/>
          </w:tcPr>
          <w:p>
            <w:pPr>
              <w:spacing w:after="20"/>
              <w:jc w:val="right"/>
            </w:pPr>
            <w:r>
              <w:rPr>
                <w:color w:val="1C3A36"/>
                <w:sz w:val="15"/>
              </w:rPr>
              <w:t>512</w:t>
            </w:r>
          </w:p>
        </w:tc>
        <w:tc>
          <w:tcPr>
            <w:tcW w:type="dxa" w:w="1037"/>
          </w:tcPr>
          <w:p>
            <w:pPr>
              <w:spacing w:after="20"/>
              <w:jc w:val="right"/>
            </w:pPr>
            <w:r>
              <w:rPr>
                <w:color w:val="1C3A36"/>
                <w:sz w:val="15"/>
              </w:rPr>
              <w:t>250</w:t>
            </w:r>
          </w:p>
        </w:tc>
        <w:tc>
          <w:tcPr>
            <w:tcW w:type="dxa" w:w="1037"/>
          </w:tcPr>
          <w:p>
            <w:pPr>
              <w:spacing w:after="20"/>
              <w:jc w:val="right"/>
            </w:pPr>
            <w:r>
              <w:rPr>
                <w:color w:val="1C3A36"/>
                <w:sz w:val="15"/>
              </w:rPr>
              <w:t>250</w:t>
            </w:r>
          </w:p>
        </w:tc>
        <w:tc>
          <w:tcPr>
            <w:tcW w:type="dxa" w:w="1037"/>
          </w:tcPr>
          <w:p>
            <w:pPr>
              <w:spacing w:after="20"/>
              <w:jc w:val="right"/>
            </w:pPr>
            <w:r>
              <w:rPr>
                <w:color w:val="1C3A36"/>
                <w:sz w:val="15"/>
              </w:rPr>
              <w:t>250</w:t>
            </w:r>
          </w:p>
        </w:tc>
        <w:tc>
          <w:tcPr>
            <w:tcW w:type="dxa" w:w="1037"/>
          </w:tcPr>
          <w:p>
            <w:pPr>
              <w:spacing w:after="20"/>
              <w:jc w:val="right"/>
            </w:pPr>
            <w:r>
              <w:rPr>
                <w:color w:val="1C3A36"/>
                <w:sz w:val="15"/>
              </w:rPr>
              <w:t>250</w:t>
            </w:r>
          </w:p>
        </w:tc>
        <w:tc>
          <w:tcPr>
            <w:tcW w:type="dxa" w:w="1037"/>
          </w:tcPr>
          <w:p>
            <w:pPr>
              <w:spacing w:after="20"/>
              <w:jc w:val="right"/>
            </w:pPr>
            <w:r>
              <w:rPr>
                <w:color w:val="1C3A36"/>
                <w:sz w:val="15"/>
              </w:rPr>
              <w:t>250</w:t>
            </w:r>
          </w:p>
        </w:tc>
      </w:tr>
      <w:tr>
        <w:tc>
          <w:tcPr>
            <w:tcW w:type="dxa" w:w="2477"/>
            <w:shd w:val="clear" w:color="auto" w:fill="F6F1E6"/>
          </w:tcPr>
          <w:p>
            <w:pPr>
              <w:spacing w:after="20"/>
            </w:pPr>
            <w:r>
              <w:rPr>
                <w:b/>
                <w:color w:val="1C3A36"/>
                <w:sz w:val="15"/>
              </w:rPr>
              <w:t>Profit attributable to shareholders</w:t>
            </w:r>
          </w:p>
        </w:tc>
        <w:tc>
          <w:tcPr>
            <w:tcW w:type="dxa" w:w="1037"/>
            <w:shd w:val="clear" w:color="auto" w:fill="F6F1E6"/>
          </w:tcPr>
          <w:p>
            <w:pPr>
              <w:spacing w:after="20"/>
              <w:jc w:val="right"/>
            </w:pPr>
            <w:r>
              <w:rPr>
                <w:b/>
                <w:color w:val="1C3A36"/>
                <w:sz w:val="15"/>
              </w:rPr>
              <w:t>822</w:t>
            </w:r>
          </w:p>
        </w:tc>
        <w:tc>
          <w:tcPr>
            <w:tcW w:type="dxa" w:w="1037"/>
            <w:shd w:val="clear" w:color="auto" w:fill="F6F1E6"/>
          </w:tcPr>
          <w:p>
            <w:pPr>
              <w:spacing w:after="20"/>
              <w:jc w:val="right"/>
            </w:pPr>
            <w:r>
              <w:rPr>
                <w:b/>
                <w:color w:val="1C3A36"/>
                <w:sz w:val="15"/>
              </w:rPr>
              <w:t>1,096</w:t>
            </w:r>
          </w:p>
        </w:tc>
        <w:tc>
          <w:tcPr>
            <w:tcW w:type="dxa" w:w="1037"/>
            <w:shd w:val="clear" w:color="auto" w:fill="F6F1E6"/>
          </w:tcPr>
          <w:p>
            <w:pPr>
              <w:spacing w:after="20"/>
              <w:jc w:val="right"/>
            </w:pPr>
            <w:r>
              <w:rPr>
                <w:b/>
                <w:color w:val="1C3A36"/>
                <w:sz w:val="15"/>
              </w:rPr>
              <w:t>1,442</w:t>
            </w:r>
          </w:p>
        </w:tc>
        <w:tc>
          <w:tcPr>
            <w:tcW w:type="dxa" w:w="1037"/>
            <w:shd w:val="clear" w:color="auto" w:fill="F6F1E6"/>
          </w:tcPr>
          <w:p>
            <w:pPr>
              <w:spacing w:after="20"/>
              <w:jc w:val="right"/>
            </w:pPr>
            <w:r>
              <w:rPr>
                <w:b/>
                <w:color w:val="1C3A36"/>
                <w:sz w:val="15"/>
              </w:rPr>
              <w:t>891</w:t>
            </w:r>
          </w:p>
        </w:tc>
        <w:tc>
          <w:tcPr>
            <w:tcW w:type="dxa" w:w="1037"/>
            <w:shd w:val="clear" w:color="auto" w:fill="F6F1E6"/>
          </w:tcPr>
          <w:p>
            <w:pPr>
              <w:spacing w:after="20"/>
              <w:jc w:val="right"/>
            </w:pPr>
            <w:r>
              <w:rPr>
                <w:b/>
                <w:color w:val="1C3A36"/>
                <w:sz w:val="15"/>
              </w:rPr>
              <w:t>1,031</w:t>
            </w:r>
          </w:p>
        </w:tc>
        <w:tc>
          <w:tcPr>
            <w:tcW w:type="dxa" w:w="1037"/>
            <w:shd w:val="clear" w:color="auto" w:fill="F6F1E6"/>
          </w:tcPr>
          <w:p>
            <w:pPr>
              <w:spacing w:after="20"/>
              <w:jc w:val="right"/>
            </w:pPr>
            <w:r>
              <w:rPr>
                <w:b/>
                <w:color w:val="1C3A36"/>
                <w:sz w:val="15"/>
              </w:rPr>
              <w:t>1,335</w:t>
            </w:r>
          </w:p>
        </w:tc>
        <w:tc>
          <w:tcPr>
            <w:tcW w:type="dxa" w:w="1037"/>
            <w:shd w:val="clear" w:color="auto" w:fill="F6F1E6"/>
          </w:tcPr>
          <w:p>
            <w:pPr>
              <w:spacing w:after="20"/>
              <w:jc w:val="right"/>
            </w:pPr>
            <w:r>
              <w:rPr>
                <w:b/>
                <w:color w:val="1C3A36"/>
                <w:sz w:val="15"/>
              </w:rPr>
              <w:t>1,660</w:t>
            </w:r>
          </w:p>
        </w:tc>
        <w:tc>
          <w:tcPr>
            <w:tcW w:type="dxa" w:w="1037"/>
            <w:shd w:val="clear" w:color="auto" w:fill="F6F1E6"/>
          </w:tcPr>
          <w:p>
            <w:pPr>
              <w:spacing w:after="20"/>
              <w:jc w:val="right"/>
            </w:pPr>
            <w:r>
              <w:rPr>
                <w:b/>
                <w:color w:val="1C3A36"/>
                <w:sz w:val="15"/>
              </w:rPr>
              <w:t>1,961</w:t>
            </w:r>
          </w:p>
        </w:tc>
      </w:tr>
      <w:tr>
        <w:tc>
          <w:tcPr>
            <w:tcW w:type="dxa" w:w="2477"/>
          </w:tcPr>
          <w:p>
            <w:pPr>
              <w:spacing w:after="20"/>
            </w:pPr>
            <w:r>
              <w:rPr>
                <w:color w:val="1C3A36"/>
                <w:sz w:val="15"/>
              </w:rPr>
              <w:t>Attributable earnings per share (EGP)</w:t>
            </w:r>
          </w:p>
        </w:tc>
        <w:tc>
          <w:tcPr>
            <w:tcW w:type="dxa" w:w="1037"/>
          </w:tcPr>
          <w:p>
            <w:pPr>
              <w:spacing w:after="20"/>
              <w:jc w:val="right"/>
            </w:pPr>
            <w:r>
              <w:rPr>
                <w:color w:val="1C3A36"/>
                <w:sz w:val="15"/>
              </w:rPr>
              <w:t>5.53</w:t>
            </w:r>
          </w:p>
        </w:tc>
        <w:tc>
          <w:tcPr>
            <w:tcW w:type="dxa" w:w="1037"/>
          </w:tcPr>
          <w:p>
            <w:pPr>
              <w:spacing w:after="20"/>
              <w:jc w:val="right"/>
            </w:pPr>
            <w:r>
              <w:rPr>
                <w:color w:val="1C3A36"/>
                <w:sz w:val="15"/>
              </w:rPr>
              <w:t>7.37</w:t>
            </w:r>
          </w:p>
        </w:tc>
        <w:tc>
          <w:tcPr>
            <w:tcW w:type="dxa" w:w="1037"/>
          </w:tcPr>
          <w:p>
            <w:pPr>
              <w:spacing w:after="20"/>
              <w:jc w:val="right"/>
            </w:pPr>
            <w:r>
              <w:rPr>
                <w:color w:val="1C3A36"/>
                <w:sz w:val="15"/>
              </w:rPr>
              <w:t>8.90</w:t>
            </w:r>
          </w:p>
        </w:tc>
        <w:tc>
          <w:tcPr>
            <w:tcW w:type="dxa" w:w="1037"/>
          </w:tcPr>
          <w:p>
            <w:pPr>
              <w:spacing w:after="20"/>
              <w:jc w:val="right"/>
            </w:pPr>
            <w:r>
              <w:rPr>
                <w:color w:val="1C3A36"/>
                <w:sz w:val="15"/>
              </w:rPr>
              <w:t>5.28</w:t>
            </w:r>
          </w:p>
        </w:tc>
        <w:tc>
          <w:tcPr>
            <w:tcW w:type="dxa" w:w="1037"/>
          </w:tcPr>
          <w:p>
            <w:pPr>
              <w:spacing w:after="20"/>
              <w:jc w:val="right"/>
            </w:pPr>
            <w:r>
              <w:rPr>
                <w:color w:val="1C3A36"/>
                <w:sz w:val="15"/>
              </w:rPr>
              <w:t>6.11</w:t>
            </w:r>
          </w:p>
        </w:tc>
        <w:tc>
          <w:tcPr>
            <w:tcW w:type="dxa" w:w="1037"/>
          </w:tcPr>
          <w:p>
            <w:pPr>
              <w:spacing w:after="20"/>
              <w:jc w:val="right"/>
            </w:pPr>
            <w:r>
              <w:rPr>
                <w:color w:val="1C3A36"/>
                <w:sz w:val="15"/>
              </w:rPr>
              <w:t>7.91</w:t>
            </w:r>
          </w:p>
        </w:tc>
        <w:tc>
          <w:tcPr>
            <w:tcW w:type="dxa" w:w="1037"/>
          </w:tcPr>
          <w:p>
            <w:pPr>
              <w:spacing w:after="20"/>
              <w:jc w:val="right"/>
            </w:pPr>
            <w:r>
              <w:rPr>
                <w:color w:val="1C3A36"/>
                <w:sz w:val="15"/>
              </w:rPr>
              <w:t>9.84</w:t>
            </w:r>
          </w:p>
        </w:tc>
        <w:tc>
          <w:tcPr>
            <w:tcW w:type="dxa" w:w="1037"/>
          </w:tcPr>
          <w:p>
            <w:pPr>
              <w:spacing w:after="20"/>
              <w:jc w:val="right"/>
            </w:pPr>
            <w:r>
              <w:rPr>
                <w:color w:val="1C3A36"/>
                <w:sz w:val="15"/>
              </w:rPr>
              <w:t>11.62</w:t>
            </w:r>
          </w:p>
        </w:tc>
      </w:tr>
      <w:tr>
        <w:tc>
          <w:tcPr>
            <w:tcW w:type="dxa" w:w="2477"/>
          </w:tcPr>
          <w:p>
            <w:pPr>
              <w:spacing w:after="20"/>
            </w:pPr>
            <w:r>
              <w:rPr>
                <w:color w:val="1C3A36"/>
                <w:sz w:val="15"/>
              </w:rPr>
              <w:t xml:space="preserve">   memorandum: retained after a 40% payout</w:t>
            </w:r>
          </w:p>
        </w:tc>
        <w:tc>
          <w:tcPr>
            <w:tcW w:type="dxa" w:w="1037"/>
          </w:tcPr>
          <w:p>
            <w:pPr>
              <w:spacing w:after="20"/>
              <w:jc w:val="right"/>
            </w:pPr>
            <w:r>
              <w:rPr>
                <w:color w:val="1C3A36"/>
                <w:sz w:val="15"/>
              </w:rPr>
              <w:t>493</w:t>
            </w:r>
          </w:p>
        </w:tc>
        <w:tc>
          <w:tcPr>
            <w:tcW w:type="dxa" w:w="1037"/>
          </w:tcPr>
          <w:p>
            <w:pPr>
              <w:spacing w:after="20"/>
              <w:jc w:val="right"/>
            </w:pPr>
            <w:r>
              <w:rPr>
                <w:color w:val="1C3A36"/>
                <w:sz w:val="15"/>
              </w:rPr>
              <w:t>657</w:t>
            </w:r>
          </w:p>
        </w:tc>
        <w:tc>
          <w:tcPr>
            <w:tcW w:type="dxa" w:w="1037"/>
          </w:tcPr>
          <w:p>
            <w:pPr>
              <w:spacing w:after="20"/>
              <w:jc w:val="right"/>
            </w:pPr>
            <w:r>
              <w:rPr>
                <w:color w:val="1C3A36"/>
                <w:sz w:val="15"/>
              </w:rPr>
              <w:t>865</w:t>
            </w:r>
          </w:p>
        </w:tc>
        <w:tc>
          <w:tcPr>
            <w:tcW w:type="dxa" w:w="1037"/>
          </w:tcPr>
          <w:p>
            <w:pPr>
              <w:spacing w:after="20"/>
              <w:jc w:val="right"/>
            </w:pPr>
            <w:r>
              <w:rPr>
                <w:color w:val="1C3A36"/>
                <w:sz w:val="15"/>
              </w:rPr>
              <w:t>534</w:t>
            </w:r>
          </w:p>
        </w:tc>
        <w:tc>
          <w:tcPr>
            <w:tcW w:type="dxa" w:w="1037"/>
          </w:tcPr>
          <w:p>
            <w:pPr>
              <w:spacing w:after="20"/>
              <w:jc w:val="right"/>
            </w:pPr>
            <w:r>
              <w:rPr>
                <w:color w:val="1C3A36"/>
                <w:sz w:val="15"/>
              </w:rPr>
              <w:t>618</w:t>
            </w:r>
          </w:p>
        </w:tc>
        <w:tc>
          <w:tcPr>
            <w:tcW w:type="dxa" w:w="1037"/>
          </w:tcPr>
          <w:p>
            <w:pPr>
              <w:spacing w:after="20"/>
              <w:jc w:val="right"/>
            </w:pPr>
            <w:r>
              <w:rPr>
                <w:color w:val="1C3A36"/>
                <w:sz w:val="15"/>
              </w:rPr>
              <w:t>801</w:t>
            </w:r>
          </w:p>
        </w:tc>
        <w:tc>
          <w:tcPr>
            <w:tcW w:type="dxa" w:w="1037"/>
          </w:tcPr>
          <w:p>
            <w:pPr>
              <w:spacing w:after="20"/>
              <w:jc w:val="right"/>
            </w:pPr>
            <w:r>
              <w:rPr>
                <w:color w:val="1C3A36"/>
                <w:sz w:val="15"/>
              </w:rPr>
              <w:t>996</w:t>
            </w:r>
          </w:p>
        </w:tc>
        <w:tc>
          <w:tcPr>
            <w:tcW w:type="dxa" w:w="1037"/>
          </w:tcPr>
          <w:p>
            <w:pPr>
              <w:spacing w:after="20"/>
              <w:jc w:val="right"/>
            </w:pPr>
            <w:r>
              <w:rPr>
                <w:color w:val="1C3A36"/>
                <w:sz w:val="15"/>
              </w:rPr>
              <w:t>1,177</w:t>
            </w:r>
          </w:p>
        </w:tc>
      </w:tr>
    </w:tbl>
    <w:p>
      <w:pPr>
        <w:spacing w:after="40"/>
      </w:pPr>
    </w:p>
    <w:p>
      <w:pPr>
        <w:spacing w:after="200" w:before="0"/>
      </w:pPr>
      <w:r>
        <w:rPr>
          <w:b w:val="0"/>
          <w:i/>
          <w:color w:val="6E7B77"/>
          <w:sz w:val="17"/>
        </w:rPr>
        <w:t>Table 20 — three audited years and five forecast years. Every forecast line is the model row the valuation itself uses. The attributable-profit line is attributable profit; the retained portion is a separate memorandum line beneath it, because the equity roll-forward in Appendix A.2 needs it. The finance-cost line is the charge the model carries, calibrated to the first quarter of 2026 — it is not the marginal cost of debt used in the discount rate, which is a different and higher forward rate. Earnings per share for FY2023 and FY2024 use the 148.76 million shares then in issue and FY2025 uses the audited weighted average of 162.02 million; the forecast columns use the 168.76 million now in issue.</w:t>
      </w:r>
    </w:p>
    <w:p>
      <w:pPr>
        <w:spacing w:after="80" w:before="200"/>
      </w:pPr>
      <w:r>
        <w:rPr>
          <w:b/>
          <w:i w:val="0"/>
          <w:color w:val="1C3A36"/>
          <w:sz w:val="24"/>
        </w:rPr>
        <w:t>A.2 Balance sheet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77"/>
        <w:gridCol w:w="1037"/>
        <w:gridCol w:w="1037"/>
        <w:gridCol w:w="1037"/>
        <w:gridCol w:w="1037"/>
        <w:gridCol w:w="1037"/>
        <w:gridCol w:w="1037"/>
        <w:gridCol w:w="1037"/>
        <w:gridCol w:w="1037"/>
      </w:tblGrid>
      <w:tr>
        <w:tc>
          <w:tcPr>
            <w:tcW w:type="dxa" w:w="2477"/>
            <w:shd w:val="clear" w:color="auto" w:fill="EAF0EE"/>
          </w:tcPr>
          <w:p>
            <w:pPr>
              <w:spacing w:after="20"/>
            </w:pPr>
            <w:r>
              <w:rPr>
                <w:b/>
                <w:color w:val="1C3A36"/>
                <w:sz w:val="15"/>
              </w:rPr>
              <w:t>EGP million</w:t>
            </w:r>
          </w:p>
        </w:tc>
        <w:tc>
          <w:tcPr>
            <w:tcW w:type="dxa" w:w="1037"/>
            <w:shd w:val="clear" w:color="auto" w:fill="EAF0EE"/>
          </w:tcPr>
          <w:p>
            <w:pPr>
              <w:spacing w:after="20"/>
            </w:pPr>
            <w:r>
              <w:rPr>
                <w:b/>
                <w:color w:val="1C3A36"/>
                <w:sz w:val="15"/>
              </w:rPr>
              <w:t>FY2023</w:t>
            </w:r>
          </w:p>
        </w:tc>
        <w:tc>
          <w:tcPr>
            <w:tcW w:type="dxa" w:w="1037"/>
            <w:shd w:val="clear" w:color="auto" w:fill="EAF0EE"/>
          </w:tcPr>
          <w:p>
            <w:pPr>
              <w:spacing w:after="20"/>
            </w:pPr>
            <w:r>
              <w:rPr>
                <w:b/>
                <w:color w:val="1C3A36"/>
                <w:sz w:val="15"/>
              </w:rPr>
              <w:t>FY2024</w:t>
            </w:r>
          </w:p>
        </w:tc>
        <w:tc>
          <w:tcPr>
            <w:tcW w:type="dxa" w:w="1037"/>
            <w:shd w:val="clear" w:color="auto" w:fill="EAF0EE"/>
          </w:tcPr>
          <w:p>
            <w:pPr>
              <w:spacing w:after="20"/>
            </w:pPr>
            <w:r>
              <w:rPr>
                <w:b/>
                <w:color w:val="1C3A36"/>
                <w:sz w:val="15"/>
              </w:rPr>
              <w:t>FY2025</w:t>
            </w:r>
          </w:p>
        </w:tc>
        <w:tc>
          <w:tcPr>
            <w:tcW w:type="dxa" w:w="1037"/>
            <w:shd w:val="clear" w:color="auto" w:fill="EAF0EE"/>
          </w:tcPr>
          <w:p>
            <w:pPr>
              <w:spacing w:after="20"/>
            </w:pPr>
            <w:r>
              <w:rPr>
                <w:b/>
                <w:color w:val="1C3A36"/>
                <w:sz w:val="15"/>
              </w:rPr>
              <w:t>FY2026E</w:t>
            </w:r>
          </w:p>
        </w:tc>
        <w:tc>
          <w:tcPr>
            <w:tcW w:type="dxa" w:w="1037"/>
            <w:shd w:val="clear" w:color="auto" w:fill="EAF0EE"/>
          </w:tcPr>
          <w:p>
            <w:pPr>
              <w:spacing w:after="20"/>
            </w:pPr>
            <w:r>
              <w:rPr>
                <w:b/>
                <w:color w:val="1C3A36"/>
                <w:sz w:val="15"/>
              </w:rPr>
              <w:t>FY2027E</w:t>
            </w:r>
          </w:p>
        </w:tc>
        <w:tc>
          <w:tcPr>
            <w:tcW w:type="dxa" w:w="1037"/>
            <w:shd w:val="clear" w:color="auto" w:fill="EAF0EE"/>
          </w:tcPr>
          <w:p>
            <w:pPr>
              <w:spacing w:after="20"/>
            </w:pPr>
            <w:r>
              <w:rPr>
                <w:b/>
                <w:color w:val="1C3A36"/>
                <w:sz w:val="15"/>
              </w:rPr>
              <w:t>FY2028E</w:t>
            </w:r>
          </w:p>
        </w:tc>
        <w:tc>
          <w:tcPr>
            <w:tcW w:type="dxa" w:w="1037"/>
            <w:shd w:val="clear" w:color="auto" w:fill="EAF0EE"/>
          </w:tcPr>
          <w:p>
            <w:pPr>
              <w:spacing w:after="20"/>
            </w:pPr>
            <w:r>
              <w:rPr>
                <w:b/>
                <w:color w:val="1C3A36"/>
                <w:sz w:val="15"/>
              </w:rPr>
              <w:t>FY2029E</w:t>
            </w:r>
          </w:p>
        </w:tc>
        <w:tc>
          <w:tcPr>
            <w:tcW w:type="dxa" w:w="1037"/>
            <w:shd w:val="clear" w:color="auto" w:fill="EAF0EE"/>
          </w:tcPr>
          <w:p>
            <w:pPr>
              <w:spacing w:after="20"/>
            </w:pPr>
            <w:r>
              <w:rPr>
                <w:b/>
                <w:color w:val="1C3A36"/>
                <w:sz w:val="15"/>
              </w:rPr>
              <w:t>FY2030E</w:t>
            </w:r>
          </w:p>
        </w:tc>
      </w:tr>
      <w:tr>
        <w:tc>
          <w:tcPr>
            <w:tcW w:type="dxa" w:w="2477"/>
          </w:tcPr>
          <w:p>
            <w:pPr>
              <w:spacing w:after="20"/>
            </w:pPr>
            <w:r>
              <w:rPr>
                <w:color w:val="1C3A36"/>
                <w:sz w:val="15"/>
              </w:rPr>
              <w:t>Property, plant and equipment</w:t>
            </w:r>
          </w:p>
        </w:tc>
        <w:tc>
          <w:tcPr>
            <w:tcW w:type="dxa" w:w="1037"/>
          </w:tcPr>
          <w:p>
            <w:pPr>
              <w:spacing w:after="20"/>
              <w:jc w:val="right"/>
            </w:pPr>
            <w:r>
              <w:rPr>
                <w:color w:val="1C3A36"/>
                <w:sz w:val="15"/>
              </w:rPr>
              <w:t>964</w:t>
            </w:r>
          </w:p>
        </w:tc>
        <w:tc>
          <w:tcPr>
            <w:tcW w:type="dxa" w:w="1037"/>
          </w:tcPr>
          <w:p>
            <w:pPr>
              <w:spacing w:after="20"/>
              <w:jc w:val="right"/>
            </w:pPr>
            <w:r>
              <w:rPr>
                <w:color w:val="1C3A36"/>
                <w:sz w:val="15"/>
              </w:rPr>
              <w:t>1,045</w:t>
            </w:r>
          </w:p>
        </w:tc>
        <w:tc>
          <w:tcPr>
            <w:tcW w:type="dxa" w:w="1037"/>
          </w:tcPr>
          <w:p>
            <w:pPr>
              <w:spacing w:after="20"/>
              <w:jc w:val="right"/>
            </w:pPr>
            <w:r>
              <w:rPr>
                <w:color w:val="1C3A36"/>
                <w:sz w:val="15"/>
              </w:rPr>
              <w:t>3,070</w:t>
            </w:r>
          </w:p>
        </w:tc>
        <w:tc>
          <w:tcPr>
            <w:tcW w:type="dxa" w:w="1037"/>
          </w:tcPr>
          <w:p>
            <w:pPr>
              <w:spacing w:after="20"/>
              <w:jc w:val="right"/>
            </w:pPr>
            <w:r>
              <w:rPr>
                <w:color w:val="1C3A36"/>
                <w:sz w:val="15"/>
              </w:rPr>
              <w:t>6,174</w:t>
            </w:r>
          </w:p>
        </w:tc>
        <w:tc>
          <w:tcPr>
            <w:tcW w:type="dxa" w:w="1037"/>
          </w:tcPr>
          <w:p>
            <w:pPr>
              <w:spacing w:after="20"/>
              <w:jc w:val="right"/>
            </w:pPr>
            <w:r>
              <w:rPr>
                <w:color w:val="1C3A36"/>
                <w:sz w:val="15"/>
              </w:rPr>
              <w:t>6,857</w:t>
            </w:r>
          </w:p>
        </w:tc>
        <w:tc>
          <w:tcPr>
            <w:tcW w:type="dxa" w:w="1037"/>
          </w:tcPr>
          <w:p>
            <w:pPr>
              <w:spacing w:after="20"/>
              <w:jc w:val="right"/>
            </w:pPr>
            <w:r>
              <w:rPr>
                <w:color w:val="1C3A36"/>
                <w:sz w:val="15"/>
              </w:rPr>
              <w:t>6,820</w:t>
            </w:r>
          </w:p>
        </w:tc>
        <w:tc>
          <w:tcPr>
            <w:tcW w:type="dxa" w:w="1037"/>
          </w:tcPr>
          <w:p>
            <w:pPr>
              <w:spacing w:after="20"/>
              <w:jc w:val="right"/>
            </w:pPr>
            <w:r>
              <w:rPr>
                <w:color w:val="1C3A36"/>
                <w:sz w:val="15"/>
              </w:rPr>
              <w:t>6,591</w:t>
            </w:r>
          </w:p>
        </w:tc>
        <w:tc>
          <w:tcPr>
            <w:tcW w:type="dxa" w:w="1037"/>
          </w:tcPr>
          <w:p>
            <w:pPr>
              <w:spacing w:after="20"/>
              <w:jc w:val="right"/>
            </w:pPr>
            <w:r>
              <w:rPr>
                <w:color w:val="1C3A36"/>
                <w:sz w:val="15"/>
              </w:rPr>
              <w:t>6,376</w:t>
            </w:r>
          </w:p>
        </w:tc>
      </w:tr>
      <w:tr>
        <w:tc>
          <w:tcPr>
            <w:tcW w:type="dxa" w:w="2477"/>
          </w:tcPr>
          <w:p>
            <w:pPr>
              <w:spacing w:after="20"/>
            </w:pPr>
            <w:r>
              <w:rPr>
                <w:color w:val="1C3A36"/>
                <w:sz w:val="15"/>
              </w:rPr>
              <w:t>Projects under construction</w:t>
            </w:r>
          </w:p>
        </w:tc>
        <w:tc>
          <w:tcPr>
            <w:tcW w:type="dxa" w:w="1037"/>
          </w:tcPr>
          <w:p>
            <w:pPr>
              <w:spacing w:after="20"/>
              <w:jc w:val="right"/>
            </w:pPr>
            <w:r>
              <w:rPr>
                <w:color w:val="1C3A36"/>
                <w:sz w:val="15"/>
              </w:rPr>
              <w:t>3,058</w:t>
            </w:r>
          </w:p>
        </w:tc>
        <w:tc>
          <w:tcPr>
            <w:tcW w:type="dxa" w:w="1037"/>
          </w:tcPr>
          <w:p>
            <w:pPr>
              <w:spacing w:after="20"/>
              <w:jc w:val="right"/>
            </w:pPr>
            <w:r>
              <w:rPr>
                <w:color w:val="1C3A36"/>
                <w:sz w:val="15"/>
              </w:rPr>
              <w:t>5,694</w:t>
            </w:r>
          </w:p>
        </w:tc>
        <w:tc>
          <w:tcPr>
            <w:tcW w:type="dxa" w:w="1037"/>
          </w:tcPr>
          <w:p>
            <w:pPr>
              <w:spacing w:after="20"/>
              <w:jc w:val="right"/>
            </w:pPr>
            <w:r>
              <w:rPr>
                <w:color w:val="1C3A36"/>
                <w:sz w:val="15"/>
              </w:rPr>
              <w:t>4,901</w:t>
            </w:r>
          </w:p>
        </w:tc>
        <w:tc>
          <w:tcPr>
            <w:tcW w:type="dxa" w:w="1037"/>
          </w:tcPr>
          <w:p>
            <w:pPr>
              <w:spacing w:after="20"/>
              <w:jc w:val="right"/>
            </w:pPr>
            <w:r>
              <w:rPr>
                <w:color w:val="1C3A36"/>
                <w:sz w:val="15"/>
              </w:rPr>
              <w:t>2,838</w:t>
            </w:r>
          </w:p>
        </w:tc>
        <w:tc>
          <w:tcPr>
            <w:tcW w:type="dxa" w:w="1037"/>
          </w:tcPr>
          <w:p>
            <w:pPr>
              <w:spacing w:after="20"/>
              <w:jc w:val="right"/>
            </w:pPr>
            <w:r>
              <w:rPr>
                <w:color w:val="1C3A36"/>
                <w:sz w:val="15"/>
              </w:rPr>
              <w:t>2,306</w:t>
            </w:r>
          </w:p>
        </w:tc>
        <w:tc>
          <w:tcPr>
            <w:tcW w:type="dxa" w:w="1037"/>
          </w:tcPr>
          <w:p>
            <w:pPr>
              <w:spacing w:after="20"/>
              <w:jc w:val="right"/>
            </w:pPr>
            <w:r>
              <w:rPr>
                <w:color w:val="1C3A36"/>
                <w:sz w:val="15"/>
              </w:rPr>
              <w:t>2,417</w:t>
            </w:r>
          </w:p>
        </w:tc>
        <w:tc>
          <w:tcPr>
            <w:tcW w:type="dxa" w:w="1037"/>
          </w:tcPr>
          <w:p>
            <w:pPr>
              <w:spacing w:after="20"/>
              <w:jc w:val="right"/>
            </w:pPr>
            <w:r>
              <w:rPr>
                <w:color w:val="1C3A36"/>
                <w:sz w:val="15"/>
              </w:rPr>
              <w:t>2,750</w:t>
            </w:r>
          </w:p>
        </w:tc>
        <w:tc>
          <w:tcPr>
            <w:tcW w:type="dxa" w:w="1037"/>
          </w:tcPr>
          <w:p>
            <w:pPr>
              <w:spacing w:after="20"/>
              <w:jc w:val="right"/>
            </w:pPr>
            <w:r>
              <w:rPr>
                <w:color w:val="1C3A36"/>
                <w:sz w:val="15"/>
              </w:rPr>
              <w:t>3,108</w:t>
            </w:r>
          </w:p>
        </w:tc>
      </w:tr>
      <w:tr>
        <w:tc>
          <w:tcPr>
            <w:tcW w:type="dxa" w:w="2477"/>
          </w:tcPr>
          <w:p>
            <w:pPr>
              <w:spacing w:after="20"/>
            </w:pPr>
            <w:r>
              <w:rPr>
                <w:color w:val="1C3A36"/>
                <w:sz w:val="15"/>
              </w:rPr>
              <w:t>Inventories</w:t>
            </w:r>
          </w:p>
        </w:tc>
        <w:tc>
          <w:tcPr>
            <w:tcW w:type="dxa" w:w="1037"/>
          </w:tcPr>
          <w:p>
            <w:pPr>
              <w:spacing w:after="20"/>
              <w:jc w:val="right"/>
            </w:pPr>
            <w:r>
              <w:rPr>
                <w:color w:val="1C3A36"/>
                <w:sz w:val="15"/>
              </w:rPr>
              <w:t>2,242</w:t>
            </w:r>
          </w:p>
        </w:tc>
        <w:tc>
          <w:tcPr>
            <w:tcW w:type="dxa" w:w="1037"/>
          </w:tcPr>
          <w:p>
            <w:pPr>
              <w:spacing w:after="20"/>
              <w:jc w:val="right"/>
            </w:pPr>
            <w:r>
              <w:rPr>
                <w:color w:val="1C3A36"/>
                <w:sz w:val="15"/>
              </w:rPr>
              <w:t>3,585</w:t>
            </w:r>
          </w:p>
        </w:tc>
        <w:tc>
          <w:tcPr>
            <w:tcW w:type="dxa" w:w="1037"/>
          </w:tcPr>
          <w:p>
            <w:pPr>
              <w:spacing w:after="20"/>
              <w:jc w:val="right"/>
            </w:pPr>
            <w:r>
              <w:rPr>
                <w:color w:val="1C3A36"/>
                <w:sz w:val="15"/>
              </w:rPr>
              <w:t>3,887</w:t>
            </w:r>
          </w:p>
        </w:tc>
        <w:tc>
          <w:tcPr>
            <w:tcW w:type="dxa" w:w="1037"/>
          </w:tcPr>
          <w:p>
            <w:pPr>
              <w:spacing w:after="20"/>
              <w:jc w:val="right"/>
            </w:pPr>
            <w:r>
              <w:rPr>
                <w:color w:val="1C3A36"/>
                <w:sz w:val="15"/>
              </w:rPr>
              <w:t>4,721</w:t>
            </w:r>
          </w:p>
        </w:tc>
        <w:tc>
          <w:tcPr>
            <w:tcW w:type="dxa" w:w="1037"/>
          </w:tcPr>
          <w:p>
            <w:pPr>
              <w:spacing w:after="20"/>
              <w:jc w:val="right"/>
            </w:pPr>
            <w:r>
              <w:rPr>
                <w:color w:val="1C3A36"/>
                <w:sz w:val="15"/>
              </w:rPr>
              <w:t>5,591</w:t>
            </w:r>
          </w:p>
        </w:tc>
        <w:tc>
          <w:tcPr>
            <w:tcW w:type="dxa" w:w="1037"/>
          </w:tcPr>
          <w:p>
            <w:pPr>
              <w:spacing w:after="20"/>
              <w:jc w:val="right"/>
            </w:pPr>
            <w:r>
              <w:rPr>
                <w:color w:val="1C3A36"/>
                <w:sz w:val="15"/>
              </w:rPr>
              <w:t>6,323</w:t>
            </w:r>
          </w:p>
        </w:tc>
        <w:tc>
          <w:tcPr>
            <w:tcW w:type="dxa" w:w="1037"/>
          </w:tcPr>
          <w:p>
            <w:pPr>
              <w:spacing w:after="20"/>
              <w:jc w:val="right"/>
            </w:pPr>
            <w:r>
              <w:rPr>
                <w:color w:val="1C3A36"/>
                <w:sz w:val="15"/>
              </w:rPr>
              <w:t>7,063</w:t>
            </w:r>
          </w:p>
        </w:tc>
        <w:tc>
          <w:tcPr>
            <w:tcW w:type="dxa" w:w="1037"/>
          </w:tcPr>
          <w:p>
            <w:pPr>
              <w:spacing w:after="20"/>
              <w:jc w:val="right"/>
            </w:pPr>
            <w:r>
              <w:rPr>
                <w:color w:val="1C3A36"/>
                <w:sz w:val="15"/>
              </w:rPr>
              <w:t>7,774</w:t>
            </w:r>
          </w:p>
        </w:tc>
      </w:tr>
      <w:tr>
        <w:tc>
          <w:tcPr>
            <w:tcW w:type="dxa" w:w="2477"/>
          </w:tcPr>
          <w:p>
            <w:pPr>
              <w:spacing w:after="20"/>
            </w:pPr>
            <w:r>
              <w:rPr>
                <w:color w:val="1C3A36"/>
                <w:sz w:val="15"/>
              </w:rPr>
              <w:t>Trade receivables</w:t>
            </w:r>
          </w:p>
        </w:tc>
        <w:tc>
          <w:tcPr>
            <w:tcW w:type="dxa" w:w="1037"/>
          </w:tcPr>
          <w:p>
            <w:pPr>
              <w:spacing w:after="20"/>
              <w:jc w:val="right"/>
            </w:pPr>
            <w:r>
              <w:rPr>
                <w:color w:val="1C3A36"/>
                <w:sz w:val="15"/>
              </w:rPr>
              <w:t>2,358</w:t>
            </w:r>
          </w:p>
        </w:tc>
        <w:tc>
          <w:tcPr>
            <w:tcW w:type="dxa" w:w="1037"/>
          </w:tcPr>
          <w:p>
            <w:pPr>
              <w:spacing w:after="20"/>
              <w:jc w:val="right"/>
            </w:pPr>
            <w:r>
              <w:rPr>
                <w:color w:val="1C3A36"/>
                <w:sz w:val="15"/>
              </w:rPr>
              <w:t>3,049</w:t>
            </w:r>
          </w:p>
        </w:tc>
        <w:tc>
          <w:tcPr>
            <w:tcW w:type="dxa" w:w="1037"/>
          </w:tcPr>
          <w:p>
            <w:pPr>
              <w:spacing w:after="20"/>
              <w:jc w:val="right"/>
            </w:pPr>
            <w:r>
              <w:rPr>
                <w:color w:val="1C3A36"/>
                <w:sz w:val="15"/>
              </w:rPr>
              <w:t>3,325</w:t>
            </w:r>
          </w:p>
        </w:tc>
        <w:tc>
          <w:tcPr>
            <w:tcW w:type="dxa" w:w="1037"/>
          </w:tcPr>
          <w:p>
            <w:pPr>
              <w:spacing w:after="20"/>
              <w:jc w:val="right"/>
            </w:pPr>
            <w:r>
              <w:rPr>
                <w:color w:val="1C3A36"/>
                <w:sz w:val="15"/>
              </w:rPr>
              <w:t>3,692</w:t>
            </w:r>
          </w:p>
        </w:tc>
        <w:tc>
          <w:tcPr>
            <w:tcW w:type="dxa" w:w="1037"/>
          </w:tcPr>
          <w:p>
            <w:pPr>
              <w:spacing w:after="20"/>
              <w:jc w:val="right"/>
            </w:pPr>
            <w:r>
              <w:rPr>
                <w:color w:val="1C3A36"/>
                <w:sz w:val="15"/>
              </w:rPr>
              <w:t>4,215</w:t>
            </w:r>
          </w:p>
        </w:tc>
        <w:tc>
          <w:tcPr>
            <w:tcW w:type="dxa" w:w="1037"/>
          </w:tcPr>
          <w:p>
            <w:pPr>
              <w:spacing w:after="20"/>
              <w:jc w:val="right"/>
            </w:pPr>
            <w:r>
              <w:rPr>
                <w:color w:val="1C3A36"/>
                <w:sz w:val="15"/>
              </w:rPr>
              <w:t>4,727</w:t>
            </w:r>
          </w:p>
        </w:tc>
        <w:tc>
          <w:tcPr>
            <w:tcW w:type="dxa" w:w="1037"/>
          </w:tcPr>
          <w:p>
            <w:pPr>
              <w:spacing w:after="20"/>
              <w:jc w:val="right"/>
            </w:pPr>
            <w:r>
              <w:rPr>
                <w:color w:val="1C3A36"/>
                <w:sz w:val="15"/>
              </w:rPr>
              <w:t>5,242</w:t>
            </w:r>
          </w:p>
        </w:tc>
        <w:tc>
          <w:tcPr>
            <w:tcW w:type="dxa" w:w="1037"/>
          </w:tcPr>
          <w:p>
            <w:pPr>
              <w:spacing w:after="20"/>
              <w:jc w:val="right"/>
            </w:pPr>
            <w:r>
              <w:rPr>
                <w:color w:val="1C3A36"/>
                <w:sz w:val="15"/>
              </w:rPr>
              <w:t>5,710</w:t>
            </w:r>
          </w:p>
        </w:tc>
      </w:tr>
      <w:tr>
        <w:tc>
          <w:tcPr>
            <w:tcW w:type="dxa" w:w="2477"/>
          </w:tcPr>
          <w:p>
            <w:pPr>
              <w:spacing w:after="20"/>
            </w:pPr>
            <w:r>
              <w:rPr>
                <w:color w:val="1C3A36"/>
                <w:sz w:val="15"/>
              </w:rPr>
              <w:t>Cash and bank balances</w:t>
            </w:r>
          </w:p>
        </w:tc>
        <w:tc>
          <w:tcPr>
            <w:tcW w:type="dxa" w:w="1037"/>
          </w:tcPr>
          <w:p>
            <w:pPr>
              <w:spacing w:after="20"/>
              <w:jc w:val="right"/>
            </w:pPr>
            <w:r>
              <w:rPr>
                <w:color w:val="1C3A36"/>
                <w:sz w:val="15"/>
              </w:rPr>
              <w:t>676</w:t>
            </w:r>
          </w:p>
        </w:tc>
        <w:tc>
          <w:tcPr>
            <w:tcW w:type="dxa" w:w="1037"/>
          </w:tcPr>
          <w:p>
            <w:pPr>
              <w:spacing w:after="20"/>
              <w:jc w:val="right"/>
            </w:pPr>
            <w:r>
              <w:rPr>
                <w:color w:val="1C3A36"/>
                <w:sz w:val="15"/>
              </w:rPr>
              <w:t>1,295</w:t>
            </w:r>
          </w:p>
        </w:tc>
        <w:tc>
          <w:tcPr>
            <w:tcW w:type="dxa" w:w="1037"/>
          </w:tcPr>
          <w:p>
            <w:pPr>
              <w:spacing w:after="20"/>
              <w:jc w:val="right"/>
            </w:pPr>
            <w:r>
              <w:rPr>
                <w:color w:val="1C3A36"/>
                <w:sz w:val="15"/>
              </w:rPr>
              <w:t>1,433</w:t>
            </w:r>
          </w:p>
        </w:tc>
        <w:tc>
          <w:tcPr>
            <w:tcW w:type="dxa" w:w="1037"/>
          </w:tcPr>
          <w:p>
            <w:pPr>
              <w:spacing w:after="20"/>
              <w:jc w:val="right"/>
            </w:pPr>
            <w:r>
              <w:rPr>
                <w:color w:val="1C3A36"/>
                <w:sz w:val="15"/>
              </w:rPr>
              <w:t>1,433</w:t>
            </w:r>
          </w:p>
        </w:tc>
        <w:tc>
          <w:tcPr>
            <w:tcW w:type="dxa" w:w="1037"/>
          </w:tcPr>
          <w:p>
            <w:pPr>
              <w:spacing w:after="20"/>
              <w:jc w:val="right"/>
            </w:pPr>
            <w:r>
              <w:rPr>
                <w:color w:val="1C3A36"/>
                <w:sz w:val="15"/>
              </w:rPr>
              <w:t>1,433</w:t>
            </w:r>
          </w:p>
        </w:tc>
        <w:tc>
          <w:tcPr>
            <w:tcW w:type="dxa" w:w="1037"/>
          </w:tcPr>
          <w:p>
            <w:pPr>
              <w:spacing w:after="20"/>
              <w:jc w:val="right"/>
            </w:pPr>
            <w:r>
              <w:rPr>
                <w:color w:val="1C3A36"/>
                <w:sz w:val="15"/>
              </w:rPr>
              <w:t>1,433</w:t>
            </w:r>
          </w:p>
        </w:tc>
        <w:tc>
          <w:tcPr>
            <w:tcW w:type="dxa" w:w="1037"/>
          </w:tcPr>
          <w:p>
            <w:pPr>
              <w:spacing w:after="20"/>
              <w:jc w:val="right"/>
            </w:pPr>
            <w:r>
              <w:rPr>
                <w:color w:val="1C3A36"/>
                <w:sz w:val="15"/>
              </w:rPr>
              <w:t>1,433</w:t>
            </w:r>
          </w:p>
        </w:tc>
        <w:tc>
          <w:tcPr>
            <w:tcW w:type="dxa" w:w="1037"/>
          </w:tcPr>
          <w:p>
            <w:pPr>
              <w:spacing w:after="20"/>
              <w:jc w:val="right"/>
            </w:pPr>
            <w:r>
              <w:rPr>
                <w:color w:val="1C3A36"/>
                <w:sz w:val="15"/>
              </w:rPr>
              <w:t>1,433</w:t>
            </w:r>
          </w:p>
        </w:tc>
      </w:tr>
      <w:tr>
        <w:tc>
          <w:tcPr>
            <w:tcW w:type="dxa" w:w="2477"/>
          </w:tcPr>
          <w:p>
            <w:pPr>
              <w:spacing w:after="20"/>
            </w:pPr>
            <w:r>
              <w:rPr>
                <w:color w:val="1C3A36"/>
                <w:sz w:val="15"/>
              </w:rPr>
              <w:t>Trade payables</w:t>
            </w:r>
          </w:p>
        </w:tc>
        <w:tc>
          <w:tcPr>
            <w:tcW w:type="dxa" w:w="1037"/>
          </w:tcPr>
          <w:p>
            <w:pPr>
              <w:spacing w:after="20"/>
              <w:jc w:val="right"/>
            </w:pPr>
            <w:r>
              <w:rPr>
                <w:color w:val="1C3A36"/>
                <w:sz w:val="15"/>
              </w:rPr>
              <w:t>176</w:t>
            </w:r>
          </w:p>
        </w:tc>
        <w:tc>
          <w:tcPr>
            <w:tcW w:type="dxa" w:w="1037"/>
          </w:tcPr>
          <w:p>
            <w:pPr>
              <w:spacing w:after="20"/>
              <w:jc w:val="right"/>
            </w:pPr>
            <w:r>
              <w:rPr>
                <w:color w:val="1C3A36"/>
                <w:sz w:val="15"/>
              </w:rPr>
              <w:t>410</w:t>
            </w:r>
          </w:p>
        </w:tc>
        <w:tc>
          <w:tcPr>
            <w:tcW w:type="dxa" w:w="1037"/>
          </w:tcPr>
          <w:p>
            <w:pPr>
              <w:spacing w:after="20"/>
              <w:jc w:val="right"/>
            </w:pPr>
            <w:r>
              <w:rPr>
                <w:color w:val="1C3A36"/>
                <w:sz w:val="15"/>
              </w:rPr>
              <w:t>780</w:t>
            </w:r>
          </w:p>
        </w:tc>
        <w:tc>
          <w:tcPr>
            <w:tcW w:type="dxa" w:w="1037"/>
          </w:tcPr>
          <w:p>
            <w:pPr>
              <w:spacing w:after="20"/>
              <w:jc w:val="right"/>
            </w:pPr>
            <w:r>
              <w:rPr>
                <w:color w:val="1C3A36"/>
                <w:sz w:val="15"/>
              </w:rPr>
              <w:t>980</w:t>
            </w:r>
          </w:p>
        </w:tc>
        <w:tc>
          <w:tcPr>
            <w:tcW w:type="dxa" w:w="1037"/>
          </w:tcPr>
          <w:p>
            <w:pPr>
              <w:spacing w:after="20"/>
              <w:jc w:val="right"/>
            </w:pPr>
            <w:r>
              <w:rPr>
                <w:color w:val="1C3A36"/>
                <w:sz w:val="15"/>
              </w:rPr>
              <w:t>1,214</w:t>
            </w:r>
          </w:p>
        </w:tc>
        <w:tc>
          <w:tcPr>
            <w:tcW w:type="dxa" w:w="1037"/>
          </w:tcPr>
          <w:p>
            <w:pPr>
              <w:spacing w:after="20"/>
              <w:jc w:val="right"/>
            </w:pPr>
            <w:r>
              <w:rPr>
                <w:color w:val="1C3A36"/>
                <w:sz w:val="15"/>
              </w:rPr>
              <w:t>1,442</w:t>
            </w:r>
          </w:p>
        </w:tc>
        <w:tc>
          <w:tcPr>
            <w:tcW w:type="dxa" w:w="1037"/>
          </w:tcPr>
          <w:p>
            <w:pPr>
              <w:spacing w:after="20"/>
              <w:jc w:val="right"/>
            </w:pPr>
            <w:r>
              <w:rPr>
                <w:color w:val="1C3A36"/>
                <w:sz w:val="15"/>
              </w:rPr>
              <w:t>1,672</w:t>
            </w:r>
          </w:p>
        </w:tc>
        <w:tc>
          <w:tcPr>
            <w:tcW w:type="dxa" w:w="1037"/>
          </w:tcPr>
          <w:p>
            <w:pPr>
              <w:spacing w:after="20"/>
              <w:jc w:val="right"/>
            </w:pPr>
            <w:r>
              <w:rPr>
                <w:color w:val="1C3A36"/>
                <w:sz w:val="15"/>
              </w:rPr>
              <w:t>1,879</w:t>
            </w:r>
          </w:p>
        </w:tc>
      </w:tr>
      <w:tr>
        <w:tc>
          <w:tcPr>
            <w:tcW w:type="dxa" w:w="2477"/>
          </w:tcPr>
          <w:p>
            <w:pPr>
              <w:spacing w:after="20"/>
            </w:pPr>
            <w:r>
              <w:rPr>
                <w:color w:val="1C3A36"/>
                <w:sz w:val="15"/>
              </w:rPr>
              <w:t>Gross borrowings (the funding plug)</w:t>
            </w:r>
          </w:p>
        </w:tc>
        <w:tc>
          <w:tcPr>
            <w:tcW w:type="dxa" w:w="1037"/>
          </w:tcPr>
          <w:p>
            <w:pPr>
              <w:spacing w:after="20"/>
              <w:jc w:val="right"/>
            </w:pPr>
            <w:r>
              <w:rPr>
                <w:color w:val="1C3A36"/>
                <w:sz w:val="15"/>
              </w:rPr>
              <w:t>4,880</w:t>
            </w:r>
          </w:p>
        </w:tc>
        <w:tc>
          <w:tcPr>
            <w:tcW w:type="dxa" w:w="1037"/>
          </w:tcPr>
          <w:p>
            <w:pPr>
              <w:spacing w:after="20"/>
              <w:jc w:val="right"/>
            </w:pPr>
            <w:r>
              <w:rPr>
                <w:color w:val="1C3A36"/>
                <w:sz w:val="15"/>
              </w:rPr>
              <w:t>9,200</w:t>
            </w:r>
          </w:p>
        </w:tc>
        <w:tc>
          <w:tcPr>
            <w:tcW w:type="dxa" w:w="1037"/>
          </w:tcPr>
          <w:p>
            <w:pPr>
              <w:spacing w:after="20"/>
              <w:jc w:val="right"/>
            </w:pPr>
            <w:r>
              <w:rPr>
                <w:color w:val="1C3A36"/>
                <w:sz w:val="15"/>
              </w:rPr>
              <w:t>8,798</w:t>
            </w:r>
          </w:p>
        </w:tc>
        <w:tc>
          <w:tcPr>
            <w:tcW w:type="dxa" w:w="1037"/>
          </w:tcPr>
          <w:p>
            <w:pPr>
              <w:spacing w:after="20"/>
              <w:jc w:val="right"/>
            </w:pPr>
            <w:r>
              <w:rPr>
                <w:color w:val="1C3A36"/>
                <w:sz w:val="15"/>
              </w:rPr>
              <w:t>10,500</w:t>
            </w:r>
          </w:p>
        </w:tc>
        <w:tc>
          <w:tcPr>
            <w:tcW w:type="dxa" w:w="1037"/>
          </w:tcPr>
          <w:p>
            <w:pPr>
              <w:spacing w:after="20"/>
              <w:jc w:val="right"/>
            </w:pPr>
            <w:r>
              <w:rPr>
                <w:color w:val="1C3A36"/>
                <w:sz w:val="15"/>
              </w:rPr>
              <w:t>11,052</w:t>
            </w:r>
          </w:p>
        </w:tc>
        <w:tc>
          <w:tcPr>
            <w:tcW w:type="dxa" w:w="1037"/>
          </w:tcPr>
          <w:p>
            <w:pPr>
              <w:spacing w:after="20"/>
              <w:jc w:val="right"/>
            </w:pPr>
            <w:r>
              <w:rPr>
                <w:color w:val="1C3A36"/>
                <w:sz w:val="15"/>
              </w:rPr>
              <w:t>11,194</w:t>
            </w:r>
          </w:p>
        </w:tc>
        <w:tc>
          <w:tcPr>
            <w:tcW w:type="dxa" w:w="1037"/>
          </w:tcPr>
          <w:p>
            <w:pPr>
              <w:spacing w:after="20"/>
              <w:jc w:val="right"/>
            </w:pPr>
            <w:r>
              <w:rPr>
                <w:color w:val="1C3A36"/>
                <w:sz w:val="15"/>
              </w:rPr>
              <w:t>11,179</w:t>
            </w:r>
          </w:p>
        </w:tc>
        <w:tc>
          <w:tcPr>
            <w:tcW w:type="dxa" w:w="1037"/>
          </w:tcPr>
          <w:p>
            <w:pPr>
              <w:spacing w:after="20"/>
              <w:jc w:val="right"/>
            </w:pPr>
            <w:r>
              <w:rPr>
                <w:color w:val="1C3A36"/>
                <w:sz w:val="15"/>
              </w:rPr>
              <w:t>10,975</w:t>
            </w:r>
          </w:p>
        </w:tc>
      </w:tr>
      <w:tr>
        <w:tc>
          <w:tcPr>
            <w:tcW w:type="dxa" w:w="2477"/>
          </w:tcPr>
          <w:p>
            <w:pPr>
              <w:spacing w:after="20"/>
            </w:pPr>
            <w:r>
              <w:rPr>
                <w:color w:val="1C3A36"/>
                <w:sz w:val="15"/>
              </w:rPr>
              <w:t>Net debt</w:t>
            </w:r>
          </w:p>
        </w:tc>
        <w:tc>
          <w:tcPr>
            <w:tcW w:type="dxa" w:w="1037"/>
          </w:tcPr>
          <w:p>
            <w:pPr>
              <w:spacing w:after="20"/>
              <w:jc w:val="right"/>
            </w:pPr>
            <w:r>
              <w:rPr>
                <w:color w:val="1C3A36"/>
                <w:sz w:val="15"/>
              </w:rPr>
              <w:t>4,204</w:t>
            </w:r>
          </w:p>
        </w:tc>
        <w:tc>
          <w:tcPr>
            <w:tcW w:type="dxa" w:w="1037"/>
          </w:tcPr>
          <w:p>
            <w:pPr>
              <w:spacing w:after="20"/>
              <w:jc w:val="right"/>
            </w:pPr>
            <w:r>
              <w:rPr>
                <w:color w:val="1C3A36"/>
                <w:sz w:val="15"/>
              </w:rPr>
              <w:t>7,905</w:t>
            </w:r>
          </w:p>
        </w:tc>
        <w:tc>
          <w:tcPr>
            <w:tcW w:type="dxa" w:w="1037"/>
          </w:tcPr>
          <w:p>
            <w:pPr>
              <w:spacing w:after="20"/>
              <w:jc w:val="right"/>
            </w:pPr>
            <w:r>
              <w:rPr>
                <w:color w:val="1C3A36"/>
                <w:sz w:val="15"/>
              </w:rPr>
              <w:t>7,364</w:t>
            </w:r>
          </w:p>
        </w:tc>
        <w:tc>
          <w:tcPr>
            <w:tcW w:type="dxa" w:w="1037"/>
          </w:tcPr>
          <w:p>
            <w:pPr>
              <w:spacing w:after="20"/>
              <w:jc w:val="right"/>
            </w:pPr>
            <w:r>
              <w:rPr>
                <w:color w:val="1C3A36"/>
                <w:sz w:val="15"/>
              </w:rPr>
              <w:t>9,066</w:t>
            </w:r>
          </w:p>
        </w:tc>
        <w:tc>
          <w:tcPr>
            <w:tcW w:type="dxa" w:w="1037"/>
          </w:tcPr>
          <w:p>
            <w:pPr>
              <w:spacing w:after="20"/>
              <w:jc w:val="right"/>
            </w:pPr>
            <w:r>
              <w:rPr>
                <w:color w:val="1C3A36"/>
                <w:sz w:val="15"/>
              </w:rPr>
              <w:t>9,619</w:t>
            </w:r>
          </w:p>
        </w:tc>
        <w:tc>
          <w:tcPr>
            <w:tcW w:type="dxa" w:w="1037"/>
          </w:tcPr>
          <w:p>
            <w:pPr>
              <w:spacing w:after="20"/>
              <w:jc w:val="right"/>
            </w:pPr>
            <w:r>
              <w:rPr>
                <w:color w:val="1C3A36"/>
                <w:sz w:val="15"/>
              </w:rPr>
              <w:t>9,761</w:t>
            </w:r>
          </w:p>
        </w:tc>
        <w:tc>
          <w:tcPr>
            <w:tcW w:type="dxa" w:w="1037"/>
          </w:tcPr>
          <w:p>
            <w:pPr>
              <w:spacing w:after="20"/>
              <w:jc w:val="right"/>
            </w:pPr>
            <w:r>
              <w:rPr>
                <w:color w:val="1C3A36"/>
                <w:sz w:val="15"/>
              </w:rPr>
              <w:t>9,745</w:t>
            </w:r>
          </w:p>
        </w:tc>
        <w:tc>
          <w:tcPr>
            <w:tcW w:type="dxa" w:w="1037"/>
          </w:tcPr>
          <w:p>
            <w:pPr>
              <w:spacing w:after="20"/>
              <w:jc w:val="right"/>
            </w:pPr>
            <w:r>
              <w:rPr>
                <w:color w:val="1C3A36"/>
                <w:sz w:val="15"/>
              </w:rPr>
              <w:t>9,541</w:t>
            </w:r>
          </w:p>
        </w:tc>
      </w:tr>
      <w:tr>
        <w:tc>
          <w:tcPr>
            <w:tcW w:type="dxa" w:w="2477"/>
          </w:tcPr>
          <w:p>
            <w:pPr>
              <w:spacing w:after="20"/>
            </w:pPr>
            <w:r>
              <w:rPr>
                <w:color w:val="1C3A36"/>
                <w:sz w:val="15"/>
              </w:rPr>
              <w:t>Equity attributable to shareholders</w:t>
            </w:r>
          </w:p>
        </w:tc>
        <w:tc>
          <w:tcPr>
            <w:tcW w:type="dxa" w:w="1037"/>
          </w:tcPr>
          <w:p>
            <w:pPr>
              <w:spacing w:after="20"/>
              <w:jc w:val="right"/>
            </w:pPr>
            <w:r>
              <w:rPr>
                <w:color w:val="1C3A36"/>
                <w:sz w:val="15"/>
              </w:rPr>
              <w:t>4,257</w:t>
            </w:r>
          </w:p>
        </w:tc>
        <w:tc>
          <w:tcPr>
            <w:tcW w:type="dxa" w:w="1037"/>
          </w:tcPr>
          <w:p>
            <w:pPr>
              <w:spacing w:after="20"/>
              <w:jc w:val="right"/>
            </w:pPr>
            <w:r>
              <w:rPr>
                <w:color w:val="1C3A36"/>
                <w:sz w:val="15"/>
              </w:rPr>
              <w:t>4,654</w:t>
            </w:r>
          </w:p>
        </w:tc>
        <w:tc>
          <w:tcPr>
            <w:tcW w:type="dxa" w:w="1037"/>
          </w:tcPr>
          <w:p>
            <w:pPr>
              <w:spacing w:after="20"/>
              <w:jc w:val="right"/>
            </w:pPr>
            <w:r>
              <w:rPr>
                <w:color w:val="1C3A36"/>
                <w:sz w:val="15"/>
              </w:rPr>
              <w:t>6,243</w:t>
            </w:r>
          </w:p>
        </w:tc>
        <w:tc>
          <w:tcPr>
            <w:tcW w:type="dxa" w:w="1037"/>
          </w:tcPr>
          <w:p>
            <w:pPr>
              <w:spacing w:after="20"/>
              <w:jc w:val="right"/>
            </w:pPr>
            <w:r>
              <w:rPr>
                <w:color w:val="1C3A36"/>
                <w:sz w:val="15"/>
              </w:rPr>
              <w:t>6,777</w:t>
            </w:r>
          </w:p>
        </w:tc>
        <w:tc>
          <w:tcPr>
            <w:tcW w:type="dxa" w:w="1037"/>
          </w:tcPr>
          <w:p>
            <w:pPr>
              <w:spacing w:after="20"/>
              <w:jc w:val="right"/>
            </w:pPr>
            <w:r>
              <w:rPr>
                <w:color w:val="1C3A36"/>
                <w:sz w:val="15"/>
              </w:rPr>
              <w:t>7,396</w:t>
            </w:r>
          </w:p>
        </w:tc>
        <w:tc>
          <w:tcPr>
            <w:tcW w:type="dxa" w:w="1037"/>
          </w:tcPr>
          <w:p>
            <w:pPr>
              <w:spacing w:after="20"/>
              <w:jc w:val="right"/>
            </w:pPr>
            <w:r>
              <w:rPr>
                <w:color w:val="1C3A36"/>
                <w:sz w:val="15"/>
              </w:rPr>
              <w:t>8,197</w:t>
            </w:r>
          </w:p>
        </w:tc>
        <w:tc>
          <w:tcPr>
            <w:tcW w:type="dxa" w:w="1037"/>
          </w:tcPr>
          <w:p>
            <w:pPr>
              <w:spacing w:after="20"/>
              <w:jc w:val="right"/>
            </w:pPr>
            <w:r>
              <w:rPr>
                <w:color w:val="1C3A36"/>
                <w:sz w:val="15"/>
              </w:rPr>
              <w:t>9,193</w:t>
            </w:r>
          </w:p>
        </w:tc>
        <w:tc>
          <w:tcPr>
            <w:tcW w:type="dxa" w:w="1037"/>
          </w:tcPr>
          <w:p>
            <w:pPr>
              <w:spacing w:after="20"/>
              <w:jc w:val="right"/>
            </w:pPr>
            <w:r>
              <w:rPr>
                <w:color w:val="1C3A36"/>
                <w:sz w:val="15"/>
              </w:rPr>
              <w:t>10,369</w:t>
            </w:r>
          </w:p>
        </w:tc>
      </w:tr>
      <w:tr>
        <w:tc>
          <w:tcPr>
            <w:tcW w:type="dxa" w:w="2477"/>
            <w:shd w:val="clear" w:color="auto" w:fill="F6F1E6"/>
          </w:tcPr>
          <w:p>
            <w:pPr>
              <w:spacing w:after="20"/>
            </w:pPr>
            <w:r>
              <w:rPr>
                <w:b/>
                <w:color w:val="1C3A36"/>
                <w:sz w:val="15"/>
              </w:rPr>
              <w:t>Book value per share (EGP)</w:t>
            </w:r>
          </w:p>
        </w:tc>
        <w:tc>
          <w:tcPr>
            <w:tcW w:type="dxa" w:w="1037"/>
            <w:shd w:val="clear" w:color="auto" w:fill="F6F1E6"/>
          </w:tcPr>
          <w:p>
            <w:pPr>
              <w:spacing w:after="20"/>
              <w:jc w:val="right"/>
            </w:pPr>
            <w:r>
              <w:rPr>
                <w:b/>
                <w:color w:val="1C3A36"/>
                <w:sz w:val="15"/>
              </w:rPr>
              <w:t>28.62</w:t>
            </w:r>
          </w:p>
        </w:tc>
        <w:tc>
          <w:tcPr>
            <w:tcW w:type="dxa" w:w="1037"/>
            <w:shd w:val="clear" w:color="auto" w:fill="F6F1E6"/>
          </w:tcPr>
          <w:p>
            <w:pPr>
              <w:spacing w:after="20"/>
              <w:jc w:val="right"/>
            </w:pPr>
            <w:r>
              <w:rPr>
                <w:b/>
                <w:color w:val="1C3A36"/>
                <w:sz w:val="15"/>
              </w:rPr>
              <w:t>31.28</w:t>
            </w:r>
          </w:p>
        </w:tc>
        <w:tc>
          <w:tcPr>
            <w:tcW w:type="dxa" w:w="1037"/>
            <w:shd w:val="clear" w:color="auto" w:fill="F6F1E6"/>
          </w:tcPr>
          <w:p>
            <w:pPr>
              <w:spacing w:after="20"/>
              <w:jc w:val="right"/>
            </w:pPr>
            <w:r>
              <w:rPr>
                <w:b/>
                <w:color w:val="1C3A36"/>
                <w:sz w:val="15"/>
              </w:rPr>
              <w:t>37.00</w:t>
            </w:r>
          </w:p>
        </w:tc>
        <w:tc>
          <w:tcPr>
            <w:tcW w:type="dxa" w:w="1037"/>
            <w:shd w:val="clear" w:color="auto" w:fill="F6F1E6"/>
          </w:tcPr>
          <w:p>
            <w:pPr>
              <w:spacing w:after="20"/>
              <w:jc w:val="right"/>
            </w:pPr>
            <w:r>
              <w:rPr>
                <w:b/>
                <w:color w:val="1C3A36"/>
                <w:sz w:val="15"/>
              </w:rPr>
              <w:t>40.16</w:t>
            </w:r>
          </w:p>
        </w:tc>
        <w:tc>
          <w:tcPr>
            <w:tcW w:type="dxa" w:w="1037"/>
            <w:shd w:val="clear" w:color="auto" w:fill="F6F1E6"/>
          </w:tcPr>
          <w:p>
            <w:pPr>
              <w:spacing w:after="20"/>
              <w:jc w:val="right"/>
            </w:pPr>
            <w:r>
              <w:rPr>
                <w:b/>
                <w:color w:val="1C3A36"/>
                <w:sz w:val="15"/>
              </w:rPr>
              <w:t>43.83</w:t>
            </w:r>
          </w:p>
        </w:tc>
        <w:tc>
          <w:tcPr>
            <w:tcW w:type="dxa" w:w="1037"/>
            <w:shd w:val="clear" w:color="auto" w:fill="F6F1E6"/>
          </w:tcPr>
          <w:p>
            <w:pPr>
              <w:spacing w:after="20"/>
              <w:jc w:val="right"/>
            </w:pPr>
            <w:r>
              <w:rPr>
                <w:b/>
                <w:color w:val="1C3A36"/>
                <w:sz w:val="15"/>
              </w:rPr>
              <w:t>48.57</w:t>
            </w:r>
          </w:p>
        </w:tc>
        <w:tc>
          <w:tcPr>
            <w:tcW w:type="dxa" w:w="1037"/>
            <w:shd w:val="clear" w:color="auto" w:fill="F6F1E6"/>
          </w:tcPr>
          <w:p>
            <w:pPr>
              <w:spacing w:after="20"/>
              <w:jc w:val="right"/>
            </w:pPr>
            <w:r>
              <w:rPr>
                <w:b/>
                <w:color w:val="1C3A36"/>
                <w:sz w:val="15"/>
              </w:rPr>
              <w:t>54.47</w:t>
            </w:r>
          </w:p>
        </w:tc>
        <w:tc>
          <w:tcPr>
            <w:tcW w:type="dxa" w:w="1037"/>
            <w:shd w:val="clear" w:color="auto" w:fill="F6F1E6"/>
          </w:tcPr>
          <w:p>
            <w:pPr>
              <w:spacing w:after="20"/>
              <w:jc w:val="right"/>
            </w:pPr>
            <w:r>
              <w:rPr>
                <w:b/>
                <w:color w:val="1C3A36"/>
                <w:sz w:val="15"/>
              </w:rPr>
              <w:t>61.45</w:t>
            </w:r>
          </w:p>
        </w:tc>
      </w:tr>
    </w:tbl>
    <w:p>
      <w:pPr>
        <w:spacing w:after="40"/>
      </w:pPr>
    </w:p>
    <w:p>
      <w:pPr>
        <w:spacing w:after="200" w:before="0"/>
      </w:pPr>
      <w:r>
        <w:rPr>
          <w:b w:val="0"/>
          <w:i/>
          <w:color w:val="6E7B77"/>
          <w:sz w:val="17"/>
        </w:rPr>
        <w:t>Table 21 — the balance sheet, WHICH BALANCES. The property and construction lines roll forward on the transfer schedule and working capital is projected from the disclosed day ratios; cash is held at the audited operating minimum and gross borrowings carry whatever the asset side needs that trade credit, provisions and equity do not supply. The first edition froze cash AND borrowings for five years while equity compounded, which left the forecast columns out by up to 6.6% of total assets with no check row to show it. Borrowings therefore RISE before they fall: the working-capital build and the first year's capital spending are debt-funded while a 40% payout continues. The lines above are a summary; the full statement, a total liabilities-and-equity row and an explicit balance-check row are in the accompanying model, where the check reads zero in every forecast column and carries residuals of −4.1, +0.2 and +0.4 million in the three audited columns — under 0.05% of total assets, from grouping the filed statement into these captions.</w:t>
      </w:r>
    </w:p>
    <w:p>
      <w:pPr>
        <w:spacing w:after="80" w:before="200"/>
      </w:pPr>
      <w:r>
        <w:rPr>
          <w:b/>
          <w:i w:val="0"/>
          <w:color w:val="1C3A36"/>
          <w:sz w:val="24"/>
        </w:rPr>
        <w:t>A.3 Cash flow and the working-capital markers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736"/>
        <w:gridCol w:w="1656"/>
        <w:gridCol w:w="1224"/>
        <w:gridCol w:w="1224"/>
        <w:gridCol w:w="1224"/>
        <w:gridCol w:w="1224"/>
        <w:gridCol w:w="1224"/>
      </w:tblGrid>
      <w:tr>
        <w:tc>
          <w:tcPr>
            <w:tcW w:type="dxa" w:w="2736"/>
            <w:shd w:val="clear" w:color="auto" w:fill="EAF0EE"/>
          </w:tcPr>
          <w:p>
            <w:pPr>
              <w:spacing w:after="20"/>
            </w:pPr>
            <w:r>
              <w:rPr>
                <w:b/>
                <w:color w:val="1C3A36"/>
                <w:sz w:val="16"/>
              </w:rPr>
              <w:t>Marker</w:t>
            </w:r>
          </w:p>
        </w:tc>
        <w:tc>
          <w:tcPr>
            <w:tcW w:type="dxa" w:w="1656"/>
            <w:shd w:val="clear" w:color="auto" w:fill="EAF0EE"/>
          </w:tcPr>
          <w:p>
            <w:pPr>
              <w:spacing w:after="20"/>
            </w:pPr>
            <w:r>
              <w:rPr>
                <w:b/>
                <w:color w:val="1C3A36"/>
                <w:sz w:val="16"/>
              </w:rPr>
              <w:t>FY2025 audited</w:t>
            </w:r>
          </w:p>
        </w:tc>
        <w:tc>
          <w:tcPr>
            <w:tcW w:type="dxa" w:w="1224"/>
            <w:shd w:val="clear" w:color="auto" w:fill="EAF0EE"/>
          </w:tcPr>
          <w:p>
            <w:pPr>
              <w:spacing w:after="20"/>
            </w:pPr>
            <w:r>
              <w:rPr>
                <w:b/>
                <w:color w:val="1C3A36"/>
                <w:sz w:val="16"/>
              </w:rPr>
              <w:t>FY2026E</w:t>
            </w:r>
          </w:p>
        </w:tc>
        <w:tc>
          <w:tcPr>
            <w:tcW w:type="dxa" w:w="1224"/>
            <w:shd w:val="clear" w:color="auto" w:fill="EAF0EE"/>
          </w:tcPr>
          <w:p>
            <w:pPr>
              <w:spacing w:after="20"/>
            </w:pPr>
            <w:r>
              <w:rPr>
                <w:b/>
                <w:color w:val="1C3A36"/>
                <w:sz w:val="16"/>
              </w:rPr>
              <w:t>FY2027E</w:t>
            </w:r>
          </w:p>
        </w:tc>
        <w:tc>
          <w:tcPr>
            <w:tcW w:type="dxa" w:w="1224"/>
            <w:shd w:val="clear" w:color="auto" w:fill="EAF0EE"/>
          </w:tcPr>
          <w:p>
            <w:pPr>
              <w:spacing w:after="20"/>
            </w:pPr>
            <w:r>
              <w:rPr>
                <w:b/>
                <w:color w:val="1C3A36"/>
                <w:sz w:val="16"/>
              </w:rPr>
              <w:t>FY2028E</w:t>
            </w:r>
          </w:p>
        </w:tc>
        <w:tc>
          <w:tcPr>
            <w:tcW w:type="dxa" w:w="1224"/>
            <w:shd w:val="clear" w:color="auto" w:fill="EAF0EE"/>
          </w:tcPr>
          <w:p>
            <w:pPr>
              <w:spacing w:after="20"/>
            </w:pPr>
            <w:r>
              <w:rPr>
                <w:b/>
                <w:color w:val="1C3A36"/>
                <w:sz w:val="16"/>
              </w:rPr>
              <w:t>FY2029E</w:t>
            </w:r>
          </w:p>
        </w:tc>
        <w:tc>
          <w:tcPr>
            <w:tcW w:type="dxa" w:w="1224"/>
            <w:shd w:val="clear" w:color="auto" w:fill="EAF0EE"/>
          </w:tcPr>
          <w:p>
            <w:pPr>
              <w:spacing w:after="20"/>
            </w:pPr>
            <w:r>
              <w:rPr>
                <w:b/>
                <w:color w:val="1C3A36"/>
                <w:sz w:val="16"/>
              </w:rPr>
              <w:t>FY2030E</w:t>
            </w:r>
          </w:p>
        </w:tc>
      </w:tr>
      <w:tr>
        <w:tc>
          <w:tcPr>
            <w:tcW w:type="dxa" w:w="2736"/>
          </w:tcPr>
          <w:p>
            <w:pPr>
              <w:spacing w:after="20"/>
            </w:pPr>
            <w:r>
              <w:rPr>
                <w:color w:val="1C3A36"/>
                <w:sz w:val="16"/>
              </w:rPr>
              <w:t>Inventory days</w:t>
            </w:r>
          </w:p>
        </w:tc>
        <w:tc>
          <w:tcPr>
            <w:tcW w:type="dxa" w:w="1656"/>
          </w:tcPr>
          <w:p>
            <w:pPr>
              <w:spacing w:after="20"/>
              <w:jc w:val="right"/>
            </w:pPr>
            <w:r>
              <w:rPr>
                <w:color w:val="1C3A36"/>
                <w:sz w:val="16"/>
              </w:rPr>
              <w:t>268</w:t>
            </w:r>
          </w:p>
        </w:tc>
        <w:tc>
          <w:tcPr>
            <w:tcW w:type="dxa" w:w="1224"/>
          </w:tcPr>
          <w:p>
            <w:pPr>
              <w:spacing w:after="20"/>
              <w:jc w:val="right"/>
            </w:pPr>
            <w:r>
              <w:rPr>
                <w:color w:val="1C3A36"/>
                <w:sz w:val="16"/>
              </w:rPr>
              <w:t>265</w:t>
            </w:r>
          </w:p>
        </w:tc>
        <w:tc>
          <w:tcPr>
            <w:tcW w:type="dxa" w:w="1224"/>
          </w:tcPr>
          <w:p>
            <w:pPr>
              <w:spacing w:after="20"/>
              <w:jc w:val="right"/>
            </w:pPr>
            <w:r>
              <w:rPr>
                <w:color w:val="1C3A36"/>
                <w:sz w:val="16"/>
              </w:rPr>
              <w:t>258</w:t>
            </w:r>
          </w:p>
        </w:tc>
        <w:tc>
          <w:tcPr>
            <w:tcW w:type="dxa" w:w="1224"/>
          </w:tcPr>
          <w:p>
            <w:pPr>
              <w:spacing w:after="20"/>
              <w:jc w:val="right"/>
            </w:pPr>
            <w:r>
              <w:rPr>
                <w:color w:val="1C3A36"/>
                <w:sz w:val="16"/>
              </w:rPr>
              <w:t>250</w:t>
            </w:r>
          </w:p>
        </w:tc>
        <w:tc>
          <w:tcPr>
            <w:tcW w:type="dxa" w:w="1224"/>
          </w:tcPr>
          <w:p>
            <w:pPr>
              <w:spacing w:after="20"/>
              <w:jc w:val="right"/>
            </w:pPr>
            <w:r>
              <w:rPr>
                <w:color w:val="1C3A36"/>
                <w:sz w:val="16"/>
              </w:rPr>
              <w:t>245</w:t>
            </w:r>
          </w:p>
        </w:tc>
        <w:tc>
          <w:tcPr>
            <w:tcW w:type="dxa" w:w="1224"/>
          </w:tcPr>
          <w:p>
            <w:pPr>
              <w:spacing w:after="20"/>
              <w:jc w:val="right"/>
            </w:pPr>
            <w:r>
              <w:rPr>
                <w:color w:val="1C3A36"/>
                <w:sz w:val="16"/>
              </w:rPr>
              <w:t>240</w:t>
            </w:r>
          </w:p>
        </w:tc>
      </w:tr>
      <w:tr>
        <w:tc>
          <w:tcPr>
            <w:tcW w:type="dxa" w:w="2736"/>
          </w:tcPr>
          <w:p>
            <w:pPr>
              <w:spacing w:after="20"/>
            </w:pPr>
            <w:r>
              <w:rPr>
                <w:color w:val="1C3A36"/>
                <w:sz w:val="16"/>
              </w:rPr>
              <w:t>Receivable days</w:t>
            </w:r>
          </w:p>
        </w:tc>
        <w:tc>
          <w:tcPr>
            <w:tcW w:type="dxa" w:w="1656"/>
          </w:tcPr>
          <w:p>
            <w:pPr>
              <w:spacing w:after="20"/>
              <w:jc w:val="right"/>
            </w:pPr>
            <w:r>
              <w:rPr>
                <w:color w:val="1C3A36"/>
                <w:sz w:val="16"/>
              </w:rPr>
              <w:t>129</w:t>
            </w:r>
          </w:p>
        </w:tc>
        <w:tc>
          <w:tcPr>
            <w:tcW w:type="dxa" w:w="1224"/>
          </w:tcPr>
          <w:p>
            <w:pPr>
              <w:spacing w:after="20"/>
              <w:jc w:val="right"/>
            </w:pPr>
            <w:r>
              <w:rPr>
                <w:color w:val="1C3A36"/>
                <w:sz w:val="16"/>
              </w:rPr>
              <w:t>126</w:t>
            </w:r>
          </w:p>
        </w:tc>
        <w:tc>
          <w:tcPr>
            <w:tcW w:type="dxa" w:w="1224"/>
          </w:tcPr>
          <w:p>
            <w:pPr>
              <w:spacing w:after="20"/>
              <w:jc w:val="right"/>
            </w:pPr>
            <w:r>
              <w:rPr>
                <w:color w:val="1C3A36"/>
                <w:sz w:val="16"/>
              </w:rPr>
              <w:t>122</w:t>
            </w:r>
          </w:p>
        </w:tc>
        <w:tc>
          <w:tcPr>
            <w:tcW w:type="dxa" w:w="1224"/>
          </w:tcPr>
          <w:p>
            <w:pPr>
              <w:spacing w:after="20"/>
              <w:jc w:val="right"/>
            </w:pPr>
            <w:r>
              <w:rPr>
                <w:color w:val="1C3A36"/>
                <w:sz w:val="16"/>
              </w:rPr>
              <w:t>118</w:t>
            </w:r>
          </w:p>
        </w:tc>
        <w:tc>
          <w:tcPr>
            <w:tcW w:type="dxa" w:w="1224"/>
          </w:tcPr>
          <w:p>
            <w:pPr>
              <w:spacing w:after="20"/>
              <w:jc w:val="right"/>
            </w:pPr>
            <w:r>
              <w:rPr>
                <w:color w:val="1C3A36"/>
                <w:sz w:val="16"/>
              </w:rPr>
              <w:t>115</w:t>
            </w:r>
          </w:p>
        </w:tc>
        <w:tc>
          <w:tcPr>
            <w:tcW w:type="dxa" w:w="1224"/>
          </w:tcPr>
          <w:p>
            <w:pPr>
              <w:spacing w:after="20"/>
              <w:jc w:val="right"/>
            </w:pPr>
            <w:r>
              <w:rPr>
                <w:color w:val="1C3A36"/>
                <w:sz w:val="16"/>
              </w:rPr>
              <w:t>112</w:t>
            </w:r>
          </w:p>
        </w:tc>
      </w:tr>
      <w:tr>
        <w:tc>
          <w:tcPr>
            <w:tcW w:type="dxa" w:w="2736"/>
          </w:tcPr>
          <w:p>
            <w:pPr>
              <w:spacing w:after="20"/>
            </w:pPr>
            <w:r>
              <w:rPr>
                <w:color w:val="1C3A36"/>
                <w:sz w:val="16"/>
              </w:rPr>
              <w:t>Payable days</w:t>
            </w:r>
          </w:p>
        </w:tc>
        <w:tc>
          <w:tcPr>
            <w:tcW w:type="dxa" w:w="1656"/>
          </w:tcPr>
          <w:p>
            <w:pPr>
              <w:spacing w:after="20"/>
              <w:jc w:val="right"/>
            </w:pPr>
            <w:r>
              <w:rPr>
                <w:color w:val="1C3A36"/>
                <w:sz w:val="16"/>
              </w:rPr>
              <w:t>54</w:t>
            </w:r>
          </w:p>
        </w:tc>
        <w:tc>
          <w:tcPr>
            <w:tcW w:type="dxa" w:w="1224"/>
          </w:tcPr>
          <w:p>
            <w:pPr>
              <w:spacing w:after="20"/>
              <w:jc w:val="right"/>
            </w:pPr>
            <w:r>
              <w:rPr>
                <w:color w:val="1C3A36"/>
                <w:sz w:val="16"/>
              </w:rPr>
              <w:t>55</w:t>
            </w:r>
          </w:p>
        </w:tc>
        <w:tc>
          <w:tcPr>
            <w:tcW w:type="dxa" w:w="1224"/>
          </w:tcPr>
          <w:p>
            <w:pPr>
              <w:spacing w:after="20"/>
              <w:jc w:val="right"/>
            </w:pPr>
            <w:r>
              <w:rPr>
                <w:color w:val="1C3A36"/>
                <w:sz w:val="16"/>
              </w:rPr>
              <w:t>56</w:t>
            </w:r>
          </w:p>
        </w:tc>
        <w:tc>
          <w:tcPr>
            <w:tcW w:type="dxa" w:w="1224"/>
          </w:tcPr>
          <w:p>
            <w:pPr>
              <w:spacing w:after="20"/>
              <w:jc w:val="right"/>
            </w:pPr>
            <w:r>
              <w:rPr>
                <w:color w:val="1C3A36"/>
                <w:sz w:val="16"/>
              </w:rPr>
              <w:t>57</w:t>
            </w:r>
          </w:p>
        </w:tc>
        <w:tc>
          <w:tcPr>
            <w:tcW w:type="dxa" w:w="1224"/>
          </w:tcPr>
          <w:p>
            <w:pPr>
              <w:spacing w:after="20"/>
              <w:jc w:val="right"/>
            </w:pPr>
            <w:r>
              <w:rPr>
                <w:color w:val="1C3A36"/>
                <w:sz w:val="16"/>
              </w:rPr>
              <w:t>58</w:t>
            </w:r>
          </w:p>
        </w:tc>
        <w:tc>
          <w:tcPr>
            <w:tcW w:type="dxa" w:w="1224"/>
          </w:tcPr>
          <w:p>
            <w:pPr>
              <w:spacing w:after="20"/>
              <w:jc w:val="right"/>
            </w:pPr>
            <w:r>
              <w:rPr>
                <w:color w:val="1C3A36"/>
                <w:sz w:val="16"/>
              </w:rPr>
              <w:t>58</w:t>
            </w:r>
          </w:p>
        </w:tc>
      </w:tr>
      <w:tr>
        <w:tc>
          <w:tcPr>
            <w:tcW w:type="dxa" w:w="2736"/>
          </w:tcPr>
          <w:p>
            <w:pPr>
              <w:spacing w:after="20"/>
            </w:pPr>
            <w:r>
              <w:rPr>
                <w:color w:val="1C3A36"/>
                <w:sz w:val="16"/>
              </w:rPr>
              <w:t>Cash conversion cycle</w:t>
            </w:r>
          </w:p>
        </w:tc>
        <w:tc>
          <w:tcPr>
            <w:tcW w:type="dxa" w:w="1656"/>
          </w:tcPr>
          <w:p>
            <w:pPr>
              <w:spacing w:after="20"/>
              <w:jc w:val="right"/>
            </w:pPr>
            <w:r>
              <w:rPr>
                <w:color w:val="1C3A36"/>
                <w:sz w:val="16"/>
              </w:rPr>
              <w:t>343</w:t>
            </w:r>
          </w:p>
        </w:tc>
        <w:tc>
          <w:tcPr>
            <w:tcW w:type="dxa" w:w="1224"/>
          </w:tcPr>
          <w:p>
            <w:pPr>
              <w:spacing w:after="20"/>
              <w:jc w:val="right"/>
            </w:pPr>
            <w:r>
              <w:rPr>
                <w:color w:val="1C3A36"/>
                <w:sz w:val="16"/>
              </w:rPr>
              <w:t>336</w:t>
            </w:r>
          </w:p>
        </w:tc>
        <w:tc>
          <w:tcPr>
            <w:tcW w:type="dxa" w:w="1224"/>
          </w:tcPr>
          <w:p>
            <w:pPr>
              <w:spacing w:after="20"/>
              <w:jc w:val="right"/>
            </w:pPr>
            <w:r>
              <w:rPr>
                <w:color w:val="1C3A36"/>
                <w:sz w:val="16"/>
              </w:rPr>
              <w:t>324</w:t>
            </w:r>
          </w:p>
        </w:tc>
        <w:tc>
          <w:tcPr>
            <w:tcW w:type="dxa" w:w="1224"/>
          </w:tcPr>
          <w:p>
            <w:pPr>
              <w:spacing w:after="20"/>
              <w:jc w:val="right"/>
            </w:pPr>
            <w:r>
              <w:rPr>
                <w:color w:val="1C3A36"/>
                <w:sz w:val="16"/>
              </w:rPr>
              <w:t>311</w:t>
            </w:r>
          </w:p>
        </w:tc>
        <w:tc>
          <w:tcPr>
            <w:tcW w:type="dxa" w:w="1224"/>
          </w:tcPr>
          <w:p>
            <w:pPr>
              <w:spacing w:after="20"/>
              <w:jc w:val="right"/>
            </w:pPr>
            <w:r>
              <w:rPr>
                <w:color w:val="1C3A36"/>
                <w:sz w:val="16"/>
              </w:rPr>
              <w:t>302</w:t>
            </w:r>
          </w:p>
        </w:tc>
        <w:tc>
          <w:tcPr>
            <w:tcW w:type="dxa" w:w="1224"/>
          </w:tcPr>
          <w:p>
            <w:pPr>
              <w:spacing w:after="20"/>
              <w:jc w:val="right"/>
            </w:pPr>
            <w:r>
              <w:rPr>
                <w:color w:val="1C3A36"/>
                <w:sz w:val="16"/>
              </w:rPr>
              <w:t>294</w:t>
            </w:r>
          </w:p>
        </w:tc>
      </w:tr>
      <w:tr>
        <w:tc>
          <w:tcPr>
            <w:tcW w:type="dxa" w:w="2736"/>
          </w:tcPr>
          <w:p>
            <w:pPr>
              <w:spacing w:after="20"/>
            </w:pPr>
            <w:r>
              <w:rPr>
                <w:color w:val="1C3A36"/>
                <w:sz w:val="16"/>
              </w:rPr>
              <w:t>Capital expenditure (EGP m)</w:t>
            </w:r>
          </w:p>
        </w:tc>
        <w:tc>
          <w:tcPr>
            <w:tcW w:type="dxa" w:w="1656"/>
          </w:tcPr>
          <w:p>
            <w:pPr>
              <w:spacing w:after="20"/>
              <w:jc w:val="right"/>
            </w:pPr>
            <w:r>
              <w:rPr>
                <w:color w:val="1C3A36"/>
                <w:sz w:val="16"/>
              </w:rPr>
              <w:t>1,355</w:t>
            </w:r>
          </w:p>
        </w:tc>
        <w:tc>
          <w:tcPr>
            <w:tcW w:type="dxa" w:w="1224"/>
          </w:tcPr>
          <w:p>
            <w:pPr>
              <w:spacing w:after="20"/>
              <w:jc w:val="right"/>
            </w:pPr>
            <w:r>
              <w:rPr>
                <w:color w:val="1C3A36"/>
                <w:sz w:val="16"/>
              </w:rPr>
              <w:t>1,337</w:t>
            </w:r>
          </w:p>
        </w:tc>
        <w:tc>
          <w:tcPr>
            <w:tcW w:type="dxa" w:w="1224"/>
          </w:tcPr>
          <w:p>
            <w:pPr>
              <w:spacing w:after="20"/>
              <w:jc w:val="right"/>
            </w:pPr>
            <w:r>
              <w:rPr>
                <w:color w:val="1C3A36"/>
                <w:sz w:val="16"/>
              </w:rPr>
              <w:t>568</w:t>
            </w:r>
          </w:p>
        </w:tc>
        <w:tc>
          <w:tcPr>
            <w:tcW w:type="dxa" w:w="1224"/>
          </w:tcPr>
          <w:p>
            <w:pPr>
              <w:spacing w:after="20"/>
              <w:jc w:val="right"/>
            </w:pPr>
            <w:r>
              <w:rPr>
                <w:color w:val="1C3A36"/>
                <w:sz w:val="16"/>
              </w:rPr>
              <w:t>512</w:t>
            </w:r>
          </w:p>
        </w:tc>
        <w:tc>
          <w:tcPr>
            <w:tcW w:type="dxa" w:w="1224"/>
          </w:tcPr>
          <w:p>
            <w:pPr>
              <w:spacing w:after="20"/>
              <w:jc w:val="right"/>
            </w:pPr>
            <w:r>
              <w:rPr>
                <w:color w:val="1C3A36"/>
                <w:sz w:val="16"/>
              </w:rPr>
              <w:t>532</w:t>
            </w:r>
          </w:p>
        </w:tc>
        <w:tc>
          <w:tcPr>
            <w:tcW w:type="dxa" w:w="1224"/>
          </w:tcPr>
          <w:p>
            <w:pPr>
              <w:spacing w:after="20"/>
              <w:jc w:val="right"/>
            </w:pPr>
            <w:r>
              <w:rPr>
                <w:color w:val="1C3A36"/>
                <w:sz w:val="16"/>
              </w:rPr>
              <w:t>558</w:t>
            </w:r>
          </w:p>
        </w:tc>
      </w:tr>
      <w:tr>
        <w:tc>
          <w:tcPr>
            <w:tcW w:type="dxa" w:w="2736"/>
          </w:tcPr>
          <w:p>
            <w:pPr>
              <w:spacing w:after="20"/>
            </w:pPr>
            <w:r>
              <w:rPr>
                <w:color w:val="1C3A36"/>
                <w:sz w:val="16"/>
              </w:rPr>
              <w:t>Free cash flow to the firm (EGP m)</w:t>
            </w:r>
          </w:p>
        </w:tc>
        <w:tc>
          <w:tcPr>
            <w:tcW w:type="dxa" w:w="1656"/>
          </w:tcPr>
          <w:p>
            <w:pPr>
              <w:spacing w:after="20"/>
              <w:jc w:val="right"/>
            </w:pPr>
            <w:r>
              <w:rPr>
                <w:color w:val="1C3A36"/>
                <w:sz w:val="16"/>
              </w:rPr>
              <w:t>—</w:t>
            </w:r>
          </w:p>
        </w:tc>
        <w:tc>
          <w:tcPr>
            <w:tcW w:type="dxa" w:w="1224"/>
          </w:tcPr>
          <w:p>
            <w:pPr>
              <w:spacing w:after="20"/>
              <w:jc w:val="right"/>
            </w:pPr>
            <w:r>
              <w:rPr>
                <w:color w:val="1C3A36"/>
                <w:sz w:val="16"/>
              </w:rPr>
              <w:t>-328</w:t>
            </w:r>
          </w:p>
        </w:tc>
        <w:tc>
          <w:tcPr>
            <w:tcW w:type="dxa" w:w="1224"/>
          </w:tcPr>
          <w:p>
            <w:pPr>
              <w:spacing w:after="20"/>
              <w:jc w:val="right"/>
            </w:pPr>
            <w:r>
              <w:rPr>
                <w:color w:val="1C3A36"/>
                <w:sz w:val="16"/>
              </w:rPr>
              <w:t>562</w:t>
            </w:r>
          </w:p>
        </w:tc>
        <w:tc>
          <w:tcPr>
            <w:tcW w:type="dxa" w:w="1224"/>
          </w:tcPr>
          <w:p>
            <w:pPr>
              <w:spacing w:after="20"/>
              <w:jc w:val="right"/>
            </w:pPr>
            <w:r>
              <w:rPr>
                <w:color w:val="1C3A36"/>
                <w:sz w:val="16"/>
              </w:rPr>
              <w:t>1,048</w:t>
            </w:r>
          </w:p>
        </w:tc>
        <w:tc>
          <w:tcPr>
            <w:tcW w:type="dxa" w:w="1224"/>
          </w:tcPr>
          <w:p>
            <w:pPr>
              <w:spacing w:after="20"/>
              <w:jc w:val="right"/>
            </w:pPr>
            <w:r>
              <w:rPr>
                <w:color w:val="1C3A36"/>
                <w:sz w:val="16"/>
              </w:rPr>
              <w:t>1,290</w:t>
            </w:r>
          </w:p>
        </w:tc>
        <w:tc>
          <w:tcPr>
            <w:tcW w:type="dxa" w:w="1224"/>
          </w:tcPr>
          <w:p>
            <w:pPr>
              <w:spacing w:after="20"/>
              <w:jc w:val="right"/>
            </w:pPr>
            <w:r>
              <w:rPr>
                <w:color w:val="1C3A36"/>
                <w:sz w:val="16"/>
              </w:rPr>
              <w:t>1,553</w:t>
            </w:r>
          </w:p>
        </w:tc>
      </w:tr>
    </w:tbl>
    <w:p>
      <w:pPr>
        <w:spacing w:after="40"/>
      </w:pPr>
    </w:p>
    <w:p>
      <w:pPr>
        <w:spacing w:after="200" w:before="0"/>
      </w:pPr>
      <w:r>
        <w:rPr>
          <w:b w:val="0"/>
          <w:i/>
          <w:color w:val="6E7B77"/>
          <w:sz w:val="17"/>
        </w:rPr>
        <w:t>Table 22 — the asset-conversion cycle, projected rather than plugged. The 268-day inventory position is a stated policy: the company holds a strategic raw-material stockpile it says covers at least eight months.</w:t>
      </w:r>
    </w:p>
    <w:p>
      <w:pPr>
        <w:spacing w:after="80" w:before="200"/>
      </w:pPr>
      <w:r>
        <w:rPr>
          <w:b/>
          <w:i w:val="0"/>
          <w:color w:val="1C3A36"/>
          <w:sz w:val="24"/>
        </w:rPr>
        <w:t>A.4 The far forecast years as ranges, and the years that carry none</w:t>
      </w:r>
    </w:p>
    <w:p>
      <w:pPr>
        <w:spacing w:after="120" w:before="0"/>
      </w:pPr>
      <w:r>
        <w:rPr>
          <w:b w:val="0"/>
          <w:i w:val="0"/>
          <w:color w:val="1C3A36"/>
          <w:sz w:val="21"/>
        </w:rPr>
        <w:t>The method behind this forecast has been replayed on the company's own past — rebuilt year-end by year-end under the same mechanical rules, projected forward and scored against what the company later reported. That exercise measures how far out this method has been, and the far forecast years are published here as the RANGE that measurement supports rather than as points. It covers one, two and three years ahead, so the third forecast year carries a measured range and the fourth and fifth carry NONE. No range is invented for them: an invented one would corrupt the very error it is scored against.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312"/>
        <w:gridCol w:w="1469"/>
        <w:gridCol w:w="1469"/>
        <w:gridCol w:w="1469"/>
        <w:gridCol w:w="1354"/>
        <w:gridCol w:w="1008"/>
      </w:tblGrid>
      <w:tr>
        <w:tc>
          <w:tcPr>
            <w:tcW w:type="dxa" w:w="3312"/>
            <w:shd w:val="clear" w:color="auto" w:fill="EAF0EE"/>
          </w:tcPr>
          <w:p>
            <w:pPr>
              <w:spacing w:after="20"/>
            </w:pPr>
            <w:r>
              <w:rPr>
                <w:b/>
                <w:color w:val="1C3A36"/>
                <w:sz w:val="15"/>
              </w:rPr>
              <w:t>EGP million</w:t>
            </w:r>
          </w:p>
        </w:tc>
        <w:tc>
          <w:tcPr>
            <w:tcW w:type="dxa" w:w="1469"/>
            <w:shd w:val="clear" w:color="auto" w:fill="EAF0EE"/>
          </w:tcPr>
          <w:p>
            <w:pPr>
              <w:spacing w:after="20"/>
            </w:pPr>
            <w:r>
              <w:rPr>
                <w:b/>
                <w:color w:val="1C3A36"/>
                <w:sz w:val="15"/>
              </w:rPr>
              <w:t>2028E</w:t>
            </w:r>
          </w:p>
        </w:tc>
        <w:tc>
          <w:tcPr>
            <w:tcW w:type="dxa" w:w="1469"/>
            <w:shd w:val="clear" w:color="auto" w:fill="EAF0EE"/>
          </w:tcPr>
          <w:p>
            <w:pPr>
              <w:spacing w:after="20"/>
            </w:pPr>
            <w:r>
              <w:rPr>
                <w:b/>
                <w:color w:val="1C3A36"/>
                <w:sz w:val="15"/>
              </w:rPr>
              <w:t>2029E</w:t>
            </w:r>
          </w:p>
        </w:tc>
        <w:tc>
          <w:tcPr>
            <w:tcW w:type="dxa" w:w="1469"/>
            <w:shd w:val="clear" w:color="auto" w:fill="EAF0EE"/>
          </w:tcPr>
          <w:p>
            <w:pPr>
              <w:spacing w:after="20"/>
            </w:pPr>
            <w:r>
              <w:rPr>
                <w:b/>
                <w:color w:val="1C3A36"/>
                <w:sz w:val="15"/>
              </w:rPr>
              <w:t>2030E</w:t>
            </w:r>
          </w:p>
        </w:tc>
        <w:tc>
          <w:tcPr>
            <w:tcW w:type="dxa" w:w="1354"/>
            <w:shd w:val="clear" w:color="auto" w:fill="EAF0EE"/>
          </w:tcPr>
          <w:p>
            <w:pPr>
              <w:spacing w:after="20"/>
            </w:pPr>
            <w:r>
              <w:rPr>
                <w:b/>
                <w:color w:val="1C3A36"/>
                <w:sz w:val="15"/>
              </w:rPr>
              <w:t>Basis of the range</w:t>
            </w:r>
          </w:p>
        </w:tc>
        <w:tc>
          <w:tcPr>
            <w:tcW w:type="dxa" w:w="1008"/>
            <w:shd w:val="clear" w:color="auto" w:fill="EAF0EE"/>
          </w:tcPr>
          <w:p>
            <w:pPr>
              <w:spacing w:after="20"/>
            </w:pPr>
            <w:r>
              <w:rPr>
                <w:b/>
                <w:color w:val="1C3A36"/>
                <w:sz w:val="15"/>
              </w:rPr>
              <w:t>Readings behind it</w:t>
            </w:r>
          </w:p>
        </w:tc>
      </w:tr>
      <w:tr>
        <w:tc>
          <w:tcPr>
            <w:tcW w:type="dxa" w:w="3312"/>
            <w:shd w:val="clear" w:color="auto" w:fill="F6F1E6"/>
          </w:tcPr>
          <w:p>
            <w:pPr>
              <w:spacing w:after="20"/>
            </w:pPr>
            <w:r>
              <w:rPr>
                <w:b/>
                <w:color w:val="1C3A36"/>
                <w:sz w:val="15"/>
              </w:rPr>
              <w:t>Revenue — as published</w:t>
            </w:r>
          </w:p>
        </w:tc>
        <w:tc>
          <w:tcPr>
            <w:tcW w:type="dxa" w:w="1469"/>
            <w:shd w:val="clear" w:color="auto" w:fill="F6F1E6"/>
          </w:tcPr>
          <w:p>
            <w:pPr>
              <w:spacing w:after="20"/>
              <w:jc w:val="right"/>
            </w:pPr>
            <w:r>
              <w:rPr>
                <w:b/>
                <w:color w:val="1C3A36"/>
                <w:sz w:val="15"/>
              </w:rPr>
              <w:t>14,621</w:t>
            </w:r>
          </w:p>
        </w:tc>
        <w:tc>
          <w:tcPr>
            <w:tcW w:type="dxa" w:w="1469"/>
            <w:shd w:val="clear" w:color="auto" w:fill="F6F1E6"/>
          </w:tcPr>
          <w:p>
            <w:pPr>
              <w:spacing w:after="20"/>
              <w:jc w:val="right"/>
            </w:pPr>
            <w:r>
              <w:rPr>
                <w:b/>
                <w:color w:val="1C3A36"/>
                <w:sz w:val="15"/>
              </w:rPr>
              <w:t>16,637</w:t>
            </w:r>
          </w:p>
        </w:tc>
        <w:tc>
          <w:tcPr>
            <w:tcW w:type="dxa" w:w="1469"/>
            <w:shd w:val="clear" w:color="auto" w:fill="F6F1E6"/>
          </w:tcPr>
          <w:p>
            <w:pPr>
              <w:spacing w:after="20"/>
              <w:jc w:val="right"/>
            </w:pPr>
            <w:r>
              <w:rPr>
                <w:b/>
                <w:color w:val="1C3A36"/>
                <w:sz w:val="15"/>
              </w:rPr>
              <w:t>18,608</w:t>
            </w:r>
          </w:p>
        </w:tc>
        <w:tc>
          <w:tcPr>
            <w:tcW w:type="dxa" w:w="1354"/>
            <w:shd w:val="clear" w:color="auto" w:fill="F6F1E6"/>
          </w:tcPr>
          <w:p>
            <w:pPr>
              <w:spacing w:after="20"/>
              <w:jc w:val="right"/>
            </w:pPr>
            <w:r>
              <w:rPr>
                <w:b/>
                <w:color w:val="1C3A36"/>
                <w:sz w:val="15"/>
              </w:rPr>
              <w:t>—</w:t>
            </w:r>
          </w:p>
        </w:tc>
        <w:tc>
          <w:tcPr>
            <w:tcW w:type="dxa" w:w="1008"/>
            <w:shd w:val="clear" w:color="auto" w:fill="F6F1E6"/>
          </w:tcPr>
          <w:p>
            <w:pPr>
              <w:spacing w:after="20"/>
              <w:jc w:val="right"/>
            </w:pPr>
            <w:r>
              <w:rPr>
                <w:b/>
                <w:color w:val="1C3A36"/>
                <w:sz w:val="15"/>
              </w:rPr>
              <w:t>—</w:t>
            </w:r>
          </w:p>
        </w:tc>
      </w:tr>
      <w:tr>
        <w:tc>
          <w:tcPr>
            <w:tcW w:type="dxa" w:w="3312"/>
          </w:tcPr>
          <w:p>
            <w:pPr>
              <w:spacing w:after="20"/>
            </w:pPr>
            <w:r>
              <w:rPr>
                <w:color w:val="1C3A36"/>
                <w:sz w:val="15"/>
              </w:rPr>
              <w:t>Revenue — low of the range</w:t>
            </w:r>
          </w:p>
        </w:tc>
        <w:tc>
          <w:tcPr>
            <w:tcW w:type="dxa" w:w="1469"/>
          </w:tcPr>
          <w:p>
            <w:pPr>
              <w:spacing w:after="20"/>
              <w:jc w:val="right"/>
            </w:pPr>
            <w:r>
              <w:rPr>
                <w:color w:val="1C3A36"/>
                <w:sz w:val="15"/>
              </w:rPr>
              <w:t>25,318</w:t>
            </w:r>
          </w:p>
        </w:tc>
        <w:tc>
          <w:tcPr>
            <w:tcW w:type="dxa" w:w="1469"/>
          </w:tcPr>
          <w:p>
            <w:pPr>
              <w:spacing w:after="20"/>
              <w:jc w:val="right"/>
            </w:pPr>
            <w:r>
              <w:rPr>
                <w:color w:val="1C3A36"/>
                <w:sz w:val="15"/>
              </w:rPr>
              <w:t>no measured range</w:t>
            </w:r>
          </w:p>
        </w:tc>
        <w:tc>
          <w:tcPr>
            <w:tcW w:type="dxa" w:w="1469"/>
          </w:tcPr>
          <w:p>
            <w:pPr>
              <w:spacing w:after="20"/>
              <w:jc w:val="right"/>
            </w:pPr>
            <w:r>
              <w:rPr>
                <w:color w:val="1C3A36"/>
                <w:sz w:val="15"/>
              </w:rPr>
              <w:t>no measured range</w:t>
            </w:r>
          </w:p>
        </w:tc>
        <w:tc>
          <w:tcPr>
            <w:tcW w:type="dxa" w:w="1354"/>
          </w:tcPr>
          <w:p>
            <w:pPr>
              <w:spacing w:after="20"/>
              <w:jc w:val="right"/>
            </w:pPr>
            <w:r>
              <w:rPr>
                <w:color w:val="1C3A36"/>
                <w:sz w:val="15"/>
              </w:rPr>
              <w:t>span</w:t>
            </w:r>
          </w:p>
        </w:tc>
        <w:tc>
          <w:tcPr>
            <w:tcW w:type="dxa" w:w="1008"/>
          </w:tcPr>
          <w:p>
            <w:pPr>
              <w:spacing w:after="20"/>
              <w:jc w:val="right"/>
            </w:pPr>
            <w:r>
              <w:rPr>
                <w:color w:val="1C3A36"/>
                <w:sz w:val="15"/>
              </w:rPr>
              <w:t>3</w:t>
            </w:r>
          </w:p>
        </w:tc>
      </w:tr>
      <w:tr>
        <w:tc>
          <w:tcPr>
            <w:tcW w:type="dxa" w:w="3312"/>
          </w:tcPr>
          <w:p>
            <w:pPr>
              <w:spacing w:after="20"/>
            </w:pPr>
            <w:r>
              <w:rPr>
                <w:color w:val="1C3A36"/>
                <w:sz w:val="15"/>
              </w:rPr>
              <w:t>Revenue — high of the range</w:t>
            </w:r>
          </w:p>
        </w:tc>
        <w:tc>
          <w:tcPr>
            <w:tcW w:type="dxa" w:w="1469"/>
          </w:tcPr>
          <w:p>
            <w:pPr>
              <w:spacing w:after="20"/>
              <w:jc w:val="right"/>
            </w:pPr>
            <w:r>
              <w:rPr>
                <w:color w:val="1C3A36"/>
                <w:sz w:val="15"/>
              </w:rPr>
              <w:t>29,586</w:t>
            </w:r>
          </w:p>
        </w:tc>
        <w:tc>
          <w:tcPr>
            <w:tcW w:type="dxa" w:w="1469"/>
          </w:tcPr>
          <w:p>
            <w:pPr>
              <w:spacing w:after="20"/>
              <w:jc w:val="right"/>
            </w:pPr>
            <w:r>
              <w:rPr>
                <w:color w:val="1C3A36"/>
                <w:sz w:val="15"/>
              </w:rPr>
              <w:t>no measured range</w:t>
            </w:r>
          </w:p>
        </w:tc>
        <w:tc>
          <w:tcPr>
            <w:tcW w:type="dxa" w:w="1469"/>
          </w:tcPr>
          <w:p>
            <w:pPr>
              <w:spacing w:after="20"/>
              <w:jc w:val="right"/>
            </w:pPr>
            <w:r>
              <w:rPr>
                <w:color w:val="1C3A36"/>
                <w:sz w:val="15"/>
              </w:rPr>
              <w:t>no measured range</w:t>
            </w:r>
          </w:p>
        </w:tc>
        <w:tc>
          <w:tcPr>
            <w:tcW w:type="dxa" w:w="1354"/>
          </w:tcPr>
          <w:p>
            <w:pPr>
              <w:spacing w:after="20"/>
              <w:jc w:val="right"/>
            </w:pPr>
            <w:r>
              <w:rPr>
                <w:color w:val="1C3A36"/>
                <w:sz w:val="15"/>
              </w:rPr>
              <w:t>span</w:t>
            </w:r>
          </w:p>
        </w:tc>
        <w:tc>
          <w:tcPr>
            <w:tcW w:type="dxa" w:w="1008"/>
          </w:tcPr>
          <w:p>
            <w:pPr>
              <w:spacing w:after="20"/>
              <w:jc w:val="right"/>
            </w:pPr>
            <w:r>
              <w:rPr>
                <w:color w:val="1C3A36"/>
                <w:sz w:val="15"/>
              </w:rPr>
              <w:t>3</w:t>
            </w:r>
          </w:p>
        </w:tc>
      </w:tr>
      <w:tr>
        <w:tc>
          <w:tcPr>
            <w:tcW w:type="dxa" w:w="3312"/>
            <w:shd w:val="clear" w:color="auto" w:fill="F6F1E6"/>
          </w:tcPr>
          <w:p>
            <w:pPr>
              <w:spacing w:after="20"/>
            </w:pPr>
            <w:r>
              <w:rPr>
                <w:b/>
                <w:color w:val="1C3A36"/>
                <w:sz w:val="15"/>
              </w:rPr>
              <w:t>Cost of sales — as published</w:t>
            </w:r>
          </w:p>
        </w:tc>
        <w:tc>
          <w:tcPr>
            <w:tcW w:type="dxa" w:w="1469"/>
            <w:shd w:val="clear" w:color="auto" w:fill="F6F1E6"/>
          </w:tcPr>
          <w:p>
            <w:pPr>
              <w:spacing w:after="20"/>
              <w:jc w:val="right"/>
            </w:pPr>
            <w:r>
              <w:rPr>
                <w:b/>
                <w:color w:val="1C3A36"/>
                <w:sz w:val="15"/>
              </w:rPr>
              <w:t>9,231</w:t>
            </w:r>
          </w:p>
        </w:tc>
        <w:tc>
          <w:tcPr>
            <w:tcW w:type="dxa" w:w="1469"/>
            <w:shd w:val="clear" w:color="auto" w:fill="F6F1E6"/>
          </w:tcPr>
          <w:p>
            <w:pPr>
              <w:spacing w:after="20"/>
              <w:jc w:val="right"/>
            </w:pPr>
            <w:r>
              <w:rPr>
                <w:b/>
                <w:color w:val="1C3A36"/>
                <w:sz w:val="15"/>
              </w:rPr>
              <w:t>10,522</w:t>
            </w:r>
          </w:p>
        </w:tc>
        <w:tc>
          <w:tcPr>
            <w:tcW w:type="dxa" w:w="1469"/>
            <w:shd w:val="clear" w:color="auto" w:fill="F6F1E6"/>
          </w:tcPr>
          <w:p>
            <w:pPr>
              <w:spacing w:after="20"/>
              <w:jc w:val="right"/>
            </w:pPr>
            <w:r>
              <w:rPr>
                <w:b/>
                <w:color w:val="1C3A36"/>
                <w:sz w:val="15"/>
              </w:rPr>
              <w:t>11,823</w:t>
            </w:r>
          </w:p>
        </w:tc>
        <w:tc>
          <w:tcPr>
            <w:tcW w:type="dxa" w:w="1354"/>
            <w:shd w:val="clear" w:color="auto" w:fill="F6F1E6"/>
          </w:tcPr>
          <w:p>
            <w:pPr>
              <w:spacing w:after="20"/>
              <w:jc w:val="right"/>
            </w:pPr>
            <w:r>
              <w:rPr>
                <w:b/>
                <w:color w:val="1C3A36"/>
                <w:sz w:val="15"/>
              </w:rPr>
              <w:t>—</w:t>
            </w:r>
          </w:p>
        </w:tc>
        <w:tc>
          <w:tcPr>
            <w:tcW w:type="dxa" w:w="1008"/>
            <w:shd w:val="clear" w:color="auto" w:fill="F6F1E6"/>
          </w:tcPr>
          <w:p>
            <w:pPr>
              <w:spacing w:after="20"/>
              <w:jc w:val="right"/>
            </w:pPr>
            <w:r>
              <w:rPr>
                <w:b/>
                <w:color w:val="1C3A36"/>
                <w:sz w:val="15"/>
              </w:rPr>
              <w:t>—</w:t>
            </w:r>
          </w:p>
        </w:tc>
      </w:tr>
      <w:tr>
        <w:tc>
          <w:tcPr>
            <w:tcW w:type="dxa" w:w="3312"/>
          </w:tcPr>
          <w:p>
            <w:pPr>
              <w:spacing w:after="20"/>
            </w:pPr>
            <w:r>
              <w:rPr>
                <w:color w:val="1C3A36"/>
                <w:sz w:val="15"/>
              </w:rPr>
              <w:t>Cost of sales — low of the range</w:t>
            </w:r>
          </w:p>
        </w:tc>
        <w:tc>
          <w:tcPr>
            <w:tcW w:type="dxa" w:w="1469"/>
          </w:tcPr>
          <w:p>
            <w:pPr>
              <w:spacing w:after="20"/>
              <w:jc w:val="right"/>
            </w:pPr>
            <w:r>
              <w:rPr>
                <w:color w:val="1C3A36"/>
                <w:sz w:val="15"/>
              </w:rPr>
              <w:t>15,199</w:t>
            </w:r>
          </w:p>
        </w:tc>
        <w:tc>
          <w:tcPr>
            <w:tcW w:type="dxa" w:w="1469"/>
          </w:tcPr>
          <w:p>
            <w:pPr>
              <w:spacing w:after="20"/>
              <w:jc w:val="right"/>
            </w:pPr>
            <w:r>
              <w:rPr>
                <w:color w:val="1C3A36"/>
                <w:sz w:val="15"/>
              </w:rPr>
              <w:t>no measured range</w:t>
            </w:r>
          </w:p>
        </w:tc>
        <w:tc>
          <w:tcPr>
            <w:tcW w:type="dxa" w:w="1469"/>
          </w:tcPr>
          <w:p>
            <w:pPr>
              <w:spacing w:after="20"/>
              <w:jc w:val="right"/>
            </w:pPr>
            <w:r>
              <w:rPr>
                <w:color w:val="1C3A36"/>
                <w:sz w:val="15"/>
              </w:rPr>
              <w:t>no measured range</w:t>
            </w:r>
          </w:p>
        </w:tc>
        <w:tc>
          <w:tcPr>
            <w:tcW w:type="dxa" w:w="1354"/>
          </w:tcPr>
          <w:p>
            <w:pPr>
              <w:spacing w:after="20"/>
              <w:jc w:val="right"/>
            </w:pPr>
            <w:r>
              <w:rPr>
                <w:color w:val="1C3A36"/>
                <w:sz w:val="15"/>
              </w:rPr>
              <w:t>span</w:t>
            </w:r>
          </w:p>
        </w:tc>
        <w:tc>
          <w:tcPr>
            <w:tcW w:type="dxa" w:w="1008"/>
          </w:tcPr>
          <w:p>
            <w:pPr>
              <w:spacing w:after="20"/>
              <w:jc w:val="right"/>
            </w:pPr>
            <w:r>
              <w:rPr>
                <w:color w:val="1C3A36"/>
                <w:sz w:val="15"/>
              </w:rPr>
              <w:t>3</w:t>
            </w:r>
          </w:p>
        </w:tc>
      </w:tr>
      <w:tr>
        <w:tc>
          <w:tcPr>
            <w:tcW w:type="dxa" w:w="3312"/>
          </w:tcPr>
          <w:p>
            <w:pPr>
              <w:spacing w:after="20"/>
            </w:pPr>
            <w:r>
              <w:rPr>
                <w:color w:val="1C3A36"/>
                <w:sz w:val="15"/>
              </w:rPr>
              <w:t>Cost of sales — high of the range</w:t>
            </w:r>
          </w:p>
        </w:tc>
        <w:tc>
          <w:tcPr>
            <w:tcW w:type="dxa" w:w="1469"/>
          </w:tcPr>
          <w:p>
            <w:pPr>
              <w:spacing w:after="20"/>
              <w:jc w:val="right"/>
            </w:pPr>
            <w:r>
              <w:rPr>
                <w:color w:val="1C3A36"/>
                <w:sz w:val="15"/>
              </w:rPr>
              <w:t>17,973</w:t>
            </w:r>
          </w:p>
        </w:tc>
        <w:tc>
          <w:tcPr>
            <w:tcW w:type="dxa" w:w="1469"/>
          </w:tcPr>
          <w:p>
            <w:pPr>
              <w:spacing w:after="20"/>
              <w:jc w:val="right"/>
            </w:pPr>
            <w:r>
              <w:rPr>
                <w:color w:val="1C3A36"/>
                <w:sz w:val="15"/>
              </w:rPr>
              <w:t>no measured range</w:t>
            </w:r>
          </w:p>
        </w:tc>
        <w:tc>
          <w:tcPr>
            <w:tcW w:type="dxa" w:w="1469"/>
          </w:tcPr>
          <w:p>
            <w:pPr>
              <w:spacing w:after="20"/>
              <w:jc w:val="right"/>
            </w:pPr>
            <w:r>
              <w:rPr>
                <w:color w:val="1C3A36"/>
                <w:sz w:val="15"/>
              </w:rPr>
              <w:t>no measured range</w:t>
            </w:r>
          </w:p>
        </w:tc>
        <w:tc>
          <w:tcPr>
            <w:tcW w:type="dxa" w:w="1354"/>
          </w:tcPr>
          <w:p>
            <w:pPr>
              <w:spacing w:after="20"/>
              <w:jc w:val="right"/>
            </w:pPr>
            <w:r>
              <w:rPr>
                <w:color w:val="1C3A36"/>
                <w:sz w:val="15"/>
              </w:rPr>
              <w:t>span</w:t>
            </w:r>
          </w:p>
        </w:tc>
        <w:tc>
          <w:tcPr>
            <w:tcW w:type="dxa" w:w="1008"/>
          </w:tcPr>
          <w:p>
            <w:pPr>
              <w:spacing w:after="20"/>
              <w:jc w:val="right"/>
            </w:pPr>
            <w:r>
              <w:rPr>
                <w:color w:val="1C3A36"/>
                <w:sz w:val="15"/>
              </w:rPr>
              <w:t>3</w:t>
            </w:r>
          </w:p>
        </w:tc>
      </w:tr>
      <w:tr>
        <w:tc>
          <w:tcPr>
            <w:tcW w:type="dxa" w:w="3312"/>
            <w:shd w:val="clear" w:color="auto" w:fill="F6F1E6"/>
          </w:tcPr>
          <w:p>
            <w:pPr>
              <w:spacing w:after="20"/>
            </w:pPr>
            <w:r>
              <w:rPr>
                <w:b/>
                <w:color w:val="1C3A36"/>
                <w:sz w:val="15"/>
              </w:rPr>
              <w:t>Gross profit — as published</w:t>
            </w:r>
          </w:p>
        </w:tc>
        <w:tc>
          <w:tcPr>
            <w:tcW w:type="dxa" w:w="1469"/>
            <w:shd w:val="clear" w:color="auto" w:fill="F6F1E6"/>
          </w:tcPr>
          <w:p>
            <w:pPr>
              <w:spacing w:after="20"/>
              <w:jc w:val="right"/>
            </w:pPr>
            <w:r>
              <w:rPr>
                <w:b/>
                <w:color w:val="1C3A36"/>
                <w:sz w:val="15"/>
              </w:rPr>
              <w:t>5,390</w:t>
            </w:r>
          </w:p>
        </w:tc>
        <w:tc>
          <w:tcPr>
            <w:tcW w:type="dxa" w:w="1469"/>
            <w:shd w:val="clear" w:color="auto" w:fill="F6F1E6"/>
          </w:tcPr>
          <w:p>
            <w:pPr>
              <w:spacing w:after="20"/>
              <w:jc w:val="right"/>
            </w:pPr>
            <w:r>
              <w:rPr>
                <w:b/>
                <w:color w:val="1C3A36"/>
                <w:sz w:val="15"/>
              </w:rPr>
              <w:t>6,115</w:t>
            </w:r>
          </w:p>
        </w:tc>
        <w:tc>
          <w:tcPr>
            <w:tcW w:type="dxa" w:w="1469"/>
            <w:shd w:val="clear" w:color="auto" w:fill="F6F1E6"/>
          </w:tcPr>
          <w:p>
            <w:pPr>
              <w:spacing w:after="20"/>
              <w:jc w:val="right"/>
            </w:pPr>
            <w:r>
              <w:rPr>
                <w:b/>
                <w:color w:val="1C3A36"/>
                <w:sz w:val="15"/>
              </w:rPr>
              <w:t>6,785</w:t>
            </w:r>
          </w:p>
        </w:tc>
        <w:tc>
          <w:tcPr>
            <w:tcW w:type="dxa" w:w="1354"/>
            <w:shd w:val="clear" w:color="auto" w:fill="F6F1E6"/>
          </w:tcPr>
          <w:p>
            <w:pPr>
              <w:spacing w:after="20"/>
              <w:jc w:val="right"/>
            </w:pPr>
            <w:r>
              <w:rPr>
                <w:b/>
                <w:color w:val="1C3A36"/>
                <w:sz w:val="15"/>
              </w:rPr>
              <w:t>—</w:t>
            </w:r>
          </w:p>
        </w:tc>
        <w:tc>
          <w:tcPr>
            <w:tcW w:type="dxa" w:w="1008"/>
            <w:shd w:val="clear" w:color="auto" w:fill="F6F1E6"/>
          </w:tcPr>
          <w:p>
            <w:pPr>
              <w:spacing w:after="20"/>
              <w:jc w:val="right"/>
            </w:pPr>
            <w:r>
              <w:rPr>
                <w:b/>
                <w:color w:val="1C3A36"/>
                <w:sz w:val="15"/>
              </w:rPr>
              <w:t>—</w:t>
            </w:r>
          </w:p>
        </w:tc>
      </w:tr>
      <w:tr>
        <w:tc>
          <w:tcPr>
            <w:tcW w:type="dxa" w:w="3312"/>
          </w:tcPr>
          <w:p>
            <w:pPr>
              <w:spacing w:after="20"/>
            </w:pPr>
            <w:r>
              <w:rPr>
                <w:color w:val="1C3A36"/>
                <w:sz w:val="15"/>
              </w:rPr>
              <w:t>Gross profit — low of the range</w:t>
            </w:r>
          </w:p>
        </w:tc>
        <w:tc>
          <w:tcPr>
            <w:tcW w:type="dxa" w:w="1469"/>
          </w:tcPr>
          <w:p>
            <w:pPr>
              <w:spacing w:after="20"/>
              <w:jc w:val="right"/>
            </w:pPr>
            <w:r>
              <w:rPr>
                <w:color w:val="1C3A36"/>
                <w:sz w:val="15"/>
              </w:rPr>
              <w:t>9,866</w:t>
            </w:r>
          </w:p>
        </w:tc>
        <w:tc>
          <w:tcPr>
            <w:tcW w:type="dxa" w:w="1469"/>
          </w:tcPr>
          <w:p>
            <w:pPr>
              <w:spacing w:after="20"/>
              <w:jc w:val="right"/>
            </w:pPr>
            <w:r>
              <w:rPr>
                <w:color w:val="1C3A36"/>
                <w:sz w:val="15"/>
              </w:rPr>
              <w:t>no measured range</w:t>
            </w:r>
          </w:p>
        </w:tc>
        <w:tc>
          <w:tcPr>
            <w:tcW w:type="dxa" w:w="1469"/>
          </w:tcPr>
          <w:p>
            <w:pPr>
              <w:spacing w:after="20"/>
              <w:jc w:val="right"/>
            </w:pPr>
            <w:r>
              <w:rPr>
                <w:color w:val="1C3A36"/>
                <w:sz w:val="15"/>
              </w:rPr>
              <w:t>no measured range</w:t>
            </w:r>
          </w:p>
        </w:tc>
        <w:tc>
          <w:tcPr>
            <w:tcW w:type="dxa" w:w="1354"/>
          </w:tcPr>
          <w:p>
            <w:pPr>
              <w:spacing w:after="20"/>
              <w:jc w:val="right"/>
            </w:pPr>
            <w:r>
              <w:rPr>
                <w:color w:val="1C3A36"/>
                <w:sz w:val="15"/>
              </w:rPr>
              <w:t>span</w:t>
            </w:r>
          </w:p>
        </w:tc>
        <w:tc>
          <w:tcPr>
            <w:tcW w:type="dxa" w:w="1008"/>
          </w:tcPr>
          <w:p>
            <w:pPr>
              <w:spacing w:after="20"/>
              <w:jc w:val="right"/>
            </w:pPr>
            <w:r>
              <w:rPr>
                <w:color w:val="1C3A36"/>
                <w:sz w:val="15"/>
              </w:rPr>
              <w:t>3</w:t>
            </w:r>
          </w:p>
        </w:tc>
      </w:tr>
      <w:tr>
        <w:tc>
          <w:tcPr>
            <w:tcW w:type="dxa" w:w="3312"/>
          </w:tcPr>
          <w:p>
            <w:pPr>
              <w:spacing w:after="20"/>
            </w:pPr>
            <w:r>
              <w:rPr>
                <w:color w:val="1C3A36"/>
                <w:sz w:val="15"/>
              </w:rPr>
              <w:t>Gross profit — high of the range</w:t>
            </w:r>
          </w:p>
        </w:tc>
        <w:tc>
          <w:tcPr>
            <w:tcW w:type="dxa" w:w="1469"/>
          </w:tcPr>
          <w:p>
            <w:pPr>
              <w:spacing w:after="20"/>
              <w:jc w:val="right"/>
            </w:pPr>
            <w:r>
              <w:rPr>
                <w:color w:val="1C3A36"/>
                <w:sz w:val="15"/>
              </w:rPr>
              <w:t>11,481</w:t>
            </w:r>
          </w:p>
        </w:tc>
        <w:tc>
          <w:tcPr>
            <w:tcW w:type="dxa" w:w="1469"/>
          </w:tcPr>
          <w:p>
            <w:pPr>
              <w:spacing w:after="20"/>
              <w:jc w:val="right"/>
            </w:pPr>
            <w:r>
              <w:rPr>
                <w:color w:val="1C3A36"/>
                <w:sz w:val="15"/>
              </w:rPr>
              <w:t>no measured range</w:t>
            </w:r>
          </w:p>
        </w:tc>
        <w:tc>
          <w:tcPr>
            <w:tcW w:type="dxa" w:w="1469"/>
          </w:tcPr>
          <w:p>
            <w:pPr>
              <w:spacing w:after="20"/>
              <w:jc w:val="right"/>
            </w:pPr>
            <w:r>
              <w:rPr>
                <w:color w:val="1C3A36"/>
                <w:sz w:val="15"/>
              </w:rPr>
              <w:t>no measured range</w:t>
            </w:r>
          </w:p>
        </w:tc>
        <w:tc>
          <w:tcPr>
            <w:tcW w:type="dxa" w:w="1354"/>
          </w:tcPr>
          <w:p>
            <w:pPr>
              <w:spacing w:after="20"/>
              <w:jc w:val="right"/>
            </w:pPr>
            <w:r>
              <w:rPr>
                <w:color w:val="1C3A36"/>
                <w:sz w:val="15"/>
              </w:rPr>
              <w:t>span</w:t>
            </w:r>
          </w:p>
        </w:tc>
        <w:tc>
          <w:tcPr>
            <w:tcW w:type="dxa" w:w="1008"/>
          </w:tcPr>
          <w:p>
            <w:pPr>
              <w:spacing w:after="20"/>
              <w:jc w:val="right"/>
            </w:pPr>
            <w:r>
              <w:rPr>
                <w:color w:val="1C3A36"/>
                <w:sz w:val="15"/>
              </w:rPr>
              <w:t>3</w:t>
            </w:r>
          </w:p>
        </w:tc>
      </w:tr>
      <w:tr>
        <w:tc>
          <w:tcPr>
            <w:tcW w:type="dxa" w:w="3312"/>
            <w:shd w:val="clear" w:color="auto" w:fill="F6F1E6"/>
          </w:tcPr>
          <w:p>
            <w:pPr>
              <w:spacing w:after="20"/>
            </w:pPr>
            <w:r>
              <w:rPr>
                <w:b/>
                <w:color w:val="1C3A36"/>
                <w:sz w:val="15"/>
              </w:rPr>
              <w:t>Profit for the year — as published</w:t>
            </w:r>
          </w:p>
        </w:tc>
        <w:tc>
          <w:tcPr>
            <w:tcW w:type="dxa" w:w="1469"/>
            <w:shd w:val="clear" w:color="auto" w:fill="F6F1E6"/>
          </w:tcPr>
          <w:p>
            <w:pPr>
              <w:spacing w:after="20"/>
              <w:jc w:val="right"/>
            </w:pPr>
            <w:r>
              <w:rPr>
                <w:b/>
                <w:color w:val="1C3A36"/>
                <w:sz w:val="15"/>
              </w:rPr>
              <w:t>1,353</w:t>
            </w:r>
          </w:p>
        </w:tc>
        <w:tc>
          <w:tcPr>
            <w:tcW w:type="dxa" w:w="1469"/>
            <w:shd w:val="clear" w:color="auto" w:fill="F6F1E6"/>
          </w:tcPr>
          <w:p>
            <w:pPr>
              <w:spacing w:after="20"/>
              <w:jc w:val="right"/>
            </w:pPr>
            <w:r>
              <w:rPr>
                <w:b/>
                <w:color w:val="1C3A36"/>
                <w:sz w:val="15"/>
              </w:rPr>
              <w:t>1,678</w:t>
            </w:r>
          </w:p>
        </w:tc>
        <w:tc>
          <w:tcPr>
            <w:tcW w:type="dxa" w:w="1469"/>
            <w:shd w:val="clear" w:color="auto" w:fill="F6F1E6"/>
          </w:tcPr>
          <w:p>
            <w:pPr>
              <w:spacing w:after="20"/>
              <w:jc w:val="right"/>
            </w:pPr>
            <w:r>
              <w:rPr>
                <w:b/>
                <w:color w:val="1C3A36"/>
                <w:sz w:val="15"/>
              </w:rPr>
              <w:t>1,979</w:t>
            </w:r>
          </w:p>
        </w:tc>
        <w:tc>
          <w:tcPr>
            <w:tcW w:type="dxa" w:w="1354"/>
            <w:shd w:val="clear" w:color="auto" w:fill="F6F1E6"/>
          </w:tcPr>
          <w:p>
            <w:pPr>
              <w:spacing w:after="20"/>
              <w:jc w:val="right"/>
            </w:pPr>
            <w:r>
              <w:rPr>
                <w:b/>
                <w:color w:val="1C3A36"/>
                <w:sz w:val="15"/>
              </w:rPr>
              <w:t>—</w:t>
            </w:r>
          </w:p>
        </w:tc>
        <w:tc>
          <w:tcPr>
            <w:tcW w:type="dxa" w:w="1008"/>
            <w:shd w:val="clear" w:color="auto" w:fill="F6F1E6"/>
          </w:tcPr>
          <w:p>
            <w:pPr>
              <w:spacing w:after="20"/>
              <w:jc w:val="right"/>
            </w:pPr>
            <w:r>
              <w:rPr>
                <w:b/>
                <w:color w:val="1C3A36"/>
                <w:sz w:val="15"/>
              </w:rPr>
              <w:t>—</w:t>
            </w:r>
          </w:p>
        </w:tc>
      </w:tr>
      <w:tr>
        <w:tc>
          <w:tcPr>
            <w:tcW w:type="dxa" w:w="3312"/>
          </w:tcPr>
          <w:p>
            <w:pPr>
              <w:spacing w:after="20"/>
            </w:pPr>
            <w:r>
              <w:rPr>
                <w:color w:val="1C3A36"/>
                <w:sz w:val="15"/>
              </w:rPr>
              <w:t>Profit for the year — low of the range</w:t>
            </w:r>
          </w:p>
        </w:tc>
        <w:tc>
          <w:tcPr>
            <w:tcW w:type="dxa" w:w="1469"/>
          </w:tcPr>
          <w:p>
            <w:pPr>
              <w:spacing w:after="20"/>
              <w:jc w:val="right"/>
            </w:pPr>
            <w:r>
              <w:rPr>
                <w:color w:val="1C3A36"/>
                <w:sz w:val="15"/>
              </w:rPr>
              <w:t>2,326</w:t>
            </w:r>
          </w:p>
        </w:tc>
        <w:tc>
          <w:tcPr>
            <w:tcW w:type="dxa" w:w="1469"/>
          </w:tcPr>
          <w:p>
            <w:pPr>
              <w:spacing w:after="20"/>
              <w:jc w:val="right"/>
            </w:pPr>
            <w:r>
              <w:rPr>
                <w:color w:val="1C3A36"/>
                <w:sz w:val="15"/>
              </w:rPr>
              <w:t>no measured range</w:t>
            </w:r>
          </w:p>
        </w:tc>
        <w:tc>
          <w:tcPr>
            <w:tcW w:type="dxa" w:w="1469"/>
          </w:tcPr>
          <w:p>
            <w:pPr>
              <w:spacing w:after="20"/>
              <w:jc w:val="right"/>
            </w:pPr>
            <w:r>
              <w:rPr>
                <w:color w:val="1C3A36"/>
                <w:sz w:val="15"/>
              </w:rPr>
              <w:t>no measured range</w:t>
            </w:r>
          </w:p>
        </w:tc>
        <w:tc>
          <w:tcPr>
            <w:tcW w:type="dxa" w:w="1354"/>
          </w:tcPr>
          <w:p>
            <w:pPr>
              <w:spacing w:after="20"/>
              <w:jc w:val="right"/>
            </w:pPr>
            <w:r>
              <w:rPr>
                <w:color w:val="1C3A36"/>
                <w:sz w:val="15"/>
              </w:rPr>
              <w:t>span</w:t>
            </w:r>
          </w:p>
        </w:tc>
        <w:tc>
          <w:tcPr>
            <w:tcW w:type="dxa" w:w="1008"/>
          </w:tcPr>
          <w:p>
            <w:pPr>
              <w:spacing w:after="20"/>
              <w:jc w:val="right"/>
            </w:pPr>
            <w:r>
              <w:rPr>
                <w:color w:val="1C3A36"/>
                <w:sz w:val="15"/>
              </w:rPr>
              <w:t>3</w:t>
            </w:r>
          </w:p>
        </w:tc>
      </w:tr>
      <w:tr>
        <w:tc>
          <w:tcPr>
            <w:tcW w:type="dxa" w:w="3312"/>
          </w:tcPr>
          <w:p>
            <w:pPr>
              <w:spacing w:after="20"/>
            </w:pPr>
            <w:r>
              <w:rPr>
                <w:color w:val="1C3A36"/>
                <w:sz w:val="15"/>
              </w:rPr>
              <w:t>Profit for the year — high of the range</w:t>
            </w:r>
          </w:p>
        </w:tc>
        <w:tc>
          <w:tcPr>
            <w:tcW w:type="dxa" w:w="1469"/>
          </w:tcPr>
          <w:p>
            <w:pPr>
              <w:spacing w:after="20"/>
              <w:jc w:val="right"/>
            </w:pPr>
            <w:r>
              <w:rPr>
                <w:color w:val="1C3A36"/>
                <w:sz w:val="15"/>
              </w:rPr>
              <w:t>4,606</w:t>
            </w:r>
          </w:p>
        </w:tc>
        <w:tc>
          <w:tcPr>
            <w:tcW w:type="dxa" w:w="1469"/>
          </w:tcPr>
          <w:p>
            <w:pPr>
              <w:spacing w:after="20"/>
              <w:jc w:val="right"/>
            </w:pPr>
            <w:r>
              <w:rPr>
                <w:color w:val="1C3A36"/>
                <w:sz w:val="15"/>
              </w:rPr>
              <w:t>no measured range</w:t>
            </w:r>
          </w:p>
        </w:tc>
        <w:tc>
          <w:tcPr>
            <w:tcW w:type="dxa" w:w="1469"/>
          </w:tcPr>
          <w:p>
            <w:pPr>
              <w:spacing w:after="20"/>
              <w:jc w:val="right"/>
            </w:pPr>
            <w:r>
              <w:rPr>
                <w:color w:val="1C3A36"/>
                <w:sz w:val="15"/>
              </w:rPr>
              <w:t>no measured range</w:t>
            </w:r>
          </w:p>
        </w:tc>
        <w:tc>
          <w:tcPr>
            <w:tcW w:type="dxa" w:w="1354"/>
          </w:tcPr>
          <w:p>
            <w:pPr>
              <w:spacing w:after="20"/>
              <w:jc w:val="right"/>
            </w:pPr>
            <w:r>
              <w:rPr>
                <w:color w:val="1C3A36"/>
                <w:sz w:val="15"/>
              </w:rPr>
              <w:t>span</w:t>
            </w:r>
          </w:p>
        </w:tc>
        <w:tc>
          <w:tcPr>
            <w:tcW w:type="dxa" w:w="1008"/>
          </w:tcPr>
          <w:p>
            <w:pPr>
              <w:spacing w:after="20"/>
              <w:jc w:val="right"/>
            </w:pPr>
            <w:r>
              <w:rPr>
                <w:color w:val="1C3A36"/>
                <w:sz w:val="15"/>
              </w:rPr>
              <w:t>3</w:t>
            </w:r>
          </w:p>
        </w:tc>
      </w:tr>
      <w:tr>
        <w:tc>
          <w:tcPr>
            <w:tcW w:type="dxa" w:w="3312"/>
            <w:shd w:val="clear" w:color="auto" w:fill="F6F1E6"/>
          </w:tcPr>
          <w:p>
            <w:pPr>
              <w:spacing w:after="20"/>
            </w:pPr>
            <w:r>
              <w:rPr>
                <w:b/>
                <w:color w:val="1C3A36"/>
                <w:sz w:val="15"/>
              </w:rPr>
              <w:t>Depreciation and amortisation — as published</w:t>
            </w:r>
          </w:p>
        </w:tc>
        <w:tc>
          <w:tcPr>
            <w:tcW w:type="dxa" w:w="1469"/>
            <w:shd w:val="clear" w:color="auto" w:fill="F6F1E6"/>
          </w:tcPr>
          <w:p>
            <w:pPr>
              <w:spacing w:after="20"/>
              <w:jc w:val="right"/>
            </w:pPr>
            <w:r>
              <w:rPr>
                <w:b/>
                <w:color w:val="1C3A36"/>
                <w:sz w:val="15"/>
              </w:rPr>
              <w:t>446</w:t>
            </w:r>
          </w:p>
        </w:tc>
        <w:tc>
          <w:tcPr>
            <w:tcW w:type="dxa" w:w="1469"/>
            <w:shd w:val="clear" w:color="auto" w:fill="F6F1E6"/>
          </w:tcPr>
          <w:p>
            <w:pPr>
              <w:spacing w:after="20"/>
              <w:jc w:val="right"/>
            </w:pPr>
            <w:r>
              <w:rPr>
                <w:b/>
                <w:color w:val="1C3A36"/>
                <w:sz w:val="15"/>
              </w:rPr>
              <w:t>437</w:t>
            </w:r>
          </w:p>
        </w:tc>
        <w:tc>
          <w:tcPr>
            <w:tcW w:type="dxa" w:w="1469"/>
            <w:shd w:val="clear" w:color="auto" w:fill="F6F1E6"/>
          </w:tcPr>
          <w:p>
            <w:pPr>
              <w:spacing w:after="20"/>
              <w:jc w:val="right"/>
            </w:pPr>
            <w:r>
              <w:rPr>
                <w:b/>
                <w:color w:val="1C3A36"/>
                <w:sz w:val="15"/>
              </w:rPr>
              <w:t>423</w:t>
            </w:r>
          </w:p>
        </w:tc>
        <w:tc>
          <w:tcPr>
            <w:tcW w:type="dxa" w:w="1354"/>
            <w:shd w:val="clear" w:color="auto" w:fill="F6F1E6"/>
          </w:tcPr>
          <w:p>
            <w:pPr>
              <w:spacing w:after="20"/>
              <w:jc w:val="right"/>
            </w:pPr>
            <w:r>
              <w:rPr>
                <w:b/>
                <w:color w:val="1C3A36"/>
                <w:sz w:val="15"/>
              </w:rPr>
              <w:t>—</w:t>
            </w:r>
          </w:p>
        </w:tc>
        <w:tc>
          <w:tcPr>
            <w:tcW w:type="dxa" w:w="1008"/>
            <w:shd w:val="clear" w:color="auto" w:fill="F6F1E6"/>
          </w:tcPr>
          <w:p>
            <w:pPr>
              <w:spacing w:after="20"/>
              <w:jc w:val="right"/>
            </w:pPr>
            <w:r>
              <w:rPr>
                <w:b/>
                <w:color w:val="1C3A36"/>
                <w:sz w:val="15"/>
              </w:rPr>
              <w:t>—</w:t>
            </w:r>
          </w:p>
        </w:tc>
      </w:tr>
      <w:tr>
        <w:tc>
          <w:tcPr>
            <w:tcW w:type="dxa" w:w="3312"/>
          </w:tcPr>
          <w:p>
            <w:pPr>
              <w:spacing w:after="20"/>
            </w:pPr>
            <w:r>
              <w:rPr>
                <w:color w:val="1C3A36"/>
                <w:sz w:val="15"/>
              </w:rPr>
              <w:t>Depreciation and amortisation — low of the range</w:t>
            </w:r>
          </w:p>
        </w:tc>
        <w:tc>
          <w:tcPr>
            <w:tcW w:type="dxa" w:w="1469"/>
          </w:tcPr>
          <w:p>
            <w:pPr>
              <w:spacing w:after="20"/>
              <w:jc w:val="right"/>
            </w:pPr>
            <w:r>
              <w:rPr>
                <w:color w:val="1C3A36"/>
                <w:sz w:val="15"/>
              </w:rPr>
              <w:t>250</w:t>
            </w:r>
          </w:p>
        </w:tc>
        <w:tc>
          <w:tcPr>
            <w:tcW w:type="dxa" w:w="1469"/>
          </w:tcPr>
          <w:p>
            <w:pPr>
              <w:spacing w:after="20"/>
              <w:jc w:val="right"/>
            </w:pPr>
            <w:r>
              <w:rPr>
                <w:color w:val="1C3A36"/>
                <w:sz w:val="15"/>
              </w:rPr>
              <w:t>no measured range</w:t>
            </w:r>
          </w:p>
        </w:tc>
        <w:tc>
          <w:tcPr>
            <w:tcW w:type="dxa" w:w="1469"/>
          </w:tcPr>
          <w:p>
            <w:pPr>
              <w:spacing w:after="20"/>
              <w:jc w:val="right"/>
            </w:pPr>
            <w:r>
              <w:rPr>
                <w:color w:val="1C3A36"/>
                <w:sz w:val="15"/>
              </w:rPr>
              <w:t>no measured range</w:t>
            </w:r>
          </w:p>
        </w:tc>
        <w:tc>
          <w:tcPr>
            <w:tcW w:type="dxa" w:w="1354"/>
          </w:tcPr>
          <w:p>
            <w:pPr>
              <w:spacing w:after="20"/>
              <w:jc w:val="right"/>
            </w:pPr>
            <w:r>
              <w:rPr>
                <w:color w:val="1C3A36"/>
                <w:sz w:val="15"/>
              </w:rPr>
              <w:t>span</w:t>
            </w:r>
          </w:p>
        </w:tc>
        <w:tc>
          <w:tcPr>
            <w:tcW w:type="dxa" w:w="1008"/>
          </w:tcPr>
          <w:p>
            <w:pPr>
              <w:spacing w:after="20"/>
              <w:jc w:val="right"/>
            </w:pPr>
            <w:r>
              <w:rPr>
                <w:color w:val="1C3A36"/>
                <w:sz w:val="15"/>
              </w:rPr>
              <w:t>2</w:t>
            </w:r>
          </w:p>
        </w:tc>
      </w:tr>
      <w:tr>
        <w:tc>
          <w:tcPr>
            <w:tcW w:type="dxa" w:w="3312"/>
          </w:tcPr>
          <w:p>
            <w:pPr>
              <w:spacing w:after="20"/>
            </w:pPr>
            <w:r>
              <w:rPr>
                <w:color w:val="1C3A36"/>
                <w:sz w:val="15"/>
              </w:rPr>
              <w:t>Depreciation and amortisation — high of the range</w:t>
            </w:r>
          </w:p>
        </w:tc>
        <w:tc>
          <w:tcPr>
            <w:tcW w:type="dxa" w:w="1469"/>
          </w:tcPr>
          <w:p>
            <w:pPr>
              <w:spacing w:after="20"/>
              <w:jc w:val="right"/>
            </w:pPr>
            <w:r>
              <w:rPr>
                <w:color w:val="1C3A36"/>
                <w:sz w:val="15"/>
              </w:rPr>
              <w:t>269</w:t>
            </w:r>
          </w:p>
        </w:tc>
        <w:tc>
          <w:tcPr>
            <w:tcW w:type="dxa" w:w="1469"/>
          </w:tcPr>
          <w:p>
            <w:pPr>
              <w:spacing w:after="20"/>
              <w:jc w:val="right"/>
            </w:pPr>
            <w:r>
              <w:rPr>
                <w:color w:val="1C3A36"/>
                <w:sz w:val="15"/>
              </w:rPr>
              <w:t>no measured range</w:t>
            </w:r>
          </w:p>
        </w:tc>
        <w:tc>
          <w:tcPr>
            <w:tcW w:type="dxa" w:w="1469"/>
          </w:tcPr>
          <w:p>
            <w:pPr>
              <w:spacing w:after="20"/>
              <w:jc w:val="right"/>
            </w:pPr>
            <w:r>
              <w:rPr>
                <w:color w:val="1C3A36"/>
                <w:sz w:val="15"/>
              </w:rPr>
              <w:t>no measured range</w:t>
            </w:r>
          </w:p>
        </w:tc>
        <w:tc>
          <w:tcPr>
            <w:tcW w:type="dxa" w:w="1354"/>
          </w:tcPr>
          <w:p>
            <w:pPr>
              <w:spacing w:after="20"/>
              <w:jc w:val="right"/>
            </w:pPr>
            <w:r>
              <w:rPr>
                <w:color w:val="1C3A36"/>
                <w:sz w:val="15"/>
              </w:rPr>
              <w:t>span</w:t>
            </w:r>
          </w:p>
        </w:tc>
        <w:tc>
          <w:tcPr>
            <w:tcW w:type="dxa" w:w="1008"/>
          </w:tcPr>
          <w:p>
            <w:pPr>
              <w:spacing w:after="20"/>
              <w:jc w:val="right"/>
            </w:pPr>
            <w:r>
              <w:rPr>
                <w:color w:val="1C3A36"/>
                <w:sz w:val="15"/>
              </w:rPr>
              <w:t>2</w:t>
            </w:r>
          </w:p>
        </w:tc>
      </w:tr>
      <w:tr>
        <w:tc>
          <w:tcPr>
            <w:tcW w:type="dxa" w:w="3312"/>
            <w:shd w:val="clear" w:color="auto" w:fill="F6F1E6"/>
          </w:tcPr>
          <w:p>
            <w:pPr>
              <w:spacing w:after="20"/>
            </w:pPr>
            <w:r>
              <w:rPr>
                <w:b/>
                <w:color w:val="1C3A36"/>
                <w:sz w:val="15"/>
              </w:rPr>
              <w:t>Capital expenditure — as published</w:t>
            </w:r>
          </w:p>
        </w:tc>
        <w:tc>
          <w:tcPr>
            <w:tcW w:type="dxa" w:w="1469"/>
            <w:shd w:val="clear" w:color="auto" w:fill="F6F1E6"/>
          </w:tcPr>
          <w:p>
            <w:pPr>
              <w:spacing w:after="20"/>
              <w:jc w:val="right"/>
            </w:pPr>
            <w:r>
              <w:rPr>
                <w:b/>
                <w:color w:val="1C3A36"/>
                <w:sz w:val="15"/>
              </w:rPr>
              <w:t>512</w:t>
            </w:r>
          </w:p>
        </w:tc>
        <w:tc>
          <w:tcPr>
            <w:tcW w:type="dxa" w:w="1469"/>
            <w:shd w:val="clear" w:color="auto" w:fill="F6F1E6"/>
          </w:tcPr>
          <w:p>
            <w:pPr>
              <w:spacing w:after="20"/>
              <w:jc w:val="right"/>
            </w:pPr>
            <w:r>
              <w:rPr>
                <w:b/>
                <w:color w:val="1C3A36"/>
                <w:sz w:val="15"/>
              </w:rPr>
              <w:t>532</w:t>
            </w:r>
          </w:p>
        </w:tc>
        <w:tc>
          <w:tcPr>
            <w:tcW w:type="dxa" w:w="1469"/>
            <w:shd w:val="clear" w:color="auto" w:fill="F6F1E6"/>
          </w:tcPr>
          <w:p>
            <w:pPr>
              <w:spacing w:after="20"/>
              <w:jc w:val="right"/>
            </w:pPr>
            <w:r>
              <w:rPr>
                <w:b/>
                <w:color w:val="1C3A36"/>
                <w:sz w:val="15"/>
              </w:rPr>
              <w:t>558</w:t>
            </w:r>
          </w:p>
        </w:tc>
        <w:tc>
          <w:tcPr>
            <w:tcW w:type="dxa" w:w="1354"/>
            <w:shd w:val="clear" w:color="auto" w:fill="F6F1E6"/>
          </w:tcPr>
          <w:p>
            <w:pPr>
              <w:spacing w:after="20"/>
              <w:jc w:val="right"/>
            </w:pPr>
            <w:r>
              <w:rPr>
                <w:b/>
                <w:color w:val="1C3A36"/>
                <w:sz w:val="15"/>
              </w:rPr>
              <w:t>—</w:t>
            </w:r>
          </w:p>
        </w:tc>
        <w:tc>
          <w:tcPr>
            <w:tcW w:type="dxa" w:w="1008"/>
            <w:shd w:val="clear" w:color="auto" w:fill="F6F1E6"/>
          </w:tcPr>
          <w:p>
            <w:pPr>
              <w:spacing w:after="20"/>
              <w:jc w:val="right"/>
            </w:pPr>
            <w:r>
              <w:rPr>
                <w:b/>
                <w:color w:val="1C3A36"/>
                <w:sz w:val="15"/>
              </w:rPr>
              <w:t>—</w:t>
            </w:r>
          </w:p>
        </w:tc>
      </w:tr>
      <w:tr>
        <w:tc>
          <w:tcPr>
            <w:tcW w:type="dxa" w:w="3312"/>
          </w:tcPr>
          <w:p>
            <w:pPr>
              <w:spacing w:after="20"/>
            </w:pPr>
            <w:r>
              <w:rPr>
                <w:color w:val="1C3A36"/>
                <w:sz w:val="15"/>
              </w:rPr>
              <w:t>Capital expenditure — low of the range</w:t>
            </w:r>
          </w:p>
        </w:tc>
        <w:tc>
          <w:tcPr>
            <w:tcW w:type="dxa" w:w="1469"/>
          </w:tcPr>
          <w:p>
            <w:pPr>
              <w:spacing w:after="20"/>
              <w:jc w:val="right"/>
            </w:pPr>
            <w:r>
              <w:rPr>
                <w:color w:val="1C3A36"/>
                <w:sz w:val="15"/>
              </w:rPr>
              <w:t>1,103</w:t>
            </w:r>
          </w:p>
        </w:tc>
        <w:tc>
          <w:tcPr>
            <w:tcW w:type="dxa" w:w="1469"/>
          </w:tcPr>
          <w:p>
            <w:pPr>
              <w:spacing w:after="20"/>
              <w:jc w:val="right"/>
            </w:pPr>
            <w:r>
              <w:rPr>
                <w:color w:val="1C3A36"/>
                <w:sz w:val="15"/>
              </w:rPr>
              <w:t>no measured range</w:t>
            </w:r>
          </w:p>
        </w:tc>
        <w:tc>
          <w:tcPr>
            <w:tcW w:type="dxa" w:w="1469"/>
          </w:tcPr>
          <w:p>
            <w:pPr>
              <w:spacing w:after="20"/>
              <w:jc w:val="right"/>
            </w:pPr>
            <w:r>
              <w:rPr>
                <w:color w:val="1C3A36"/>
                <w:sz w:val="15"/>
              </w:rPr>
              <w:t>no measured range</w:t>
            </w:r>
          </w:p>
        </w:tc>
        <w:tc>
          <w:tcPr>
            <w:tcW w:type="dxa" w:w="1354"/>
          </w:tcPr>
          <w:p>
            <w:pPr>
              <w:spacing w:after="20"/>
              <w:jc w:val="right"/>
            </w:pPr>
            <w:r>
              <w:rPr>
                <w:color w:val="1C3A36"/>
                <w:sz w:val="15"/>
              </w:rPr>
              <w:t>span</w:t>
            </w:r>
          </w:p>
        </w:tc>
        <w:tc>
          <w:tcPr>
            <w:tcW w:type="dxa" w:w="1008"/>
          </w:tcPr>
          <w:p>
            <w:pPr>
              <w:spacing w:after="20"/>
              <w:jc w:val="right"/>
            </w:pPr>
            <w:r>
              <w:rPr>
                <w:color w:val="1C3A36"/>
                <w:sz w:val="15"/>
              </w:rPr>
              <w:t>2</w:t>
            </w:r>
          </w:p>
        </w:tc>
      </w:tr>
      <w:tr>
        <w:tc>
          <w:tcPr>
            <w:tcW w:type="dxa" w:w="3312"/>
          </w:tcPr>
          <w:p>
            <w:pPr>
              <w:spacing w:after="20"/>
            </w:pPr>
            <w:r>
              <w:rPr>
                <w:color w:val="1C3A36"/>
                <w:sz w:val="15"/>
              </w:rPr>
              <w:t>Capital expenditure — high of the range</w:t>
            </w:r>
          </w:p>
        </w:tc>
        <w:tc>
          <w:tcPr>
            <w:tcW w:type="dxa" w:w="1469"/>
          </w:tcPr>
          <w:p>
            <w:pPr>
              <w:spacing w:after="20"/>
              <w:jc w:val="right"/>
            </w:pPr>
            <w:r>
              <w:rPr>
                <w:color w:val="1C3A36"/>
                <w:sz w:val="15"/>
              </w:rPr>
              <w:t>2,722</w:t>
            </w:r>
          </w:p>
        </w:tc>
        <w:tc>
          <w:tcPr>
            <w:tcW w:type="dxa" w:w="1469"/>
          </w:tcPr>
          <w:p>
            <w:pPr>
              <w:spacing w:after="20"/>
              <w:jc w:val="right"/>
            </w:pPr>
            <w:r>
              <w:rPr>
                <w:color w:val="1C3A36"/>
                <w:sz w:val="15"/>
              </w:rPr>
              <w:t>no measured range</w:t>
            </w:r>
          </w:p>
        </w:tc>
        <w:tc>
          <w:tcPr>
            <w:tcW w:type="dxa" w:w="1469"/>
          </w:tcPr>
          <w:p>
            <w:pPr>
              <w:spacing w:after="20"/>
              <w:jc w:val="right"/>
            </w:pPr>
            <w:r>
              <w:rPr>
                <w:color w:val="1C3A36"/>
                <w:sz w:val="15"/>
              </w:rPr>
              <w:t>no measured range</w:t>
            </w:r>
          </w:p>
        </w:tc>
        <w:tc>
          <w:tcPr>
            <w:tcW w:type="dxa" w:w="1354"/>
          </w:tcPr>
          <w:p>
            <w:pPr>
              <w:spacing w:after="20"/>
              <w:jc w:val="right"/>
            </w:pPr>
            <w:r>
              <w:rPr>
                <w:color w:val="1C3A36"/>
                <w:sz w:val="15"/>
              </w:rPr>
              <w:t>span</w:t>
            </w:r>
          </w:p>
        </w:tc>
        <w:tc>
          <w:tcPr>
            <w:tcW w:type="dxa" w:w="1008"/>
          </w:tcPr>
          <w:p>
            <w:pPr>
              <w:spacing w:after="20"/>
              <w:jc w:val="right"/>
            </w:pPr>
            <w:r>
              <w:rPr>
                <w:color w:val="1C3A36"/>
                <w:sz w:val="15"/>
              </w:rPr>
              <w:t>2</w:t>
            </w:r>
          </w:p>
        </w:tc>
      </w:tr>
    </w:tbl>
    <w:p>
      <w:pPr>
        <w:spacing w:after="40"/>
      </w:pPr>
    </w:p>
    <w:p>
      <w:pPr>
        <w:spacing w:after="200" w:before="0"/>
      </w:pPr>
      <w:r>
        <w:rPr>
          <w:b w:val="0"/>
          <w:i/>
          <w:color w:val="6E7B77"/>
          <w:sz w:val="17"/>
        </w:rPr>
        <w:t>Table 23 — the third forecast year as a range, and the fourth and fifth stated as carrying none. The range is the point projection MULTIPLIED by how far the outturn came in from the projection at each replayed year-end, so a factor above one means the outturn came in ABOVE the projection — which is the direction almost every reading runs, because the method under-stated the scale of this company in a decade of currency moves rather than mis-stating its shape. Reading the multiplier the other way up would move a forecast the wrong way, and both values look equally ordinary on a page, which is why the direction is stated here rather than left to be inferred. The basis is a SPAN and is not called anything else: it is the widest and the narrowest of the readings behind it, not a percentile, because a percentile needs more readings than this record holds. The range at the third forecast year on revenue, cost of sales, gross profit and profit for the year is the full span of 3 past observations of this method's own error. That is too few to carry a probability, and none is claimed: it is the widest and narrowest this method has been on this company, not a confidence interval. The range at the third forecast year on depreciation and amortisation and capital expenditure is the full span of 2 past observations of this method's own error. That is too few to carry a probability, and none is claimed: it is the widest and narrowest this method has been on this company, not a confidence interval. The fourth and fifth forecast years are shown as published in Appendix A.1 and are marked here as carrying no measured range, because the replay covers three years ahead and no further. Nothing in this table changes the valuation: the fair-value range in the summary is struck on the point path above it, and this is the disclosure of how wide the method's own error has been around that path.</w:t>
      </w:r>
    </w:p>
    <w:p>
      <w:pPr>
        <w:spacing w:after="120" w:before="280"/>
      </w:pPr>
      <w:r>
        <w:rPr>
          <w:b/>
          <w:i w:val="0"/>
          <w:color w:val="1C3A36"/>
          <w:sz w:val="30"/>
        </w:rPr>
        <w:t>Appendix B — peers, risks and the research record</w:t>
      </w:r>
    </w:p>
    <w:p>
      <w:pPr>
        <w:spacing w:after="80" w:before="200"/>
      </w:pPr>
      <w:r>
        <w:rPr>
          <w:b/>
          <w:i w:val="0"/>
          <w:color w:val="1C3A36"/>
          <w:sz w:val="24"/>
        </w:rPr>
        <w:t>B.1 Peers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456"/>
        <w:gridCol w:w="1152"/>
        <w:gridCol w:w="2232"/>
        <w:gridCol w:w="3096"/>
      </w:tblGrid>
      <w:tr>
        <w:tc>
          <w:tcPr>
            <w:tcW w:type="dxa" w:w="3456"/>
            <w:shd w:val="clear" w:color="auto" w:fill="EAF0EE"/>
          </w:tcPr>
          <w:p>
            <w:pPr>
              <w:spacing w:after="20"/>
            </w:pPr>
            <w:r>
              <w:rPr>
                <w:b/>
                <w:color w:val="1C3A36"/>
                <w:sz w:val="16"/>
              </w:rPr>
              <w:t>Company or reference</w:t>
            </w:r>
          </w:p>
        </w:tc>
        <w:tc>
          <w:tcPr>
            <w:tcW w:type="dxa" w:w="1152"/>
            <w:shd w:val="clear" w:color="auto" w:fill="EAF0EE"/>
          </w:tcPr>
          <w:p>
            <w:pPr>
              <w:spacing w:after="20"/>
            </w:pPr>
            <w:r>
              <w:rPr>
                <w:b/>
                <w:color w:val="1C3A36"/>
                <w:sz w:val="16"/>
              </w:rPr>
              <w:t>Multiple</w:t>
            </w:r>
          </w:p>
        </w:tc>
        <w:tc>
          <w:tcPr>
            <w:tcW w:type="dxa" w:w="2232"/>
            <w:shd w:val="clear" w:color="auto" w:fill="EAF0EE"/>
          </w:tcPr>
          <w:p>
            <w:pPr>
              <w:spacing w:after="20"/>
            </w:pPr>
            <w:r>
              <w:rPr>
                <w:b/>
                <w:color w:val="1C3A36"/>
                <w:sz w:val="16"/>
              </w:rPr>
              <w:t>Basis</w:t>
            </w:r>
          </w:p>
        </w:tc>
        <w:tc>
          <w:tcPr>
            <w:tcW w:type="dxa" w:w="3096"/>
            <w:shd w:val="clear" w:color="auto" w:fill="EAF0EE"/>
          </w:tcPr>
          <w:p>
            <w:pPr>
              <w:spacing w:after="20"/>
            </w:pPr>
            <w:r>
              <w:rPr>
                <w:b/>
                <w:color w:val="1C3A36"/>
                <w:sz w:val="16"/>
              </w:rPr>
              <w:t>Status in this study</w:t>
            </w:r>
          </w:p>
        </w:tc>
      </w:tr>
      <w:tr>
        <w:tc>
          <w:tcPr>
            <w:tcW w:type="dxa" w:w="3456"/>
          </w:tcPr>
          <w:p>
            <w:pPr>
              <w:spacing w:after="20"/>
            </w:pPr>
            <w:r>
              <w:rPr>
                <w:color w:val="1C3A36"/>
                <w:sz w:val="16"/>
              </w:rPr>
              <w:t>Listed Saudi Arabian generics manufacturer</w:t>
            </w:r>
          </w:p>
        </w:tc>
        <w:tc>
          <w:tcPr>
            <w:tcW w:type="dxa" w:w="1152"/>
          </w:tcPr>
          <w:p>
            <w:pPr>
              <w:spacing w:after="20"/>
              <w:jc w:val="right"/>
            </w:pPr>
            <w:r>
              <w:rPr>
                <w:color w:val="1C3A36"/>
                <w:sz w:val="16"/>
              </w:rPr>
              <w:t>26.7x</w:t>
            </w:r>
          </w:p>
        </w:tc>
        <w:tc>
          <w:tcPr>
            <w:tcW w:type="dxa" w:w="2232"/>
          </w:tcPr>
          <w:p>
            <w:pPr>
              <w:spacing w:after="20"/>
              <w:jc w:val="right"/>
            </w:pPr>
            <w:r>
              <w:rPr>
                <w:color w:val="1C3A36"/>
                <w:sz w:val="16"/>
              </w:rPr>
              <w:t>trailing price / earnings</w:t>
            </w:r>
          </w:p>
        </w:tc>
        <w:tc>
          <w:tcPr>
            <w:tcW w:type="dxa" w:w="3096"/>
          </w:tcPr>
          <w:p>
            <w:pPr>
              <w:spacing w:after="20"/>
              <w:jc w:val="right"/>
            </w:pPr>
            <w:r>
              <w:rPr>
                <w:color w:val="1C3A36"/>
                <w:sz w:val="16"/>
              </w:rPr>
              <w:t>market data, cross-check only</w:t>
            </w:r>
          </w:p>
        </w:tc>
      </w:tr>
      <w:tr>
        <w:tc>
          <w:tcPr>
            <w:tcW w:type="dxa" w:w="3456"/>
          </w:tcPr>
          <w:p>
            <w:pPr>
              <w:spacing w:after="20"/>
            </w:pPr>
            <w:r>
              <w:rPr>
                <w:color w:val="1C3A36"/>
                <w:sz w:val="16"/>
              </w:rPr>
              <w:t>Regional and international mid-cap generic manufacturers</w:t>
            </w:r>
          </w:p>
        </w:tc>
        <w:tc>
          <w:tcPr>
            <w:tcW w:type="dxa" w:w="1152"/>
          </w:tcPr>
          <w:p>
            <w:pPr>
              <w:spacing w:after="20"/>
              <w:jc w:val="right"/>
            </w:pPr>
            <w:r>
              <w:rPr>
                <w:color w:val="1C3A36"/>
                <w:sz w:val="16"/>
              </w:rPr>
              <w:t>~16x</w:t>
            </w:r>
          </w:p>
        </w:tc>
        <w:tc>
          <w:tcPr>
            <w:tcW w:type="dxa" w:w="2232"/>
          </w:tcPr>
          <w:p>
            <w:pPr>
              <w:spacing w:after="20"/>
              <w:jc w:val="right"/>
            </w:pPr>
            <w:r>
              <w:rPr>
                <w:color w:val="1C3A36"/>
                <w:sz w:val="16"/>
              </w:rPr>
              <w:t>trailing price / earnings</w:t>
            </w:r>
          </w:p>
        </w:tc>
        <w:tc>
          <w:tcPr>
            <w:tcW w:type="dxa" w:w="3096"/>
          </w:tcPr>
          <w:p>
            <w:pPr>
              <w:spacing w:after="20"/>
              <w:jc w:val="right"/>
            </w:pPr>
            <w:r>
              <w:rPr>
                <w:color w:val="1C3A36"/>
                <w:sz w:val="16"/>
              </w:rPr>
              <w:t>market data, cross-check only</w:t>
            </w:r>
          </w:p>
        </w:tc>
      </w:tr>
      <w:tr>
        <w:tc>
          <w:tcPr>
            <w:tcW w:type="dxa" w:w="3456"/>
          </w:tcPr>
          <w:p>
            <w:pPr>
              <w:spacing w:after="20"/>
            </w:pPr>
            <w:r>
              <w:rPr>
                <w:color w:val="1C3A36"/>
                <w:sz w:val="16"/>
              </w:rPr>
              <w:t>STRUCK REFERENCE USED — the midpoint of the two observations above</w:t>
            </w:r>
          </w:p>
        </w:tc>
        <w:tc>
          <w:tcPr>
            <w:tcW w:type="dxa" w:w="1152"/>
          </w:tcPr>
          <w:p>
            <w:pPr>
              <w:spacing w:after="20"/>
              <w:jc w:val="right"/>
            </w:pPr>
            <w:r>
              <w:rPr>
                <w:color w:val="1C3A36"/>
                <w:sz w:val="16"/>
              </w:rPr>
              <w:t>21.35x</w:t>
            </w:r>
          </w:p>
        </w:tc>
        <w:tc>
          <w:tcPr>
            <w:tcW w:type="dxa" w:w="2232"/>
          </w:tcPr>
          <w:p>
            <w:pPr>
              <w:spacing w:after="20"/>
              <w:jc w:val="right"/>
            </w:pPr>
            <w:r>
              <w:rPr>
                <w:color w:val="1C3A36"/>
                <w:sz w:val="16"/>
              </w:rPr>
              <w:t>trailing price / earnings</w:t>
            </w:r>
          </w:p>
        </w:tc>
        <w:tc>
          <w:tcPr>
            <w:tcW w:type="dxa" w:w="3096"/>
          </w:tcPr>
          <w:p>
            <w:pPr>
              <w:spacing w:after="20"/>
              <w:jc w:val="right"/>
            </w:pPr>
            <w:r>
              <w:rPr>
                <w:color w:val="1C3A36"/>
                <w:sz w:val="16"/>
              </w:rPr>
              <w:t>the third leg of the relative lens, adjusted for the cost-of-equity gap. NOT a median of a disclosed peer set: only the two observations above are disclosed, the companies are not named, and this multiple therefore cannot be rebuilt from their filings</w:t>
            </w:r>
          </w:p>
        </w:tc>
      </w:tr>
      <w:tr>
        <w:tc>
          <w:tcPr>
            <w:tcW w:type="dxa" w:w="3456"/>
          </w:tcPr>
          <w:p>
            <w:pPr>
              <w:spacing w:after="20"/>
            </w:pPr>
            <w:r>
              <w:rPr>
                <w:color w:val="1C3A36"/>
                <w:sz w:val="16"/>
              </w:rPr>
              <w:t>EIPICO today, on shares in issue</w:t>
            </w:r>
          </w:p>
        </w:tc>
        <w:tc>
          <w:tcPr>
            <w:tcW w:type="dxa" w:w="1152"/>
          </w:tcPr>
          <w:p>
            <w:pPr>
              <w:spacing w:after="20"/>
              <w:jc w:val="right"/>
            </w:pPr>
            <w:r>
              <w:rPr>
                <w:color w:val="1C3A36"/>
                <w:sz w:val="16"/>
              </w:rPr>
              <w:t>14.90x</w:t>
            </w:r>
          </w:p>
        </w:tc>
        <w:tc>
          <w:tcPr>
            <w:tcW w:type="dxa" w:w="2232"/>
          </w:tcPr>
          <w:p>
            <w:pPr>
              <w:spacing w:after="20"/>
              <w:jc w:val="right"/>
            </w:pPr>
            <w:r>
              <w:rPr>
                <w:color w:val="1C3A36"/>
                <w:sz w:val="16"/>
              </w:rPr>
              <w:t>trailing price / earnings</w:t>
            </w:r>
          </w:p>
        </w:tc>
        <w:tc>
          <w:tcPr>
            <w:tcW w:type="dxa" w:w="3096"/>
          </w:tcPr>
          <w:p>
            <w:pPr>
              <w:spacing w:after="20"/>
              <w:jc w:val="right"/>
            </w:pPr>
            <w:r>
              <w:rPr>
                <w:color w:val="1C3A36"/>
                <w:sz w:val="16"/>
              </w:rPr>
              <w:t>computed from audited attributable profit and the market price</w:t>
            </w:r>
          </w:p>
        </w:tc>
      </w:tr>
      <w:tr>
        <w:tc>
          <w:tcPr>
            <w:tcW w:type="dxa" w:w="3456"/>
          </w:tcPr>
          <w:p>
            <w:pPr>
              <w:spacing w:after="20"/>
            </w:pPr>
            <w:r>
              <w:rPr>
                <w:color w:val="1C3A36"/>
                <w:sz w:val="16"/>
              </w:rPr>
              <w:t>EIPICO today, on the FY2025 weighted-average count</w:t>
            </w:r>
          </w:p>
        </w:tc>
        <w:tc>
          <w:tcPr>
            <w:tcW w:type="dxa" w:w="1152"/>
          </w:tcPr>
          <w:p>
            <w:pPr>
              <w:spacing w:after="20"/>
              <w:jc w:val="right"/>
            </w:pPr>
            <w:r>
              <w:rPr>
                <w:color w:val="1C3A36"/>
                <w:sz w:val="16"/>
              </w:rPr>
              <w:t>14.31x</w:t>
            </w:r>
          </w:p>
        </w:tc>
        <w:tc>
          <w:tcPr>
            <w:tcW w:type="dxa" w:w="2232"/>
          </w:tcPr>
          <w:p>
            <w:pPr>
              <w:spacing w:after="20"/>
              <w:jc w:val="right"/>
            </w:pPr>
            <w:r>
              <w:rPr>
                <w:color w:val="1C3A36"/>
                <w:sz w:val="16"/>
              </w:rPr>
              <w:t>trailing price / earnings</w:t>
            </w:r>
          </w:p>
        </w:tc>
        <w:tc>
          <w:tcPr>
            <w:tcW w:type="dxa" w:w="3096"/>
          </w:tcPr>
          <w:p>
            <w:pPr>
              <w:spacing w:after="20"/>
              <w:jc w:val="right"/>
            </w:pPr>
            <w:r>
              <w:rPr>
                <w:color w:val="1C3A36"/>
                <w:sz w:val="16"/>
              </w:rPr>
              <w:t>the same profit over the audited weighted average of 162.02 million shares. Both readings are published</w:t>
            </w:r>
          </w:p>
        </w:tc>
      </w:tr>
      <w:tr>
        <w:tc>
          <w:tcPr>
            <w:tcW w:type="dxa" w:w="3456"/>
          </w:tcPr>
          <w:p>
            <w:pPr>
              <w:spacing w:after="20"/>
            </w:pPr>
            <w:r>
              <w:rPr>
                <w:color w:val="1C3A36"/>
                <w:sz w:val="16"/>
              </w:rPr>
              <w:t>EIPICO, own four-year mean</w:t>
            </w:r>
          </w:p>
        </w:tc>
        <w:tc>
          <w:tcPr>
            <w:tcW w:type="dxa" w:w="1152"/>
          </w:tcPr>
          <w:p>
            <w:pPr>
              <w:spacing w:after="20"/>
              <w:jc w:val="right"/>
            </w:pPr>
            <w:r>
              <w:rPr>
                <w:color w:val="1C3A36"/>
                <w:sz w:val="16"/>
              </w:rPr>
              <w:t>6.57x</w:t>
            </w:r>
          </w:p>
        </w:tc>
        <w:tc>
          <w:tcPr>
            <w:tcW w:type="dxa" w:w="2232"/>
          </w:tcPr>
          <w:p>
            <w:pPr>
              <w:spacing w:after="20"/>
              <w:jc w:val="right"/>
            </w:pPr>
            <w:r>
              <w:rPr>
                <w:color w:val="1C3A36"/>
                <w:sz w:val="16"/>
              </w:rPr>
              <w:t>trailing price / earnings</w:t>
            </w:r>
          </w:p>
        </w:tc>
        <w:tc>
          <w:tcPr>
            <w:tcW w:type="dxa" w:w="3096"/>
          </w:tcPr>
          <w:p>
            <w:pPr>
              <w:spacing w:after="20"/>
              <w:jc w:val="right"/>
            </w:pPr>
            <w:r>
              <w:rPr>
                <w:color w:val="1C3A36"/>
                <w:sz w:val="16"/>
              </w:rPr>
              <w:t>computed entirely from primary material — the second leg of the relative lens</w:t>
            </w:r>
          </w:p>
        </w:tc>
      </w:tr>
    </w:tbl>
    <w:p>
      <w:pPr>
        <w:spacing w:after="40"/>
      </w:pPr>
    </w:p>
    <w:p>
      <w:pPr>
        <w:spacing w:after="200" w:before="0"/>
      </w:pPr>
      <w:r>
        <w:rPr>
          <w:b w:val="0"/>
          <w:i/>
          <w:color w:val="6E7B77"/>
          <w:sz w:val="17"/>
        </w:rPr>
        <w:t>Table 24 — the peer set. No peer figure is used to build any historical number for EIPICO; peers appear only as a cross-check.</w:t>
      </w:r>
    </w:p>
    <w:p>
      <w:pPr>
        <w:spacing w:after="80" w:before="200"/>
      </w:pPr>
      <w:r>
        <w:rPr>
          <w:b/>
          <w:i w:val="0"/>
          <w:color w:val="1C3A36"/>
          <w:sz w:val="24"/>
        </w:rPr>
        <w:t>B.2 Risks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664"/>
        <w:gridCol w:w="5112"/>
        <w:gridCol w:w="1368"/>
      </w:tblGrid>
      <w:tr>
        <w:tc>
          <w:tcPr>
            <w:tcW w:type="dxa" w:w="2664"/>
            <w:shd w:val="clear" w:color="auto" w:fill="EAF0EE"/>
          </w:tcPr>
          <w:p>
            <w:pPr>
              <w:spacing w:after="20"/>
            </w:pPr>
            <w:r>
              <w:rPr>
                <w:b/>
                <w:color w:val="1C3A36"/>
                <w:sz w:val="16"/>
              </w:rPr>
              <w:t>Risk</w:t>
            </w:r>
          </w:p>
        </w:tc>
        <w:tc>
          <w:tcPr>
            <w:tcW w:type="dxa" w:w="5112"/>
            <w:shd w:val="clear" w:color="auto" w:fill="EAF0EE"/>
          </w:tcPr>
          <w:p>
            <w:pPr>
              <w:spacing w:after="20"/>
            </w:pPr>
            <w:r>
              <w:rPr>
                <w:b/>
                <w:color w:val="1C3A36"/>
                <w:sz w:val="16"/>
              </w:rPr>
              <w:t>How it would show up</w:t>
            </w:r>
          </w:p>
        </w:tc>
        <w:tc>
          <w:tcPr>
            <w:tcW w:type="dxa" w:w="1368"/>
            <w:shd w:val="clear" w:color="auto" w:fill="EAF0EE"/>
          </w:tcPr>
          <w:p>
            <w:pPr>
              <w:spacing w:after="20"/>
            </w:pPr>
            <w:r>
              <w:rPr>
                <w:b/>
                <w:color w:val="1C3A36"/>
                <w:sz w:val="16"/>
              </w:rPr>
              <w:t>Severity</w:t>
            </w:r>
          </w:p>
        </w:tc>
      </w:tr>
      <w:tr>
        <w:tc>
          <w:tcPr>
            <w:tcW w:type="dxa" w:w="2664"/>
          </w:tcPr>
          <w:p>
            <w:pPr>
              <w:spacing w:after="20"/>
            </w:pPr>
            <w:r>
              <w:rPr>
                <w:color w:val="1C3A36"/>
                <w:sz w:val="16"/>
              </w:rPr>
              <w:t>The new plant under-delivers</w:t>
            </w:r>
          </w:p>
        </w:tc>
        <w:tc>
          <w:tcPr>
            <w:tcW w:type="dxa" w:w="5112"/>
          </w:tcPr>
          <w:p>
            <w:pPr>
              <w:spacing w:after="20"/>
              <w:jc w:val="right"/>
            </w:pPr>
            <w:r>
              <w:rPr>
                <w:color w:val="1C3A36"/>
                <w:sz w:val="16"/>
              </w:rPr>
              <w:t>depreciation and interest charged with no revenue against them; reported profit falls for two to three years</w:t>
            </w:r>
          </w:p>
        </w:tc>
        <w:tc>
          <w:tcPr>
            <w:tcW w:type="dxa" w:w="1368"/>
          </w:tcPr>
          <w:p>
            <w:pPr>
              <w:spacing w:after="20"/>
              <w:jc w:val="right"/>
            </w:pPr>
            <w:r>
              <w:rPr>
                <w:color w:val="1C3A36"/>
                <w:sz w:val="16"/>
              </w:rPr>
              <w:t>High</w:t>
            </w:r>
          </w:p>
        </w:tc>
      </w:tr>
      <w:tr>
        <w:tc>
          <w:tcPr>
            <w:tcW w:type="dxa" w:w="2664"/>
          </w:tcPr>
          <w:p>
            <w:pPr>
              <w:spacing w:after="20"/>
            </w:pPr>
            <w:r>
              <w:rPr>
                <w:color w:val="1C3A36"/>
                <w:sz w:val="16"/>
              </w:rPr>
              <w:t>Administered price freeze</w:t>
            </w:r>
          </w:p>
        </w:tc>
        <w:tc>
          <w:tcPr>
            <w:tcW w:type="dxa" w:w="5112"/>
          </w:tcPr>
          <w:p>
            <w:pPr>
              <w:spacing w:after="20"/>
              <w:jc w:val="right"/>
            </w:pPr>
            <w:r>
              <w:rPr>
                <w:color w:val="1C3A36"/>
                <w:sz w:val="16"/>
              </w:rPr>
              <w:t>the domestic price-per-pack driver stops tracking inflation while imported input costs keep rising</w:t>
            </w:r>
          </w:p>
        </w:tc>
        <w:tc>
          <w:tcPr>
            <w:tcW w:type="dxa" w:w="1368"/>
          </w:tcPr>
          <w:p>
            <w:pPr>
              <w:spacing w:after="20"/>
              <w:jc w:val="right"/>
            </w:pPr>
            <w:r>
              <w:rPr>
                <w:color w:val="1C3A36"/>
                <w:sz w:val="16"/>
              </w:rPr>
              <w:t>High</w:t>
            </w:r>
          </w:p>
        </w:tc>
      </w:tr>
      <w:tr>
        <w:tc>
          <w:tcPr>
            <w:tcW w:type="dxa" w:w="2664"/>
          </w:tcPr>
          <w:p>
            <w:pPr>
              <w:spacing w:after="20"/>
            </w:pPr>
            <w:r>
              <w:rPr>
                <w:color w:val="1C3A36"/>
                <w:sz w:val="16"/>
              </w:rPr>
              <w:t>Currency depreciation</w:t>
            </w:r>
          </w:p>
        </w:tc>
        <w:tc>
          <w:tcPr>
            <w:tcW w:type="dxa" w:w="5112"/>
          </w:tcPr>
          <w:p>
            <w:pPr>
              <w:spacing w:after="20"/>
              <w:jc w:val="right"/>
            </w:pPr>
            <w:r>
              <w:rPr>
                <w:color w:val="1C3A36"/>
                <w:sz w:val="16"/>
              </w:rPr>
              <w:t>the imported active ingredient plus the imported SHARE of packaging are 68.4% of the disclosed cost stack against a 32% export share — a weaker pound is net negative here. Counting the WHOLE packaging line as imported would give 79.4%, which the group's own primary-packaging manufacture rules out</w:t>
            </w:r>
          </w:p>
        </w:tc>
        <w:tc>
          <w:tcPr>
            <w:tcW w:type="dxa" w:w="1368"/>
          </w:tcPr>
          <w:p>
            <w:pPr>
              <w:spacing w:after="20"/>
              <w:jc w:val="right"/>
            </w:pPr>
            <w:r>
              <w:rPr>
                <w:color w:val="1C3A36"/>
                <w:sz w:val="16"/>
              </w:rPr>
              <w:t>High</w:t>
            </w:r>
          </w:p>
        </w:tc>
      </w:tr>
      <w:tr>
        <w:tc>
          <w:tcPr>
            <w:tcW w:type="dxa" w:w="2664"/>
          </w:tcPr>
          <w:p>
            <w:pPr>
              <w:spacing w:after="20"/>
            </w:pPr>
            <w:r>
              <w:rPr>
                <w:color w:val="1C3A36"/>
                <w:sz w:val="16"/>
              </w:rPr>
              <w:t>Credit losses prove structural</w:t>
            </w:r>
          </w:p>
        </w:tc>
        <w:tc>
          <w:tcPr>
            <w:tcW w:type="dxa" w:w="5112"/>
          </w:tcPr>
          <w:p>
            <w:pPr>
              <w:spacing w:after="20"/>
              <w:jc w:val="right"/>
            </w:pPr>
            <w:r>
              <w:rPr>
                <w:color w:val="1C3A36"/>
                <w:sz w:val="16"/>
              </w:rPr>
              <w:t>the provision charge stays near 5.25% of revenue permanently; this is Frame A, and it is already the more conservative of the two published cases. A charge at the three-year mean of 6.52% instead would put Frame A at EGP 24.55 a share</w:t>
            </w:r>
          </w:p>
        </w:tc>
        <w:tc>
          <w:tcPr>
            <w:tcW w:type="dxa" w:w="1368"/>
          </w:tcPr>
          <w:p>
            <w:pPr>
              <w:spacing w:after="20"/>
              <w:jc w:val="right"/>
            </w:pPr>
            <w:r>
              <w:rPr>
                <w:color w:val="1C3A36"/>
                <w:sz w:val="16"/>
              </w:rPr>
              <w:t>Medium</w:t>
            </w:r>
          </w:p>
        </w:tc>
      </w:tr>
      <w:tr>
        <w:tc>
          <w:tcPr>
            <w:tcW w:type="dxa" w:w="2664"/>
          </w:tcPr>
          <w:p>
            <w:pPr>
              <w:spacing w:after="20"/>
            </w:pPr>
            <w:r>
              <w:rPr>
                <w:color w:val="1C3A36"/>
                <w:sz w:val="16"/>
              </w:rPr>
              <w:t>Concentration in the domestic distributor channel</w:t>
            </w:r>
          </w:p>
        </w:tc>
        <w:tc>
          <w:tcPr>
            <w:tcW w:type="dxa" w:w="5112"/>
          </w:tcPr>
          <w:p>
            <w:pPr>
              <w:spacing w:after="20"/>
              <w:jc w:val="right"/>
            </w:pPr>
            <w:r>
              <w:rPr>
                <w:color w:val="1C3A36"/>
                <w:sz w:val="16"/>
              </w:rPr>
              <w:t>39% of revenue passes through distributors, and the company itself says it deals with a small number of them</w:t>
            </w:r>
          </w:p>
        </w:tc>
        <w:tc>
          <w:tcPr>
            <w:tcW w:type="dxa" w:w="1368"/>
          </w:tcPr>
          <w:p>
            <w:pPr>
              <w:spacing w:after="20"/>
              <w:jc w:val="right"/>
            </w:pPr>
            <w:r>
              <w:rPr>
                <w:color w:val="1C3A36"/>
                <w:sz w:val="16"/>
              </w:rPr>
              <w:t>Medium</w:t>
            </w:r>
          </w:p>
        </w:tc>
      </w:tr>
      <w:tr>
        <w:tc>
          <w:tcPr>
            <w:tcW w:type="dxa" w:w="2664"/>
          </w:tcPr>
          <w:p>
            <w:pPr>
              <w:spacing w:after="20"/>
            </w:pPr>
            <w:r>
              <w:rPr>
                <w:color w:val="1C3A36"/>
                <w:sz w:val="16"/>
              </w:rPr>
              <w:t>Refinancing</w:t>
            </w:r>
          </w:p>
        </w:tc>
        <w:tc>
          <w:tcPr>
            <w:tcW w:type="dxa" w:w="5112"/>
          </w:tcPr>
          <w:p>
            <w:pPr>
              <w:spacing w:after="20"/>
              <w:jc w:val="right"/>
            </w:pPr>
            <w:r>
              <w:rPr>
                <w:color w:val="1C3A36"/>
                <w:sz w:val="16"/>
              </w:rPr>
              <w:t>EGP 8,798 million of gross borrowings against EGP 1,433 million of cash, half of it hard-currency</w:t>
            </w:r>
          </w:p>
        </w:tc>
        <w:tc>
          <w:tcPr>
            <w:tcW w:type="dxa" w:w="1368"/>
          </w:tcPr>
          <w:p>
            <w:pPr>
              <w:spacing w:after="20"/>
              <w:jc w:val="right"/>
            </w:pPr>
            <w:r>
              <w:rPr>
                <w:color w:val="1C3A36"/>
                <w:sz w:val="16"/>
              </w:rPr>
              <w:t>Medium</w:t>
            </w:r>
          </w:p>
        </w:tc>
      </w:tr>
      <w:tr>
        <w:tc>
          <w:tcPr>
            <w:tcW w:type="dxa" w:w="2664"/>
          </w:tcPr>
          <w:p>
            <w:pPr>
              <w:spacing w:after="20"/>
            </w:pPr>
            <w:r>
              <w:rPr>
                <w:color w:val="1C3A36"/>
                <w:sz w:val="16"/>
              </w:rPr>
              <w:t>Controlling shareholder</w:t>
            </w:r>
          </w:p>
        </w:tc>
        <w:tc>
          <w:tcPr>
            <w:tcW w:type="dxa" w:w="5112"/>
          </w:tcPr>
          <w:p>
            <w:pPr>
              <w:spacing w:after="20"/>
              <w:jc w:val="right"/>
            </w:pPr>
            <w:r>
              <w:rPr>
                <w:color w:val="1C3A36"/>
                <w:sz w:val="16"/>
              </w:rPr>
              <w:t>a 51.34% holder whose interests may not align with the minority on capital allocation</w:t>
            </w:r>
          </w:p>
        </w:tc>
        <w:tc>
          <w:tcPr>
            <w:tcW w:type="dxa" w:w="1368"/>
          </w:tcPr>
          <w:p>
            <w:pPr>
              <w:spacing w:after="20"/>
              <w:jc w:val="right"/>
            </w:pPr>
            <w:r>
              <w:rPr>
                <w:color w:val="1C3A36"/>
                <w:sz w:val="16"/>
              </w:rPr>
              <w:t>Low to medium</w:t>
            </w:r>
          </w:p>
        </w:tc>
      </w:tr>
    </w:tbl>
    <w:p>
      <w:pPr>
        <w:spacing w:after="40"/>
      </w:pPr>
    </w:p>
    <w:p>
      <w:pPr>
        <w:spacing w:after="80" w:before="200"/>
      </w:pPr>
      <w:r>
        <w:rPr>
          <w:b/>
          <w:i w:val="0"/>
          <w:color w:val="1C3A36"/>
          <w:sz w:val="24"/>
        </w:rPr>
        <w:t>B.3 The research record</w:t>
      </w:r>
    </w:p>
    <w:p>
      <w:pPr>
        <w:spacing w:after="120" w:before="0"/>
      </w:pPr>
      <w:r>
        <w:rPr>
          <w:b w:val="0"/>
          <w:i w:val="0"/>
          <w:color w:val="1C3A36"/>
          <w:sz w:val="21"/>
        </w:rPr>
        <w:t>Every figure in this study traces to a numbered source in the accompanying bibliography, which lists the primary documents actually read, every input with its value, date and construction, the judgements made with what would overturn each one, the searches that found nothing, and the places where a secondary source disagrees with the audited filing. Four consecutive audited financial years were obtained from the company's own investor-relations page: FY2022, FY2023, FY2024 and FY2025, each with the auditor's report and full notes, and each carrying both separate and consolidated statements.</w:t>
      </w:r>
    </w:p>
    <w:p>
      <w:pPr>
        <w:spacing w:after="120" w:before="280"/>
      </w:pPr>
      <w:r>
        <w:rPr>
          <w:b/>
          <w:i w:val="0"/>
          <w:color w:val="1C3A36"/>
          <w:sz w:val="30"/>
        </w:rPr>
        <w:t>Appendix C — three experts, three methods</w:t>
      </w:r>
    </w:p>
    <w:p>
      <w:pPr>
        <w:spacing w:after="120" w:before="0"/>
      </w:pPr>
      <w:r>
        <w:rPr>
          <w:b w:val="0"/>
          <w:i w:val="0"/>
          <w:color w:val="1C3A36"/>
          <w:sz w:val="21"/>
        </w:rPr>
        <w:t>Three analysts with genuinely different methods were asked the same question. They are labelled Expert 1, 2 and 3. Each shows their working, names the one sensitivity that matters most to their answer, and states in advance what would prove them wrong.</w:t>
      </w:r>
    </w:p>
    <w:p>
      <w:pPr>
        <w:spacing w:after="80" w:before="200"/>
      </w:pPr>
      <w:r>
        <w:rPr>
          <w:b/>
          <w:i w:val="0"/>
          <w:color w:val="1C3A36"/>
          <w:sz w:val="24"/>
        </w:rPr>
        <w:t>C.1 Expert 1 — the cash-flow analyst</w:t>
      </w:r>
    </w:p>
    <w:p>
      <w:pPr>
        <w:spacing w:after="120" w:before="0"/>
      </w:pPr>
      <w:r>
        <w:rPr>
          <w:b w:val="0"/>
          <w:i w:val="0"/>
          <w:color w:val="1C3A36"/>
          <w:sz w:val="21"/>
        </w:rPr>
        <w:t>Worldview: a company is worth the cash it will generate for whoever owns the capital, discounted at what that capital costs. Everything else is a shortcut to that number.</w:t>
      </w:r>
    </w:p>
    <w:p>
      <w:pPr>
        <w:spacing w:after="120" w:before="0"/>
      </w:pPr>
      <w:r>
        <w:rPr>
          <w:b w:val="0"/>
          <w:i w:val="0"/>
          <w:color w:val="1C3A36"/>
          <w:sz w:val="21"/>
        </w:rPr>
        <w:t>When it works: for a business with a stable, forecastable operating model and a capital structure that is not about to change. When it fails: when most of the value sits beyond the explicit forecast — which is the case here, at 80% of enterprise value in the terminal block.</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624"/>
        <w:gridCol w:w="2448"/>
      </w:tblGrid>
      <w:tr>
        <w:tc>
          <w:tcPr>
            <w:tcW w:type="dxa" w:w="6624"/>
            <w:shd w:val="clear" w:color="auto" w:fill="EAF0EE"/>
          </w:tcPr>
          <w:p>
            <w:pPr>
              <w:spacing w:after="20"/>
            </w:pPr>
            <w:r>
              <w:rPr>
                <w:b/>
                <w:color w:val="1C3A36"/>
                <w:sz w:val="17"/>
              </w:rPr>
              <w:t>Working</w:t>
            </w:r>
          </w:p>
        </w:tc>
        <w:tc>
          <w:tcPr>
            <w:tcW w:type="dxa" w:w="2448"/>
            <w:shd w:val="clear" w:color="auto" w:fill="EAF0EE"/>
          </w:tcPr>
          <w:p>
            <w:pPr>
              <w:spacing w:after="20"/>
            </w:pPr>
            <w:r>
              <w:rPr>
                <w:b/>
                <w:color w:val="1C3A36"/>
                <w:sz w:val="17"/>
              </w:rPr>
              <w:t>EGP million</w:t>
            </w:r>
          </w:p>
        </w:tc>
      </w:tr>
      <w:tr>
        <w:tc>
          <w:tcPr>
            <w:tcW w:type="dxa" w:w="6624"/>
          </w:tcPr>
          <w:p>
            <w:pPr>
              <w:spacing w:after="20"/>
            </w:pPr>
            <w:r>
              <w:rPr>
                <w:color w:val="1C3A36"/>
                <w:sz w:val="17"/>
              </w:rPr>
              <w:t>Present value of five years of free cash flow</w:t>
            </w:r>
          </w:p>
        </w:tc>
        <w:tc>
          <w:tcPr>
            <w:tcW w:type="dxa" w:w="2448"/>
          </w:tcPr>
          <w:p>
            <w:pPr>
              <w:spacing w:after="20"/>
              <w:jc w:val="right"/>
            </w:pPr>
            <w:r>
              <w:rPr>
                <w:color w:val="1C3A36"/>
                <w:sz w:val="17"/>
              </w:rPr>
              <w:t>2,002</w:t>
            </w:r>
          </w:p>
        </w:tc>
      </w:tr>
      <w:tr>
        <w:tc>
          <w:tcPr>
            <w:tcW w:type="dxa" w:w="6624"/>
          </w:tcPr>
          <w:p>
            <w:pPr>
              <w:spacing w:after="20"/>
            </w:pPr>
            <w:r>
              <w:rPr>
                <w:color w:val="1C3A36"/>
                <w:sz w:val="17"/>
              </w:rPr>
              <w:t>Terminal free cash flow</w:t>
            </w:r>
          </w:p>
        </w:tc>
        <w:tc>
          <w:tcPr>
            <w:tcW w:type="dxa" w:w="2448"/>
          </w:tcPr>
          <w:p>
            <w:pPr>
              <w:spacing w:after="20"/>
              <w:jc w:val="right"/>
            </w:pPr>
            <w:r>
              <w:rPr>
                <w:color w:val="1C3A36"/>
                <w:sz w:val="17"/>
              </w:rPr>
              <w:t>1,401</w:t>
            </w:r>
          </w:p>
        </w:tc>
      </w:tr>
      <w:tr>
        <w:tc>
          <w:tcPr>
            <w:tcW w:type="dxa" w:w="6624"/>
          </w:tcPr>
          <w:p>
            <w:pPr>
              <w:spacing w:after="20"/>
            </w:pPr>
            <w:r>
              <w:rPr>
                <w:color w:val="1C3A36"/>
                <w:sz w:val="17"/>
              </w:rPr>
              <w:t>Terminal discount rate less growth</w:t>
            </w:r>
          </w:p>
        </w:tc>
        <w:tc>
          <w:tcPr>
            <w:tcW w:type="dxa" w:w="2448"/>
          </w:tcPr>
          <w:p>
            <w:pPr>
              <w:spacing w:after="20"/>
              <w:jc w:val="right"/>
            </w:pPr>
            <w:r>
              <w:rPr>
                <w:color w:val="1C3A36"/>
                <w:sz w:val="17"/>
              </w:rPr>
              <w:t>15.03% − 7% = 8.03%</w:t>
            </w:r>
          </w:p>
        </w:tc>
      </w:tr>
      <w:tr>
        <w:tc>
          <w:tcPr>
            <w:tcW w:type="dxa" w:w="6624"/>
          </w:tcPr>
          <w:p>
            <w:pPr>
              <w:spacing w:after="20"/>
            </w:pPr>
            <w:r>
              <w:rPr>
                <w:color w:val="1C3A36"/>
                <w:sz w:val="17"/>
              </w:rPr>
              <w:t>Terminal value</w:t>
            </w:r>
          </w:p>
        </w:tc>
        <w:tc>
          <w:tcPr>
            <w:tcW w:type="dxa" w:w="2448"/>
          </w:tcPr>
          <w:p>
            <w:pPr>
              <w:spacing w:after="20"/>
              <w:jc w:val="right"/>
            </w:pPr>
            <w:r>
              <w:rPr>
                <w:color w:val="1C3A36"/>
                <w:sz w:val="17"/>
              </w:rPr>
              <w:t>18,665</w:t>
            </w:r>
          </w:p>
        </w:tc>
      </w:tr>
      <w:tr>
        <w:tc>
          <w:tcPr>
            <w:tcW w:type="dxa" w:w="6624"/>
          </w:tcPr>
          <w:p>
            <w:pPr>
              <w:spacing w:after="20"/>
            </w:pPr>
            <w:r>
              <w:rPr>
                <w:color w:val="1C3A36"/>
                <w:sz w:val="17"/>
              </w:rPr>
              <w:t>Present value of the terminal value</w:t>
            </w:r>
          </w:p>
        </w:tc>
        <w:tc>
          <w:tcPr>
            <w:tcW w:type="dxa" w:w="2448"/>
          </w:tcPr>
          <w:p>
            <w:pPr>
              <w:spacing w:after="20"/>
              <w:jc w:val="right"/>
            </w:pPr>
            <w:r>
              <w:rPr>
                <w:color w:val="1C3A36"/>
                <w:sz w:val="17"/>
              </w:rPr>
              <w:t>7,944</w:t>
            </w:r>
          </w:p>
        </w:tc>
      </w:tr>
      <w:tr>
        <w:tc>
          <w:tcPr>
            <w:tcW w:type="dxa" w:w="6624"/>
          </w:tcPr>
          <w:p>
            <w:pPr>
              <w:spacing w:after="20"/>
            </w:pPr>
            <w:r>
              <w:rPr>
                <w:color w:val="1C3A36"/>
                <w:sz w:val="17"/>
              </w:rPr>
              <w:t>Core enterprise value</w:t>
            </w:r>
          </w:p>
        </w:tc>
        <w:tc>
          <w:tcPr>
            <w:tcW w:type="dxa" w:w="2448"/>
          </w:tcPr>
          <w:p>
            <w:pPr>
              <w:spacing w:after="20"/>
              <w:jc w:val="right"/>
            </w:pPr>
            <w:r>
              <w:rPr>
                <w:color w:val="1C3A36"/>
                <w:sz w:val="17"/>
              </w:rPr>
              <w:t>9,946</w:t>
            </w:r>
          </w:p>
        </w:tc>
      </w:tr>
      <w:tr>
        <w:tc>
          <w:tcPr>
            <w:tcW w:type="dxa" w:w="6624"/>
            <w:shd w:val="clear" w:color="auto" w:fill="F6F1E6"/>
          </w:tcPr>
          <w:p>
            <w:pPr>
              <w:spacing w:after="20"/>
            </w:pPr>
            <w:r>
              <w:rPr>
                <w:b/>
                <w:color w:val="1C3A36"/>
                <w:sz w:val="17"/>
              </w:rPr>
              <w:t>Associates and assets held for sale</w:t>
            </w:r>
          </w:p>
        </w:tc>
        <w:tc>
          <w:tcPr>
            <w:tcW w:type="dxa" w:w="2448"/>
            <w:shd w:val="clear" w:color="auto" w:fill="F6F1E6"/>
          </w:tcPr>
          <w:p>
            <w:pPr>
              <w:spacing w:after="20"/>
              <w:jc w:val="right"/>
            </w:pPr>
            <w:r>
              <w:rPr>
                <w:b/>
                <w:color w:val="1C3A36"/>
                <w:sz w:val="17"/>
              </w:rPr>
              <w:t>2,991</w:t>
            </w:r>
          </w:p>
        </w:tc>
      </w:tr>
      <w:tr>
        <w:tc>
          <w:tcPr>
            <w:tcW w:type="dxa" w:w="6624"/>
          </w:tcPr>
          <w:p>
            <w:pPr>
              <w:spacing w:after="20"/>
            </w:pPr>
            <w:r>
              <w:rPr>
                <w:color w:val="1C3A36"/>
                <w:sz w:val="17"/>
              </w:rPr>
              <w:t>Less net debt and minorities</w:t>
            </w:r>
          </w:p>
        </w:tc>
        <w:tc>
          <w:tcPr>
            <w:tcW w:type="dxa" w:w="2448"/>
          </w:tcPr>
          <w:p>
            <w:pPr>
              <w:spacing w:after="20"/>
              <w:jc w:val="right"/>
            </w:pPr>
            <w:r>
              <w:rPr>
                <w:color w:val="1C3A36"/>
                <w:sz w:val="17"/>
              </w:rPr>
              <w:t>(7,368)</w:t>
            </w:r>
          </w:p>
        </w:tc>
      </w:tr>
      <w:tr>
        <w:tc>
          <w:tcPr>
            <w:tcW w:type="dxa" w:w="6624"/>
          </w:tcPr>
          <w:p>
            <w:pPr>
              <w:spacing w:after="20"/>
            </w:pPr>
            <w:r>
              <w:rPr>
                <w:color w:val="1C3A36"/>
                <w:sz w:val="17"/>
              </w:rPr>
              <w:t>Equity value</w:t>
            </w:r>
          </w:p>
        </w:tc>
        <w:tc>
          <w:tcPr>
            <w:tcW w:type="dxa" w:w="2448"/>
          </w:tcPr>
          <w:p>
            <w:pPr>
              <w:spacing w:after="20"/>
              <w:jc w:val="right"/>
            </w:pPr>
            <w:r>
              <w:rPr>
                <w:color w:val="1C3A36"/>
                <w:sz w:val="17"/>
              </w:rPr>
              <w:t>5,569</w:t>
            </w:r>
          </w:p>
        </w:tc>
      </w:tr>
      <w:tr>
        <w:tc>
          <w:tcPr>
            <w:tcW w:type="dxa" w:w="6624"/>
          </w:tcPr>
          <w:p>
            <w:pPr>
              <w:spacing w:after="20"/>
            </w:pPr>
            <w:r>
              <w:rPr>
                <w:color w:val="1C3A36"/>
                <w:sz w:val="17"/>
              </w:rPr>
              <w:t>Value per share (EGP)</w:t>
            </w:r>
          </w:p>
        </w:tc>
        <w:tc>
          <w:tcPr>
            <w:tcW w:type="dxa" w:w="2448"/>
          </w:tcPr>
          <w:p>
            <w:pPr>
              <w:spacing w:after="20"/>
              <w:jc w:val="right"/>
            </w:pPr>
            <w:r>
              <w:rPr>
                <w:color w:val="1C3A36"/>
                <w:sz w:val="17"/>
              </w:rPr>
              <w:t>33.00</w:t>
            </w:r>
          </w:p>
        </w:tc>
      </w:tr>
    </w:tbl>
    <w:p>
      <w:pPr>
        <w:spacing w:after="40"/>
      </w:pPr>
    </w:p>
    <w:p>
      <w:pPr>
        <w:spacing w:after="120" w:before="0"/>
      </w:pPr>
      <w:r>
        <w:rPr>
          <w:b w:val="0"/>
          <w:i w:val="0"/>
          <w:color w:val="1C3A36"/>
          <w:sz w:val="21"/>
        </w:rPr>
        <w:t>Named sensitivity: the terminal discount rate. Every 100 basis points on it is worth roughly EGP 6 a share. At 80% terminal weight, this expert is mostly forecasting one number.</w:t>
      </w:r>
    </w:p>
    <w:p>
      <w:pPr>
        <w:spacing w:after="120" w:before="0"/>
      </w:pPr>
      <w:r>
        <w:rPr>
          <w:b w:val="0"/>
          <w:i w:val="0"/>
          <w:color w:val="1C3A36"/>
          <w:sz w:val="21"/>
        </w:rPr>
        <w:t>Falsifier, stated in advance: "If free cash flow to the firm in FY2027 comes in below EGP 393 million — 30% below my forecast — my five-year build is wrong and so is the terminal that grows out of it."</w:t>
      </w:r>
    </w:p>
    <w:p>
      <w:pPr>
        <w:spacing w:after="80" w:before="200"/>
      </w:pPr>
      <w:r>
        <w:rPr>
          <w:b/>
          <w:i w:val="0"/>
          <w:color w:val="1C3A36"/>
          <w:sz w:val="24"/>
        </w:rPr>
        <w:t>C.2 Expert 2 — the asset-and-return analyst</w:t>
      </w:r>
    </w:p>
    <w:p>
      <w:pPr>
        <w:spacing w:after="120" w:before="0"/>
      </w:pPr>
      <w:r>
        <w:rPr>
          <w:b w:val="0"/>
          <w:i w:val="0"/>
          <w:color w:val="1C3A36"/>
          <w:sz w:val="21"/>
        </w:rPr>
        <w:t>Worldview: forecasts are opinions; the balance sheet is a fact. Start from what the company owns, ask what return it earns on it, and pay a multiple of book that the return justifies. Never pay for growth you have not seen.</w:t>
      </w:r>
    </w:p>
    <w:p>
      <w:pPr>
        <w:spacing w:after="120" w:before="0"/>
      </w:pPr>
      <w:r>
        <w:rPr>
          <w:b w:val="0"/>
          <w:i w:val="0"/>
          <w:color w:val="1C3A36"/>
          <w:sz w:val="21"/>
        </w:rPr>
        <w:t>When it works: for asset-heavy businesses and in markets where forecasting is genuinely hard. When it fails: when a large part of the asset base is not yet earning, which understates the return and therefore the multiple.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624"/>
        <w:gridCol w:w="2448"/>
      </w:tblGrid>
      <w:tr>
        <w:tc>
          <w:tcPr>
            <w:tcW w:type="dxa" w:w="6624"/>
            <w:shd w:val="clear" w:color="auto" w:fill="EAF0EE"/>
          </w:tcPr>
          <w:p>
            <w:pPr>
              <w:spacing w:after="20"/>
            </w:pPr>
            <w:r>
              <w:rPr>
                <w:b/>
                <w:color w:val="1C3A36"/>
                <w:sz w:val="17"/>
              </w:rPr>
              <w:t>Working</w:t>
            </w:r>
          </w:p>
        </w:tc>
        <w:tc>
          <w:tcPr>
            <w:tcW w:type="dxa" w:w="2448"/>
            <w:shd w:val="clear" w:color="auto" w:fill="EAF0EE"/>
          </w:tcPr>
          <w:p>
            <w:pPr>
              <w:spacing w:after="20"/>
            </w:pPr>
            <w:r>
              <w:rPr>
                <w:b/>
                <w:color w:val="1C3A36"/>
                <w:sz w:val="17"/>
              </w:rPr>
              <w:t>Value</w:t>
            </w:r>
          </w:p>
        </w:tc>
      </w:tr>
      <w:tr>
        <w:tc>
          <w:tcPr>
            <w:tcW w:type="dxa" w:w="6624"/>
          </w:tcPr>
          <w:p>
            <w:pPr>
              <w:spacing w:after="20"/>
            </w:pPr>
            <w:r>
              <w:rPr>
                <w:color w:val="1C3A36"/>
                <w:sz w:val="17"/>
              </w:rPr>
              <w:t>Equity attributable to shareholders</w:t>
            </w:r>
          </w:p>
        </w:tc>
        <w:tc>
          <w:tcPr>
            <w:tcW w:type="dxa" w:w="2448"/>
          </w:tcPr>
          <w:p>
            <w:pPr>
              <w:spacing w:after="20"/>
              <w:jc w:val="right"/>
            </w:pPr>
            <w:r>
              <w:rPr>
                <w:color w:val="1C3A36"/>
                <w:sz w:val="17"/>
              </w:rPr>
              <w:t>EGP 6,243m</w:t>
            </w:r>
          </w:p>
        </w:tc>
      </w:tr>
      <w:tr>
        <w:tc>
          <w:tcPr>
            <w:tcW w:type="dxa" w:w="6624"/>
          </w:tcPr>
          <w:p>
            <w:pPr>
              <w:spacing w:after="20"/>
            </w:pPr>
            <w:r>
              <w:rPr>
                <w:color w:val="1C3A36"/>
                <w:sz w:val="17"/>
              </w:rPr>
              <w:t>Shares in issue</w:t>
            </w:r>
          </w:p>
        </w:tc>
        <w:tc>
          <w:tcPr>
            <w:tcW w:type="dxa" w:w="2448"/>
          </w:tcPr>
          <w:p>
            <w:pPr>
              <w:spacing w:after="20"/>
              <w:jc w:val="right"/>
            </w:pPr>
            <w:r>
              <w:rPr>
                <w:color w:val="1C3A36"/>
                <w:sz w:val="17"/>
              </w:rPr>
              <w:t>168.756m</w:t>
            </w:r>
          </w:p>
        </w:tc>
      </w:tr>
      <w:tr>
        <w:tc>
          <w:tcPr>
            <w:tcW w:type="dxa" w:w="6624"/>
          </w:tcPr>
          <w:p>
            <w:pPr>
              <w:spacing w:after="20"/>
            </w:pPr>
            <w:r>
              <w:rPr>
                <w:color w:val="1C3A36"/>
                <w:sz w:val="17"/>
              </w:rPr>
              <w:t>Book value per share</w:t>
            </w:r>
          </w:p>
        </w:tc>
        <w:tc>
          <w:tcPr>
            <w:tcW w:type="dxa" w:w="2448"/>
          </w:tcPr>
          <w:p>
            <w:pPr>
              <w:spacing w:after="20"/>
              <w:jc w:val="right"/>
            </w:pPr>
            <w:r>
              <w:rPr>
                <w:color w:val="1C3A36"/>
                <w:sz w:val="17"/>
              </w:rPr>
              <w:t>EGP 37.00</w:t>
            </w:r>
          </w:p>
        </w:tc>
      </w:tr>
      <w:tr>
        <w:tc>
          <w:tcPr>
            <w:tcW w:type="dxa" w:w="6624"/>
          </w:tcPr>
          <w:p>
            <w:pPr>
              <w:spacing w:after="20"/>
            </w:pPr>
            <w:r>
              <w:rPr>
                <w:color w:val="1C3A36"/>
                <w:sz w:val="17"/>
              </w:rPr>
              <w:t>Return on average equity, FY2025</w:t>
            </w:r>
          </w:p>
        </w:tc>
        <w:tc>
          <w:tcPr>
            <w:tcW w:type="dxa" w:w="2448"/>
          </w:tcPr>
          <w:p>
            <w:pPr>
              <w:spacing w:after="20"/>
              <w:jc w:val="right"/>
            </w:pPr>
            <w:r>
              <w:rPr>
                <w:color w:val="1C3A36"/>
                <w:sz w:val="17"/>
              </w:rPr>
              <w:t>26.5%</w:t>
            </w:r>
          </w:p>
        </w:tc>
      </w:tr>
      <w:tr>
        <w:tc>
          <w:tcPr>
            <w:tcW w:type="dxa" w:w="6624"/>
          </w:tcPr>
          <w:p>
            <w:pPr>
              <w:spacing w:after="20"/>
            </w:pPr>
            <w:r>
              <w:rPr>
                <w:color w:val="1C3A36"/>
                <w:sz w:val="17"/>
              </w:rPr>
              <w:t>Sustainable return on equity</w:t>
            </w:r>
          </w:p>
        </w:tc>
        <w:tc>
          <w:tcPr>
            <w:tcW w:type="dxa" w:w="2448"/>
          </w:tcPr>
          <w:p>
            <w:pPr>
              <w:spacing w:after="20"/>
              <w:jc w:val="right"/>
            </w:pPr>
            <w:r>
              <w:rPr>
                <w:color w:val="1C3A36"/>
                <w:sz w:val="17"/>
              </w:rPr>
              <w:t>18.8%</w:t>
            </w:r>
          </w:p>
        </w:tc>
      </w:tr>
      <w:tr>
        <w:tc>
          <w:tcPr>
            <w:tcW w:type="dxa" w:w="6624"/>
          </w:tcPr>
          <w:p>
            <w:pPr>
              <w:spacing w:after="20"/>
            </w:pPr>
            <w:r>
              <w:rPr>
                <w:color w:val="1C3A36"/>
                <w:sz w:val="17"/>
              </w:rPr>
              <w:t>Perpetual cost of equity</w:t>
            </w:r>
          </w:p>
        </w:tc>
        <w:tc>
          <w:tcPr>
            <w:tcW w:type="dxa" w:w="2448"/>
          </w:tcPr>
          <w:p>
            <w:pPr>
              <w:spacing w:after="20"/>
              <w:jc w:val="right"/>
            </w:pPr>
            <w:r>
              <w:rPr>
                <w:color w:val="1C3A36"/>
                <w:sz w:val="17"/>
              </w:rPr>
              <w:t>16.90%</w:t>
            </w:r>
          </w:p>
        </w:tc>
      </w:tr>
      <w:tr>
        <w:tc>
          <w:tcPr>
            <w:tcW w:type="dxa" w:w="6624"/>
          </w:tcPr>
          <w:p>
            <w:pPr>
              <w:spacing w:after="20"/>
            </w:pPr>
            <w:r>
              <w:rPr>
                <w:color w:val="1C3A36"/>
                <w:sz w:val="17"/>
              </w:rPr>
              <w:t>Growth</w:t>
            </w:r>
          </w:p>
        </w:tc>
        <w:tc>
          <w:tcPr>
            <w:tcW w:type="dxa" w:w="2448"/>
          </w:tcPr>
          <w:p>
            <w:pPr>
              <w:spacing w:after="20"/>
              <w:jc w:val="right"/>
            </w:pPr>
            <w:r>
              <w:rPr>
                <w:color w:val="1C3A36"/>
                <w:sz w:val="17"/>
              </w:rPr>
              <w:t>7%</w:t>
            </w:r>
          </w:p>
        </w:tc>
      </w:tr>
      <w:tr>
        <w:tc>
          <w:tcPr>
            <w:tcW w:type="dxa" w:w="6624"/>
          </w:tcPr>
          <w:p>
            <w:pPr>
              <w:spacing w:after="20"/>
            </w:pPr>
            <w:r>
              <w:rPr>
                <w:color w:val="1C3A36"/>
                <w:sz w:val="17"/>
              </w:rPr>
              <w:t>Justified multiple of book = (return − growth) / (cost of equity − growth)</w:t>
            </w:r>
          </w:p>
        </w:tc>
        <w:tc>
          <w:tcPr>
            <w:tcW w:type="dxa" w:w="2448"/>
          </w:tcPr>
          <w:p>
            <w:pPr>
              <w:spacing w:after="20"/>
              <w:jc w:val="right"/>
            </w:pPr>
            <w:r>
              <w:rPr>
                <w:color w:val="1C3A36"/>
                <w:sz w:val="17"/>
              </w:rPr>
              <w:t>1.19x</w:t>
            </w:r>
          </w:p>
        </w:tc>
      </w:tr>
      <w:tr>
        <w:tc>
          <w:tcPr>
            <w:tcW w:type="dxa" w:w="6624"/>
            <w:shd w:val="clear" w:color="auto" w:fill="F6F1E6"/>
          </w:tcPr>
          <w:p>
            <w:pPr>
              <w:spacing w:after="20"/>
            </w:pPr>
            <w:r>
              <w:rPr>
                <w:b/>
                <w:color w:val="1C3A36"/>
                <w:sz w:val="17"/>
              </w:rPr>
              <w:t>Value per share (EGP)</w:t>
            </w:r>
          </w:p>
        </w:tc>
        <w:tc>
          <w:tcPr>
            <w:tcW w:type="dxa" w:w="2448"/>
            <w:shd w:val="clear" w:color="auto" w:fill="F6F1E6"/>
          </w:tcPr>
          <w:p>
            <w:pPr>
              <w:spacing w:after="20"/>
              <w:jc w:val="right"/>
            </w:pPr>
            <w:r>
              <w:rPr>
                <w:b/>
                <w:color w:val="1C3A36"/>
                <w:sz w:val="17"/>
              </w:rPr>
              <w:t>43.91</w:t>
            </w:r>
          </w:p>
        </w:tc>
      </w:tr>
    </w:tbl>
    <w:p>
      <w:pPr>
        <w:spacing w:after="40"/>
      </w:pPr>
    </w:p>
    <w:p>
      <w:pPr>
        <w:spacing w:after="120" w:before="0"/>
      </w:pPr>
      <w:r>
        <w:rPr>
          <w:b w:val="0"/>
          <w:i w:val="0"/>
          <w:color w:val="1C3A36"/>
          <w:sz w:val="21"/>
        </w:rPr>
        <w:t>Named sensitivity: the sustainable return. If it settles at 20% rather than 18.8%, the justified multiple falls to 1.31 times and the value to EGP 48.56 a share.</w:t>
      </w:r>
    </w:p>
    <w:p>
      <w:pPr>
        <w:spacing w:after="120" w:before="0"/>
      </w:pPr>
      <w:r>
        <w:rPr>
          <w:b w:val="0"/>
          <w:i w:val="0"/>
          <w:color w:val="1C3A36"/>
          <w:sz w:val="21"/>
        </w:rPr>
        <w:t>Falsifier: "If return on average equity falls below 18% in either FY2026 or FY2027, the 18.8% I am capitalising is a peak, not a level, and my multiple is too high."</w:t>
      </w:r>
    </w:p>
    <w:p>
      <w:pPr>
        <w:spacing w:after="120" w:before="0"/>
      </w:pPr>
      <w:r>
        <w:rPr>
          <w:b w:val="0"/>
          <w:i w:val="0"/>
          <w:color w:val="1C3A36"/>
          <w:sz w:val="21"/>
        </w:rPr>
        <w:t>This expert adds one point the others miss: EGP 4,901 million of the asset base earned nothing in FY2025. Measured against capital that is actually working, the return is far higher than 18.8% — which is an argument for paying up, and this expert declines to make it, because the plant has not yet demonstrated a return.</w:t>
      </w:r>
    </w:p>
    <w:p>
      <w:pPr>
        <w:spacing w:after="80" w:before="200"/>
      </w:pPr>
      <w:r>
        <w:rPr>
          <w:b/>
          <w:i w:val="0"/>
          <w:color w:val="1C3A36"/>
          <w:sz w:val="24"/>
        </w:rPr>
        <w:t>C.3 Expert 3 — the market-implied analyst</w:t>
      </w:r>
    </w:p>
    <w:p>
      <w:pPr>
        <w:spacing w:after="120" w:before="0"/>
      </w:pPr>
      <w:r>
        <w:rPr>
          <w:b w:val="0"/>
          <w:i w:val="0"/>
          <w:color w:val="1C3A36"/>
          <w:sz w:val="21"/>
        </w:rPr>
        <w:t>Worldview: do not ask what a company is worth. Ask what the market price already assumes, and judge whether those assumptions are reasonable. It is a discipline against arguing with a price.</w:t>
      </w:r>
    </w:p>
    <w:p>
      <w:pPr>
        <w:spacing w:after="120" w:before="0"/>
      </w:pPr>
      <w:r>
        <w:rPr>
          <w:b w:val="0"/>
          <w:i w:val="0"/>
          <w:color w:val="1C3A36"/>
          <w:sz w:val="21"/>
        </w:rPr>
        <w:t>When it works: when a price has moved a long way and the question is what it now embeds. When it fails: it never produces an independent value — it can only tell you what you are being asked to believe.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624"/>
        <w:gridCol w:w="2448"/>
      </w:tblGrid>
      <w:tr>
        <w:tc>
          <w:tcPr>
            <w:tcW w:type="dxa" w:w="6624"/>
            <w:shd w:val="clear" w:color="auto" w:fill="EAF0EE"/>
          </w:tcPr>
          <w:p>
            <w:pPr>
              <w:spacing w:after="20"/>
            </w:pPr>
            <w:r>
              <w:rPr>
                <w:b/>
                <w:color w:val="1C3A36"/>
                <w:sz w:val="17"/>
              </w:rPr>
              <w:t>What the market price requires</w:t>
            </w:r>
          </w:p>
        </w:tc>
        <w:tc>
          <w:tcPr>
            <w:tcW w:type="dxa" w:w="2448"/>
            <w:shd w:val="clear" w:color="auto" w:fill="EAF0EE"/>
          </w:tcPr>
          <w:p>
            <w:pPr>
              <w:spacing w:after="20"/>
            </w:pPr>
            <w:r>
              <w:rPr>
                <w:b/>
                <w:color w:val="1C3A36"/>
                <w:sz w:val="17"/>
              </w:rPr>
              <w:t>Value</w:t>
            </w:r>
          </w:p>
        </w:tc>
      </w:tr>
      <w:tr>
        <w:tc>
          <w:tcPr>
            <w:tcW w:type="dxa" w:w="6624"/>
          </w:tcPr>
          <w:p>
            <w:pPr>
              <w:spacing w:after="20"/>
            </w:pPr>
            <w:r>
              <w:rPr>
                <w:color w:val="1C3A36"/>
                <w:sz w:val="17"/>
              </w:rPr>
              <w:t>Market price</w:t>
            </w:r>
          </w:p>
        </w:tc>
        <w:tc>
          <w:tcPr>
            <w:tcW w:type="dxa" w:w="2448"/>
          </w:tcPr>
          <w:p>
            <w:pPr>
              <w:spacing w:after="20"/>
              <w:jc w:val="right"/>
            </w:pPr>
            <w:r>
              <w:rPr>
                <w:color w:val="1C3A36"/>
                <w:sz w:val="17"/>
              </w:rPr>
              <w:t>EGP 127.30</w:t>
            </w:r>
          </w:p>
        </w:tc>
      </w:tr>
      <w:tr>
        <w:tc>
          <w:tcPr>
            <w:tcW w:type="dxa" w:w="6624"/>
          </w:tcPr>
          <w:p>
            <w:pPr>
              <w:spacing w:after="20"/>
            </w:pPr>
            <w:r>
              <w:rPr>
                <w:color w:val="1C3A36"/>
                <w:sz w:val="17"/>
              </w:rPr>
              <w:t>Value from the cash-flow model without the new plant</w:t>
            </w:r>
          </w:p>
        </w:tc>
        <w:tc>
          <w:tcPr>
            <w:tcW w:type="dxa" w:w="2448"/>
          </w:tcPr>
          <w:p>
            <w:pPr>
              <w:spacing w:after="20"/>
              <w:jc w:val="right"/>
            </w:pPr>
            <w:r>
              <w:rPr>
                <w:color w:val="1C3A36"/>
                <w:sz w:val="17"/>
              </w:rPr>
              <w:t>EGP 33.00</w:t>
            </w:r>
          </w:p>
        </w:tc>
      </w:tr>
      <w:tr>
        <w:tc>
          <w:tcPr>
            <w:tcW w:type="dxa" w:w="6624"/>
          </w:tcPr>
          <w:p>
            <w:pPr>
              <w:spacing w:after="20"/>
            </w:pPr>
            <w:r>
              <w:rPr>
                <w:color w:val="1C3A36"/>
                <w:sz w:val="17"/>
              </w:rPr>
              <w:t>Gap to be explained</w:t>
            </w:r>
          </w:p>
        </w:tc>
        <w:tc>
          <w:tcPr>
            <w:tcW w:type="dxa" w:w="2448"/>
          </w:tcPr>
          <w:p>
            <w:pPr>
              <w:spacing w:after="20"/>
              <w:jc w:val="right"/>
            </w:pPr>
            <w:r>
              <w:rPr>
                <w:color w:val="1C3A36"/>
                <w:sz w:val="17"/>
              </w:rPr>
              <w:t>EGP 94.30 a share</w:t>
            </w:r>
          </w:p>
        </w:tc>
      </w:tr>
      <w:tr>
        <w:tc>
          <w:tcPr>
            <w:tcW w:type="dxa" w:w="6624"/>
          </w:tcPr>
          <w:p>
            <w:pPr>
              <w:spacing w:after="20"/>
            </w:pPr>
            <w:r>
              <w:rPr>
                <w:color w:val="1C3A36"/>
                <w:sz w:val="17"/>
              </w:rPr>
              <w:t>Equity value of that gap</w:t>
            </w:r>
          </w:p>
        </w:tc>
        <w:tc>
          <w:tcPr>
            <w:tcW w:type="dxa" w:w="2448"/>
          </w:tcPr>
          <w:p>
            <w:pPr>
              <w:spacing w:after="20"/>
              <w:jc w:val="right"/>
            </w:pPr>
            <w:r>
              <w:rPr>
                <w:color w:val="1C3A36"/>
                <w:sz w:val="17"/>
              </w:rPr>
              <w:t>EGP 15,914m</w:t>
            </w:r>
          </w:p>
        </w:tc>
      </w:tr>
      <w:tr>
        <w:tc>
          <w:tcPr>
            <w:tcW w:type="dxa" w:w="6624"/>
          </w:tcPr>
          <w:p>
            <w:pPr>
              <w:spacing w:after="20"/>
            </w:pPr>
            <w:r>
              <w:rPr>
                <w:color w:val="1C3A36"/>
                <w:sz w:val="17"/>
              </w:rPr>
              <w:t>Additional FY2030 revenue required at a 45% contribution margin</w:t>
            </w:r>
          </w:p>
        </w:tc>
        <w:tc>
          <w:tcPr>
            <w:tcW w:type="dxa" w:w="2448"/>
          </w:tcPr>
          <w:p>
            <w:pPr>
              <w:spacing w:after="20"/>
              <w:jc w:val="right"/>
            </w:pPr>
            <w:r>
              <w:rPr>
                <w:color w:val="1C3A36"/>
                <w:sz w:val="17"/>
              </w:rPr>
              <w:t>EGP 8,871m</w:t>
            </w:r>
          </w:p>
        </w:tc>
      </w:tr>
      <w:tr>
        <w:tc>
          <w:tcPr>
            <w:tcW w:type="dxa" w:w="6624"/>
          </w:tcPr>
          <w:p>
            <w:pPr>
              <w:spacing w:after="20"/>
            </w:pPr>
            <w:r>
              <w:rPr>
                <w:color w:val="1C3A36"/>
                <w:sz w:val="17"/>
              </w:rPr>
              <w:t xml:space="preserve">   as a share of FY2030 revenue</w:t>
            </w:r>
          </w:p>
        </w:tc>
        <w:tc>
          <w:tcPr>
            <w:tcW w:type="dxa" w:w="2448"/>
          </w:tcPr>
          <w:p>
            <w:pPr>
              <w:spacing w:after="20"/>
              <w:jc w:val="right"/>
            </w:pPr>
            <w:r>
              <w:rPr>
                <w:color w:val="1C3A36"/>
                <w:sz w:val="17"/>
              </w:rPr>
              <w:t>32%</w:t>
            </w:r>
          </w:p>
        </w:tc>
      </w:tr>
      <w:tr>
        <w:tc>
          <w:tcPr>
            <w:tcW w:type="dxa" w:w="6624"/>
          </w:tcPr>
          <w:p>
            <w:pPr>
              <w:spacing w:after="20"/>
            </w:pPr>
            <w:r>
              <w:rPr>
                <w:color w:val="1C3A36"/>
                <w:sz w:val="17"/>
              </w:rPr>
              <w:t xml:space="preserve">   in US dollars a year</w:t>
            </w:r>
          </w:p>
        </w:tc>
        <w:tc>
          <w:tcPr>
            <w:tcW w:type="dxa" w:w="2448"/>
          </w:tcPr>
          <w:p>
            <w:pPr>
              <w:spacing w:after="20"/>
              <w:jc w:val="right"/>
            </w:pPr>
            <w:r>
              <w:rPr>
                <w:color w:val="1C3A36"/>
                <w:sz w:val="17"/>
              </w:rPr>
              <w:t>USD 127m</w:t>
            </w:r>
          </w:p>
        </w:tc>
      </w:tr>
      <w:tr>
        <w:tc>
          <w:tcPr>
            <w:tcW w:type="dxa" w:w="6624"/>
          </w:tcPr>
          <w:p>
            <w:pPr>
              <w:spacing w:after="20"/>
            </w:pPr>
            <w:r>
              <w:rPr>
                <w:color w:val="1C3A36"/>
                <w:sz w:val="17"/>
              </w:rPr>
              <w:t xml:space="preserve">   against the plant's stated cost of USD 100 million</w:t>
            </w:r>
          </w:p>
        </w:tc>
        <w:tc>
          <w:tcPr>
            <w:tcW w:type="dxa" w:w="2448"/>
          </w:tcPr>
          <w:p>
            <w:pPr>
              <w:spacing w:after="20"/>
              <w:jc w:val="right"/>
            </w:pPr>
            <w:r>
              <w:rPr>
                <w:color w:val="1C3A36"/>
                <w:sz w:val="17"/>
              </w:rPr>
              <w:t>1.27x asset turn</w:t>
            </w:r>
          </w:p>
        </w:tc>
      </w:tr>
      <w:tr>
        <w:tc>
          <w:tcPr>
            <w:tcW w:type="dxa" w:w="6624"/>
          </w:tcPr>
          <w:p>
            <w:pPr>
              <w:spacing w:after="20"/>
            </w:pPr>
            <w:r>
              <w:rPr>
                <w:color w:val="1C3A36"/>
                <w:sz w:val="17"/>
              </w:rPr>
              <w:t>Implied value per share if that is delivered</w:t>
            </w:r>
          </w:p>
        </w:tc>
        <w:tc>
          <w:tcPr>
            <w:tcW w:type="dxa" w:w="2448"/>
          </w:tcPr>
          <w:p>
            <w:pPr>
              <w:spacing w:after="20"/>
              <w:jc w:val="right"/>
            </w:pPr>
            <w:r>
              <w:rPr>
                <w:color w:val="1C3A36"/>
                <w:sz w:val="17"/>
              </w:rPr>
              <w:t>EGP 127.30</w:t>
            </w:r>
          </w:p>
        </w:tc>
      </w:tr>
    </w:tbl>
    <w:p>
      <w:pPr>
        <w:spacing w:after="40"/>
      </w:pPr>
    </w:p>
    <w:p>
      <w:pPr>
        <w:spacing w:after="120" w:before="0"/>
      </w:pPr>
      <w:r>
        <w:rPr>
          <w:b w:val="0"/>
          <w:i w:val="0"/>
          <w:color w:val="1C3A36"/>
          <w:sz w:val="21"/>
        </w:rPr>
        <w:t>Named sensitivity: the contribution margin assumed on the new revenue. At 35% rather than 45%, the required revenue rises to about EGP 11,405 million, or USD 163 million a year.</w:t>
      </w:r>
    </w:p>
    <w:p>
      <w:pPr>
        <w:spacing w:after="120" w:before="0"/>
      </w:pPr>
      <w:r>
        <w:rPr>
          <w:b w:val="0"/>
          <w:i w:val="0"/>
          <w:color w:val="1C3A36"/>
          <w:sz w:val="21"/>
        </w:rPr>
        <w:t>Falsifier: "If the company discloses biosimilar revenue below USD 20 million a year in its third full year of operation, the price is not discounting a plausible ramp — it is discounting a hope."</w:t>
      </w:r>
    </w:p>
    <w:p>
      <w:pPr>
        <w:spacing w:after="80" w:before="200"/>
      </w:pPr>
      <w:r>
        <w:rPr>
          <w:b/>
          <w:i w:val="0"/>
          <w:color w:val="1C3A36"/>
          <w:sz w:val="24"/>
        </w:rPr>
        <w:t>C.4 Cross-examination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816"/>
        <w:gridCol w:w="5328"/>
      </w:tblGrid>
      <w:tr>
        <w:tc>
          <w:tcPr>
            <w:tcW w:type="dxa" w:w="3816"/>
            <w:shd w:val="clear" w:color="auto" w:fill="EAF0EE"/>
          </w:tcPr>
          <w:p>
            <w:pPr>
              <w:spacing w:after="20"/>
            </w:pPr>
            <w:r>
              <w:rPr>
                <w:b/>
                <w:color w:val="1C3A36"/>
                <w:sz w:val="16"/>
              </w:rPr>
              <w:t>Challenge</w:t>
            </w:r>
          </w:p>
        </w:tc>
        <w:tc>
          <w:tcPr>
            <w:tcW w:type="dxa" w:w="5328"/>
            <w:shd w:val="clear" w:color="auto" w:fill="EAF0EE"/>
          </w:tcPr>
          <w:p>
            <w:pPr>
              <w:spacing w:after="20"/>
            </w:pPr>
            <w:r>
              <w:rPr>
                <w:b/>
                <w:color w:val="1C3A36"/>
                <w:sz w:val="16"/>
              </w:rPr>
              <w:t>Conceded or rejected</w:t>
            </w:r>
          </w:p>
        </w:tc>
      </w:tr>
      <w:tr>
        <w:tc>
          <w:tcPr>
            <w:tcW w:type="dxa" w:w="3816"/>
          </w:tcPr>
          <w:p>
            <w:pPr>
              <w:spacing w:after="20"/>
            </w:pPr>
            <w:r>
              <w:rPr>
                <w:color w:val="1C3A36"/>
                <w:sz w:val="16"/>
              </w:rPr>
              <w:t>Expert 2 to Expert 1: "Three-quarters of your value is a terminal number. You are not forecasting cash flow, you are forecasting a perpetuity."</w:t>
            </w:r>
          </w:p>
        </w:tc>
        <w:tc>
          <w:tcPr>
            <w:tcW w:type="dxa" w:w="5328"/>
          </w:tcPr>
          <w:p>
            <w:pPr>
              <w:spacing w:after="20"/>
              <w:jc w:val="right"/>
            </w:pPr>
            <w:r>
              <w:rPr>
                <w:color w:val="1C3A36"/>
                <w:sz w:val="16"/>
              </w:rPr>
              <w:t>CONCEDED. Expert 1 accepts the terminal weight is high and points to the sensitivity table as the honest response: the published grid across a plausible terminal cost of equity and growth combination runs EGP 17 to EGP 48 a share, and the WHOLE of that range is published rather than its comfortable half.</w:t>
            </w:r>
          </w:p>
        </w:tc>
      </w:tr>
      <w:tr>
        <w:tc>
          <w:tcPr>
            <w:tcW w:type="dxa" w:w="3816"/>
          </w:tcPr>
          <w:p>
            <w:pPr>
              <w:spacing w:after="20"/>
            </w:pPr>
            <w:r>
              <w:rPr>
                <w:color w:val="1C3A36"/>
                <w:sz w:val="16"/>
              </w:rPr>
              <w:t>Expert 1 to Expert 2: "You are capitalising a return earned on a capital base that excludes a third of the assets. Your multiple is measured against the wrong denominator."</w:t>
            </w:r>
          </w:p>
        </w:tc>
        <w:tc>
          <w:tcPr>
            <w:tcW w:type="dxa" w:w="5328"/>
          </w:tcPr>
          <w:p>
            <w:pPr>
              <w:spacing w:after="20"/>
              <w:jc w:val="right"/>
            </w:pPr>
            <w:r>
              <w:rPr>
                <w:color w:val="1C3A36"/>
                <w:sz w:val="16"/>
              </w:rPr>
              <w:t>REJECTED, with a qualification. Expert 2 answers that book equity is book equity, and that a plant which has not yet earned anything belongs in the denominator until it does — but concedes the lens will understate the company for as long as that remains true, and says so in the study.</w:t>
            </w:r>
          </w:p>
        </w:tc>
      </w:tr>
      <w:tr>
        <w:tc>
          <w:tcPr>
            <w:tcW w:type="dxa" w:w="3816"/>
          </w:tcPr>
          <w:p>
            <w:pPr>
              <w:spacing w:after="20"/>
            </w:pPr>
            <w:r>
              <w:rPr>
                <w:color w:val="1C3A36"/>
                <w:sz w:val="16"/>
              </w:rPr>
              <w:t>Expert 3 to both: "You are both producing numbers below the market price and neither of you can say why the market is wrong."</w:t>
            </w:r>
          </w:p>
        </w:tc>
        <w:tc>
          <w:tcPr>
            <w:tcW w:type="dxa" w:w="5328"/>
          </w:tcPr>
          <w:p>
            <w:pPr>
              <w:spacing w:after="20"/>
              <w:jc w:val="right"/>
            </w:pPr>
            <w:r>
              <w:rPr>
                <w:color w:val="1C3A36"/>
                <w:sz w:val="16"/>
              </w:rPr>
              <w:t>CONCEDED, and it is the point. Neither cash-flow nor book-based lens contains the new plant's revenue. Expert 3's contribution is to convert that omission into a testable number rather than an argument.</w:t>
            </w:r>
          </w:p>
        </w:tc>
      </w:tr>
      <w:tr>
        <w:tc>
          <w:tcPr>
            <w:tcW w:type="dxa" w:w="3816"/>
          </w:tcPr>
          <w:p>
            <w:pPr>
              <w:spacing w:after="20"/>
            </w:pPr>
            <w:r>
              <w:rPr>
                <w:color w:val="1C3A36"/>
                <w:sz w:val="16"/>
              </w:rPr>
              <w:t>Expert 2 to Expert 3: "Your method assumes the gap is entirely the new plant. It could be the associates, or a re-rating of Egyptian equities generally."</w:t>
            </w:r>
          </w:p>
        </w:tc>
        <w:tc>
          <w:tcPr>
            <w:tcW w:type="dxa" w:w="5328"/>
          </w:tcPr>
          <w:p>
            <w:pPr>
              <w:spacing w:after="20"/>
              <w:jc w:val="right"/>
            </w:pPr>
            <w:r>
              <w:rPr>
                <w:color w:val="1C3A36"/>
                <w:sz w:val="16"/>
              </w:rPr>
              <w:t>CONCEDED in part. Expert 3 agrees the attribution is a choice, and notes the associate stake would have to be worth roughly three times the value assumed here to close the gap on its own — which is possible, and is a second testable proposition rather than a refutation.</w:t>
            </w:r>
          </w:p>
        </w:tc>
      </w:tr>
      <w:tr>
        <w:tc>
          <w:tcPr>
            <w:tcW w:type="dxa" w:w="3816"/>
          </w:tcPr>
          <w:p>
            <w:pPr>
              <w:spacing w:after="20"/>
            </w:pPr>
            <w:r>
              <w:rPr>
                <w:color w:val="1C3A36"/>
                <w:sz w:val="16"/>
              </w:rPr>
              <w:t>Expert 1 to Expert 3: "A 45% contribution margin on biosimilars is your assumption, not a disclosure."</w:t>
            </w:r>
          </w:p>
        </w:tc>
        <w:tc>
          <w:tcPr>
            <w:tcW w:type="dxa" w:w="5328"/>
          </w:tcPr>
          <w:p>
            <w:pPr>
              <w:spacing w:after="20"/>
              <w:jc w:val="right"/>
            </w:pPr>
            <w:r>
              <w:rPr>
                <w:color w:val="1C3A36"/>
                <w:sz w:val="16"/>
              </w:rPr>
              <w:t>CONCEDED. Expert 3 sensitises it explicitly rather than defending it, and the study publishes both.</w:t>
            </w:r>
          </w:p>
        </w:tc>
      </w:tr>
    </w:tbl>
    <w:p>
      <w:pPr>
        <w:spacing w:after="40"/>
      </w:pPr>
    </w:p>
    <w:p>
      <w:pPr>
        <w:spacing w:after="80" w:before="200"/>
      </w:pPr>
      <w:r>
        <w:rPr>
          <w:b/>
          <w:i w:val="0"/>
          <w:color w:val="1C3A36"/>
          <w:sz w:val="24"/>
        </w:rPr>
        <w:t>C.5 The three in one room</w:t>
      </w:r>
    </w:p>
    <w:p>
      <w:pPr>
        <w:spacing w:after="120" w:before="0"/>
      </w:pPr>
      <w:r>
        <w:rPr>
          <w:b w:val="0"/>
          <w:i w:val="0"/>
          <w:color w:val="1C3A36"/>
          <w:sz w:val="21"/>
        </w:rPr>
        <w:t>Put together, the disagreement narrows to a single question, which is a good sign. All three agree on the audited history, on the cost of capital construction, and on the fact that the depreciation step is real and has already arrived. On the existing business — 65% capacity utilisation, a growing export book earned in hard currency, an administered domestic price that at least tracks inflation — their own worked values run from EGP 33.00 to EGP 43.91 a share, and the study's own two centres, EGP 33.00 and EGP 49.68, sit inside that. Those are the numbers; no wider claim is made for the business than its own lenses support.</w:t>
      </w:r>
    </w:p>
    <w:p>
      <w:pPr>
        <w:spacing w:after="120" w:before="0"/>
      </w:pPr>
      <w:r>
        <w:rPr>
          <w:b w:val="0"/>
          <w:i w:val="0"/>
          <w:color w:val="1C3A36"/>
          <w:sz w:val="21"/>
        </w:rPr>
        <w:t>Where they part is what the new plant is worth today. Expert 1 says: nothing until it produces cash, so EGP 33.00. Expert 2 says: nothing until it produces a return, so EGP 43.91. Expert 3 says: the market says EGP 94.30 a share, which requires USD 127 million a year of biosimilar sales, and that is a proposition rather than a valuation. The room does not resolve it. It converts it into something a reader can check in twelve months.</w:t>
      </w:r>
    </w:p>
    <w:p>
      <w:pPr>
        <w:spacing w:after="40"/>
        <w:jc w:val="center"/>
      </w:pPr>
      <w:r>
        <w:drawing>
          <wp:inline xmlns:a="http://schemas.openxmlformats.org/drawingml/2006/main" xmlns:pic="http://schemas.openxmlformats.org/drawingml/2006/picture">
            <wp:extent cx="6035040" cy="2408213"/>
            <wp:docPr id="8" name="Picture 8"/>
            <wp:cNvGraphicFramePr>
              <a:graphicFrameLocks noChangeAspect="1"/>
            </wp:cNvGraphicFramePr>
            <a:graphic>
              <a:graphicData uri="http://schemas.openxmlformats.org/drawingml/2006/picture">
                <pic:pic>
                  <pic:nvPicPr>
                    <pic:cNvPr id="0" name="fig8_experts.png"/>
                    <pic:cNvPicPr/>
                  </pic:nvPicPr>
                  <pic:blipFill>
                    <a:blip r:embed="rId16"/>
                    <a:stretch>
                      <a:fillRect/>
                    </a:stretch>
                  </pic:blipFill>
                  <pic:spPr>
                    <a:xfrm>
                      <a:off x="0" y="0"/>
                      <a:ext cx="6035040" cy="2408213"/>
                    </a:xfrm>
                    <a:prstGeom prst="rect"/>
                  </pic:spPr>
                </pic:pic>
              </a:graphicData>
            </a:graphic>
          </wp:inline>
        </w:drawing>
      </w:r>
    </w:p>
    <w:p>
      <w:pPr>
        <w:spacing w:after="200" w:before="0"/>
      </w:pPr>
      <w:r>
        <w:rPr>
          <w:b w:val="0"/>
          <w:i/>
          <w:color w:val="6E7B77"/>
          <w:sz w:val="17"/>
        </w:rPr>
        <w:t>Figure 8 — three methods, three ranges, one market price.</w:t>
      </w:r>
    </w:p>
    <w:p>
      <w:pPr>
        <w:spacing w:after="80" w:before="200"/>
      </w:pPr>
      <w:r>
        <w:rPr>
          <w:b/>
          <w:i w:val="0"/>
          <w:color w:val="1C3A36"/>
          <w:sz w:val="24"/>
        </w:rPr>
        <w:t>C.6 Divergence table — which assumption drives which gap</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520"/>
        <w:gridCol w:w="1512"/>
        <w:gridCol w:w="5112"/>
      </w:tblGrid>
      <w:tr>
        <w:tc>
          <w:tcPr>
            <w:tcW w:type="dxa" w:w="2520"/>
            <w:shd w:val="clear" w:color="auto" w:fill="EAF0EE"/>
          </w:tcPr>
          <w:p>
            <w:pPr>
              <w:spacing w:after="20"/>
            </w:pPr>
            <w:r>
              <w:rPr>
                <w:b/>
                <w:color w:val="1C3A36"/>
                <w:sz w:val="16"/>
              </w:rPr>
              <w:t>Pair</w:t>
            </w:r>
          </w:p>
        </w:tc>
        <w:tc>
          <w:tcPr>
            <w:tcW w:type="dxa" w:w="1512"/>
            <w:shd w:val="clear" w:color="auto" w:fill="EAF0EE"/>
          </w:tcPr>
          <w:p>
            <w:pPr>
              <w:spacing w:after="20"/>
            </w:pPr>
            <w:r>
              <w:rPr>
                <w:b/>
                <w:color w:val="1C3A36"/>
                <w:sz w:val="16"/>
              </w:rPr>
              <w:t>Gap (EGP/share)</w:t>
            </w:r>
          </w:p>
        </w:tc>
        <w:tc>
          <w:tcPr>
            <w:tcW w:type="dxa" w:w="5112"/>
            <w:shd w:val="clear" w:color="auto" w:fill="EAF0EE"/>
          </w:tcPr>
          <w:p>
            <w:pPr>
              <w:spacing w:after="20"/>
            </w:pPr>
            <w:r>
              <w:rPr>
                <w:b/>
                <w:color w:val="1C3A36"/>
                <w:sz w:val="16"/>
              </w:rPr>
              <w:t>The single assumption that drives it</w:t>
            </w:r>
          </w:p>
        </w:tc>
      </w:tr>
      <w:tr>
        <w:tc>
          <w:tcPr>
            <w:tcW w:type="dxa" w:w="2520"/>
          </w:tcPr>
          <w:p>
            <w:pPr>
              <w:spacing w:after="20"/>
            </w:pPr>
            <w:r>
              <w:rPr>
                <w:color w:val="1C3A36"/>
                <w:sz w:val="16"/>
              </w:rPr>
              <w:t>Expert 1 less Expert 2</w:t>
            </w:r>
          </w:p>
        </w:tc>
        <w:tc>
          <w:tcPr>
            <w:tcW w:type="dxa" w:w="1512"/>
          </w:tcPr>
          <w:p>
            <w:pPr>
              <w:spacing w:after="20"/>
              <w:jc w:val="right"/>
            </w:pPr>
            <w:r>
              <w:rPr>
                <w:color w:val="1C3A36"/>
                <w:sz w:val="16"/>
              </w:rPr>
              <w:t>-10.92</w:t>
            </w:r>
          </w:p>
        </w:tc>
        <w:tc>
          <w:tcPr>
            <w:tcW w:type="dxa" w:w="5112"/>
          </w:tcPr>
          <w:p>
            <w:pPr>
              <w:spacing w:after="20"/>
              <w:jc w:val="right"/>
            </w:pPr>
            <w:r>
              <w:rPr>
                <w:color w:val="1C3A36"/>
                <w:sz w:val="16"/>
              </w:rPr>
              <w:t>whether five years of forecast growth is credited at all. Expert 1 discounts it; Expert 2 refuses to pay for growth not yet earned</w:t>
            </w:r>
          </w:p>
        </w:tc>
      </w:tr>
      <w:tr>
        <w:tc>
          <w:tcPr>
            <w:tcW w:type="dxa" w:w="2520"/>
          </w:tcPr>
          <w:p>
            <w:pPr>
              <w:spacing w:after="20"/>
            </w:pPr>
            <w:r>
              <w:rPr>
                <w:color w:val="1C3A36"/>
                <w:sz w:val="16"/>
              </w:rPr>
              <w:t>Expert 3 less Expert 1</w:t>
            </w:r>
          </w:p>
        </w:tc>
        <w:tc>
          <w:tcPr>
            <w:tcW w:type="dxa" w:w="1512"/>
          </w:tcPr>
          <w:p>
            <w:pPr>
              <w:spacing w:after="20"/>
              <w:jc w:val="right"/>
            </w:pPr>
            <w:r>
              <w:rPr>
                <w:color w:val="1C3A36"/>
                <w:sz w:val="16"/>
              </w:rPr>
              <w:t>94.30</w:t>
            </w:r>
          </w:p>
        </w:tc>
        <w:tc>
          <w:tcPr>
            <w:tcW w:type="dxa" w:w="5112"/>
          </w:tcPr>
          <w:p>
            <w:pPr>
              <w:spacing w:after="20"/>
              <w:jc w:val="right"/>
            </w:pPr>
            <w:r>
              <w:rPr>
                <w:color w:val="1C3A36"/>
                <w:sz w:val="16"/>
              </w:rPr>
              <w:t>entirely the biologicals plant's revenue, which Expert 1 sets to zero and Expert 3 infers from the price</w:t>
            </w:r>
          </w:p>
        </w:tc>
      </w:tr>
      <w:tr>
        <w:tc>
          <w:tcPr>
            <w:tcW w:type="dxa" w:w="2520"/>
          </w:tcPr>
          <w:p>
            <w:pPr>
              <w:spacing w:after="20"/>
            </w:pPr>
            <w:r>
              <w:rPr>
                <w:color w:val="1C3A36"/>
                <w:sz w:val="16"/>
              </w:rPr>
              <w:t>Frame A less Frame B</w:t>
            </w:r>
          </w:p>
        </w:tc>
        <w:tc>
          <w:tcPr>
            <w:tcW w:type="dxa" w:w="1512"/>
          </w:tcPr>
          <w:p>
            <w:pPr>
              <w:spacing w:after="20"/>
              <w:jc w:val="right"/>
            </w:pPr>
            <w:r>
              <w:rPr>
                <w:color w:val="1C3A36"/>
                <w:sz w:val="16"/>
              </w:rPr>
              <w:t>-16.68</w:t>
            </w:r>
          </w:p>
        </w:tc>
        <w:tc>
          <w:tcPr>
            <w:tcW w:type="dxa" w:w="5112"/>
          </w:tcPr>
          <w:p>
            <w:pPr>
              <w:spacing w:after="20"/>
              <w:jc w:val="right"/>
            </w:pPr>
            <w:r>
              <w:rPr>
                <w:color w:val="1C3A36"/>
                <w:sz w:val="16"/>
              </w:rPr>
              <w:t>the credit-loss and provision charge alone — 5.25% of revenue permanently against a decay to 2.5%. Nothing else differs between the two</w:t>
            </w:r>
          </w:p>
        </w:tc>
      </w:tr>
      <w:tr>
        <w:tc>
          <w:tcPr>
            <w:tcW w:type="dxa" w:w="2520"/>
          </w:tcPr>
          <w:p>
            <w:pPr>
              <w:spacing w:after="20"/>
            </w:pPr>
            <w:r>
              <w:rPr>
                <w:color w:val="1C3A36"/>
                <w:sz w:val="16"/>
              </w:rPr>
              <w:t>Frame A centre less market price</w:t>
            </w:r>
          </w:p>
        </w:tc>
        <w:tc>
          <w:tcPr>
            <w:tcW w:type="dxa" w:w="1512"/>
          </w:tcPr>
          <w:p>
            <w:pPr>
              <w:spacing w:after="20"/>
              <w:jc w:val="right"/>
            </w:pPr>
            <w:r>
              <w:rPr>
                <w:color w:val="1C3A36"/>
                <w:sz w:val="16"/>
              </w:rPr>
              <w:t>-94.30</w:t>
            </w:r>
          </w:p>
        </w:tc>
        <w:tc>
          <w:tcPr>
            <w:tcW w:type="dxa" w:w="5112"/>
          </w:tcPr>
          <w:p>
            <w:pPr>
              <w:spacing w:after="20"/>
              <w:jc w:val="right"/>
            </w:pPr>
            <w:r>
              <w:rPr>
                <w:color w:val="1C3A36"/>
                <w:sz w:val="16"/>
              </w:rPr>
              <w:t>the sum of the above: no plant revenue, a relative lens anchored on what the company's own return justifies, and a normalised rather than peak margin</w:t>
            </w:r>
          </w:p>
        </w:tc>
      </w:tr>
      <w:tr>
        <w:tc>
          <w:tcPr>
            <w:tcW w:type="dxa" w:w="2520"/>
          </w:tcPr>
          <w:p>
            <w:pPr>
              <w:spacing w:after="20"/>
            </w:pPr>
            <w:r>
              <w:rPr>
                <w:color w:val="1C3A36"/>
                <w:sz w:val="16"/>
              </w:rPr>
              <w:t>Frame B centre less market price</w:t>
            </w:r>
          </w:p>
        </w:tc>
        <w:tc>
          <w:tcPr>
            <w:tcW w:type="dxa" w:w="1512"/>
          </w:tcPr>
          <w:p>
            <w:pPr>
              <w:spacing w:after="20"/>
              <w:jc w:val="right"/>
            </w:pPr>
            <w:r>
              <w:rPr>
                <w:color w:val="1C3A36"/>
                <w:sz w:val="16"/>
              </w:rPr>
              <w:t>-77.62</w:t>
            </w:r>
          </w:p>
        </w:tc>
        <w:tc>
          <w:tcPr>
            <w:tcW w:type="dxa" w:w="5112"/>
          </w:tcPr>
          <w:p>
            <w:pPr>
              <w:spacing w:after="20"/>
              <w:jc w:val="right"/>
            </w:pPr>
            <w:r>
              <w:rPr>
                <w:color w:val="1C3A36"/>
                <w:sz w:val="16"/>
              </w:rPr>
              <w:t>the same, with the provision charge normalising instead of permanent</w:t>
            </w:r>
          </w:p>
        </w:tc>
      </w:tr>
      <w:tr>
        <w:tc>
          <w:tcPr>
            <w:tcW w:type="dxa" w:w="2520"/>
          </w:tcPr>
          <w:p>
            <w:pPr>
              <w:spacing w:after="20"/>
            </w:pPr>
            <w:r>
              <w:rPr>
                <w:color w:val="1C3A36"/>
                <w:sz w:val="16"/>
              </w:rPr>
              <w:t>Frame A centre less Frame B centre</w:t>
            </w:r>
          </w:p>
        </w:tc>
        <w:tc>
          <w:tcPr>
            <w:tcW w:type="dxa" w:w="1512"/>
          </w:tcPr>
          <w:p>
            <w:pPr>
              <w:spacing w:after="20"/>
              <w:jc w:val="right"/>
            </w:pPr>
            <w:r>
              <w:rPr>
                <w:color w:val="1C3A36"/>
                <w:sz w:val="16"/>
              </w:rPr>
              <w:t>-16.68</w:t>
            </w:r>
          </w:p>
        </w:tc>
        <w:tc>
          <w:tcPr>
            <w:tcW w:type="dxa" w:w="5112"/>
          </w:tcPr>
          <w:p>
            <w:pPr>
              <w:spacing w:after="20"/>
              <w:jc w:val="right"/>
            </w:pPr>
            <w:r>
              <w:rPr>
                <w:color w:val="1C3A36"/>
                <w:sz w:val="16"/>
              </w:rPr>
              <w:t>the contested judgement alone, carried through the whole model. This is the number an average would have hidden</w:t>
            </w:r>
          </w:p>
        </w:tc>
      </w:tr>
    </w:tbl>
    <w:p>
      <w:pPr>
        <w:spacing w:after="40"/>
      </w:pPr>
    </w:p>
    <w:p>
      <w:pPr>
        <w:spacing w:after="200" w:before="0"/>
      </w:pPr>
      <w:r>
        <w:rPr>
          <w:b w:val="0"/>
          <w:i/>
          <w:color w:val="6E7B77"/>
          <w:sz w:val="17"/>
        </w:rPr>
        <w:t>Table 25 — every gap in this study isolated to the assumption that causes it.</w:t>
      </w:r>
    </w:p>
    <w:p>
      <w:pPr>
        <w:spacing w:after="120" w:before="280"/>
      </w:pPr>
      <w:r>
        <w:rPr>
          <w:b/>
          <w:i w:val="0"/>
          <w:color w:val="1C3A36"/>
          <w:sz w:val="30"/>
        </w:rPr>
        <w:t>About this study</w:t>
      </w:r>
    </w:p>
    <w:p>
      <w:pPr>
        <w:spacing w:after="120" w:before="0"/>
      </w:pPr>
      <w:r>
        <w:rPr>
          <w:b w:val="0"/>
          <w:i w:val="0"/>
          <w:color w:val="1C3A36"/>
          <w:sz w:val="21"/>
        </w:rPr>
        <w:t>This is an independent, educational valuation study. It was prepared from the company's own audited financial statements and its own published operating disclosures, obtained directly from its investor-relations page. The valuation model behind it is a live spreadsheet: every figure that can be derived from a driver is a formula, and changing a driver reprices the model. That claim was tested on the delivered file rather than asserted — every formula cell was independently recalculated and reconciled to the model, and each input was perturbed in place to confirm the answer moves in the right direction.</w:t>
      </w:r>
    </w:p>
    <w:p>
      <w:pPr>
        <w:spacing w:after="120" w:before="0"/>
      </w:pPr>
      <w:r>
        <w:rPr>
          <w:b w:val="0"/>
          <w:i w:val="0"/>
          <w:color w:val="1C3A36"/>
          <w:sz w:val="21"/>
        </w:rPr>
        <w:t>The probability map in section 3 comes from a simulation engine calibrated on the Egyptian market as a whole and tested by re-running it across the full price history without letting it see the future. Its performance on this individual share is reported honestly in section 3, including where it is no better than a random walk.</w:t>
      </w:r>
    </w:p>
    <w:p>
      <w:pPr>
        <w:spacing w:after="120" w:before="280"/>
      </w:pPr>
      <w:r>
        <w:rPr>
          <w:b/>
          <w:i w:val="0"/>
          <w:color w:val="1C3A36"/>
          <w:sz w:val="30"/>
        </w:rPr>
        <w:t>Disclosure</w:t>
      </w:r>
    </w:p>
    <w:p>
      <w:pPr>
        <w:spacing w:after="120" w:before="0"/>
      </w:pPr>
      <w:r>
        <w:rPr>
          <w:b w:val="0"/>
          <w:i w:val="0"/>
          <w:color w:val="1C3A36"/>
          <w:sz w:val="18"/>
        </w:rPr>
        <w:t>This document is educational analysis, not investment advice, and not a recommendation to buy, sell or hold any security. It contains no rating and no price target. Fair value is expressed as a range and as a distribution because that is what the evidence supports.</w:t>
      </w:r>
    </w:p>
    <w:p>
      <w:pPr>
        <w:spacing w:after="120" w:before="0"/>
      </w:pPr>
      <w:r>
        <w:rPr>
          <w:b w:val="0"/>
          <w:i w:val="0"/>
          <w:color w:val="1C3A36"/>
          <w:sz w:val="18"/>
        </w:rPr>
        <w:t>The author holds no position in the securities discussed and receives no compensation from the company, its shareholders or any party with an interest in its share price. The study was not commissioned by, shown to, or reviewed by the company before publication.</w:t>
      </w:r>
    </w:p>
    <w:p>
      <w:pPr>
        <w:spacing w:after="120" w:before="0"/>
      </w:pPr>
      <w:r>
        <w:rPr>
          <w:b w:val="0"/>
          <w:i w:val="0"/>
          <w:color w:val="1C3A36"/>
          <w:sz w:val="18"/>
        </w:rPr>
        <w:t>All historical financial figures are the company's own audited consolidated figures as published in its annual reports. Forward-looking figures are the author's estimates and will be wrong in detail; the sensitivity analysis in section 1.9 and the caveats in section 7 state by how much and in which direction. Market data used for peer comparison is labelled as such and is not used to construct any figure about the subject company.</w:t>
      </w:r>
    </w:p>
    <w:p>
      <w:pPr>
        <w:spacing w:after="120" w:before="0"/>
      </w:pPr>
      <w:r>
        <w:rPr>
          <w:b w:val="0"/>
          <w:i w:val="0"/>
          <w:color w:val="1C3A36"/>
          <w:sz w:val="18"/>
        </w:rPr>
        <w:t>Past performance and back-tested performance are not guides to future results. A probability band is not a guarantee: one outcome in ten is designed to fall outside a 90% band.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1C3A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