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9 August 2026 · share price EGP 127.30 at the close of 6 August 2026 · 168.756 million shares in issue</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31 and EGP 55 a share. Because the contested judgement below is carried BOTH ways and the two are never averaged, the study publishes TWO weighted centres: EGP 31.37 a share on the permanent-provision reading and EGP 47.60 on the normalising one. The market price is EGP 127.30.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31.37 and EGP 47.60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127.30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31 and EGP 55.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58573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58573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 (THE CENTRE)</w:t>
            </w:r>
          </w:p>
        </w:tc>
        <w:tc>
          <w:tcPr>
            <w:tcW w:type="dxa" w:w="1512"/>
          </w:tcPr>
          <w:p>
            <w:pPr>
              <w:spacing w:after="20"/>
              <w:jc w:val="right"/>
            </w:pPr>
            <w:r>
              <w:rPr>
                <w:color w:val="1C3A36"/>
                <w:sz w:val="18"/>
              </w:rPr>
              <w:t>31.37</w:t>
            </w:r>
          </w:p>
        </w:tc>
        <w:tc>
          <w:tcPr>
            <w:tcW w:type="dxa" w:w="1224"/>
          </w:tcPr>
          <w:p>
            <w:pPr>
              <w:spacing w:after="20"/>
              <w:jc w:val="right"/>
            </w:pPr>
            <w:r>
              <w:rPr>
                <w:color w:val="1C3A36"/>
                <w:sz w:val="18"/>
              </w:rPr>
              <w:t>-75%</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Discounted cash flow — Frame B (THE CENTRE)</w:t>
            </w:r>
          </w:p>
        </w:tc>
        <w:tc>
          <w:tcPr>
            <w:tcW w:type="dxa" w:w="1512"/>
          </w:tcPr>
          <w:p>
            <w:pPr>
              <w:spacing w:after="20"/>
              <w:jc w:val="right"/>
            </w:pPr>
            <w:r>
              <w:rPr>
                <w:color w:val="1C3A36"/>
                <w:sz w:val="18"/>
              </w:rPr>
              <w:t>47.60</w:t>
            </w:r>
          </w:p>
        </w:tc>
        <w:tc>
          <w:tcPr>
            <w:tcW w:type="dxa" w:w="1224"/>
          </w:tcPr>
          <w:p>
            <w:pPr>
              <w:spacing w:after="20"/>
              <w:jc w:val="right"/>
            </w:pPr>
            <w:r>
              <w:rPr>
                <w:color w:val="1C3A36"/>
                <w:sz w:val="18"/>
              </w:rPr>
              <w:t>-63%</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42.80</w:t>
            </w:r>
          </w:p>
        </w:tc>
        <w:tc>
          <w:tcPr>
            <w:tcW w:type="dxa" w:w="1224"/>
          </w:tcPr>
          <w:p>
            <w:pPr>
              <w:spacing w:after="20"/>
              <w:jc w:val="right"/>
            </w:pPr>
            <w:r>
              <w:rPr>
                <w:color w:val="1C3A36"/>
                <w:sz w:val="18"/>
              </w:rPr>
              <w:t>-66%</w:t>
            </w:r>
          </w:p>
        </w:tc>
        <w:tc>
          <w:tcPr>
            <w:tcW w:type="dxa" w:w="3960"/>
          </w:tcPr>
          <w:p>
            <w:pPr>
              <w:spacing w:after="20"/>
              <w:jc w:val="right"/>
            </w:pPr>
            <w:r>
              <w:rPr>
                <w:color w:val="1C3A36"/>
                <w:sz w:val="18"/>
              </w:rPr>
              <w:t>justified 1.16x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47.89</w:t>
            </w:r>
          </w:p>
        </w:tc>
        <w:tc>
          <w:tcPr>
            <w:tcW w:type="dxa" w:w="1224"/>
          </w:tcPr>
          <w:p>
            <w:pPr>
              <w:spacing w:after="20"/>
              <w:jc w:val="right"/>
            </w:pPr>
            <w:r>
              <w:rPr>
                <w:color w:val="1C3A36"/>
                <w:sz w:val="18"/>
              </w:rPr>
              <w:t>-62%</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55.34</w:t>
            </w:r>
          </w:p>
        </w:tc>
        <w:tc>
          <w:tcPr>
            <w:tcW w:type="dxa" w:w="1224"/>
          </w:tcPr>
          <w:p>
            <w:pPr>
              <w:spacing w:after="20"/>
              <w:jc w:val="right"/>
            </w:pPr>
            <w:r>
              <w:rPr>
                <w:color w:val="1C3A36"/>
                <w:sz w:val="18"/>
              </w:rPr>
              <w:t>-57%</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CENTRE — Frame A</w:t>
            </w:r>
          </w:p>
        </w:tc>
        <w:tc>
          <w:tcPr>
            <w:tcW w:type="dxa" w:w="1512"/>
            <w:shd w:val="clear" w:color="auto" w:fill="F6F1E6"/>
          </w:tcPr>
          <w:p>
            <w:pPr>
              <w:spacing w:after="20"/>
              <w:jc w:val="right"/>
            </w:pPr>
            <w:r>
              <w:rPr>
                <w:b/>
                <w:color w:val="1C3A36"/>
                <w:sz w:val="18"/>
              </w:rPr>
              <w:t>31.37</w:t>
            </w:r>
          </w:p>
        </w:tc>
        <w:tc>
          <w:tcPr>
            <w:tcW w:type="dxa" w:w="1224"/>
            <w:shd w:val="clear" w:color="auto" w:fill="F6F1E6"/>
          </w:tcPr>
          <w:p>
            <w:pPr>
              <w:spacing w:after="20"/>
              <w:jc w:val="right"/>
            </w:pPr>
            <w:r>
              <w:rPr>
                <w:b/>
                <w:color w:val="1C3A36"/>
                <w:sz w:val="18"/>
              </w:rPr>
              <w:t>-75%</w:t>
            </w:r>
          </w:p>
        </w:tc>
        <w:tc>
          <w:tcPr>
            <w:tcW w:type="dxa" w:w="3960"/>
            <w:shd w:val="clear" w:color="auto" w:fill="F6F1E6"/>
          </w:tcPr>
          <w:p>
            <w:pPr>
              <w:spacing w:after="20"/>
              <w:jc w:val="right"/>
            </w:pPr>
            <w:r>
              <w:rPr>
                <w:b/>
                <w:color w:val="1C3A36"/>
                <w:sz w:val="18"/>
              </w:rPr>
              <w:t>The cash-flow read on Frame A, unweighted. The other lenses are published beside it and averaged into none of it</w:t>
            </w:r>
          </w:p>
        </w:tc>
      </w:tr>
      <w:tr>
        <w:tc>
          <w:tcPr>
            <w:tcW w:type="dxa" w:w="3384"/>
            <w:shd w:val="clear" w:color="auto" w:fill="F6F1E6"/>
          </w:tcPr>
          <w:p>
            <w:pPr>
              <w:spacing w:after="20"/>
            </w:pPr>
            <w:r>
              <w:rPr>
                <w:b/>
                <w:color w:val="1C3A36"/>
                <w:sz w:val="18"/>
              </w:rPr>
              <w:t>CENTRE — Frame B</w:t>
            </w:r>
          </w:p>
        </w:tc>
        <w:tc>
          <w:tcPr>
            <w:tcW w:type="dxa" w:w="1512"/>
            <w:shd w:val="clear" w:color="auto" w:fill="F6F1E6"/>
          </w:tcPr>
          <w:p>
            <w:pPr>
              <w:spacing w:after="20"/>
              <w:jc w:val="right"/>
            </w:pPr>
            <w:r>
              <w:rPr>
                <w:b/>
                <w:color w:val="1C3A36"/>
                <w:sz w:val="18"/>
              </w:rPr>
              <w:t>47.60</w:t>
            </w:r>
          </w:p>
        </w:tc>
        <w:tc>
          <w:tcPr>
            <w:tcW w:type="dxa" w:w="1224"/>
            <w:shd w:val="clear" w:color="auto" w:fill="F6F1E6"/>
          </w:tcPr>
          <w:p>
            <w:pPr>
              <w:spacing w:after="20"/>
              <w:jc w:val="right"/>
            </w:pPr>
            <w:r>
              <w:rPr>
                <w:b/>
                <w:color w:val="1C3A36"/>
                <w:sz w:val="18"/>
              </w:rPr>
              <w:t>-63%</w:t>
            </w:r>
          </w:p>
        </w:tc>
        <w:tc>
          <w:tcPr>
            <w:tcW w:type="dxa" w:w="3960"/>
            <w:shd w:val="clear" w:color="auto" w:fill="F6F1E6"/>
          </w:tcPr>
          <w:p>
            <w:pPr>
              <w:spacing w:after="20"/>
              <w:jc w:val="right"/>
            </w:pPr>
            <w:r>
              <w:rPr>
                <w:b/>
                <w:color w:val="1C3A36"/>
                <w:sz w:val="18"/>
              </w:rPr>
              <w:t>The cash-flow read on Frame B. The two centres are NEVER averaged</w:t>
            </w:r>
          </w:p>
        </w:tc>
      </w:tr>
      <w:tr>
        <w:tc>
          <w:tcPr>
            <w:tcW w:type="dxa" w:w="3384"/>
          </w:tcPr>
          <w:p>
            <w:pPr>
              <w:spacing w:after="20"/>
            </w:pPr>
            <w:r>
              <w:rPr>
                <w:color w:val="1C3A36"/>
                <w:sz w:val="18"/>
              </w:rPr>
              <w:t>Memo — the weighted blend this edition replaced (Frame A / Frame B)</w:t>
            </w:r>
          </w:p>
        </w:tc>
        <w:tc>
          <w:tcPr>
            <w:tcW w:type="dxa" w:w="1512"/>
          </w:tcPr>
          <w:p>
            <w:pPr>
              <w:spacing w:after="20"/>
              <w:jc w:val="right"/>
            </w:pPr>
            <w:r>
              <w:rPr>
                <w:color w:val="1C3A36"/>
                <w:sz w:val="18"/>
              </w:rPr>
              <w:t>39.73 / 47.85</w:t>
            </w:r>
          </w:p>
        </w:tc>
        <w:tc>
          <w:tcPr>
            <w:tcW w:type="dxa" w:w="1224"/>
          </w:tcPr>
          <w:p>
            <w:pPr>
              <w:spacing w:after="20"/>
              <w:jc w:val="right"/>
            </w:pPr>
            <w:r>
              <w:rPr>
                <w:color w:val="1C3A36"/>
                <w:sz w:val="18"/>
              </w:rPr>
            </w:r>
          </w:p>
        </w:tc>
        <w:tc>
          <w:tcPr>
            <w:tcW w:type="dxa" w:w="3960"/>
          </w:tcPr>
          <w:p>
            <w:pPr>
              <w:spacing w:after="20"/>
              <w:jc w:val="right"/>
            </w:pPr>
            <w:r>
              <w:rPr>
                <w:color w:val="1C3A36"/>
                <w:sz w:val="18"/>
              </w:rPr>
              <w:t>Printed so the change is visible. Its weights were never tested out of sample, and on a two-sided answer a blend pulls both frames toward the same three shared readings — damping exactly the disagreement two frames exist to show</w:t>
            </w:r>
          </w:p>
        </w:tc>
      </w:tr>
      <w:tr>
        <w:tc>
          <w:tcPr>
            <w:tcW w:type="dxa" w:w="3384"/>
            <w:shd w:val="clear" w:color="auto" w:fill="F6F1E6"/>
          </w:tcPr>
          <w:p>
            <w:pPr>
              <w:spacing w:after="20"/>
            </w:pPr>
            <w:r>
              <w:rPr>
                <w:b/>
                <w:color w:val="1C3A36"/>
                <w:sz w:val="18"/>
              </w:rPr>
              <w:t>Field low to field high</w:t>
            </w:r>
          </w:p>
        </w:tc>
        <w:tc>
          <w:tcPr>
            <w:tcW w:type="dxa" w:w="1512"/>
            <w:shd w:val="clear" w:color="auto" w:fill="F6F1E6"/>
          </w:tcPr>
          <w:p>
            <w:pPr>
              <w:spacing w:after="20"/>
              <w:jc w:val="right"/>
            </w:pPr>
            <w:r>
              <w:rPr>
                <w:b/>
                <w:color w:val="1C3A36"/>
                <w:sz w:val="18"/>
              </w:rPr>
              <w:t>31.37 – 55.34</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The spread between the readings IS the uncertainty</w:t>
            </w:r>
          </w:p>
        </w:tc>
      </w:tr>
      <w:tr>
        <w:tc>
          <w:tcPr>
            <w:tcW w:type="dxa" w:w="3384"/>
          </w:tcPr>
          <w:p>
            <w:pPr>
              <w:spacing w:after="20"/>
            </w:pPr>
            <w:r>
              <w:rPr>
                <w:color w:val="1C3A36"/>
                <w:sz w:val="18"/>
              </w:rPr>
              <w:t>Market price</w:t>
            </w:r>
          </w:p>
        </w:tc>
        <w:tc>
          <w:tcPr>
            <w:tcW w:type="dxa" w:w="1512"/>
          </w:tcPr>
          <w:p>
            <w:pPr>
              <w:spacing w:after="20"/>
              <w:jc w:val="right"/>
            </w:pPr>
            <w:r>
              <w:rPr>
                <w:color w:val="1C3A36"/>
                <w:sz w:val="18"/>
              </w:rPr>
              <w:t>127.30</w:t>
            </w:r>
          </w:p>
        </w:tc>
        <w:tc>
          <w:tcPr>
            <w:tcW w:type="dxa" w:w="1224"/>
          </w:tcPr>
          <w:p>
            <w:pPr>
              <w:spacing w:after="20"/>
              <w:jc w:val="right"/>
            </w:pPr>
            <w:r>
              <w:rPr>
                <w:color w:val="1C3A36"/>
                <w:sz w:val="18"/>
              </w:rPr>
            </w:r>
          </w:p>
        </w:tc>
        <w:tc>
          <w:tcPr>
            <w:tcW w:type="dxa" w:w="3960"/>
          </w:tcPr>
          <w:p>
            <w:pPr>
              <w:spacing w:after="20"/>
              <w:jc w:val="right"/>
            </w:pPr>
            <w:r>
              <w:rPr>
                <w:color w:val="1C3A36"/>
                <w:sz w:val="18"/>
              </w:rPr>
              <w:t>Close of 3 September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21,483m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28,851m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14.90x on shares in issue, 14.31x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11.6x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25.92%</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22.97%</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15.22%</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29,136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10,694</w:t>
            </w:r>
          </w:p>
        </w:tc>
        <w:tc>
          <w:tcPr>
            <w:tcW w:type="dxa" w:w="1325"/>
          </w:tcPr>
          <w:p>
            <w:pPr>
              <w:spacing w:after="20"/>
              <w:jc w:val="right"/>
            </w:pPr>
            <w:r>
              <w:rPr>
                <w:color w:val="1C3A36"/>
                <w:sz w:val="17"/>
              </w:rPr>
              <w:t>12,612</w:t>
            </w:r>
          </w:p>
        </w:tc>
        <w:tc>
          <w:tcPr>
            <w:tcW w:type="dxa" w:w="1325"/>
          </w:tcPr>
          <w:p>
            <w:pPr>
              <w:spacing w:after="20"/>
              <w:jc w:val="right"/>
            </w:pPr>
            <w:r>
              <w:rPr>
                <w:color w:val="1C3A36"/>
                <w:sz w:val="17"/>
              </w:rPr>
              <w:t>14,621</w:t>
            </w:r>
          </w:p>
        </w:tc>
        <w:tc>
          <w:tcPr>
            <w:tcW w:type="dxa" w:w="1325"/>
          </w:tcPr>
          <w:p>
            <w:pPr>
              <w:spacing w:after="20"/>
              <w:jc w:val="right"/>
            </w:pPr>
            <w:r>
              <w:rPr>
                <w:color w:val="1C3A36"/>
                <w:sz w:val="17"/>
              </w:rPr>
              <w:t>16,637</w:t>
            </w:r>
          </w:p>
        </w:tc>
        <w:tc>
          <w:tcPr>
            <w:tcW w:type="dxa" w:w="1325"/>
          </w:tcPr>
          <w:p>
            <w:pPr>
              <w:spacing w:after="20"/>
              <w:jc w:val="right"/>
            </w:pPr>
            <w:r>
              <w:rPr>
                <w:color w:val="1C3A36"/>
                <w:sz w:val="17"/>
              </w:rPr>
              <w:t>18,608</w:t>
            </w:r>
          </w:p>
        </w:tc>
      </w:tr>
      <w:tr>
        <w:tc>
          <w:tcPr>
            <w:tcW w:type="dxa" w:w="3384"/>
          </w:tcPr>
          <w:p>
            <w:pPr>
              <w:spacing w:after="20"/>
            </w:pPr>
            <w:r>
              <w:rPr>
                <w:color w:val="1C3A36"/>
                <w:sz w:val="17"/>
              </w:rPr>
              <w:t>EBITDA</w:t>
            </w:r>
          </w:p>
        </w:tc>
        <w:tc>
          <w:tcPr>
            <w:tcW w:type="dxa" w:w="1325"/>
          </w:tcPr>
          <w:p>
            <w:pPr>
              <w:spacing w:after="20"/>
              <w:jc w:val="right"/>
            </w:pPr>
            <w:r>
              <w:rPr>
                <w:color w:val="1C3A36"/>
                <w:sz w:val="17"/>
              </w:rPr>
              <w:t>2,415</w:t>
            </w:r>
          </w:p>
        </w:tc>
        <w:tc>
          <w:tcPr>
            <w:tcW w:type="dxa" w:w="1325"/>
          </w:tcPr>
          <w:p>
            <w:pPr>
              <w:spacing w:after="20"/>
              <w:jc w:val="right"/>
            </w:pPr>
            <w:r>
              <w:rPr>
                <w:color w:val="1C3A36"/>
                <w:sz w:val="17"/>
              </w:rPr>
              <w:t>2,679</w:t>
            </w:r>
          </w:p>
        </w:tc>
        <w:tc>
          <w:tcPr>
            <w:tcW w:type="dxa" w:w="1325"/>
          </w:tcPr>
          <w:p>
            <w:pPr>
              <w:spacing w:after="20"/>
              <w:jc w:val="right"/>
            </w:pPr>
            <w:r>
              <w:rPr>
                <w:color w:val="1C3A36"/>
                <w:sz w:val="17"/>
              </w:rPr>
              <w:t>3,037</w:t>
            </w:r>
          </w:p>
        </w:tc>
        <w:tc>
          <w:tcPr>
            <w:tcW w:type="dxa" w:w="1325"/>
          </w:tcPr>
          <w:p>
            <w:pPr>
              <w:spacing w:after="20"/>
              <w:jc w:val="right"/>
            </w:pPr>
            <w:r>
              <w:rPr>
                <w:color w:val="1C3A36"/>
                <w:sz w:val="17"/>
              </w:rPr>
              <w:t>3,394</w:t>
            </w:r>
          </w:p>
        </w:tc>
        <w:tc>
          <w:tcPr>
            <w:tcW w:type="dxa" w:w="1325"/>
          </w:tcPr>
          <w:p>
            <w:pPr>
              <w:spacing w:after="20"/>
              <w:jc w:val="right"/>
            </w:pPr>
            <w:r>
              <w:rPr>
                <w:color w:val="1C3A36"/>
                <w:sz w:val="17"/>
              </w:rPr>
              <w:t>3,713</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22.6%</w:t>
            </w:r>
          </w:p>
        </w:tc>
        <w:tc>
          <w:tcPr>
            <w:tcW w:type="dxa" w:w="1325"/>
          </w:tcPr>
          <w:p>
            <w:pPr>
              <w:spacing w:after="20"/>
              <w:jc w:val="right"/>
            </w:pPr>
            <w:r>
              <w:rPr>
                <w:color w:val="1C3A36"/>
                <w:sz w:val="17"/>
              </w:rPr>
              <w:t>21.2%</w:t>
            </w:r>
          </w:p>
        </w:tc>
        <w:tc>
          <w:tcPr>
            <w:tcW w:type="dxa" w:w="1325"/>
          </w:tcPr>
          <w:p>
            <w:pPr>
              <w:spacing w:after="20"/>
              <w:jc w:val="right"/>
            </w:pPr>
            <w:r>
              <w:rPr>
                <w:color w:val="1C3A36"/>
                <w:sz w:val="17"/>
              </w:rPr>
              <w:t>20.8%</w:t>
            </w:r>
          </w:p>
        </w:tc>
        <w:tc>
          <w:tcPr>
            <w:tcW w:type="dxa" w:w="1325"/>
          </w:tcPr>
          <w:p>
            <w:pPr>
              <w:spacing w:after="20"/>
              <w:jc w:val="right"/>
            </w:pPr>
            <w:r>
              <w:rPr>
                <w:color w:val="1C3A36"/>
                <w:sz w:val="17"/>
              </w:rPr>
              <w:t>20.4%</w:t>
            </w:r>
          </w:p>
        </w:tc>
        <w:tc>
          <w:tcPr>
            <w:tcW w:type="dxa" w:w="1325"/>
          </w:tcPr>
          <w:p>
            <w:pPr>
              <w:spacing w:after="20"/>
              <w:jc w:val="right"/>
            </w:pPr>
            <w:r>
              <w:rPr>
                <w:color w:val="1C3A36"/>
                <w:sz w:val="17"/>
              </w:rPr>
              <w:t>20.0%</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2,111</w:t>
            </w:r>
          </w:p>
        </w:tc>
        <w:tc>
          <w:tcPr>
            <w:tcW w:type="dxa" w:w="1325"/>
          </w:tcPr>
          <w:p>
            <w:pPr>
              <w:spacing w:after="20"/>
              <w:jc w:val="right"/>
            </w:pPr>
            <w:r>
              <w:rPr>
                <w:color w:val="1C3A36"/>
                <w:sz w:val="17"/>
              </w:rPr>
              <w:t>2,254</w:t>
            </w:r>
          </w:p>
        </w:tc>
        <w:tc>
          <w:tcPr>
            <w:tcW w:type="dxa" w:w="1325"/>
          </w:tcPr>
          <w:p>
            <w:pPr>
              <w:spacing w:after="20"/>
              <w:jc w:val="right"/>
            </w:pPr>
            <w:r>
              <w:rPr>
                <w:color w:val="1C3A36"/>
                <w:sz w:val="17"/>
              </w:rPr>
              <w:t>2,591</w:t>
            </w:r>
          </w:p>
        </w:tc>
        <w:tc>
          <w:tcPr>
            <w:tcW w:type="dxa" w:w="1325"/>
          </w:tcPr>
          <w:p>
            <w:pPr>
              <w:spacing w:after="20"/>
              <w:jc w:val="right"/>
            </w:pPr>
            <w:r>
              <w:rPr>
                <w:color w:val="1C3A36"/>
                <w:sz w:val="17"/>
              </w:rPr>
              <w:t>2,957</w:t>
            </w:r>
          </w:p>
        </w:tc>
        <w:tc>
          <w:tcPr>
            <w:tcW w:type="dxa" w:w="1325"/>
          </w:tcPr>
          <w:p>
            <w:pPr>
              <w:spacing w:after="20"/>
              <w:jc w:val="right"/>
            </w:pPr>
            <w:r>
              <w:rPr>
                <w:color w:val="1C3A36"/>
                <w:sz w:val="17"/>
              </w:rPr>
              <w:t>3,290</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1,615</w:t>
            </w:r>
          </w:p>
        </w:tc>
        <w:tc>
          <w:tcPr>
            <w:tcW w:type="dxa" w:w="1325"/>
          </w:tcPr>
          <w:p>
            <w:pPr>
              <w:spacing w:after="20"/>
              <w:jc w:val="right"/>
            </w:pPr>
            <w:r>
              <w:rPr>
                <w:color w:val="1C3A36"/>
                <w:sz w:val="17"/>
              </w:rPr>
              <w:t>1,724</w:t>
            </w:r>
          </w:p>
        </w:tc>
        <w:tc>
          <w:tcPr>
            <w:tcW w:type="dxa" w:w="1325"/>
          </w:tcPr>
          <w:p>
            <w:pPr>
              <w:spacing w:after="20"/>
              <w:jc w:val="right"/>
            </w:pPr>
            <w:r>
              <w:rPr>
                <w:color w:val="1C3A36"/>
                <w:sz w:val="17"/>
              </w:rPr>
              <w:t>1,982</w:t>
            </w:r>
          </w:p>
        </w:tc>
        <w:tc>
          <w:tcPr>
            <w:tcW w:type="dxa" w:w="1325"/>
          </w:tcPr>
          <w:p>
            <w:pPr>
              <w:spacing w:after="20"/>
              <w:jc w:val="right"/>
            </w:pPr>
            <w:r>
              <w:rPr>
                <w:color w:val="1C3A36"/>
                <w:sz w:val="17"/>
              </w:rPr>
              <w:t>2,262</w:t>
            </w:r>
          </w:p>
        </w:tc>
        <w:tc>
          <w:tcPr>
            <w:tcW w:type="dxa" w:w="1325"/>
          </w:tcPr>
          <w:p>
            <w:pPr>
              <w:spacing w:after="20"/>
              <w:jc w:val="right"/>
            </w:pPr>
            <w:r>
              <w:rPr>
                <w:color w:val="1C3A36"/>
                <w:sz w:val="17"/>
              </w:rPr>
              <w:t>2,517</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(1,337)</w:t>
            </w:r>
          </w:p>
        </w:tc>
        <w:tc>
          <w:tcPr>
            <w:tcW w:type="dxa" w:w="1325"/>
          </w:tcPr>
          <w:p>
            <w:pPr>
              <w:spacing w:after="20"/>
              <w:jc w:val="right"/>
            </w:pPr>
            <w:r>
              <w:rPr>
                <w:color w:val="1C3A36"/>
                <w:sz w:val="17"/>
              </w:rPr>
              <w:t>(568)</w:t>
            </w:r>
          </w:p>
        </w:tc>
        <w:tc>
          <w:tcPr>
            <w:tcW w:type="dxa" w:w="1325"/>
          </w:tcPr>
          <w:p>
            <w:pPr>
              <w:spacing w:after="20"/>
              <w:jc w:val="right"/>
            </w:pPr>
            <w:r>
              <w:rPr>
                <w:color w:val="1C3A36"/>
                <w:sz w:val="17"/>
              </w:rPr>
              <w:t>(512)</w:t>
            </w:r>
          </w:p>
        </w:tc>
        <w:tc>
          <w:tcPr>
            <w:tcW w:type="dxa" w:w="1325"/>
          </w:tcPr>
          <w:p>
            <w:pPr>
              <w:spacing w:after="20"/>
              <w:jc w:val="right"/>
            </w:pPr>
            <w:r>
              <w:rPr>
                <w:color w:val="1C3A36"/>
                <w:sz w:val="17"/>
              </w:rPr>
              <w:t>(532)</w:t>
            </w:r>
          </w:p>
        </w:tc>
        <w:tc>
          <w:tcPr>
            <w:tcW w:type="dxa" w:w="1325"/>
          </w:tcPr>
          <w:p>
            <w:pPr>
              <w:spacing w:after="20"/>
              <w:jc w:val="right"/>
            </w:pPr>
            <w:r>
              <w:rPr>
                <w:color w:val="1C3A36"/>
                <w:sz w:val="17"/>
              </w:rPr>
              <w:t>(558)</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(910)</w:t>
            </w:r>
          </w:p>
        </w:tc>
        <w:tc>
          <w:tcPr>
            <w:tcW w:type="dxa" w:w="1325"/>
          </w:tcPr>
          <w:p>
            <w:pPr>
              <w:spacing w:after="20"/>
              <w:jc w:val="right"/>
            </w:pPr>
            <w:r>
              <w:rPr>
                <w:color w:val="1C3A36"/>
                <w:sz w:val="17"/>
              </w:rPr>
              <w:t>(1,020)</w:t>
            </w:r>
          </w:p>
        </w:tc>
        <w:tc>
          <w:tcPr>
            <w:tcW w:type="dxa" w:w="1325"/>
          </w:tcPr>
          <w:p>
            <w:pPr>
              <w:spacing w:after="20"/>
              <w:jc w:val="right"/>
            </w:pPr>
            <w:r>
              <w:rPr>
                <w:color w:val="1C3A36"/>
                <w:sz w:val="17"/>
              </w:rPr>
              <w:t>(869)</w:t>
            </w:r>
          </w:p>
        </w:tc>
        <w:tc>
          <w:tcPr>
            <w:tcW w:type="dxa" w:w="1325"/>
          </w:tcPr>
          <w:p>
            <w:pPr>
              <w:spacing w:after="20"/>
              <w:jc w:val="right"/>
            </w:pPr>
            <w:r>
              <w:rPr>
                <w:color w:val="1C3A36"/>
                <w:sz w:val="17"/>
              </w:rPr>
              <w:t>(877)</w:t>
            </w:r>
          </w:p>
        </w:tc>
        <w:tc>
          <w:tcPr>
            <w:tcW w:type="dxa" w:w="1325"/>
          </w:tcPr>
          <w:p>
            <w:pPr>
              <w:spacing w:after="20"/>
              <w:jc w:val="right"/>
            </w:pPr>
            <w:r>
              <w:rPr>
                <w:color w:val="1C3A36"/>
                <w:sz w:val="17"/>
              </w:rPr>
              <w:t>(829)</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-328</w:t>
            </w:r>
          </w:p>
        </w:tc>
        <w:tc>
          <w:tcPr>
            <w:tcW w:type="dxa" w:w="1325"/>
          </w:tcPr>
          <w:p>
            <w:pPr>
              <w:spacing w:after="20"/>
              <w:jc w:val="right"/>
            </w:pPr>
            <w:r>
              <w:rPr>
                <w:color w:val="1C3A36"/>
                <w:sz w:val="17"/>
              </w:rPr>
              <w:t>562</w:t>
            </w:r>
          </w:p>
        </w:tc>
        <w:tc>
          <w:tcPr>
            <w:tcW w:type="dxa" w:w="1325"/>
          </w:tcPr>
          <w:p>
            <w:pPr>
              <w:spacing w:after="20"/>
              <w:jc w:val="right"/>
            </w:pPr>
            <w:r>
              <w:rPr>
                <w:color w:val="1C3A36"/>
                <w:sz w:val="17"/>
              </w:rPr>
              <w:t>1,048</w:t>
            </w:r>
          </w:p>
        </w:tc>
        <w:tc>
          <w:tcPr>
            <w:tcW w:type="dxa" w:w="1325"/>
          </w:tcPr>
          <w:p>
            <w:pPr>
              <w:spacing w:after="20"/>
              <w:jc w:val="right"/>
            </w:pPr>
            <w:r>
              <w:rPr>
                <w:color w:val="1C3A36"/>
                <w:sz w:val="17"/>
              </w:rPr>
              <w:t>1,290</w:t>
            </w:r>
          </w:p>
        </w:tc>
        <w:tc>
          <w:tcPr>
            <w:tcW w:type="dxa" w:w="1325"/>
          </w:tcPr>
          <w:p>
            <w:pPr>
              <w:spacing w:after="20"/>
              <w:jc w:val="right"/>
            </w:pPr>
            <w:r>
              <w:rPr>
                <w:color w:val="1C3A36"/>
                <w:sz w:val="17"/>
              </w:rPr>
              <w:t>1,553</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22.97%</w:t>
            </w:r>
          </w:p>
        </w:tc>
        <w:tc>
          <w:tcPr>
            <w:tcW w:type="dxa" w:w="1325"/>
            <w:shd w:val="clear" w:color="auto" w:fill="F6F1E6"/>
          </w:tcPr>
          <w:p>
            <w:pPr>
              <w:spacing w:after="20"/>
              <w:jc w:val="right"/>
            </w:pPr>
            <w:r>
              <w:rPr>
                <w:b/>
                <w:color w:val="1C3A36"/>
                <w:sz w:val="17"/>
              </w:rPr>
              <w:t>20.89%</w:t>
            </w:r>
          </w:p>
        </w:tc>
        <w:tc>
          <w:tcPr>
            <w:tcW w:type="dxa" w:w="1325"/>
            <w:shd w:val="clear" w:color="auto" w:fill="F6F1E6"/>
          </w:tcPr>
          <w:p>
            <w:pPr>
              <w:spacing w:after="20"/>
              <w:jc w:val="right"/>
            </w:pPr>
            <w:r>
              <w:rPr>
                <w:b/>
                <w:color w:val="1C3A36"/>
                <w:sz w:val="17"/>
              </w:rPr>
              <w:t>18.62%</w:t>
            </w:r>
          </w:p>
        </w:tc>
        <w:tc>
          <w:tcPr>
            <w:tcW w:type="dxa" w:w="1325"/>
            <w:shd w:val="clear" w:color="auto" w:fill="F6F1E6"/>
          </w:tcPr>
          <w:p>
            <w:pPr>
              <w:spacing w:after="20"/>
              <w:jc w:val="right"/>
            </w:pPr>
            <w:r>
              <w:rPr>
                <w:b/>
                <w:color w:val="1C3A36"/>
                <w:sz w:val="17"/>
              </w:rPr>
              <w:t>16.73%</w:t>
            </w:r>
          </w:p>
        </w:tc>
        <w:tc>
          <w:tcPr>
            <w:tcW w:type="dxa" w:w="1325"/>
            <w:shd w:val="clear" w:color="auto" w:fill="F6F1E6"/>
          </w:tcPr>
          <w:p>
            <w:pPr>
              <w:spacing w:after="20"/>
              <w:jc w:val="right"/>
            </w:pPr>
            <w:r>
              <w:rPr>
                <w:b/>
                <w:color w:val="1C3A36"/>
                <w:sz w:val="17"/>
              </w:rPr>
              <w:t>15.22%</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0.8132</w:t>
            </w:r>
          </w:p>
        </w:tc>
        <w:tc>
          <w:tcPr>
            <w:tcW w:type="dxa" w:w="1325"/>
          </w:tcPr>
          <w:p>
            <w:pPr>
              <w:spacing w:after="20"/>
              <w:jc w:val="right"/>
            </w:pPr>
            <w:r>
              <w:rPr>
                <w:color w:val="1C3A36"/>
                <w:sz w:val="17"/>
              </w:rPr>
              <w:t>0.6727</w:t>
            </w:r>
          </w:p>
        </w:tc>
        <w:tc>
          <w:tcPr>
            <w:tcW w:type="dxa" w:w="1325"/>
          </w:tcPr>
          <w:p>
            <w:pPr>
              <w:spacing w:after="20"/>
              <w:jc w:val="right"/>
            </w:pPr>
            <w:r>
              <w:rPr>
                <w:color w:val="1C3A36"/>
                <w:sz w:val="17"/>
              </w:rPr>
              <w:t>0.5671</w:t>
            </w:r>
          </w:p>
        </w:tc>
        <w:tc>
          <w:tcPr>
            <w:tcW w:type="dxa" w:w="1325"/>
          </w:tcPr>
          <w:p>
            <w:pPr>
              <w:spacing w:after="20"/>
              <w:jc w:val="right"/>
            </w:pPr>
            <w:r>
              <w:rPr>
                <w:color w:val="1C3A36"/>
                <w:sz w:val="17"/>
              </w:rPr>
              <w:t>0.4858</w:t>
            </w:r>
          </w:p>
        </w:tc>
        <w:tc>
          <w:tcPr>
            <w:tcW w:type="dxa" w:w="1325"/>
          </w:tcPr>
          <w:p>
            <w:pPr>
              <w:spacing w:after="20"/>
              <w:jc w:val="right"/>
            </w:pPr>
            <w:r>
              <w:rPr>
                <w:color w:val="1C3A36"/>
                <w:sz w:val="17"/>
              </w:rPr>
              <w:t>0.4216</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-267</w:t>
            </w:r>
          </w:p>
        </w:tc>
        <w:tc>
          <w:tcPr>
            <w:tcW w:type="dxa" w:w="1325"/>
          </w:tcPr>
          <w:p>
            <w:pPr>
              <w:spacing w:after="20"/>
              <w:jc w:val="right"/>
            </w:pPr>
            <w:r>
              <w:rPr>
                <w:color w:val="1C3A36"/>
                <w:sz w:val="17"/>
              </w:rPr>
              <w:t>378</w:t>
            </w:r>
          </w:p>
        </w:tc>
        <w:tc>
          <w:tcPr>
            <w:tcW w:type="dxa" w:w="1325"/>
          </w:tcPr>
          <w:p>
            <w:pPr>
              <w:spacing w:after="20"/>
              <w:jc w:val="right"/>
            </w:pPr>
            <w:r>
              <w:rPr>
                <w:color w:val="1C3A36"/>
                <w:sz w:val="17"/>
              </w:rPr>
              <w:t>594</w:t>
            </w:r>
          </w:p>
        </w:tc>
        <w:tc>
          <w:tcPr>
            <w:tcW w:type="dxa" w:w="1325"/>
          </w:tcPr>
          <w:p>
            <w:pPr>
              <w:spacing w:after="20"/>
              <w:jc w:val="right"/>
            </w:pPr>
            <w:r>
              <w:rPr>
                <w:color w:val="1C3A36"/>
                <w:sz w:val="17"/>
              </w:rPr>
              <w:t>627</w:t>
            </w:r>
          </w:p>
        </w:tc>
        <w:tc>
          <w:tcPr>
            <w:tcW w:type="dxa" w:w="1325"/>
          </w:tcPr>
          <w:p>
            <w:pPr>
              <w:spacing w:after="20"/>
              <w:jc w:val="right"/>
            </w:pPr>
            <w:r>
              <w:rPr>
                <w:color w:val="1C3A36"/>
                <w:sz w:val="17"/>
              </w:rPr>
              <w:t>655</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1,986</w:t>
            </w:r>
          </w:p>
        </w:tc>
        <w:tc>
          <w:tcPr>
            <w:tcW w:type="dxa" w:w="2232"/>
          </w:tcPr>
          <w:p>
            <w:pPr>
              <w:spacing w:after="20"/>
              <w:jc w:val="right"/>
            </w:pPr>
            <w:r>
              <w:rPr>
                <w:color w:val="1C3A36"/>
                <w:sz w:val="18"/>
              </w:rPr>
              <w:t>11.77</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7,686</w:t>
            </w:r>
          </w:p>
        </w:tc>
        <w:tc>
          <w:tcPr>
            <w:tcW w:type="dxa" w:w="2232"/>
          </w:tcPr>
          <w:p>
            <w:pPr>
              <w:spacing w:after="20"/>
              <w:jc w:val="right"/>
            </w:pPr>
            <w:r>
              <w:rPr>
                <w:color w:val="1C3A36"/>
                <w:sz w:val="18"/>
              </w:rPr>
              <w:t>45.54</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9,672</w:t>
            </w:r>
          </w:p>
        </w:tc>
        <w:tc>
          <w:tcPr>
            <w:tcW w:type="dxa" w:w="2232"/>
          </w:tcPr>
          <w:p>
            <w:pPr>
              <w:spacing w:after="20"/>
              <w:jc w:val="right"/>
            </w:pPr>
            <w:r>
              <w:rPr>
                <w:color w:val="1C3A36"/>
                <w:sz w:val="18"/>
              </w:rPr>
              <w:t>57.31</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79%</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12,663</w:t>
            </w:r>
          </w:p>
        </w:tc>
        <w:tc>
          <w:tcPr>
            <w:tcW w:type="dxa" w:w="2232"/>
          </w:tcPr>
          <w:p>
            <w:pPr>
              <w:spacing w:after="20"/>
              <w:jc w:val="right"/>
            </w:pPr>
            <w:r>
              <w:rPr>
                <w:color w:val="1C3A36"/>
                <w:sz w:val="18"/>
              </w:rPr>
              <w:t>75.04</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61%</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5,295</w:t>
            </w:r>
          </w:p>
        </w:tc>
        <w:tc>
          <w:tcPr>
            <w:tcW w:type="dxa" w:w="2232"/>
          </w:tcPr>
          <w:p>
            <w:pPr>
              <w:spacing w:after="20"/>
              <w:jc w:val="right"/>
            </w:pPr>
            <w:r>
              <w:rPr>
                <w:color w:val="1C3A36"/>
                <w:sz w:val="18"/>
              </w:rPr>
              <w:t>31.37</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8,033</w:t>
            </w:r>
          </w:p>
        </w:tc>
        <w:tc>
          <w:tcPr>
            <w:tcW w:type="dxa" w:w="2232"/>
            <w:shd w:val="clear" w:color="auto" w:fill="F6F1E6"/>
          </w:tcPr>
          <w:p>
            <w:pPr>
              <w:spacing w:after="20"/>
              <w:jc w:val="right"/>
            </w:pPr>
            <w:r>
              <w:rPr>
                <w:b/>
                <w:color w:val="1C3A36"/>
                <w:sz w:val="18"/>
              </w:rPr>
              <w:t>47.60</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79% of the CORE operating value and 61%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13.7% / 14.5% / 17.1% / 19.1% / 20.1% — it RISES through the window rather than settling, so the sustainable return used here is the mean of its last three years, 18.75%, read off that path rather than chosen. A business earning 18.8% on equity while its perpetual cost of equity is 17.16% is worth more than its book: the multiple that relationship justifies is (return less growth) over (cost of equity less growth), or 1.16 times book — EGP 42.80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127.30 the shares trade on 14.90 times trailing attributable earnings on the count in issue today, or 14.31 times on the audited weighted average — both readings are legitimate and both are given — and 11.6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6.17x</w:t>
            </w:r>
          </w:p>
        </w:tc>
        <w:tc>
          <w:tcPr>
            <w:tcW w:type="dxa" w:w="1368"/>
          </w:tcPr>
          <w:p>
            <w:pPr>
              <w:spacing w:after="20"/>
              <w:jc w:val="right"/>
            </w:pPr>
            <w:r>
              <w:rPr>
                <w:color w:val="1C3A36"/>
                <w:sz w:val="17"/>
              </w:rPr>
              <w:t>33.67</w:t>
            </w:r>
          </w:p>
        </w:tc>
        <w:tc>
          <w:tcPr>
            <w:tcW w:type="dxa" w:w="4320"/>
          </w:tcPr>
          <w:p>
            <w:pPr>
              <w:spacing w:after="20"/>
              <w:jc w:val="right"/>
            </w:pPr>
            <w:r>
              <w:rPr>
                <w:color w:val="1C3A36"/>
                <w:sz w:val="17"/>
              </w:rPr>
              <w:t>a FORWARD multiple on FORWARD earnings of EGP 5.46. Retention must equal growth 7% over sustainable return 18.8%, so payout is 63%</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6.30x</w:t>
            </w:r>
          </w:p>
        </w:tc>
        <w:tc>
          <w:tcPr>
            <w:tcW w:type="dxa" w:w="1368"/>
          </w:tcPr>
          <w:p>
            <w:pPr>
              <w:spacing w:after="20"/>
              <w:jc w:val="right"/>
            </w:pPr>
            <w:r>
              <w:rPr>
                <w:color w:val="1C3A36"/>
                <w:sz w:val="17"/>
              </w:rPr>
              <w:t>53.85</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17.2%</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6.35x</w:t>
            </w:r>
          </w:p>
        </w:tc>
        <w:tc>
          <w:tcPr>
            <w:tcW w:type="dxa" w:w="1368"/>
            <w:shd w:val="clear" w:color="auto" w:fill="F6F1E6"/>
          </w:tcPr>
          <w:p>
            <w:pPr>
              <w:spacing w:after="20"/>
              <w:jc w:val="right"/>
            </w:pPr>
            <w:r>
              <w:rPr>
                <w:b/>
                <w:color w:val="1C3A36"/>
                <w:sz w:val="17"/>
              </w:rPr>
              <w:t>47.89</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8.97 a share of sustainable earnings. Capitalised at the PERPETUAL cost of equity of 17.16% less 7% growth, on the 63% payout that growth rate permits, that is EGP 55.34 a share. Using today's crisis-level cost of equity of 25.92%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31 to EGP 55.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31.37 a share on Frame A and EGP 47.60 on Frame B, against a market price of EGP 127.30.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22.28</w:t>
            </w:r>
          </w:p>
        </w:tc>
        <w:tc>
          <w:tcPr>
            <w:tcW w:type="dxa" w:w="1325"/>
          </w:tcPr>
          <w:p>
            <w:pPr>
              <w:spacing w:after="20"/>
              <w:jc w:val="right"/>
            </w:pPr>
            <w:r>
              <w:rPr>
                <w:color w:val="1C3A36"/>
                <w:sz w:val="17"/>
              </w:rPr>
              <w:t>24.07</w:t>
            </w:r>
          </w:p>
        </w:tc>
        <w:tc>
          <w:tcPr>
            <w:tcW w:type="dxa" w:w="1325"/>
          </w:tcPr>
          <w:p>
            <w:pPr>
              <w:spacing w:after="20"/>
              <w:jc w:val="right"/>
            </w:pPr>
            <w:r>
              <w:rPr>
                <w:color w:val="1C3A36"/>
                <w:sz w:val="17"/>
              </w:rPr>
              <w:t>25.87</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29.07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55.1</w:t>
            </w:r>
          </w:p>
        </w:tc>
        <w:tc>
          <w:tcPr>
            <w:tcW w:type="dxa" w:w="1325"/>
          </w:tcPr>
          <w:p>
            <w:pPr>
              <w:spacing w:after="20"/>
              <w:jc w:val="right"/>
            </w:pPr>
            <w:r>
              <w:rPr>
                <w:color w:val="1C3A36"/>
                <w:sz w:val="17"/>
              </w:rPr>
              <w:t>60.2</w:t>
            </w:r>
          </w:p>
        </w:tc>
        <w:tc>
          <w:tcPr>
            <w:tcW w:type="dxa" w:w="1325"/>
          </w:tcPr>
          <w:p>
            <w:pPr>
              <w:spacing w:after="20"/>
              <w:jc w:val="right"/>
            </w:pPr>
            <w:r>
              <w:rPr>
                <w:color w:val="1C3A36"/>
                <w:sz w:val="17"/>
              </w:rPr>
              <w:t>64.0</w:t>
            </w:r>
          </w:p>
        </w:tc>
        <w:tc>
          <w:tcPr>
            <w:tcW w:type="dxa" w:w="1325"/>
          </w:tcPr>
          <w:p>
            <w:pPr>
              <w:spacing w:after="20"/>
              <w:jc w:val="right"/>
            </w:pPr>
            <w:r>
              <w:rPr>
                <w:color w:val="1C3A36"/>
                <w:sz w:val="17"/>
              </w:rPr>
              <w:t>67.2</w:t>
            </w:r>
          </w:p>
        </w:tc>
        <w:tc>
          <w:tcPr>
            <w:tcW w:type="dxa" w:w="1325"/>
          </w:tcPr>
          <w:p>
            <w:pPr>
              <w:spacing w:after="20"/>
              <w:jc w:val="right"/>
            </w:pPr>
            <w:r>
              <w:rPr>
                <w:color w:val="1C3A36"/>
                <w:sz w:val="17"/>
              </w:rPr>
              <w:t>70.1</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9.45</w:t>
            </w:r>
          </w:p>
        </w:tc>
        <w:tc>
          <w:tcPr>
            <w:tcW w:type="dxa" w:w="1325"/>
          </w:tcPr>
          <w:p>
            <w:pPr>
              <w:spacing w:after="20"/>
              <w:jc w:val="right"/>
            </w:pPr>
            <w:r>
              <w:rPr>
                <w:color w:val="1C3A36"/>
                <w:sz w:val="17"/>
              </w:rPr>
              <w:t>10.21</w:t>
            </w:r>
          </w:p>
        </w:tc>
        <w:tc>
          <w:tcPr>
            <w:tcW w:type="dxa" w:w="1325"/>
          </w:tcPr>
          <w:p>
            <w:pPr>
              <w:spacing w:after="20"/>
              <w:jc w:val="right"/>
            </w:pPr>
            <w:r>
              <w:rPr>
                <w:color w:val="1C3A36"/>
                <w:sz w:val="17"/>
              </w:rPr>
              <w:t>10.97</w:t>
            </w:r>
          </w:p>
        </w:tc>
        <w:tc>
          <w:tcPr>
            <w:tcW w:type="dxa" w:w="1325"/>
          </w:tcPr>
          <w:p>
            <w:pPr>
              <w:spacing w:after="20"/>
              <w:jc w:val="right"/>
            </w:pPr>
            <w:r>
              <w:rPr>
                <w:color w:val="1C3A36"/>
                <w:sz w:val="17"/>
              </w:rPr>
              <w:t>11.68</w:t>
            </w:r>
          </w:p>
        </w:tc>
        <w:tc>
          <w:tcPr>
            <w:tcW w:type="dxa" w:w="1325"/>
          </w:tcPr>
          <w:p>
            <w:pPr>
              <w:spacing w:after="20"/>
              <w:jc w:val="right"/>
            </w:pPr>
            <w:r>
              <w:rPr>
                <w:color w:val="1C3A36"/>
                <w:sz w:val="17"/>
              </w:rPr>
              <w:t>12.33</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17.79</w:t>
            </w:r>
          </w:p>
        </w:tc>
        <w:tc>
          <w:tcPr>
            <w:tcW w:type="dxa" w:w="1325"/>
          </w:tcPr>
          <w:p>
            <w:pPr>
              <w:spacing w:after="20"/>
              <w:jc w:val="right"/>
            </w:pPr>
            <w:r>
              <w:rPr>
                <w:color w:val="1C3A36"/>
                <w:sz w:val="17"/>
              </w:rPr>
              <w:t>19.22</w:t>
            </w:r>
          </w:p>
        </w:tc>
        <w:tc>
          <w:tcPr>
            <w:tcW w:type="dxa" w:w="1325"/>
          </w:tcPr>
          <w:p>
            <w:pPr>
              <w:spacing w:after="20"/>
              <w:jc w:val="right"/>
            </w:pPr>
            <w:r>
              <w:rPr>
                <w:color w:val="1C3A36"/>
                <w:sz w:val="17"/>
              </w:rPr>
              <w:t>20.66</w:t>
            </w:r>
          </w:p>
        </w:tc>
        <w:tc>
          <w:tcPr>
            <w:tcW w:type="dxa" w:w="1325"/>
          </w:tcPr>
          <w:p>
            <w:pPr>
              <w:spacing w:after="20"/>
              <w:jc w:val="right"/>
            </w:pPr>
            <w:r>
              <w:rPr>
                <w:color w:val="1C3A36"/>
                <w:sz w:val="17"/>
              </w:rPr>
              <w:t>22.00</w:t>
            </w:r>
          </w:p>
        </w:tc>
        <w:tc>
          <w:tcPr>
            <w:tcW w:type="dxa" w:w="1325"/>
          </w:tcPr>
          <w:p>
            <w:pPr>
              <w:spacing w:after="20"/>
              <w:jc w:val="right"/>
            </w:pPr>
            <w:r>
              <w:rPr>
                <w:color w:val="1C3A36"/>
                <w:sz w:val="17"/>
              </w:rPr>
              <w:t>23.21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10,694</w:t>
            </w:r>
          </w:p>
        </w:tc>
        <w:tc>
          <w:tcPr>
            <w:tcW w:type="dxa" w:w="1325"/>
          </w:tcPr>
          <w:p>
            <w:pPr>
              <w:spacing w:after="20"/>
              <w:jc w:val="right"/>
            </w:pPr>
            <w:r>
              <w:rPr>
                <w:color w:val="1C3A36"/>
                <w:sz w:val="17"/>
              </w:rPr>
              <w:t>12,612</w:t>
            </w:r>
          </w:p>
        </w:tc>
        <w:tc>
          <w:tcPr>
            <w:tcW w:type="dxa" w:w="1325"/>
          </w:tcPr>
          <w:p>
            <w:pPr>
              <w:spacing w:after="20"/>
              <w:jc w:val="right"/>
            </w:pPr>
            <w:r>
              <w:rPr>
                <w:color w:val="1C3A36"/>
                <w:sz w:val="17"/>
              </w:rPr>
              <w:t>14,621</w:t>
            </w:r>
          </w:p>
        </w:tc>
        <w:tc>
          <w:tcPr>
            <w:tcW w:type="dxa" w:w="1325"/>
          </w:tcPr>
          <w:p>
            <w:pPr>
              <w:spacing w:after="20"/>
              <w:jc w:val="right"/>
            </w:pPr>
            <w:r>
              <w:rPr>
                <w:color w:val="1C3A36"/>
                <w:sz w:val="17"/>
              </w:rPr>
              <w:t>16,637</w:t>
            </w:r>
          </w:p>
        </w:tc>
        <w:tc>
          <w:tcPr>
            <w:tcW w:type="dxa" w:w="1325"/>
          </w:tcPr>
          <w:p>
            <w:pPr>
              <w:spacing w:after="20"/>
              <w:jc w:val="right"/>
            </w:pPr>
            <w:r>
              <w:rPr>
                <w:color w:val="1C3A36"/>
                <w:sz w:val="17"/>
              </w:rPr>
              <w:t>18,608</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39.2%</w:t>
            </w:r>
          </w:p>
        </w:tc>
        <w:tc>
          <w:tcPr>
            <w:tcW w:type="dxa" w:w="1325"/>
            <w:shd w:val="clear" w:color="auto" w:fill="F6F1E6"/>
          </w:tcPr>
          <w:p>
            <w:pPr>
              <w:spacing w:after="20"/>
              <w:jc w:val="right"/>
            </w:pPr>
            <w:r>
              <w:rPr>
                <w:b/>
                <w:color w:val="1C3A36"/>
                <w:sz w:val="17"/>
              </w:rPr>
              <w:t>37.3%</w:t>
            </w:r>
          </w:p>
        </w:tc>
        <w:tc>
          <w:tcPr>
            <w:tcW w:type="dxa" w:w="1325"/>
            <w:shd w:val="clear" w:color="auto" w:fill="F6F1E6"/>
          </w:tcPr>
          <w:p>
            <w:pPr>
              <w:spacing w:after="20"/>
              <w:jc w:val="right"/>
            </w:pPr>
            <w:r>
              <w:rPr>
                <w:b/>
                <w:color w:val="1C3A36"/>
                <w:sz w:val="17"/>
              </w:rPr>
              <w:t>36.9%</w:t>
            </w:r>
          </w:p>
        </w:tc>
        <w:tc>
          <w:tcPr>
            <w:tcW w:type="dxa" w:w="1325"/>
            <w:shd w:val="clear" w:color="auto" w:fill="F6F1E6"/>
          </w:tcPr>
          <w:p>
            <w:pPr>
              <w:spacing w:after="20"/>
              <w:jc w:val="right"/>
            </w:pPr>
            <w:r>
              <w:rPr>
                <w:b/>
                <w:color w:val="1C3A36"/>
                <w:sz w:val="17"/>
              </w:rPr>
              <w:t>36.8%</w:t>
            </w:r>
          </w:p>
        </w:tc>
        <w:tc>
          <w:tcPr>
            <w:tcW w:type="dxa" w:w="1325"/>
            <w:shd w:val="clear" w:color="auto" w:fill="F6F1E6"/>
          </w:tcPr>
          <w:p>
            <w:pPr>
              <w:spacing w:after="20"/>
              <w:jc w:val="right"/>
            </w:pPr>
            <w:r>
              <w:rPr>
                <w:b/>
                <w:color w:val="1C3A36"/>
                <w:sz w:val="17"/>
              </w:rPr>
              <w:t>36.5%</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9,322 million of revenue by FY2030 at a 45% contribution margin closes the gap from EGP 31.37 to EGP 127.30. That is 33% of FY2030 revenue, or about USD 133 million a year — 1.33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133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127.30 the market is paying EGP 95.93 a share — EGP 16,188 million, 75% of the entire share price — for a plant this study values at nothing, against a stated build cost of USD 100 million, about EGP 7,011 million. The market is not merely paying for the plant to work; it is paying roughly 2.3 times what the plant cost to build. That is the proposition, stated as a multiple of an observable outlay rather than as a valuation.</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133 million a year of biosimilar revenue by 2030 is a figure the company will eventually disclose, and a reader can check this study against it. An asset turn of 1.33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10,694</w:t>
            </w:r>
          </w:p>
        </w:tc>
        <w:tc>
          <w:tcPr>
            <w:tcW w:type="dxa" w:w="3312"/>
          </w:tcPr>
          <w:p>
            <w:pPr>
              <w:spacing w:after="20"/>
              <w:jc w:val="right"/>
            </w:pPr>
            <w:r>
              <w:rPr>
                <w:color w:val="1C3A36"/>
                <w:sz w:val="16"/>
              </w:rPr>
              <w:t>2.9%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39.2%</w:t>
            </w:r>
          </w:p>
        </w:tc>
        <w:tc>
          <w:tcPr>
            <w:tcW w:type="dxa" w:w="3312"/>
          </w:tcPr>
          <w:p>
            <w:pPr>
              <w:spacing w:after="20"/>
              <w:jc w:val="right"/>
            </w:pPr>
            <w:r>
              <w:rPr>
                <w:color w:val="1C3A36"/>
                <w:sz w:val="16"/>
              </w:rPr>
              <w:t>within 320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1,337</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891</w:t>
            </w:r>
          </w:p>
        </w:tc>
        <w:tc>
          <w:tcPr>
            <w:tcW w:type="dxa" w:w="3312"/>
          </w:tcPr>
          <w:p>
            <w:pPr>
              <w:spacing w:after="20"/>
              <w:jc w:val="right"/>
            </w:pPr>
            <w:r>
              <w:rPr>
                <w:color w:val="1C3A36"/>
                <w:sz w:val="16"/>
              </w:rPr>
              <w:t>the study is -31%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5.28</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29.34%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0.666</w:t>
            </w:r>
          </w:p>
        </w:tc>
        <w:tc>
          <w:tcPr>
            <w:tcW w:type="dxa" w:w="1368"/>
          </w:tcPr>
          <w:p>
            <w:pPr>
              <w:spacing w:after="20"/>
              <w:jc w:val="right"/>
            </w:pPr>
            <w:r>
              <w:rPr>
                <w:color w:val="1C3A36"/>
                <w:sz w:val="16"/>
              </w:rPr>
              <w:t>0.666</w:t>
            </w:r>
          </w:p>
        </w:tc>
        <w:tc>
          <w:tcPr>
            <w:tcW w:type="dxa" w:w="4536"/>
          </w:tcPr>
          <w:p>
            <w:pPr>
              <w:spacing w:after="20"/>
              <w:jc w:val="right"/>
            </w:pPr>
            <w:r>
              <w:rPr>
                <w:color w:val="1C3A36"/>
                <w:sz w:val="16"/>
              </w:rPr>
              <w:t>Own-stock weekly regression against the published EGX30 index of the exchange this share is listed on, 4.94 years; R-squared 0.143, n = 256, standard error 0.135</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25.92%</w:t>
            </w:r>
          </w:p>
        </w:tc>
        <w:tc>
          <w:tcPr>
            <w:tcW w:type="dxa" w:w="1368"/>
            <w:shd w:val="clear" w:color="auto" w:fill="F6F1E6"/>
          </w:tcPr>
          <w:p>
            <w:pPr>
              <w:spacing w:after="20"/>
              <w:jc w:val="right"/>
            </w:pPr>
            <w:r>
              <w:rPr>
                <w:b/>
                <w:color w:val="1C3A36"/>
                <w:sz w:val="16"/>
              </w:rPr>
              <w:t>26.01%</w:t>
            </w:r>
          </w:p>
        </w:tc>
        <w:tc>
          <w:tcPr>
            <w:tcW w:type="dxa" w:w="4536"/>
            <w:shd w:val="clear" w:color="auto" w:fill="F6F1E6"/>
          </w:tcPr>
          <w:p>
            <w:pPr>
              <w:spacing w:after="20"/>
              <w:jc w:val="right"/>
            </w:pPr>
            <w:r>
              <w:rPr>
                <w:b/>
                <w:color w:val="1C3A36"/>
                <w:sz w:val="16"/>
              </w:rPr>
              <w:t>The two bases agree to 9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24.81%</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14.38%</w:t>
            </w:r>
          </w:p>
        </w:tc>
        <w:tc>
          <w:tcPr>
            <w:tcW w:type="dxa" w:w="1368"/>
          </w:tcPr>
          <w:p>
            <w:pPr>
              <w:spacing w:after="20"/>
              <w:jc w:val="right"/>
            </w:pPr>
            <w:r>
              <w:rPr>
                <w:color w:val="1C3A36"/>
                <w:sz w:val="16"/>
              </w:rPr>
              <w:t>14.38%</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74% / 26%</w:t>
            </w:r>
          </w:p>
        </w:tc>
        <w:tc>
          <w:tcPr>
            <w:tcW w:type="dxa" w:w="1368"/>
          </w:tcPr>
          <w:p>
            <w:pPr>
              <w:spacing w:after="20"/>
              <w:jc w:val="right"/>
            </w:pPr>
            <w:r>
              <w:rPr>
                <w:color w:val="1C3A36"/>
                <w:sz w:val="16"/>
              </w:rPr>
              <w:t>74% / 26%</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22.97%</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22.56%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15.22%</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17.16%, cost of debt after tax 9.56%, DERIVED debt weight 25.5% on today's market values. The forecast balance sheet, once funded, carries 47.9% on book at FY2030E, which would give 13.52%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18.5%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22.97%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31.37</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23.14</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45.84</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32.02</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31</w:t>
            </w:r>
          </w:p>
        </w:tc>
        <w:tc>
          <w:tcPr>
            <w:tcW w:type="dxa" w:w="1368"/>
          </w:tcPr>
          <w:p>
            <w:pPr>
              <w:spacing w:after="20"/>
              <w:jc w:val="right"/>
            </w:pPr>
            <w:r>
              <w:rPr>
                <w:color w:val="1C3A36"/>
                <w:sz w:val="17"/>
              </w:rPr>
              <w:t>34</w:t>
            </w:r>
          </w:p>
        </w:tc>
        <w:tc>
          <w:tcPr>
            <w:tcW w:type="dxa" w:w="1368"/>
          </w:tcPr>
          <w:p>
            <w:pPr>
              <w:spacing w:after="20"/>
              <w:jc w:val="right"/>
            </w:pPr>
            <w:r>
              <w:rPr>
                <w:color w:val="1C3A36"/>
                <w:sz w:val="17"/>
              </w:rPr>
              <w:t>37</w:t>
            </w:r>
          </w:p>
        </w:tc>
        <w:tc>
          <w:tcPr>
            <w:tcW w:type="dxa" w:w="1368"/>
          </w:tcPr>
          <w:p>
            <w:pPr>
              <w:spacing w:after="20"/>
              <w:jc w:val="right"/>
            </w:pPr>
            <w:r>
              <w:rPr>
                <w:color w:val="1C3A36"/>
                <w:sz w:val="17"/>
              </w:rPr>
              <w:t>41</w:t>
            </w:r>
          </w:p>
        </w:tc>
        <w:tc>
          <w:tcPr>
            <w:tcW w:type="dxa" w:w="1368"/>
          </w:tcPr>
          <w:p>
            <w:pPr>
              <w:spacing w:after="20"/>
              <w:jc w:val="right"/>
            </w:pPr>
            <w:r>
              <w:rPr>
                <w:color w:val="1C3A36"/>
                <w:sz w:val="17"/>
              </w:rPr>
              <w:t>46</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27</w:t>
            </w:r>
          </w:p>
        </w:tc>
        <w:tc>
          <w:tcPr>
            <w:tcW w:type="dxa" w:w="1368"/>
          </w:tcPr>
          <w:p>
            <w:pPr>
              <w:spacing w:after="20"/>
              <w:jc w:val="right"/>
            </w:pPr>
            <w:r>
              <w:rPr>
                <w:color w:val="1C3A36"/>
                <w:sz w:val="17"/>
              </w:rPr>
              <w:t>29</w:t>
            </w:r>
          </w:p>
        </w:tc>
        <w:tc>
          <w:tcPr>
            <w:tcW w:type="dxa" w:w="1368"/>
          </w:tcPr>
          <w:p>
            <w:pPr>
              <w:spacing w:after="20"/>
              <w:jc w:val="right"/>
            </w:pPr>
            <w:r>
              <w:rPr>
                <w:color w:val="1C3A36"/>
                <w:sz w:val="17"/>
              </w:rPr>
              <w:t>31</w:t>
            </w:r>
          </w:p>
        </w:tc>
        <w:tc>
          <w:tcPr>
            <w:tcW w:type="dxa" w:w="1368"/>
          </w:tcPr>
          <w:p>
            <w:pPr>
              <w:spacing w:after="20"/>
              <w:jc w:val="right"/>
            </w:pPr>
            <w:r>
              <w:rPr>
                <w:color w:val="1C3A36"/>
                <w:sz w:val="17"/>
              </w:rPr>
              <w:t>34</w:t>
            </w:r>
          </w:p>
        </w:tc>
        <w:tc>
          <w:tcPr>
            <w:tcW w:type="dxa" w:w="1368"/>
          </w:tcPr>
          <w:p>
            <w:pPr>
              <w:spacing w:after="20"/>
              <w:jc w:val="right"/>
            </w:pPr>
            <w:r>
              <w:rPr>
                <w:color w:val="1C3A36"/>
                <w:sz w:val="17"/>
              </w:rPr>
              <w:t>38</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23</w:t>
            </w:r>
          </w:p>
        </w:tc>
        <w:tc>
          <w:tcPr>
            <w:tcW w:type="dxa" w:w="1368"/>
          </w:tcPr>
          <w:p>
            <w:pPr>
              <w:spacing w:after="20"/>
              <w:jc w:val="right"/>
            </w:pPr>
            <w:r>
              <w:rPr>
                <w:color w:val="1C3A36"/>
                <w:sz w:val="17"/>
              </w:rPr>
              <w:t>24</w:t>
            </w:r>
          </w:p>
        </w:tc>
        <w:tc>
          <w:tcPr>
            <w:tcW w:type="dxa" w:w="1368"/>
          </w:tcPr>
          <w:p>
            <w:pPr>
              <w:spacing w:after="20"/>
              <w:jc w:val="right"/>
            </w:pPr>
            <w:r>
              <w:rPr>
                <w:color w:val="1C3A36"/>
                <w:sz w:val="17"/>
              </w:rPr>
              <w:t>26</w:t>
            </w:r>
          </w:p>
        </w:tc>
        <w:tc>
          <w:tcPr>
            <w:tcW w:type="dxa" w:w="1368"/>
          </w:tcPr>
          <w:p>
            <w:pPr>
              <w:spacing w:after="20"/>
              <w:jc w:val="right"/>
            </w:pPr>
            <w:r>
              <w:rPr>
                <w:color w:val="1C3A36"/>
                <w:sz w:val="17"/>
              </w:rPr>
              <w:t>29</w:t>
            </w:r>
          </w:p>
        </w:tc>
        <w:tc>
          <w:tcPr>
            <w:tcW w:type="dxa" w:w="1368"/>
          </w:tcPr>
          <w:p>
            <w:pPr>
              <w:spacing w:after="20"/>
              <w:jc w:val="right"/>
            </w:pPr>
            <w:r>
              <w:rPr>
                <w:color w:val="1C3A36"/>
                <w:sz w:val="17"/>
              </w:rPr>
              <w:t>31</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19</w:t>
            </w:r>
          </w:p>
        </w:tc>
        <w:tc>
          <w:tcPr>
            <w:tcW w:type="dxa" w:w="1368"/>
          </w:tcPr>
          <w:p>
            <w:pPr>
              <w:spacing w:after="20"/>
              <w:jc w:val="right"/>
            </w:pPr>
            <w:r>
              <w:rPr>
                <w:color w:val="1C3A36"/>
                <w:sz w:val="17"/>
              </w:rPr>
              <w:t>21</w:t>
            </w:r>
          </w:p>
        </w:tc>
        <w:tc>
          <w:tcPr>
            <w:tcW w:type="dxa" w:w="1368"/>
          </w:tcPr>
          <w:p>
            <w:pPr>
              <w:spacing w:after="20"/>
              <w:jc w:val="right"/>
            </w:pPr>
            <w:r>
              <w:rPr>
                <w:color w:val="1C3A36"/>
                <w:sz w:val="17"/>
              </w:rPr>
              <w:t>22</w:t>
            </w:r>
          </w:p>
        </w:tc>
        <w:tc>
          <w:tcPr>
            <w:tcW w:type="dxa" w:w="1368"/>
          </w:tcPr>
          <w:p>
            <w:pPr>
              <w:spacing w:after="20"/>
              <w:jc w:val="right"/>
            </w:pPr>
            <w:r>
              <w:rPr>
                <w:color w:val="1C3A36"/>
                <w:sz w:val="17"/>
              </w:rPr>
              <w:t>24</w:t>
            </w:r>
          </w:p>
        </w:tc>
        <w:tc>
          <w:tcPr>
            <w:tcW w:type="dxa" w:w="1368"/>
          </w:tcPr>
          <w:p>
            <w:pPr>
              <w:spacing w:after="20"/>
              <w:jc w:val="right"/>
            </w:pPr>
            <w:r>
              <w:rPr>
                <w:color w:val="1C3A36"/>
                <w:sz w:val="17"/>
              </w:rPr>
              <w:t>26</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16</w:t>
            </w:r>
          </w:p>
        </w:tc>
        <w:tc>
          <w:tcPr>
            <w:tcW w:type="dxa" w:w="1368"/>
          </w:tcPr>
          <w:p>
            <w:pPr>
              <w:spacing w:after="20"/>
              <w:jc w:val="right"/>
            </w:pPr>
            <w:r>
              <w:rPr>
                <w:color w:val="1C3A36"/>
                <w:sz w:val="17"/>
              </w:rPr>
              <w:t>17</w:t>
            </w:r>
          </w:p>
        </w:tc>
        <w:tc>
          <w:tcPr>
            <w:tcW w:type="dxa" w:w="1368"/>
          </w:tcPr>
          <w:p>
            <w:pPr>
              <w:spacing w:after="20"/>
              <w:jc w:val="right"/>
            </w:pPr>
            <w:r>
              <w:rPr>
                <w:color w:val="1C3A36"/>
                <w:sz w:val="17"/>
              </w:rPr>
              <w:t>18</w:t>
            </w:r>
          </w:p>
        </w:tc>
        <w:tc>
          <w:tcPr>
            <w:tcW w:type="dxa" w:w="1368"/>
          </w:tcPr>
          <w:p>
            <w:pPr>
              <w:spacing w:after="20"/>
              <w:jc w:val="right"/>
            </w:pPr>
            <w:r>
              <w:rPr>
                <w:color w:val="1C3A36"/>
                <w:sz w:val="17"/>
              </w:rPr>
              <w:t>20</w:t>
            </w:r>
          </w:p>
        </w:tc>
        <w:tc>
          <w:tcPr>
            <w:tcW w:type="dxa" w:w="1368"/>
          </w:tcPr>
          <w:p>
            <w:pPr>
              <w:spacing w:after="20"/>
              <w:jc w:val="right"/>
            </w:pPr>
            <w:r>
              <w:rPr>
                <w:color w:val="1C3A36"/>
                <w:sz w:val="17"/>
              </w:rPr>
              <w:t>21</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16 to EGP 46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2,330 million of FY2030 sales, or USD 33 million a year — is worth about EGP 23.98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22.5%</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17.8%</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10.0%</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127.30</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-27.4%</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-30.5%</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-32.9%</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-27%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3652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3652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checking each forecast against what actually happened. Three window sets are reported: the last five years, 19 non-overlapping three-month windows; the full 13.8-year history, 56 windows; and the period AFTER the currency break that dominates the older history — 16 windows from 2022-06-20 to 2026-03-24. The third is published because it is the set that matches the period the bands shown above are built on. All three are reported together; reporting only two of three would be a choice about which evidence a reader sees.</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31.37</w:t>
            </w:r>
          </w:p>
        </w:tc>
        <w:tc>
          <w:tcPr>
            <w:tcW w:type="dxa" w:w="2952"/>
          </w:tcPr>
          <w:p>
            <w:pPr>
              <w:spacing w:after="20"/>
              <w:jc w:val="right"/>
            </w:pPr>
            <w:r>
              <w:rPr>
                <w:color w:val="1C3A36"/>
                <w:sz w:val="16"/>
              </w:rPr>
              <w:t>the terminal discount rate and the terminal growth rate — 79%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47.60</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42.80</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47.89</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55.34</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cash-flow reading on the permanent-provision frame at EGP 31.37; the highest is the normalised-earnings lens at EGP 55.34. The cash-flow readings charge the new plant's full cost and credit it with nothing, so they sit low despite capturing five years of the volume and price growth the existing business is already delivering. The relative lens prices the company on what a 18.8% return and a 17.2% perpetual cost of equity can justify, which supports about 6.17 times forward earnings against the 14.90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133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31.37 and EGP 47.60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12.73% in FY2030E. It now READS the model's own final year, so terminal reinvestment rises from 25.0% to 55.0%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3,108 million of construction is still parked at FY2030E and had never entered the depreciable base. A perpetuity cannot capitalise profit on capital it never charges, so EGP 193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25.5% on today's market values, 47.9%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tcPr>
          <w:p>
            <w:pPr>
              <w:spacing w:after="20"/>
            </w:pPr>
            <w:r>
              <w:rPr>
                <w:color w:val="1C3A36"/>
                <w:sz w:val="16"/>
              </w:rPr>
              <w:t>The terminal is fed the LAST forecast year’s cash flow, not a year already grown</w:t>
            </w:r>
          </w:p>
        </w:tc>
        <w:tc>
          <w:tcPr>
            <w:tcW w:type="dxa" w:w="6048"/>
          </w:tcPr>
          <w:p>
            <w:pPr>
              <w:spacing w:after="20"/>
              <w:jc w:val="right"/>
            </w:pPr>
            <w:r>
              <w:rPr>
                <w:color w:val="1C3A36"/>
                <w:sz w:val="16"/>
              </w:rPr>
              <w:t>the terminal formula grows the free cash flow one year itself and values the result at the end of the last forecast year, which is where the discount factor lands it. The profit, the depreciation and the working capital handed to it had already been grown once, so the terminal capitalised a flow a year further out than the factor it was discounted at. Correcting it lowers the terminal by -7.2% on Frame A and -7.0% on Frame B, and the value per share by -10.1% and -8.5% — the larger share effect is gearing, not a second change</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31.37 on Frame A (-61%) and EGP 47.60 on Frame B (-40%)</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9.30% against a blended MARGINAL cost of debt of 18.55%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market index explains little of this share’s week-to-week movement</w:t>
            </w:r>
          </w:p>
        </w:tc>
        <w:tc>
          <w:tcPr>
            <w:tcW w:type="dxa" w:w="4824"/>
          </w:tcPr>
          <w:p>
            <w:pPr>
              <w:spacing w:after="20"/>
              <w:jc w:val="right"/>
            </w:pPr>
            <w:r>
              <w:rPr>
                <w:color w:val="1C3A36"/>
                <w:sz w:val="16"/>
              </w:rPr>
              <w:t>the beta is regressed against the published index of the exchange the shares are listed on, and that index explains 14.3% of the weekly variation over 256 observations. The coefficient is 0.666 with a 90% range of 0.443 to 0.889, and that range is wide enough to matter to the valuation. A previous edition regressed against an equal-weighted basket of 36 local names, which fit better — 23.5% — and gave 0.629. That basket is not a market: it changes whenever a share is added to it and it shares members with the very set it is used to price, so it tracks any one of them more closely than a real index does. A better fit against the wrong yardstick is not a reason to use the wrong yardstick. Both figures and their statistics are published in the bibliography</w:t>
            </w:r>
          </w:p>
        </w:tc>
        <w:tc>
          <w:tcPr>
            <w:tcW w:type="dxa" w:w="2376"/>
          </w:tcPr>
          <w:p>
            <w:pPr>
              <w:spacing w:after="20"/>
              <w:jc w:val="right"/>
            </w:pPr>
            <w:r>
              <w:rPr>
                <w:color w:val="1C3A36"/>
                <w:sz w:val="16"/>
              </w:rPr>
              <w:t>a longer price history, or a defensible set of listed peers whose own betas clear the same usability test</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133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10,694</w:t>
            </w:r>
          </w:p>
        </w:tc>
        <w:tc>
          <w:tcPr>
            <w:tcW w:type="dxa" w:w="1037"/>
          </w:tcPr>
          <w:p>
            <w:pPr>
              <w:spacing w:after="20"/>
              <w:jc w:val="right"/>
            </w:pPr>
            <w:r>
              <w:rPr>
                <w:color w:val="1C3A36"/>
                <w:sz w:val="15"/>
              </w:rPr>
              <w:t>12,612</w:t>
            </w:r>
          </w:p>
        </w:tc>
        <w:tc>
          <w:tcPr>
            <w:tcW w:type="dxa" w:w="1037"/>
          </w:tcPr>
          <w:p>
            <w:pPr>
              <w:spacing w:after="20"/>
              <w:jc w:val="right"/>
            </w:pPr>
            <w:r>
              <w:rPr>
                <w:color w:val="1C3A36"/>
                <w:sz w:val="15"/>
              </w:rPr>
              <w:t>14,621</w:t>
            </w:r>
          </w:p>
        </w:tc>
        <w:tc>
          <w:tcPr>
            <w:tcW w:type="dxa" w:w="1037"/>
          </w:tcPr>
          <w:p>
            <w:pPr>
              <w:spacing w:after="20"/>
              <w:jc w:val="right"/>
            </w:pPr>
            <w:r>
              <w:rPr>
                <w:color w:val="1C3A36"/>
                <w:sz w:val="15"/>
              </w:rPr>
              <w:t>16,637</w:t>
            </w:r>
          </w:p>
        </w:tc>
        <w:tc>
          <w:tcPr>
            <w:tcW w:type="dxa" w:w="1037"/>
          </w:tcPr>
          <w:p>
            <w:pPr>
              <w:spacing w:after="20"/>
              <w:jc w:val="right"/>
            </w:pPr>
            <w:r>
              <w:rPr>
                <w:color w:val="1C3A36"/>
                <w:sz w:val="15"/>
              </w:rPr>
              <w:t>18,608</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6,503</w:t>
            </w:r>
          </w:p>
        </w:tc>
        <w:tc>
          <w:tcPr>
            <w:tcW w:type="dxa" w:w="1037"/>
          </w:tcPr>
          <w:p>
            <w:pPr>
              <w:spacing w:after="20"/>
              <w:jc w:val="right"/>
            </w:pPr>
            <w:r>
              <w:rPr>
                <w:color w:val="1C3A36"/>
                <w:sz w:val="15"/>
              </w:rPr>
              <w:t>7,910</w:t>
            </w:r>
          </w:p>
        </w:tc>
        <w:tc>
          <w:tcPr>
            <w:tcW w:type="dxa" w:w="1037"/>
          </w:tcPr>
          <w:p>
            <w:pPr>
              <w:spacing w:after="20"/>
              <w:jc w:val="right"/>
            </w:pPr>
            <w:r>
              <w:rPr>
                <w:color w:val="1C3A36"/>
                <w:sz w:val="15"/>
              </w:rPr>
              <w:t>9,231</w:t>
            </w:r>
          </w:p>
        </w:tc>
        <w:tc>
          <w:tcPr>
            <w:tcW w:type="dxa" w:w="1037"/>
          </w:tcPr>
          <w:p>
            <w:pPr>
              <w:spacing w:after="20"/>
              <w:jc w:val="right"/>
            </w:pPr>
            <w:r>
              <w:rPr>
                <w:color w:val="1C3A36"/>
                <w:sz w:val="15"/>
              </w:rPr>
              <w:t>10,522</w:t>
            </w:r>
          </w:p>
        </w:tc>
        <w:tc>
          <w:tcPr>
            <w:tcW w:type="dxa" w:w="1037"/>
          </w:tcPr>
          <w:p>
            <w:pPr>
              <w:spacing w:after="20"/>
              <w:jc w:val="right"/>
            </w:pPr>
            <w:r>
              <w:rPr>
                <w:color w:val="1C3A36"/>
                <w:sz w:val="15"/>
              </w:rPr>
              <w:t>11,823</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4,191</w:t>
            </w:r>
          </w:p>
        </w:tc>
        <w:tc>
          <w:tcPr>
            <w:tcW w:type="dxa" w:w="1037"/>
            <w:shd w:val="clear" w:color="auto" w:fill="F6F1E6"/>
          </w:tcPr>
          <w:p>
            <w:pPr>
              <w:spacing w:after="20"/>
              <w:jc w:val="right"/>
            </w:pPr>
            <w:r>
              <w:rPr>
                <w:b/>
                <w:color w:val="1C3A36"/>
                <w:sz w:val="15"/>
              </w:rPr>
              <w:t>4,702</w:t>
            </w:r>
          </w:p>
        </w:tc>
        <w:tc>
          <w:tcPr>
            <w:tcW w:type="dxa" w:w="1037"/>
            <w:shd w:val="clear" w:color="auto" w:fill="F6F1E6"/>
          </w:tcPr>
          <w:p>
            <w:pPr>
              <w:spacing w:after="20"/>
              <w:jc w:val="right"/>
            </w:pPr>
            <w:r>
              <w:rPr>
                <w:b/>
                <w:color w:val="1C3A36"/>
                <w:sz w:val="15"/>
              </w:rPr>
              <w:t>5,390</w:t>
            </w:r>
          </w:p>
        </w:tc>
        <w:tc>
          <w:tcPr>
            <w:tcW w:type="dxa" w:w="1037"/>
            <w:shd w:val="clear" w:color="auto" w:fill="F6F1E6"/>
          </w:tcPr>
          <w:p>
            <w:pPr>
              <w:spacing w:after="20"/>
              <w:jc w:val="right"/>
            </w:pPr>
            <w:r>
              <w:rPr>
                <w:b/>
                <w:color w:val="1C3A36"/>
                <w:sz w:val="15"/>
              </w:rPr>
              <w:t>6,115</w:t>
            </w:r>
          </w:p>
        </w:tc>
        <w:tc>
          <w:tcPr>
            <w:tcW w:type="dxa" w:w="1037"/>
            <w:shd w:val="clear" w:color="auto" w:fill="F6F1E6"/>
          </w:tcPr>
          <w:p>
            <w:pPr>
              <w:spacing w:after="20"/>
              <w:jc w:val="right"/>
            </w:pPr>
            <w:r>
              <w:rPr>
                <w:b/>
                <w:color w:val="1C3A36"/>
                <w:sz w:val="15"/>
              </w:rPr>
              <w:t>6,785</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39.2%</w:t>
            </w:r>
          </w:p>
        </w:tc>
        <w:tc>
          <w:tcPr>
            <w:tcW w:type="dxa" w:w="1037"/>
          </w:tcPr>
          <w:p>
            <w:pPr>
              <w:spacing w:after="20"/>
              <w:jc w:val="right"/>
            </w:pPr>
            <w:r>
              <w:rPr>
                <w:color w:val="1C3A36"/>
                <w:sz w:val="15"/>
              </w:rPr>
              <w:t>37.3%</w:t>
            </w:r>
          </w:p>
        </w:tc>
        <w:tc>
          <w:tcPr>
            <w:tcW w:type="dxa" w:w="1037"/>
          </w:tcPr>
          <w:p>
            <w:pPr>
              <w:spacing w:after="20"/>
              <w:jc w:val="right"/>
            </w:pPr>
            <w:r>
              <w:rPr>
                <w:color w:val="1C3A36"/>
                <w:sz w:val="15"/>
              </w:rPr>
              <w:t>36.9%</w:t>
            </w:r>
          </w:p>
        </w:tc>
        <w:tc>
          <w:tcPr>
            <w:tcW w:type="dxa" w:w="1037"/>
          </w:tcPr>
          <w:p>
            <w:pPr>
              <w:spacing w:after="20"/>
              <w:jc w:val="right"/>
            </w:pPr>
            <w:r>
              <w:rPr>
                <w:color w:val="1C3A36"/>
                <w:sz w:val="15"/>
              </w:rPr>
              <w:t>36.8%</w:t>
            </w:r>
          </w:p>
        </w:tc>
        <w:tc>
          <w:tcPr>
            <w:tcW w:type="dxa" w:w="1037"/>
          </w:tcPr>
          <w:p>
            <w:pPr>
              <w:spacing w:after="20"/>
              <w:jc w:val="right"/>
            </w:pPr>
            <w:r>
              <w:rPr>
                <w:color w:val="1C3A36"/>
                <w:sz w:val="15"/>
              </w:rPr>
              <w:t>36.5%</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1,112</w:t>
            </w:r>
          </w:p>
        </w:tc>
        <w:tc>
          <w:tcPr>
            <w:tcW w:type="dxa" w:w="1037"/>
          </w:tcPr>
          <w:p>
            <w:pPr>
              <w:spacing w:after="20"/>
              <w:jc w:val="right"/>
            </w:pPr>
            <w:r>
              <w:rPr>
                <w:color w:val="1C3A36"/>
                <w:sz w:val="15"/>
              </w:rPr>
              <w:t>1,286</w:t>
            </w:r>
          </w:p>
        </w:tc>
        <w:tc>
          <w:tcPr>
            <w:tcW w:type="dxa" w:w="1037"/>
          </w:tcPr>
          <w:p>
            <w:pPr>
              <w:spacing w:after="20"/>
              <w:jc w:val="right"/>
            </w:pPr>
            <w:r>
              <w:rPr>
                <w:color w:val="1C3A36"/>
                <w:sz w:val="15"/>
              </w:rPr>
              <w:t>1,462</w:t>
            </w:r>
          </w:p>
        </w:tc>
        <w:tc>
          <w:tcPr>
            <w:tcW w:type="dxa" w:w="1037"/>
          </w:tcPr>
          <w:p>
            <w:pPr>
              <w:spacing w:after="20"/>
              <w:jc w:val="right"/>
            </w:pPr>
            <w:r>
              <w:rPr>
                <w:color w:val="1C3A36"/>
                <w:sz w:val="15"/>
              </w:rPr>
              <w:t>1,647</w:t>
            </w:r>
          </w:p>
        </w:tc>
        <w:tc>
          <w:tcPr>
            <w:tcW w:type="dxa" w:w="1037"/>
          </w:tcPr>
          <w:p>
            <w:pPr>
              <w:spacing w:after="20"/>
              <w:jc w:val="right"/>
            </w:pPr>
            <w:r>
              <w:rPr>
                <w:color w:val="1C3A36"/>
                <w:sz w:val="15"/>
              </w:rPr>
              <w:t>1,824</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90.9</w:t>
            </w:r>
          </w:p>
        </w:tc>
        <w:tc>
          <w:tcPr>
            <w:tcW w:type="dxa" w:w="1037"/>
          </w:tcPr>
          <w:p>
            <w:pPr>
              <w:spacing w:after="20"/>
              <w:jc w:val="right"/>
            </w:pPr>
            <w:r>
              <w:rPr>
                <w:color w:val="1C3A36"/>
                <w:sz w:val="15"/>
              </w:rPr>
              <w:t>113.5</w:t>
            </w:r>
          </w:p>
        </w:tc>
        <w:tc>
          <w:tcPr>
            <w:tcW w:type="dxa" w:w="1037"/>
          </w:tcPr>
          <w:p>
            <w:pPr>
              <w:spacing w:after="20"/>
              <w:jc w:val="right"/>
            </w:pPr>
            <w:r>
              <w:rPr>
                <w:color w:val="1C3A36"/>
                <w:sz w:val="15"/>
              </w:rPr>
              <w:t>138.9</w:t>
            </w:r>
          </w:p>
        </w:tc>
        <w:tc>
          <w:tcPr>
            <w:tcW w:type="dxa" w:w="1037"/>
          </w:tcPr>
          <w:p>
            <w:pPr>
              <w:spacing w:after="20"/>
              <w:jc w:val="right"/>
            </w:pPr>
            <w:r>
              <w:rPr>
                <w:color w:val="1C3A36"/>
                <w:sz w:val="15"/>
              </w:rPr>
              <w:t>166.4</w:t>
            </w:r>
          </w:p>
        </w:tc>
        <w:tc>
          <w:tcPr>
            <w:tcW w:type="dxa" w:w="1037"/>
          </w:tcPr>
          <w:p>
            <w:pPr>
              <w:spacing w:after="20"/>
              <w:jc w:val="right"/>
            </w:pPr>
            <w:r>
              <w:rPr>
                <w:color w:val="1C3A36"/>
                <w:sz w:val="15"/>
              </w:rPr>
              <w:t>186.1</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251.3</w:t>
            </w:r>
          </w:p>
        </w:tc>
        <w:tc>
          <w:tcPr>
            <w:tcW w:type="dxa" w:w="1037"/>
          </w:tcPr>
          <w:p>
            <w:pPr>
              <w:spacing w:after="20"/>
              <w:jc w:val="right"/>
            </w:pPr>
            <w:r>
              <w:rPr>
                <w:color w:val="1C3A36"/>
                <w:sz w:val="15"/>
              </w:rPr>
              <w:t>296.4</w:t>
            </w:r>
          </w:p>
        </w:tc>
        <w:tc>
          <w:tcPr>
            <w:tcW w:type="dxa" w:w="1037"/>
          </w:tcPr>
          <w:p>
            <w:pPr>
              <w:spacing w:after="20"/>
              <w:jc w:val="right"/>
            </w:pPr>
            <w:r>
              <w:rPr>
                <w:color w:val="1C3A36"/>
                <w:sz w:val="15"/>
              </w:rPr>
              <w:t>336.3</w:t>
            </w:r>
          </w:p>
        </w:tc>
        <w:tc>
          <w:tcPr>
            <w:tcW w:type="dxa" w:w="1037"/>
          </w:tcPr>
          <w:p>
            <w:pPr>
              <w:spacing w:after="20"/>
              <w:jc w:val="right"/>
            </w:pPr>
            <w:r>
              <w:rPr>
                <w:color w:val="1C3A36"/>
                <w:sz w:val="15"/>
              </w:rPr>
              <w:t>379.3</w:t>
            </w:r>
          </w:p>
        </w:tc>
        <w:tc>
          <w:tcPr>
            <w:tcW w:type="dxa" w:w="1037"/>
          </w:tcPr>
          <w:p>
            <w:pPr>
              <w:spacing w:after="20"/>
              <w:jc w:val="right"/>
            </w:pPr>
            <w:r>
              <w:rPr>
                <w:color w:val="1C3A36"/>
                <w:sz w:val="15"/>
              </w:rPr>
              <w:t>418.7</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561</w:t>
            </w:r>
          </w:p>
        </w:tc>
        <w:tc>
          <w:tcPr>
            <w:tcW w:type="dxa" w:w="1037"/>
          </w:tcPr>
          <w:p>
            <w:pPr>
              <w:spacing w:after="20"/>
              <w:jc w:val="right"/>
            </w:pPr>
            <w:r>
              <w:rPr>
                <w:color w:val="1C3A36"/>
                <w:sz w:val="15"/>
              </w:rPr>
              <w:t>662</w:t>
            </w:r>
          </w:p>
        </w:tc>
        <w:tc>
          <w:tcPr>
            <w:tcW w:type="dxa" w:w="1037"/>
          </w:tcPr>
          <w:p>
            <w:pPr>
              <w:spacing w:after="20"/>
              <w:jc w:val="right"/>
            </w:pPr>
            <w:r>
              <w:rPr>
                <w:color w:val="1C3A36"/>
                <w:sz w:val="15"/>
              </w:rPr>
              <w:t>768</w:t>
            </w:r>
          </w:p>
        </w:tc>
        <w:tc>
          <w:tcPr>
            <w:tcW w:type="dxa" w:w="1037"/>
          </w:tcPr>
          <w:p>
            <w:pPr>
              <w:spacing w:after="20"/>
              <w:jc w:val="right"/>
            </w:pPr>
            <w:r>
              <w:rPr>
                <w:color w:val="1C3A36"/>
                <w:sz w:val="15"/>
              </w:rPr>
              <w:t>873</w:t>
            </w:r>
          </w:p>
        </w:tc>
        <w:tc>
          <w:tcPr>
            <w:tcW w:type="dxa" w:w="1037"/>
          </w:tcPr>
          <w:p>
            <w:pPr>
              <w:spacing w:after="20"/>
              <w:jc w:val="right"/>
            </w:pPr>
            <w:r>
              <w:rPr>
                <w:color w:val="1C3A36"/>
                <w:sz w:val="15"/>
              </w:rPr>
              <w:t>977</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2,111</w:t>
            </w:r>
          </w:p>
        </w:tc>
        <w:tc>
          <w:tcPr>
            <w:tcW w:type="dxa" w:w="1037"/>
            <w:shd w:val="clear" w:color="auto" w:fill="F6F1E6"/>
          </w:tcPr>
          <w:p>
            <w:pPr>
              <w:spacing w:after="20"/>
              <w:jc w:val="right"/>
            </w:pPr>
            <w:r>
              <w:rPr>
                <w:b/>
                <w:color w:val="1C3A36"/>
                <w:sz w:val="15"/>
              </w:rPr>
              <w:t>2,254</w:t>
            </w:r>
          </w:p>
        </w:tc>
        <w:tc>
          <w:tcPr>
            <w:tcW w:type="dxa" w:w="1037"/>
            <w:shd w:val="clear" w:color="auto" w:fill="F6F1E6"/>
          </w:tcPr>
          <w:p>
            <w:pPr>
              <w:spacing w:after="20"/>
              <w:jc w:val="right"/>
            </w:pPr>
            <w:r>
              <w:rPr>
                <w:b/>
                <w:color w:val="1C3A36"/>
                <w:sz w:val="15"/>
              </w:rPr>
              <w:t>2,591</w:t>
            </w:r>
          </w:p>
        </w:tc>
        <w:tc>
          <w:tcPr>
            <w:tcW w:type="dxa" w:w="1037"/>
            <w:shd w:val="clear" w:color="auto" w:fill="F6F1E6"/>
          </w:tcPr>
          <w:p>
            <w:pPr>
              <w:spacing w:after="20"/>
              <w:jc w:val="right"/>
            </w:pPr>
            <w:r>
              <w:rPr>
                <w:b/>
                <w:color w:val="1C3A36"/>
                <w:sz w:val="15"/>
              </w:rPr>
              <w:t>2,957</w:t>
            </w:r>
          </w:p>
        </w:tc>
        <w:tc>
          <w:tcPr>
            <w:tcW w:type="dxa" w:w="1037"/>
            <w:shd w:val="clear" w:color="auto" w:fill="F6F1E6"/>
          </w:tcPr>
          <w:p>
            <w:pPr>
              <w:spacing w:after="20"/>
              <w:jc w:val="right"/>
            </w:pPr>
            <w:r>
              <w:rPr>
                <w:b/>
                <w:color w:val="1C3A36"/>
                <w:sz w:val="15"/>
              </w:rPr>
              <w:t>3,290</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2,415</w:t>
            </w:r>
          </w:p>
        </w:tc>
        <w:tc>
          <w:tcPr>
            <w:tcW w:type="dxa" w:w="1037"/>
          </w:tcPr>
          <w:p>
            <w:pPr>
              <w:spacing w:after="20"/>
              <w:jc w:val="right"/>
            </w:pPr>
            <w:r>
              <w:rPr>
                <w:color w:val="1C3A36"/>
                <w:sz w:val="15"/>
              </w:rPr>
              <w:t>2,679</w:t>
            </w:r>
          </w:p>
        </w:tc>
        <w:tc>
          <w:tcPr>
            <w:tcW w:type="dxa" w:w="1037"/>
          </w:tcPr>
          <w:p>
            <w:pPr>
              <w:spacing w:after="20"/>
              <w:jc w:val="right"/>
            </w:pPr>
            <w:r>
              <w:rPr>
                <w:color w:val="1C3A36"/>
                <w:sz w:val="15"/>
              </w:rPr>
              <w:t>3,037</w:t>
            </w:r>
          </w:p>
        </w:tc>
        <w:tc>
          <w:tcPr>
            <w:tcW w:type="dxa" w:w="1037"/>
          </w:tcPr>
          <w:p>
            <w:pPr>
              <w:spacing w:after="20"/>
              <w:jc w:val="right"/>
            </w:pPr>
            <w:r>
              <w:rPr>
                <w:color w:val="1C3A36"/>
                <w:sz w:val="15"/>
              </w:rPr>
              <w:t>3,394</w:t>
            </w:r>
          </w:p>
        </w:tc>
        <w:tc>
          <w:tcPr>
            <w:tcW w:type="dxa" w:w="1037"/>
          </w:tcPr>
          <w:p>
            <w:pPr>
              <w:spacing w:after="20"/>
              <w:jc w:val="right"/>
            </w:pPr>
            <w:r>
              <w:rPr>
                <w:color w:val="1C3A36"/>
                <w:sz w:val="15"/>
              </w:rPr>
              <w:t>3,713</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891</w:t>
            </w:r>
          </w:p>
        </w:tc>
        <w:tc>
          <w:tcPr>
            <w:tcW w:type="dxa" w:w="1037"/>
            <w:shd w:val="clear" w:color="auto" w:fill="F6F1E6"/>
          </w:tcPr>
          <w:p>
            <w:pPr>
              <w:spacing w:after="20"/>
              <w:jc w:val="right"/>
            </w:pPr>
            <w:r>
              <w:rPr>
                <w:b/>
                <w:color w:val="1C3A36"/>
                <w:sz w:val="15"/>
              </w:rPr>
              <w:t>1,031</w:t>
            </w:r>
          </w:p>
        </w:tc>
        <w:tc>
          <w:tcPr>
            <w:tcW w:type="dxa" w:w="1037"/>
            <w:shd w:val="clear" w:color="auto" w:fill="F6F1E6"/>
          </w:tcPr>
          <w:p>
            <w:pPr>
              <w:spacing w:after="20"/>
              <w:jc w:val="right"/>
            </w:pPr>
            <w:r>
              <w:rPr>
                <w:b/>
                <w:color w:val="1C3A36"/>
                <w:sz w:val="15"/>
              </w:rPr>
              <w:t>1,335</w:t>
            </w:r>
          </w:p>
        </w:tc>
        <w:tc>
          <w:tcPr>
            <w:tcW w:type="dxa" w:w="1037"/>
            <w:shd w:val="clear" w:color="auto" w:fill="F6F1E6"/>
          </w:tcPr>
          <w:p>
            <w:pPr>
              <w:spacing w:after="20"/>
              <w:jc w:val="right"/>
            </w:pPr>
            <w:r>
              <w:rPr>
                <w:b/>
                <w:color w:val="1C3A36"/>
                <w:sz w:val="15"/>
              </w:rPr>
              <w:t>1,660</w:t>
            </w:r>
          </w:p>
        </w:tc>
        <w:tc>
          <w:tcPr>
            <w:tcW w:type="dxa" w:w="1037"/>
            <w:shd w:val="clear" w:color="auto" w:fill="F6F1E6"/>
          </w:tcPr>
          <w:p>
            <w:pPr>
              <w:spacing w:after="20"/>
              <w:jc w:val="right"/>
            </w:pPr>
            <w:r>
              <w:rPr>
                <w:b/>
                <w:color w:val="1C3A36"/>
                <w:sz w:val="15"/>
              </w:rPr>
              <w:t>1,961</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5.28</w:t>
            </w:r>
          </w:p>
        </w:tc>
        <w:tc>
          <w:tcPr>
            <w:tcW w:type="dxa" w:w="1037"/>
          </w:tcPr>
          <w:p>
            <w:pPr>
              <w:spacing w:after="20"/>
              <w:jc w:val="right"/>
            </w:pPr>
            <w:r>
              <w:rPr>
                <w:color w:val="1C3A36"/>
                <w:sz w:val="15"/>
              </w:rPr>
              <w:t>6.11</w:t>
            </w:r>
          </w:p>
        </w:tc>
        <w:tc>
          <w:tcPr>
            <w:tcW w:type="dxa" w:w="1037"/>
          </w:tcPr>
          <w:p>
            <w:pPr>
              <w:spacing w:after="20"/>
              <w:jc w:val="right"/>
            </w:pPr>
            <w:r>
              <w:rPr>
                <w:color w:val="1C3A36"/>
                <w:sz w:val="15"/>
              </w:rPr>
              <w:t>7.91</w:t>
            </w:r>
          </w:p>
        </w:tc>
        <w:tc>
          <w:tcPr>
            <w:tcW w:type="dxa" w:w="1037"/>
          </w:tcPr>
          <w:p>
            <w:pPr>
              <w:spacing w:after="20"/>
              <w:jc w:val="right"/>
            </w:pPr>
            <w:r>
              <w:rPr>
                <w:color w:val="1C3A36"/>
                <w:sz w:val="15"/>
              </w:rPr>
              <w:t>9.84</w:t>
            </w:r>
          </w:p>
        </w:tc>
        <w:tc>
          <w:tcPr>
            <w:tcW w:type="dxa" w:w="1037"/>
          </w:tcPr>
          <w:p>
            <w:pPr>
              <w:spacing w:after="20"/>
              <w:jc w:val="right"/>
            </w:pPr>
            <w:r>
              <w:rPr>
                <w:color w:val="1C3A36"/>
                <w:sz w:val="15"/>
              </w:rPr>
              <w:t>11.62</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534</w:t>
            </w:r>
          </w:p>
        </w:tc>
        <w:tc>
          <w:tcPr>
            <w:tcW w:type="dxa" w:w="1037"/>
          </w:tcPr>
          <w:p>
            <w:pPr>
              <w:spacing w:after="20"/>
              <w:jc w:val="right"/>
            </w:pPr>
            <w:r>
              <w:rPr>
                <w:color w:val="1C3A36"/>
                <w:sz w:val="15"/>
              </w:rPr>
              <w:t>618</w:t>
            </w:r>
          </w:p>
        </w:tc>
        <w:tc>
          <w:tcPr>
            <w:tcW w:type="dxa" w:w="1037"/>
          </w:tcPr>
          <w:p>
            <w:pPr>
              <w:spacing w:after="20"/>
              <w:jc w:val="right"/>
            </w:pPr>
            <w:r>
              <w:rPr>
                <w:color w:val="1C3A36"/>
                <w:sz w:val="15"/>
              </w:rPr>
              <w:t>801</w:t>
            </w:r>
          </w:p>
        </w:tc>
        <w:tc>
          <w:tcPr>
            <w:tcW w:type="dxa" w:w="1037"/>
          </w:tcPr>
          <w:p>
            <w:pPr>
              <w:spacing w:after="20"/>
              <w:jc w:val="right"/>
            </w:pPr>
            <w:r>
              <w:rPr>
                <w:color w:val="1C3A36"/>
                <w:sz w:val="15"/>
              </w:rPr>
              <w:t>996</w:t>
            </w:r>
          </w:p>
        </w:tc>
        <w:tc>
          <w:tcPr>
            <w:tcW w:type="dxa" w:w="1037"/>
          </w:tcPr>
          <w:p>
            <w:pPr>
              <w:spacing w:after="20"/>
              <w:jc w:val="right"/>
            </w:pPr>
            <w:r>
              <w:rPr>
                <w:color w:val="1C3A36"/>
                <w:sz w:val="15"/>
              </w:rPr>
              <w:t>1,177</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2,838</w:t>
            </w:r>
          </w:p>
        </w:tc>
        <w:tc>
          <w:tcPr>
            <w:tcW w:type="dxa" w:w="1037"/>
          </w:tcPr>
          <w:p>
            <w:pPr>
              <w:spacing w:after="20"/>
              <w:jc w:val="right"/>
            </w:pPr>
            <w:r>
              <w:rPr>
                <w:color w:val="1C3A36"/>
                <w:sz w:val="15"/>
              </w:rPr>
              <w:t>2,306</w:t>
            </w:r>
          </w:p>
        </w:tc>
        <w:tc>
          <w:tcPr>
            <w:tcW w:type="dxa" w:w="1037"/>
          </w:tcPr>
          <w:p>
            <w:pPr>
              <w:spacing w:after="20"/>
              <w:jc w:val="right"/>
            </w:pPr>
            <w:r>
              <w:rPr>
                <w:color w:val="1C3A36"/>
                <w:sz w:val="15"/>
              </w:rPr>
              <w:t>2,417</w:t>
            </w:r>
          </w:p>
        </w:tc>
        <w:tc>
          <w:tcPr>
            <w:tcW w:type="dxa" w:w="1037"/>
          </w:tcPr>
          <w:p>
            <w:pPr>
              <w:spacing w:after="20"/>
              <w:jc w:val="right"/>
            </w:pPr>
            <w:r>
              <w:rPr>
                <w:color w:val="1C3A36"/>
                <w:sz w:val="15"/>
              </w:rPr>
              <w:t>2,750</w:t>
            </w:r>
          </w:p>
        </w:tc>
        <w:tc>
          <w:tcPr>
            <w:tcW w:type="dxa" w:w="1037"/>
          </w:tcPr>
          <w:p>
            <w:pPr>
              <w:spacing w:after="20"/>
              <w:jc w:val="right"/>
            </w:pPr>
            <w:r>
              <w:rPr>
                <w:color w:val="1C3A36"/>
                <w:sz w:val="15"/>
              </w:rPr>
              <w:t>3,108</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4,721</w:t>
            </w:r>
          </w:p>
        </w:tc>
        <w:tc>
          <w:tcPr>
            <w:tcW w:type="dxa" w:w="1037"/>
          </w:tcPr>
          <w:p>
            <w:pPr>
              <w:spacing w:after="20"/>
              <w:jc w:val="right"/>
            </w:pPr>
            <w:r>
              <w:rPr>
                <w:color w:val="1C3A36"/>
                <w:sz w:val="15"/>
              </w:rPr>
              <w:t>5,591</w:t>
            </w:r>
          </w:p>
        </w:tc>
        <w:tc>
          <w:tcPr>
            <w:tcW w:type="dxa" w:w="1037"/>
          </w:tcPr>
          <w:p>
            <w:pPr>
              <w:spacing w:after="20"/>
              <w:jc w:val="right"/>
            </w:pPr>
            <w:r>
              <w:rPr>
                <w:color w:val="1C3A36"/>
                <w:sz w:val="15"/>
              </w:rPr>
              <w:t>6,323</w:t>
            </w:r>
          </w:p>
        </w:tc>
        <w:tc>
          <w:tcPr>
            <w:tcW w:type="dxa" w:w="1037"/>
          </w:tcPr>
          <w:p>
            <w:pPr>
              <w:spacing w:after="20"/>
              <w:jc w:val="right"/>
            </w:pPr>
            <w:r>
              <w:rPr>
                <w:color w:val="1C3A36"/>
                <w:sz w:val="15"/>
              </w:rPr>
              <w:t>7,063</w:t>
            </w:r>
          </w:p>
        </w:tc>
        <w:tc>
          <w:tcPr>
            <w:tcW w:type="dxa" w:w="1037"/>
          </w:tcPr>
          <w:p>
            <w:pPr>
              <w:spacing w:after="20"/>
              <w:jc w:val="right"/>
            </w:pPr>
            <w:r>
              <w:rPr>
                <w:color w:val="1C3A36"/>
                <w:sz w:val="15"/>
              </w:rPr>
              <w:t>7,774</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3,692</w:t>
            </w:r>
          </w:p>
        </w:tc>
        <w:tc>
          <w:tcPr>
            <w:tcW w:type="dxa" w:w="1037"/>
          </w:tcPr>
          <w:p>
            <w:pPr>
              <w:spacing w:after="20"/>
              <w:jc w:val="right"/>
            </w:pPr>
            <w:r>
              <w:rPr>
                <w:color w:val="1C3A36"/>
                <w:sz w:val="15"/>
              </w:rPr>
              <w:t>4,215</w:t>
            </w:r>
          </w:p>
        </w:tc>
        <w:tc>
          <w:tcPr>
            <w:tcW w:type="dxa" w:w="1037"/>
          </w:tcPr>
          <w:p>
            <w:pPr>
              <w:spacing w:after="20"/>
              <w:jc w:val="right"/>
            </w:pPr>
            <w:r>
              <w:rPr>
                <w:color w:val="1C3A36"/>
                <w:sz w:val="15"/>
              </w:rPr>
              <w:t>4,727</w:t>
            </w:r>
          </w:p>
        </w:tc>
        <w:tc>
          <w:tcPr>
            <w:tcW w:type="dxa" w:w="1037"/>
          </w:tcPr>
          <w:p>
            <w:pPr>
              <w:spacing w:after="20"/>
              <w:jc w:val="right"/>
            </w:pPr>
            <w:r>
              <w:rPr>
                <w:color w:val="1C3A36"/>
                <w:sz w:val="15"/>
              </w:rPr>
              <w:t>5,242</w:t>
            </w:r>
          </w:p>
        </w:tc>
        <w:tc>
          <w:tcPr>
            <w:tcW w:type="dxa" w:w="1037"/>
          </w:tcPr>
          <w:p>
            <w:pPr>
              <w:spacing w:after="20"/>
              <w:jc w:val="right"/>
            </w:pPr>
            <w:r>
              <w:rPr>
                <w:color w:val="1C3A36"/>
                <w:sz w:val="15"/>
              </w:rPr>
              <w:t>5,710</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980</w:t>
            </w:r>
          </w:p>
        </w:tc>
        <w:tc>
          <w:tcPr>
            <w:tcW w:type="dxa" w:w="1037"/>
          </w:tcPr>
          <w:p>
            <w:pPr>
              <w:spacing w:after="20"/>
              <w:jc w:val="right"/>
            </w:pPr>
            <w:r>
              <w:rPr>
                <w:color w:val="1C3A36"/>
                <w:sz w:val="15"/>
              </w:rPr>
              <w:t>1,214</w:t>
            </w:r>
          </w:p>
        </w:tc>
        <w:tc>
          <w:tcPr>
            <w:tcW w:type="dxa" w:w="1037"/>
          </w:tcPr>
          <w:p>
            <w:pPr>
              <w:spacing w:after="20"/>
              <w:jc w:val="right"/>
            </w:pPr>
            <w:r>
              <w:rPr>
                <w:color w:val="1C3A36"/>
                <w:sz w:val="15"/>
              </w:rPr>
              <w:t>1,442</w:t>
            </w:r>
          </w:p>
        </w:tc>
        <w:tc>
          <w:tcPr>
            <w:tcW w:type="dxa" w:w="1037"/>
          </w:tcPr>
          <w:p>
            <w:pPr>
              <w:spacing w:after="20"/>
              <w:jc w:val="right"/>
            </w:pPr>
            <w:r>
              <w:rPr>
                <w:color w:val="1C3A36"/>
                <w:sz w:val="15"/>
              </w:rPr>
              <w:t>1,672</w:t>
            </w:r>
          </w:p>
        </w:tc>
        <w:tc>
          <w:tcPr>
            <w:tcW w:type="dxa" w:w="1037"/>
          </w:tcPr>
          <w:p>
            <w:pPr>
              <w:spacing w:after="20"/>
              <w:jc w:val="right"/>
            </w:pPr>
            <w:r>
              <w:rPr>
                <w:color w:val="1C3A36"/>
                <w:sz w:val="15"/>
              </w:rPr>
              <w:t>1,879</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10,500</w:t>
            </w:r>
          </w:p>
        </w:tc>
        <w:tc>
          <w:tcPr>
            <w:tcW w:type="dxa" w:w="1037"/>
          </w:tcPr>
          <w:p>
            <w:pPr>
              <w:spacing w:after="20"/>
              <w:jc w:val="right"/>
            </w:pPr>
            <w:r>
              <w:rPr>
                <w:color w:val="1C3A36"/>
                <w:sz w:val="15"/>
              </w:rPr>
              <w:t>11,052</w:t>
            </w:r>
          </w:p>
        </w:tc>
        <w:tc>
          <w:tcPr>
            <w:tcW w:type="dxa" w:w="1037"/>
          </w:tcPr>
          <w:p>
            <w:pPr>
              <w:spacing w:after="20"/>
              <w:jc w:val="right"/>
            </w:pPr>
            <w:r>
              <w:rPr>
                <w:color w:val="1C3A36"/>
                <w:sz w:val="15"/>
              </w:rPr>
              <w:t>11,194</w:t>
            </w:r>
          </w:p>
        </w:tc>
        <w:tc>
          <w:tcPr>
            <w:tcW w:type="dxa" w:w="1037"/>
          </w:tcPr>
          <w:p>
            <w:pPr>
              <w:spacing w:after="20"/>
              <w:jc w:val="right"/>
            </w:pPr>
            <w:r>
              <w:rPr>
                <w:color w:val="1C3A36"/>
                <w:sz w:val="15"/>
              </w:rPr>
              <w:t>11,179</w:t>
            </w:r>
          </w:p>
        </w:tc>
        <w:tc>
          <w:tcPr>
            <w:tcW w:type="dxa" w:w="1037"/>
          </w:tcPr>
          <w:p>
            <w:pPr>
              <w:spacing w:after="20"/>
              <w:jc w:val="right"/>
            </w:pPr>
            <w:r>
              <w:rPr>
                <w:color w:val="1C3A36"/>
                <w:sz w:val="15"/>
              </w:rPr>
              <w:t>10,975</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9,066</w:t>
            </w:r>
          </w:p>
        </w:tc>
        <w:tc>
          <w:tcPr>
            <w:tcW w:type="dxa" w:w="1037"/>
          </w:tcPr>
          <w:p>
            <w:pPr>
              <w:spacing w:after="20"/>
              <w:jc w:val="right"/>
            </w:pPr>
            <w:r>
              <w:rPr>
                <w:color w:val="1C3A36"/>
                <w:sz w:val="15"/>
              </w:rPr>
              <w:t>9,619</w:t>
            </w:r>
          </w:p>
        </w:tc>
        <w:tc>
          <w:tcPr>
            <w:tcW w:type="dxa" w:w="1037"/>
          </w:tcPr>
          <w:p>
            <w:pPr>
              <w:spacing w:after="20"/>
              <w:jc w:val="right"/>
            </w:pPr>
            <w:r>
              <w:rPr>
                <w:color w:val="1C3A36"/>
                <w:sz w:val="15"/>
              </w:rPr>
              <w:t>9,761</w:t>
            </w:r>
          </w:p>
        </w:tc>
        <w:tc>
          <w:tcPr>
            <w:tcW w:type="dxa" w:w="1037"/>
          </w:tcPr>
          <w:p>
            <w:pPr>
              <w:spacing w:after="20"/>
              <w:jc w:val="right"/>
            </w:pPr>
            <w:r>
              <w:rPr>
                <w:color w:val="1C3A36"/>
                <w:sz w:val="15"/>
              </w:rPr>
              <w:t>9,745</w:t>
            </w:r>
          </w:p>
        </w:tc>
        <w:tc>
          <w:tcPr>
            <w:tcW w:type="dxa" w:w="1037"/>
          </w:tcPr>
          <w:p>
            <w:pPr>
              <w:spacing w:after="20"/>
              <w:jc w:val="right"/>
            </w:pPr>
            <w:r>
              <w:rPr>
                <w:color w:val="1C3A36"/>
                <w:sz w:val="15"/>
              </w:rPr>
              <w:t>9,541</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6,777</w:t>
            </w:r>
          </w:p>
        </w:tc>
        <w:tc>
          <w:tcPr>
            <w:tcW w:type="dxa" w:w="1037"/>
          </w:tcPr>
          <w:p>
            <w:pPr>
              <w:spacing w:after="20"/>
              <w:jc w:val="right"/>
            </w:pPr>
            <w:r>
              <w:rPr>
                <w:color w:val="1C3A36"/>
                <w:sz w:val="15"/>
              </w:rPr>
              <w:t>7,396</w:t>
            </w:r>
          </w:p>
        </w:tc>
        <w:tc>
          <w:tcPr>
            <w:tcW w:type="dxa" w:w="1037"/>
          </w:tcPr>
          <w:p>
            <w:pPr>
              <w:spacing w:after="20"/>
              <w:jc w:val="right"/>
            </w:pPr>
            <w:r>
              <w:rPr>
                <w:color w:val="1C3A36"/>
                <w:sz w:val="15"/>
              </w:rPr>
              <w:t>8,197</w:t>
            </w:r>
          </w:p>
        </w:tc>
        <w:tc>
          <w:tcPr>
            <w:tcW w:type="dxa" w:w="1037"/>
          </w:tcPr>
          <w:p>
            <w:pPr>
              <w:spacing w:after="20"/>
              <w:jc w:val="right"/>
            </w:pPr>
            <w:r>
              <w:rPr>
                <w:color w:val="1C3A36"/>
                <w:sz w:val="15"/>
              </w:rPr>
              <w:t>9,193</w:t>
            </w:r>
          </w:p>
        </w:tc>
        <w:tc>
          <w:tcPr>
            <w:tcW w:type="dxa" w:w="1037"/>
          </w:tcPr>
          <w:p>
            <w:pPr>
              <w:spacing w:after="20"/>
              <w:jc w:val="right"/>
            </w:pPr>
            <w:r>
              <w:rPr>
                <w:color w:val="1C3A36"/>
                <w:sz w:val="15"/>
              </w:rPr>
              <w:t>10,369</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40.16</w:t>
            </w:r>
          </w:p>
        </w:tc>
        <w:tc>
          <w:tcPr>
            <w:tcW w:type="dxa" w:w="1037"/>
            <w:shd w:val="clear" w:color="auto" w:fill="F6F1E6"/>
          </w:tcPr>
          <w:p>
            <w:pPr>
              <w:spacing w:after="20"/>
              <w:jc w:val="right"/>
            </w:pPr>
            <w:r>
              <w:rPr>
                <w:b/>
                <w:color w:val="1C3A36"/>
                <w:sz w:val="15"/>
              </w:rPr>
              <w:t>43.83</w:t>
            </w:r>
          </w:p>
        </w:tc>
        <w:tc>
          <w:tcPr>
            <w:tcW w:type="dxa" w:w="1037"/>
            <w:shd w:val="clear" w:color="auto" w:fill="F6F1E6"/>
          </w:tcPr>
          <w:p>
            <w:pPr>
              <w:spacing w:after="20"/>
              <w:jc w:val="right"/>
            </w:pPr>
            <w:r>
              <w:rPr>
                <w:b/>
                <w:color w:val="1C3A36"/>
                <w:sz w:val="15"/>
              </w:rPr>
              <w:t>48.57</w:t>
            </w:r>
          </w:p>
        </w:tc>
        <w:tc>
          <w:tcPr>
            <w:tcW w:type="dxa" w:w="1037"/>
            <w:shd w:val="clear" w:color="auto" w:fill="F6F1E6"/>
          </w:tcPr>
          <w:p>
            <w:pPr>
              <w:spacing w:after="20"/>
              <w:jc w:val="right"/>
            </w:pPr>
            <w:r>
              <w:rPr>
                <w:b/>
                <w:color w:val="1C3A36"/>
                <w:sz w:val="15"/>
              </w:rPr>
              <w:t>54.47</w:t>
            </w:r>
          </w:p>
        </w:tc>
        <w:tc>
          <w:tcPr>
            <w:tcW w:type="dxa" w:w="1037"/>
            <w:shd w:val="clear" w:color="auto" w:fill="F6F1E6"/>
          </w:tcPr>
          <w:p>
            <w:pPr>
              <w:spacing w:after="20"/>
              <w:jc w:val="right"/>
            </w:pPr>
            <w:r>
              <w:rPr>
                <w:b/>
                <w:color w:val="1C3A36"/>
                <w:sz w:val="15"/>
              </w:rPr>
              <w:t>61.45</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1,337</w:t>
            </w:r>
          </w:p>
        </w:tc>
        <w:tc>
          <w:tcPr>
            <w:tcW w:type="dxa" w:w="1224"/>
          </w:tcPr>
          <w:p>
            <w:pPr>
              <w:spacing w:after="20"/>
              <w:jc w:val="right"/>
            </w:pPr>
            <w:r>
              <w:rPr>
                <w:color w:val="1C3A36"/>
                <w:sz w:val="16"/>
              </w:rPr>
              <w:t>568</w:t>
            </w:r>
          </w:p>
        </w:tc>
        <w:tc>
          <w:tcPr>
            <w:tcW w:type="dxa" w:w="1224"/>
          </w:tcPr>
          <w:p>
            <w:pPr>
              <w:spacing w:after="20"/>
              <w:jc w:val="right"/>
            </w:pPr>
            <w:r>
              <w:rPr>
                <w:color w:val="1C3A36"/>
                <w:sz w:val="16"/>
              </w:rPr>
              <w:t>512</w:t>
            </w:r>
          </w:p>
        </w:tc>
        <w:tc>
          <w:tcPr>
            <w:tcW w:type="dxa" w:w="1224"/>
          </w:tcPr>
          <w:p>
            <w:pPr>
              <w:spacing w:after="20"/>
              <w:jc w:val="right"/>
            </w:pPr>
            <w:r>
              <w:rPr>
                <w:color w:val="1C3A36"/>
                <w:sz w:val="16"/>
              </w:rPr>
              <w:t>532</w:t>
            </w:r>
          </w:p>
        </w:tc>
        <w:tc>
          <w:tcPr>
            <w:tcW w:type="dxa" w:w="1224"/>
          </w:tcPr>
          <w:p>
            <w:pPr>
              <w:spacing w:after="20"/>
              <w:jc w:val="right"/>
            </w:pPr>
            <w:r>
              <w:rPr>
                <w:color w:val="1C3A36"/>
                <w:sz w:val="16"/>
              </w:rPr>
              <w:t>558</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-328</w:t>
            </w:r>
          </w:p>
        </w:tc>
        <w:tc>
          <w:tcPr>
            <w:tcW w:type="dxa" w:w="1224"/>
          </w:tcPr>
          <w:p>
            <w:pPr>
              <w:spacing w:after="20"/>
              <w:jc w:val="right"/>
            </w:pPr>
            <w:r>
              <w:rPr>
                <w:color w:val="1C3A36"/>
                <w:sz w:val="16"/>
              </w:rPr>
              <w:t>562</w:t>
            </w:r>
          </w:p>
        </w:tc>
        <w:tc>
          <w:tcPr>
            <w:tcW w:type="dxa" w:w="1224"/>
          </w:tcPr>
          <w:p>
            <w:pPr>
              <w:spacing w:after="20"/>
              <w:jc w:val="right"/>
            </w:pPr>
            <w:r>
              <w:rPr>
                <w:color w:val="1C3A36"/>
                <w:sz w:val="16"/>
              </w:rPr>
              <w:t>1,048</w:t>
            </w:r>
          </w:p>
        </w:tc>
        <w:tc>
          <w:tcPr>
            <w:tcW w:type="dxa" w:w="1224"/>
          </w:tcPr>
          <w:p>
            <w:pPr>
              <w:spacing w:after="20"/>
              <w:jc w:val="right"/>
            </w:pPr>
            <w:r>
              <w:rPr>
                <w:color w:val="1C3A36"/>
                <w:sz w:val="16"/>
              </w:rPr>
              <w:t>1,290</w:t>
            </w:r>
          </w:p>
        </w:tc>
        <w:tc>
          <w:tcPr>
            <w:tcW w:type="dxa" w:w="1224"/>
          </w:tcPr>
          <w:p>
            <w:pPr>
              <w:spacing w:after="20"/>
              <w:jc w:val="right"/>
            </w:pPr>
            <w:r>
              <w:rPr>
                <w:color w:val="1C3A36"/>
                <w:sz w:val="16"/>
              </w:rPr>
              <w:t>1,553</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80" w:before="200"/>
      </w:pPr>
      <w:r>
        <w:rPr>
          <w:b/>
          <w:i w:val="0"/>
          <w:color w:val="1C3A36"/>
          <w:sz w:val="24"/>
        </w:rPr>
        <w:t>A.4 The far forecast years as ranges, and the years that carry none</w:t>
      </w:r>
    </w:p>
    <w:p>
      <w:pPr>
        <w:spacing w:after="120" w:before="0"/>
      </w:pPr>
      <w:r>
        <w:rPr>
          <w:b w:val="0"/>
          <w:i w:val="0"/>
          <w:color w:val="1C3A36"/>
          <w:sz w:val="21"/>
        </w:rPr>
        <w:t>The method behind this forecast has been replayed on the company's own past — rebuilt year-end by year-end under the same mechanical rules, projected forward and scored against what the company later reported. That exercise measures how far out this method has been, and the far forecast years are published here as the RANGE that measurement supports rather than as points. It covers one, two and three years ahead, so the third forecast year carries a measured range and the fourth and fifth carry NONE. No range is invented for them: an invented one would corrupt the very error it is scored against.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69"/>
        <w:gridCol w:w="1469"/>
        <w:gridCol w:w="1469"/>
        <w:gridCol w:w="1354"/>
        <w:gridCol w:w="1008"/>
      </w:tblGrid>
      <w:tr>
        <w:tc>
          <w:tcPr>
            <w:tcW w:type="dxa" w:w="3312"/>
            <w:shd w:val="clear" w:color="auto" w:fill="EAF0EE"/>
          </w:tcPr>
          <w:p>
            <w:pPr>
              <w:spacing w:after="20"/>
            </w:pPr>
            <w:r>
              <w:rPr>
                <w:b/>
                <w:color w:val="1C3A36"/>
                <w:sz w:val="15"/>
              </w:rPr>
              <w:t>EGP million</w:t>
            </w:r>
          </w:p>
        </w:tc>
        <w:tc>
          <w:tcPr>
            <w:tcW w:type="dxa" w:w="1469"/>
            <w:shd w:val="clear" w:color="auto" w:fill="EAF0EE"/>
          </w:tcPr>
          <w:p>
            <w:pPr>
              <w:spacing w:after="20"/>
            </w:pPr>
            <w:r>
              <w:rPr>
                <w:b/>
                <w:color w:val="1C3A36"/>
                <w:sz w:val="15"/>
              </w:rPr>
              <w:t>2028E</w:t>
            </w:r>
          </w:p>
        </w:tc>
        <w:tc>
          <w:tcPr>
            <w:tcW w:type="dxa" w:w="1469"/>
            <w:shd w:val="clear" w:color="auto" w:fill="EAF0EE"/>
          </w:tcPr>
          <w:p>
            <w:pPr>
              <w:spacing w:after="20"/>
            </w:pPr>
            <w:r>
              <w:rPr>
                <w:b/>
                <w:color w:val="1C3A36"/>
                <w:sz w:val="15"/>
              </w:rPr>
              <w:t>2029E</w:t>
            </w:r>
          </w:p>
        </w:tc>
        <w:tc>
          <w:tcPr>
            <w:tcW w:type="dxa" w:w="1469"/>
            <w:shd w:val="clear" w:color="auto" w:fill="EAF0EE"/>
          </w:tcPr>
          <w:p>
            <w:pPr>
              <w:spacing w:after="20"/>
            </w:pPr>
            <w:r>
              <w:rPr>
                <w:b/>
                <w:color w:val="1C3A36"/>
                <w:sz w:val="15"/>
              </w:rPr>
              <w:t>2030E</w:t>
            </w:r>
          </w:p>
        </w:tc>
        <w:tc>
          <w:tcPr>
            <w:tcW w:type="dxa" w:w="1354"/>
            <w:shd w:val="clear" w:color="auto" w:fill="EAF0EE"/>
          </w:tcPr>
          <w:p>
            <w:pPr>
              <w:spacing w:after="20"/>
            </w:pPr>
            <w:r>
              <w:rPr>
                <w:b/>
                <w:color w:val="1C3A36"/>
                <w:sz w:val="15"/>
              </w:rPr>
              <w:t>Basis of the range</w:t>
            </w:r>
          </w:p>
        </w:tc>
        <w:tc>
          <w:tcPr>
            <w:tcW w:type="dxa" w:w="1008"/>
            <w:shd w:val="clear" w:color="auto" w:fill="EAF0EE"/>
          </w:tcPr>
          <w:p>
            <w:pPr>
              <w:spacing w:after="20"/>
            </w:pPr>
            <w:r>
              <w:rPr>
                <w:b/>
                <w:color w:val="1C3A36"/>
                <w:sz w:val="15"/>
              </w:rPr>
              <w:t>Readings behind it</w:t>
            </w:r>
          </w:p>
        </w:tc>
      </w:tr>
      <w:tr>
        <w:tc>
          <w:tcPr>
            <w:tcW w:type="dxa" w:w="3312"/>
            <w:shd w:val="clear" w:color="auto" w:fill="F6F1E6"/>
          </w:tcPr>
          <w:p>
            <w:pPr>
              <w:spacing w:after="20"/>
            </w:pPr>
            <w:r>
              <w:rPr>
                <w:b/>
                <w:color w:val="1C3A36"/>
                <w:sz w:val="15"/>
              </w:rPr>
              <w:t>Revenue — as published</w:t>
            </w:r>
          </w:p>
        </w:tc>
        <w:tc>
          <w:tcPr>
            <w:tcW w:type="dxa" w:w="1469"/>
            <w:shd w:val="clear" w:color="auto" w:fill="F6F1E6"/>
          </w:tcPr>
          <w:p>
            <w:pPr>
              <w:spacing w:after="20"/>
              <w:jc w:val="right"/>
            </w:pPr>
            <w:r>
              <w:rPr>
                <w:b/>
                <w:color w:val="1C3A36"/>
                <w:sz w:val="15"/>
              </w:rPr>
              <w:t>14,621</w:t>
            </w:r>
          </w:p>
        </w:tc>
        <w:tc>
          <w:tcPr>
            <w:tcW w:type="dxa" w:w="1469"/>
            <w:shd w:val="clear" w:color="auto" w:fill="F6F1E6"/>
          </w:tcPr>
          <w:p>
            <w:pPr>
              <w:spacing w:after="20"/>
              <w:jc w:val="right"/>
            </w:pPr>
            <w:r>
              <w:rPr>
                <w:b/>
                <w:color w:val="1C3A36"/>
                <w:sz w:val="15"/>
              </w:rPr>
              <w:t>16,637</w:t>
            </w:r>
          </w:p>
        </w:tc>
        <w:tc>
          <w:tcPr>
            <w:tcW w:type="dxa" w:w="1469"/>
            <w:shd w:val="clear" w:color="auto" w:fill="F6F1E6"/>
          </w:tcPr>
          <w:p>
            <w:pPr>
              <w:spacing w:after="20"/>
              <w:jc w:val="right"/>
            </w:pPr>
            <w:r>
              <w:rPr>
                <w:b/>
                <w:color w:val="1C3A36"/>
                <w:sz w:val="15"/>
              </w:rPr>
              <w:t>18,608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Revenue — low of the range</w:t>
            </w:r>
          </w:p>
        </w:tc>
        <w:tc>
          <w:tcPr>
            <w:tcW w:type="dxa" w:w="1469"/>
          </w:tcPr>
          <w:p>
            <w:pPr>
              <w:spacing w:after="20"/>
              <w:jc w:val="right"/>
            </w:pPr>
            <w:r>
              <w:rPr>
                <w:color w:val="1C3A36"/>
                <w:sz w:val="15"/>
              </w:rPr>
              <w:t>25,318</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Revenue — high of the range</w:t>
            </w:r>
          </w:p>
        </w:tc>
        <w:tc>
          <w:tcPr>
            <w:tcW w:type="dxa" w:w="1469"/>
          </w:tcPr>
          <w:p>
            <w:pPr>
              <w:spacing w:after="20"/>
              <w:jc w:val="right"/>
            </w:pPr>
            <w:r>
              <w:rPr>
                <w:color w:val="1C3A36"/>
                <w:sz w:val="15"/>
              </w:rPr>
              <w:t>29,586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Cost of sales — as published</w:t>
            </w:r>
          </w:p>
        </w:tc>
        <w:tc>
          <w:tcPr>
            <w:tcW w:type="dxa" w:w="1469"/>
            <w:shd w:val="clear" w:color="auto" w:fill="F6F1E6"/>
          </w:tcPr>
          <w:p>
            <w:pPr>
              <w:spacing w:after="20"/>
              <w:jc w:val="right"/>
            </w:pPr>
            <w:r>
              <w:rPr>
                <w:b/>
                <w:color w:val="1C3A36"/>
                <w:sz w:val="15"/>
              </w:rPr>
              <w:t>9,231</w:t>
            </w:r>
          </w:p>
        </w:tc>
        <w:tc>
          <w:tcPr>
            <w:tcW w:type="dxa" w:w="1469"/>
            <w:shd w:val="clear" w:color="auto" w:fill="F6F1E6"/>
          </w:tcPr>
          <w:p>
            <w:pPr>
              <w:spacing w:after="20"/>
              <w:jc w:val="right"/>
            </w:pPr>
            <w:r>
              <w:rPr>
                <w:b/>
                <w:color w:val="1C3A36"/>
                <w:sz w:val="15"/>
              </w:rPr>
              <w:t>10,522</w:t>
            </w:r>
          </w:p>
        </w:tc>
        <w:tc>
          <w:tcPr>
            <w:tcW w:type="dxa" w:w="1469"/>
            <w:shd w:val="clear" w:color="auto" w:fill="F6F1E6"/>
          </w:tcPr>
          <w:p>
            <w:pPr>
              <w:spacing w:after="20"/>
              <w:jc w:val="right"/>
            </w:pPr>
            <w:r>
              <w:rPr>
                <w:b/>
                <w:color w:val="1C3A36"/>
                <w:sz w:val="15"/>
              </w:rPr>
              <w:t>11,823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Cost of sales — low of the range</w:t>
            </w:r>
          </w:p>
        </w:tc>
        <w:tc>
          <w:tcPr>
            <w:tcW w:type="dxa" w:w="1469"/>
          </w:tcPr>
          <w:p>
            <w:pPr>
              <w:spacing w:after="20"/>
              <w:jc w:val="right"/>
            </w:pPr>
            <w:r>
              <w:rPr>
                <w:color w:val="1C3A36"/>
                <w:sz w:val="15"/>
              </w:rPr>
              <w:t>15,199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Cost of sales — high of the range</w:t>
            </w:r>
          </w:p>
        </w:tc>
        <w:tc>
          <w:tcPr>
            <w:tcW w:type="dxa" w:w="1469"/>
          </w:tcPr>
          <w:p>
            <w:pPr>
              <w:spacing w:after="20"/>
              <w:jc w:val="right"/>
            </w:pPr>
            <w:r>
              <w:rPr>
                <w:color w:val="1C3A36"/>
                <w:sz w:val="15"/>
              </w:rPr>
              <w:t>17,973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Gross profit — as published</w:t>
            </w:r>
          </w:p>
        </w:tc>
        <w:tc>
          <w:tcPr>
            <w:tcW w:type="dxa" w:w="1469"/>
            <w:shd w:val="clear" w:color="auto" w:fill="F6F1E6"/>
          </w:tcPr>
          <w:p>
            <w:pPr>
              <w:spacing w:after="20"/>
              <w:jc w:val="right"/>
            </w:pPr>
            <w:r>
              <w:rPr>
                <w:b/>
                <w:color w:val="1C3A36"/>
                <w:sz w:val="15"/>
              </w:rPr>
              <w:t>5,390</w:t>
            </w:r>
          </w:p>
        </w:tc>
        <w:tc>
          <w:tcPr>
            <w:tcW w:type="dxa" w:w="1469"/>
            <w:shd w:val="clear" w:color="auto" w:fill="F6F1E6"/>
          </w:tcPr>
          <w:p>
            <w:pPr>
              <w:spacing w:after="20"/>
              <w:jc w:val="right"/>
            </w:pPr>
            <w:r>
              <w:rPr>
                <w:b/>
                <w:color w:val="1C3A36"/>
                <w:sz w:val="15"/>
              </w:rPr>
              <w:t>6,115</w:t>
            </w:r>
          </w:p>
        </w:tc>
        <w:tc>
          <w:tcPr>
            <w:tcW w:type="dxa" w:w="1469"/>
            <w:shd w:val="clear" w:color="auto" w:fill="F6F1E6"/>
          </w:tcPr>
          <w:p>
            <w:pPr>
              <w:spacing w:after="20"/>
              <w:jc w:val="right"/>
            </w:pPr>
            <w:r>
              <w:rPr>
                <w:b/>
                <w:color w:val="1C3A36"/>
                <w:sz w:val="15"/>
              </w:rPr>
              <w:t>6,785</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Gross profit — low of the range</w:t>
            </w:r>
          </w:p>
        </w:tc>
        <w:tc>
          <w:tcPr>
            <w:tcW w:type="dxa" w:w="1469"/>
          </w:tcPr>
          <w:p>
            <w:pPr>
              <w:spacing w:after="20"/>
              <w:jc w:val="right"/>
            </w:pPr>
            <w:r>
              <w:rPr>
                <w:color w:val="1C3A36"/>
                <w:sz w:val="15"/>
              </w:rPr>
              <w:t>9,866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Gross profit — high of the range</w:t>
            </w:r>
          </w:p>
        </w:tc>
        <w:tc>
          <w:tcPr>
            <w:tcW w:type="dxa" w:w="1469"/>
          </w:tcPr>
          <w:p>
            <w:pPr>
              <w:spacing w:after="20"/>
              <w:jc w:val="right"/>
            </w:pPr>
            <w:r>
              <w:rPr>
                <w:color w:val="1C3A36"/>
                <w:sz w:val="15"/>
              </w:rPr>
              <w:t>11,481</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Profit for the year — as published</w:t>
            </w:r>
          </w:p>
        </w:tc>
        <w:tc>
          <w:tcPr>
            <w:tcW w:type="dxa" w:w="1469"/>
            <w:shd w:val="clear" w:color="auto" w:fill="F6F1E6"/>
          </w:tcPr>
          <w:p>
            <w:pPr>
              <w:spacing w:after="20"/>
              <w:jc w:val="right"/>
            </w:pPr>
            <w:r>
              <w:rPr>
                <w:b/>
                <w:color w:val="1C3A36"/>
                <w:sz w:val="15"/>
              </w:rPr>
              <w:t>1,353</w:t>
            </w:r>
          </w:p>
        </w:tc>
        <w:tc>
          <w:tcPr>
            <w:tcW w:type="dxa" w:w="1469"/>
            <w:shd w:val="clear" w:color="auto" w:fill="F6F1E6"/>
          </w:tcPr>
          <w:p>
            <w:pPr>
              <w:spacing w:after="20"/>
              <w:jc w:val="right"/>
            </w:pPr>
            <w:r>
              <w:rPr>
                <w:b/>
                <w:color w:val="1C3A36"/>
                <w:sz w:val="15"/>
              </w:rPr>
              <w:t>1,678</w:t>
            </w:r>
          </w:p>
        </w:tc>
        <w:tc>
          <w:tcPr>
            <w:tcW w:type="dxa" w:w="1469"/>
            <w:shd w:val="clear" w:color="auto" w:fill="F6F1E6"/>
          </w:tcPr>
          <w:p>
            <w:pPr>
              <w:spacing w:after="20"/>
              <w:jc w:val="right"/>
            </w:pPr>
            <w:r>
              <w:rPr>
                <w:b/>
                <w:color w:val="1C3A36"/>
                <w:sz w:val="15"/>
              </w:rPr>
              <w:t>1,979</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Profit for the year — low of the range</w:t>
            </w:r>
          </w:p>
        </w:tc>
        <w:tc>
          <w:tcPr>
            <w:tcW w:type="dxa" w:w="1469"/>
          </w:tcPr>
          <w:p>
            <w:pPr>
              <w:spacing w:after="20"/>
              <w:jc w:val="right"/>
            </w:pPr>
            <w:r>
              <w:rPr>
                <w:color w:val="1C3A36"/>
                <w:sz w:val="15"/>
              </w:rPr>
              <w:t>2,326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Profit for the year — high of the range</w:t>
            </w:r>
          </w:p>
        </w:tc>
        <w:tc>
          <w:tcPr>
            <w:tcW w:type="dxa" w:w="1469"/>
          </w:tcPr>
          <w:p>
            <w:pPr>
              <w:spacing w:after="20"/>
              <w:jc w:val="right"/>
            </w:pPr>
            <w:r>
              <w:rPr>
                <w:color w:val="1C3A36"/>
                <w:sz w:val="15"/>
              </w:rPr>
              <w:t>4,606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Depreciation and amortisation — as published</w:t>
            </w:r>
          </w:p>
        </w:tc>
        <w:tc>
          <w:tcPr>
            <w:tcW w:type="dxa" w:w="1469"/>
            <w:shd w:val="clear" w:color="auto" w:fill="F6F1E6"/>
          </w:tcPr>
          <w:p>
            <w:pPr>
              <w:spacing w:after="20"/>
              <w:jc w:val="right"/>
            </w:pPr>
            <w:r>
              <w:rPr>
                <w:b/>
                <w:color w:val="1C3A36"/>
                <w:sz w:val="15"/>
              </w:rPr>
              <w:t>446</w:t>
            </w:r>
          </w:p>
        </w:tc>
        <w:tc>
          <w:tcPr>
            <w:tcW w:type="dxa" w:w="1469"/>
            <w:shd w:val="clear" w:color="auto" w:fill="F6F1E6"/>
          </w:tcPr>
          <w:p>
            <w:pPr>
              <w:spacing w:after="20"/>
              <w:jc w:val="right"/>
            </w:pPr>
            <w:r>
              <w:rPr>
                <w:b/>
                <w:color w:val="1C3A36"/>
                <w:sz w:val="15"/>
              </w:rPr>
              <w:t>437</w:t>
            </w:r>
          </w:p>
        </w:tc>
        <w:tc>
          <w:tcPr>
            <w:tcW w:type="dxa" w:w="1469"/>
            <w:shd w:val="clear" w:color="auto" w:fill="F6F1E6"/>
          </w:tcPr>
          <w:p>
            <w:pPr>
              <w:spacing w:after="20"/>
              <w:jc w:val="right"/>
            </w:pPr>
            <w:r>
              <w:rPr>
                <w:b/>
                <w:color w:val="1C3A36"/>
                <w:sz w:val="15"/>
              </w:rPr>
              <w:t>423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Depreciation and amortisation — low of the range</w:t>
            </w:r>
          </w:p>
        </w:tc>
        <w:tc>
          <w:tcPr>
            <w:tcW w:type="dxa" w:w="1469"/>
          </w:tcPr>
          <w:p>
            <w:pPr>
              <w:spacing w:after="20"/>
              <w:jc w:val="right"/>
            </w:pPr>
            <w:r>
              <w:rPr>
                <w:color w:val="1C3A36"/>
                <w:sz w:val="15"/>
              </w:rPr>
              <w:t>250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Depreciation and amortisation — high of the range</w:t>
            </w:r>
          </w:p>
        </w:tc>
        <w:tc>
          <w:tcPr>
            <w:tcW w:type="dxa" w:w="1469"/>
          </w:tcPr>
          <w:p>
            <w:pPr>
              <w:spacing w:after="20"/>
              <w:jc w:val="right"/>
            </w:pPr>
            <w:r>
              <w:rPr>
                <w:color w:val="1C3A36"/>
                <w:sz w:val="15"/>
              </w:rPr>
              <w:t>269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shd w:val="clear" w:color="auto" w:fill="F6F1E6"/>
          </w:tcPr>
          <w:p>
            <w:pPr>
              <w:spacing w:after="20"/>
            </w:pPr>
            <w:r>
              <w:rPr>
                <w:b/>
                <w:color w:val="1C3A36"/>
                <w:sz w:val="15"/>
              </w:rPr>
              <w:t>Capital expenditure — as published</w:t>
            </w:r>
          </w:p>
        </w:tc>
        <w:tc>
          <w:tcPr>
            <w:tcW w:type="dxa" w:w="1469"/>
            <w:shd w:val="clear" w:color="auto" w:fill="F6F1E6"/>
          </w:tcPr>
          <w:p>
            <w:pPr>
              <w:spacing w:after="20"/>
              <w:jc w:val="right"/>
            </w:pPr>
            <w:r>
              <w:rPr>
                <w:b/>
                <w:color w:val="1C3A36"/>
                <w:sz w:val="15"/>
              </w:rPr>
              <w:t>512</w:t>
            </w:r>
          </w:p>
        </w:tc>
        <w:tc>
          <w:tcPr>
            <w:tcW w:type="dxa" w:w="1469"/>
            <w:shd w:val="clear" w:color="auto" w:fill="F6F1E6"/>
          </w:tcPr>
          <w:p>
            <w:pPr>
              <w:spacing w:after="20"/>
              <w:jc w:val="right"/>
            </w:pPr>
            <w:r>
              <w:rPr>
                <w:b/>
                <w:color w:val="1C3A36"/>
                <w:sz w:val="15"/>
              </w:rPr>
              <w:t>532</w:t>
            </w:r>
          </w:p>
        </w:tc>
        <w:tc>
          <w:tcPr>
            <w:tcW w:type="dxa" w:w="1469"/>
            <w:shd w:val="clear" w:color="auto" w:fill="F6F1E6"/>
          </w:tcPr>
          <w:p>
            <w:pPr>
              <w:spacing w:after="20"/>
              <w:jc w:val="right"/>
            </w:pPr>
            <w:r>
              <w:rPr>
                <w:b/>
                <w:color w:val="1C3A36"/>
                <w:sz w:val="15"/>
              </w:rPr>
              <w:t>558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Capital expenditure — low of the range</w:t>
            </w:r>
          </w:p>
        </w:tc>
        <w:tc>
          <w:tcPr>
            <w:tcW w:type="dxa" w:w="1469"/>
          </w:tcPr>
          <w:p>
            <w:pPr>
              <w:spacing w:after="20"/>
              <w:jc w:val="right"/>
            </w:pPr>
            <w:r>
              <w:rPr>
                <w:color w:val="1C3A36"/>
                <w:sz w:val="15"/>
              </w:rPr>
              <w:t>1,103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Capital expenditure — high of the range</w:t>
            </w:r>
          </w:p>
        </w:tc>
        <w:tc>
          <w:tcPr>
            <w:tcW w:type="dxa" w:w="1469"/>
          </w:tcPr>
          <w:p>
            <w:pPr>
              <w:spacing w:after="20"/>
              <w:jc w:val="right"/>
            </w:pPr>
            <w:r>
              <w:rPr>
                <w:color w:val="1C3A36"/>
                <w:sz w:val="15"/>
              </w:rPr>
              <w:t>2,722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bl>
    <w:p>
      <w:pPr>
        <w:spacing w:after="40"/>
      </w:pPr>
    </w:p>
    <w:p>
      <w:pPr>
        <w:spacing w:after="200" w:before="0"/>
      </w:pPr>
      <w:r>
        <w:rPr>
          <w:b w:val="0"/>
          <w:i/>
          <w:color w:val="6E7B77"/>
          <w:sz w:val="17"/>
        </w:rPr>
        <w:t>Table 23 — the third forecast year as a range, and the fourth and fifth stated as carrying none. The range is the point projection MULTIPLIED by how far the outturn came in from the projection at each replayed year-end, so a factor above one means the outturn came in ABOVE the projection — which is the direction almost every reading runs, because the method under-stated the scale of this company in a decade of currency moves rather than mis-stating its shape. Reading the multiplier the other way up would move a forecast the wrong way, and both values look equally ordinary on a page, which is why the direction is stated here rather than left to be inferred. The basis is a SPAN and is not called anything else: it is the widest and the narrowest of the readings behind it, not a percentile, because a percentile needs more readings than this record holds. The range at the third forecast year on revenue, cost of sales, gross profit and profit for the year is the full span of 3 past observations of this method's own error. That is too few to carry a probability, and none is claimed: it is the widest and narrowest this method has been on this company, not a confidence interval. The range at the third forecast year on depreciation and amortisation and capital expenditure is the full span of 2 past observations of this method's own error. That is too few to carry a probability, and none is claimed: it is the widest and narrowest this method has been on this company, not a confidence interval. The fourth and fifth forecast years are shown as published in Appendix A.1 and are marked here as carrying no measured range, because the replay covers three years ahead and no further. Nothing in this table changes the valuation: the fair-value range in the summary is struck on the point path above it, and this is the disclosure of how wide the method's own error has been around that path.</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14.90x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14.31x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24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23.14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79%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1,986</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1,401</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15.22% − 7% = 8.22%</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18,229</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7,686</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9,672</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5,295</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31.37</w:t>
            </w:r>
          </w:p>
        </w:tc>
      </w:tr>
    </w:tbl>
    <w:p>
      <w:pPr>
        <w:spacing w:after="40"/>
      </w:pPr>
    </w:p>
    <w:p>
      <w:pPr>
        <w:spacing w:after="120" w:before="0"/>
      </w:pPr>
      <w:r>
        <w:rPr>
          <w:b w:val="0"/>
          <w:i w:val="0"/>
          <w:color w:val="1C3A36"/>
          <w:sz w:val="21"/>
        </w:rPr>
        <w:t>Named sensitivity: the terminal discount rate. Every 100 basis points on it is worth roughly EGP 5 a share. At 79% terminal weight, this expert is mostly forecasting one number.</w:t>
      </w:r>
    </w:p>
    <w:p>
      <w:pPr>
        <w:spacing w:after="120" w:before="0"/>
      </w:pPr>
      <w:r>
        <w:rPr>
          <w:b w:val="0"/>
          <w:i w:val="0"/>
          <w:color w:val="1C3A36"/>
          <w:sz w:val="21"/>
        </w:rPr>
        <w:t>Falsifier, stated in advance: "If free cash flow to the firm in FY2027 comes in below EGP 393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18.8%</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17.16%</w:t>
            </w:r>
          </w:p>
        </w:tc>
      </w:tr>
      <w:tr>
        <w:tc>
          <w:tcPr>
            <w:tcW w:type="dxa" w:w="6624"/>
          </w:tcPr>
          <w:p>
            <w:pPr>
              <w:spacing w:after="20"/>
            </w:pPr>
            <w:r>
              <w:rPr>
                <w:color w:val="1C3A36"/>
                <w:sz w:val="17"/>
              </w:rPr>
              <w:t>Growth</w:t>
            </w:r>
          </w:p>
        </w:tc>
        <w:tc>
          <w:tcPr>
            <w:tcW w:type="dxa" w:w="2448"/>
          </w:tcPr>
          <w:p>
            <w:pPr>
              <w:spacing w:after="20"/>
              <w:jc w:val="right"/>
            </w:pPr>
            <w:r>
              <w:rPr>
                <w:color w:val="1C3A36"/>
                <w:sz w:val="17"/>
              </w:rPr>
              <w:t>7%</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1.16x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42.80</w:t>
            </w:r>
          </w:p>
        </w:tc>
      </w:tr>
    </w:tbl>
    <w:p>
      <w:pPr>
        <w:spacing w:after="40"/>
      </w:pPr>
    </w:p>
    <w:p>
      <w:pPr>
        <w:spacing w:after="120" w:before="0"/>
      </w:pPr>
      <w:r>
        <w:rPr>
          <w:b w:val="0"/>
          <w:i w:val="0"/>
          <w:color w:val="1C3A36"/>
          <w:sz w:val="21"/>
        </w:rPr>
        <w:t>Named sensitivity: the sustainable return. If it settles at 20% rather than 18.8%, the justified multiple falls to 1.28 times and the value to EGP 47.33 a share.</w:t>
      </w:r>
    </w:p>
    <w:p>
      <w:pPr>
        <w:spacing w:after="120" w:before="0"/>
      </w:pPr>
      <w:r>
        <w:rPr>
          <w:b w:val="0"/>
          <w:i w:val="0"/>
          <w:color w:val="1C3A36"/>
          <w:sz w:val="21"/>
        </w:rPr>
        <w:t>Falsifier: "If return on average equity falls below 18% in either FY2026 or FY2027, the 18.8%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18.8%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127.30</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31.37</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95.93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16,188m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9,322m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33%</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133m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1.33x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127.30</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11,985 million, or USD 171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16 to EGP 46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31.37 to EGP 42.80 a share, and the study's own two centres, EGP 31.37 and EGP 47.60,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31.37. Expert 2 says: nothing until it produces a return, so EGP 42.80. Expert 3 says: the market says EGP 95.93 a share, which requires USD 133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408213"/>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408213"/>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-11.42</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95.93</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-16.23</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-95.93</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-79.70</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-16.23</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25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What that testing establishes about this individual share — how often the outcome fell inside the band, whether it fell uniformly within it, and how wide the band is — is reported in section 3, with the window counts behind each figure.</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