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w:t>
      </w:r>
    </w:p>
    <w:p>
      <w:pPr>
        <w:spacing w:after="100" w:before="0"/>
      </w:pPr>
      <w:r>
        <w:rPr>
          <w:b w:val="0"/>
          <w:i w:val="0"/>
          <w:color w:val="1C3A36"/>
          <w:sz w:val="20"/>
        </w:rPr>
        <w:t>THIS EDITION GOES ONE STEP FURTHER. The half-year results for 1 January to 30 June 2026, disclosed to the Egyptian Exchange on 29-30 July 2026 — one week before the anchor date — are restored to the record after the previous edition deleted them on a rule that treated "is it inside one of the four PDFs?" as the test for use. With them, a clean CONTIGUOUS twelve-month base year to 30 June 2026 exists and is the headline base. The disclosure is a press release, not a filing, and is flagged REPORTED wherever it is used; its gross-profit line is REJECTED on a coherence test recorded below and SOLVED from its own profit line instead. The fair-value estimate is EGP 5.53 in this edition, against EGP 7.16 in the audited nine-month edition and EGP 9.38 in the pre-filings edition — each restatement is itself part of the record and none is silently overwritten.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+12.6% above the profit printed in the same release, so it is rejected and the figure used, EGP 2,951mn, is SOLVED from the release's own profit line. Two coherence tests support the profit line it is solved from: the reported majority profit ties to the AUDITED statement of changes in equity within 1.2%, and the reported revenue ties to an independent triangulation within 0.2%.</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9.00% (nine audited months: 9.00%)</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90.7%, salaries 4.5%, other 4.1%,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808,084 tonnes and EGP 20,736mn,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1,300mn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151mn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160mn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1,747mn, 3.72%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921mn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106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9.1</w:t>
            </w:r>
          </w:p>
        </w:tc>
        <w:tc>
          <w:tcPr>
            <w:tcW w:type="dxa" w:w="1368"/>
          </w:tcPr>
          <w:p>
            <w:pPr>
              <w:spacing w:after="20"/>
            </w:pPr>
            <w:r>
              <w:rPr>
                <w:color w:val="1C3A36"/>
                <w:sz w:val="15"/>
              </w:rPr>
              <w:t>2026-08-06</w:t>
            </w:r>
          </w:p>
        </w:tc>
        <w:tc>
          <w:tcPr>
            <w:tcW w:type="dxa" w:w="3845"/>
          </w:tcPr>
          <w:p>
            <w:pPr>
              <w:spacing w:after="20"/>
            </w:pPr>
            <w:r>
              <w:rPr>
                <w:color w:val="1C3A36"/>
                <w:sz w:val="15"/>
              </w:rPr>
              <w:t>AMOC closing price on the Egyptian Exchange, 6 August 2026</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54,969.0; wax: 41,774.2; gasoil: 171,684.9; naphtha: 41,430.9; lpg: 23,735.8; fueloil: 460,153.6; hfo: 14,327.5; waste: 7.82</w:t>
            </w:r>
          </w:p>
        </w:tc>
        <w:tc>
          <w:tcPr>
            <w:tcW w:type="dxa" w:w="1368"/>
          </w:tcPr>
          <w:p>
            <w:pPr>
              <w:spacing w:after="20"/>
            </w:pPr>
            <w:r>
              <w:rPr>
                <w:color w:val="1C3A36"/>
                <w:sz w:val="15"/>
              </w:rPr>
              <w:t>2025-12-31</w:t>
            </w:r>
          </w:p>
        </w:tc>
        <w:tc>
          <w:tcPr>
            <w:tcW w:type="dxa" w:w="3845"/>
          </w:tcPr>
          <w:p>
            <w:pPr>
              <w:spacing w:after="20"/>
            </w:pPr>
            <w:r>
              <w:rPr>
                <w:color w:val="1C3A36"/>
                <w:sz w:val="15"/>
              </w:rPr>
              <w:t>Tonnes sold by product line, six months to 31-Dec-2025 (note 14-A). Audited consolidated FS, transition period 1-Jul-2025 to 31-Dec-2025, Crowe unqualified, 18-Feb-2026</w:t>
            </w:r>
          </w:p>
        </w:tc>
      </w:tr>
      <w:tr>
        <w:tc>
          <w:tcPr>
            <w:tcW w:type="dxa" w:w="2736"/>
          </w:tcPr>
          <w:p>
            <w:pPr>
              <w:spacing w:after="20"/>
            </w:pPr>
            <w:r>
              <w:rPr>
                <w:color w:val="1C3A36"/>
                <w:sz w:val="15"/>
              </w:rPr>
              <w:t>prod_v</w:t>
            </w:r>
          </w:p>
        </w:tc>
        <w:tc>
          <w:tcPr>
            <w:tcW w:type="dxa" w:w="2232"/>
          </w:tcPr>
          <w:p>
            <w:pPr>
              <w:spacing w:after="20"/>
            </w:pPr>
            <w:r>
              <w:rPr>
                <w:color w:val="1C3A36"/>
                <w:sz w:val="15"/>
              </w:rPr>
              <w:t>oils: 2,597,280,264.0; wax: 2,041,969,329.0; gasoil: 5,121,703,599.0; naphtha: 958,746,631.0; lpg: 816,258,520.0; fueloil: 8,975,569,716.0; hfo: 224,110,353.0; waste: 87,400.0</w:t>
            </w:r>
          </w:p>
        </w:tc>
        <w:tc>
          <w:tcPr>
            <w:tcW w:type="dxa" w:w="1368"/>
          </w:tcPr>
          <w:p>
            <w:pPr>
              <w:spacing w:after="20"/>
            </w:pPr>
            <w:r>
              <w:rPr>
                <w:color w:val="1C3A36"/>
                <w:sz w:val="15"/>
              </w:rPr>
              <w:t>2025-12-31</w:t>
            </w:r>
          </w:p>
        </w:tc>
        <w:tc>
          <w:tcPr>
            <w:tcW w:type="dxa" w:w="3845"/>
          </w:tcPr>
          <w:p>
            <w:pPr>
              <w:spacing w:after="20"/>
            </w:pPr>
            <w:r>
              <w:rPr>
                <w:color w:val="1C3A36"/>
                <w:sz w:val="15"/>
              </w:rPr>
              <w:t>Sales value by product line, EGP, six months to 31-Dec-2025 (note 14-A). Audited consolidated FS, transition period 1-Jul-2025 to 31-Dec-2025, Crowe unqualified, 18-Feb-2026</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893,016,274.0</w:t>
            </w:r>
          </w:p>
        </w:tc>
        <w:tc>
          <w:tcPr>
            <w:tcW w:type="dxa" w:w="1368"/>
          </w:tcPr>
          <w:p>
            <w:pPr>
              <w:spacing w:after="20"/>
            </w:pPr>
            <w:r>
              <w:rPr>
                <w:color w:val="1C3A36"/>
                <w:sz w:val="15"/>
              </w:rPr>
              <w:t>2025-12-31</w:t>
            </w:r>
          </w:p>
        </w:tc>
        <w:tc>
          <w:tcPr>
            <w:tcW w:type="dxa" w:w="3845"/>
          </w:tcPr>
          <w:p>
            <w:pPr>
              <w:spacing w:after="20"/>
            </w:pPr>
            <w:r>
              <w:rPr>
                <w:color w:val="1C3A36"/>
                <w:sz w:val="15"/>
              </w:rPr>
              <w:t>Fixed assets net of accumulated depreciation at 31-Dec-2025 (note 6). Cost 2,740,810,692 less accumulated depreciation 1,847,794,418 — the plant is 67%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407,323,203.0</w:t>
            </w:r>
          </w:p>
        </w:tc>
        <w:tc>
          <w:tcPr>
            <w:tcW w:type="dxa" w:w="1368"/>
          </w:tcPr>
          <w:p>
            <w:pPr>
              <w:spacing w:after="20"/>
            </w:pPr>
            <w:r>
              <w:rPr>
                <w:color w:val="1C3A36"/>
                <w:sz w:val="15"/>
              </w:rPr>
              <w:t>2025-12-31</w:t>
            </w:r>
          </w:p>
        </w:tc>
        <w:tc>
          <w:tcPr>
            <w:tcW w:type="dxa" w:w="3845"/>
          </w:tcPr>
          <w:p>
            <w:pPr>
              <w:spacing w:after="20"/>
            </w:pPr>
            <w:r>
              <w:rPr>
                <w:color w:val="1C3A36"/>
                <w:sz w:val="15"/>
              </w:rPr>
              <w:t>Projects under construction at 31-Dec-2025 (note 7): assets in development 376,746,526 (administrative building, warehouses, civil projects, ERP system) plus investment expenditure 30,576,677. Audited consolidated FS, transition period 1-Jul-2025 to 31-Dec-2025, Crowe unqualified, 18-Feb-2026</w:t>
            </w:r>
          </w:p>
        </w:tc>
      </w:tr>
      <w:tr>
        <w:tc>
          <w:tcPr>
            <w:tcW w:type="dxa" w:w="2736"/>
          </w:tcPr>
          <w:p>
            <w:pPr>
              <w:spacing w:after="20"/>
            </w:pPr>
            <w:r>
              <w:rPr>
                <w:color w:val="1C3A36"/>
                <w:sz w:val="15"/>
              </w:rPr>
              <w:t>inventory</w:t>
            </w:r>
          </w:p>
        </w:tc>
        <w:tc>
          <w:tcPr>
            <w:tcW w:type="dxa" w:w="2232"/>
          </w:tcPr>
          <w:p>
            <w:pPr>
              <w:spacing w:after="20"/>
            </w:pPr>
            <w:r>
              <w:rPr>
                <w:color w:val="1C3A36"/>
                <w:sz w:val="15"/>
              </w:rPr>
              <w:t>2,847,392,506.0</w:t>
            </w:r>
          </w:p>
        </w:tc>
        <w:tc>
          <w:tcPr>
            <w:tcW w:type="dxa" w:w="1368"/>
          </w:tcPr>
          <w:p>
            <w:pPr>
              <w:spacing w:after="20"/>
            </w:pPr>
            <w:r>
              <w:rPr>
                <w:color w:val="1C3A36"/>
                <w:sz w:val="15"/>
              </w:rPr>
              <w:t>2025-12-31</w:t>
            </w:r>
          </w:p>
        </w:tc>
        <w:tc>
          <w:tcPr>
            <w:tcW w:type="dxa" w:w="3845"/>
          </w:tcPr>
          <w:p>
            <w:pPr>
              <w:spacing w:after="20"/>
            </w:pPr>
            <w:r>
              <w:rPr>
                <w:color w:val="1C3A36"/>
                <w:sz w:val="15"/>
              </w:rPr>
              <w:t>Inventory net of impairment at 31-Dec-2025 (note 9-A): work in process 792,134,042, finished goods 1,166,168,582, spare parts 309,298,239, supporting materials 283,470,554, raw materials 118,754,225, goods for resale 155,793,361. Audited consolidated FS, transition period 1-Jul-2025 to 31-Dec-2025, Crowe unqualified, 18-Feb-2026</w:t>
            </w:r>
          </w:p>
        </w:tc>
      </w:tr>
      <w:tr>
        <w:tc>
          <w:tcPr>
            <w:tcW w:type="dxa" w:w="2736"/>
          </w:tcPr>
          <w:p>
            <w:pPr>
              <w:spacing w:after="20"/>
            </w:pPr>
            <w:r>
              <w:rPr>
                <w:color w:val="1C3A36"/>
                <w:sz w:val="15"/>
              </w:rPr>
              <w:t>recv</w:t>
            </w:r>
          </w:p>
        </w:tc>
        <w:tc>
          <w:tcPr>
            <w:tcW w:type="dxa" w:w="2232"/>
          </w:tcPr>
          <w:p>
            <w:pPr>
              <w:spacing w:after="20"/>
            </w:pPr>
            <w:r>
              <w:rPr>
                <w:color w:val="1C3A36"/>
                <w:sz w:val="15"/>
              </w:rPr>
              <w:t>573,136,185.0</w:t>
            </w:r>
          </w:p>
        </w:tc>
        <w:tc>
          <w:tcPr>
            <w:tcW w:type="dxa" w:w="1368"/>
          </w:tcPr>
          <w:p>
            <w:pPr>
              <w:spacing w:after="20"/>
            </w:pPr>
            <w:r>
              <w:rPr>
                <w:color w:val="1C3A36"/>
                <w:sz w:val="15"/>
              </w:rPr>
              <w:t>2025-12-31</w:t>
            </w:r>
          </w:p>
        </w:tc>
        <w:tc>
          <w:tcPr>
            <w:tcW w:type="dxa" w:w="3845"/>
          </w:tcPr>
          <w:p>
            <w:pPr>
              <w:spacing w:after="20"/>
            </w:pPr>
            <w:r>
              <w:rPr>
                <w:color w:val="1C3A36"/>
                <w:sz w:val="15"/>
              </w:rPr>
              <w:t>Accounts receivable net at 31-Dec-2025 (note 9-B). 100% undue and unimpaired on the ageing analysis. Counterparties include Shell, ExxonMobil, Chevron, Total, TAQA/Castrol, Emarat Misr, OLA Energy and Petromine alongside the state companies. Audited consolidated FS, transition period 1-Jul-2025 to 31-Dec-2025, Crowe unqualified, 18-Feb-2026</w:t>
            </w:r>
          </w:p>
        </w:tc>
      </w:tr>
      <w:tr>
        <w:tc>
          <w:tcPr>
            <w:tcW w:type="dxa" w:w="2736"/>
          </w:tcPr>
          <w:p>
            <w:pPr>
              <w:spacing w:after="20"/>
            </w:pPr>
            <w:r>
              <w:rPr>
                <w:color w:val="1C3A36"/>
                <w:sz w:val="15"/>
              </w:rPr>
              <w:t>debtors</w:t>
            </w:r>
          </w:p>
        </w:tc>
        <w:tc>
          <w:tcPr>
            <w:tcW w:type="dxa" w:w="2232"/>
          </w:tcPr>
          <w:p>
            <w:pPr>
              <w:spacing w:after="20"/>
            </w:pPr>
            <w:r>
              <w:rPr>
                <w:color w:val="1C3A36"/>
                <w:sz w:val="15"/>
              </w:rPr>
              <w:t>366,012,664.0</w:t>
            </w:r>
          </w:p>
        </w:tc>
        <w:tc>
          <w:tcPr>
            <w:tcW w:type="dxa" w:w="1368"/>
          </w:tcPr>
          <w:p>
            <w:pPr>
              <w:spacing w:after="20"/>
            </w:pPr>
            <w:r>
              <w:rPr>
                <w:color w:val="1C3A36"/>
                <w:sz w:val="15"/>
              </w:rPr>
              <w:t>2025-12-31</w:t>
            </w:r>
          </w:p>
        </w:tc>
        <w:tc>
          <w:tcPr>
            <w:tcW w:type="dxa" w:w="3845"/>
          </w:tcPr>
          <w:p>
            <w:pPr>
              <w:spacing w:after="20"/>
            </w:pPr>
            <w:r>
              <w:rPr>
                <w:color w:val="1C3A36"/>
                <w:sz w:val="15"/>
              </w:rPr>
              <w:t>Debtors and other debit balances net at 31-Dec-2025 (notes 9-C, 9-D). Audited consolidated FS, transition period 1-Jul-2025 to 31-Dec-2025, Crowe unqualified, 18-Feb-2026</w:t>
            </w:r>
          </w:p>
        </w:tc>
      </w:tr>
      <w:tr>
        <w:tc>
          <w:tcPr>
            <w:tcW w:type="dxa" w:w="2736"/>
          </w:tcPr>
          <w:p>
            <w:pPr>
              <w:spacing w:after="20"/>
            </w:pPr>
            <w:r>
              <w:rPr>
                <w:color w:val="1C3A36"/>
                <w:sz w:val="15"/>
              </w:rPr>
              <w:t>cash</w:t>
            </w:r>
          </w:p>
        </w:tc>
        <w:tc>
          <w:tcPr>
            <w:tcW w:type="dxa" w:w="2232"/>
          </w:tcPr>
          <w:p>
            <w:pPr>
              <w:spacing w:after="20"/>
            </w:pPr>
            <w:r>
              <w:rPr>
                <w:color w:val="1C3A36"/>
                <w:sz w:val="15"/>
              </w:rPr>
              <w:t>2,463,522,365.0</w:t>
            </w:r>
          </w:p>
        </w:tc>
        <w:tc>
          <w:tcPr>
            <w:tcW w:type="dxa" w:w="1368"/>
          </w:tcPr>
          <w:p>
            <w:pPr>
              <w:spacing w:after="20"/>
            </w:pPr>
            <w:r>
              <w:rPr>
                <w:color w:val="1C3A36"/>
                <w:sz w:val="15"/>
              </w:rPr>
              <w:t>2025-12-31</w:t>
            </w:r>
          </w:p>
        </w:tc>
        <w:tc>
          <w:tcPr>
            <w:tcW w:type="dxa" w:w="3845"/>
          </w:tcPr>
          <w:p>
            <w:pPr>
              <w:spacing w:after="20"/>
            </w:pPr>
            <w:r>
              <w:rPr>
                <w:color w:val="1C3A36"/>
                <w:sz w:val="15"/>
              </w:rPr>
              <w:t>Cash at banks and on hand at 31-Dec-2025 (note 9-E): time deposits 883,351,250 plus current accounts 2,127,100,720 plus cash on hand 166,405, less expected credit losses 38,345,960, less PLEDGED deposits 508,750,050 which sit in other financial investments. Audited consolidated FS, transition period 1-Jul-2025 to 31-Dec-2025, Crowe unqualified, 18-Feb-2026</w:t>
            </w:r>
          </w:p>
        </w:tc>
      </w:tr>
      <w:tr>
        <w:tc>
          <w:tcPr>
            <w:tcW w:type="dxa" w:w="2736"/>
          </w:tcPr>
          <w:p>
            <w:pPr>
              <w:spacing w:after="20"/>
            </w:pPr>
            <w:r>
              <w:rPr>
                <w:color w:val="1C3A36"/>
                <w:sz w:val="15"/>
              </w:rPr>
              <w:t>fin_inv</w:t>
            </w:r>
          </w:p>
        </w:tc>
        <w:tc>
          <w:tcPr>
            <w:tcW w:type="dxa" w:w="2232"/>
          </w:tcPr>
          <w:p>
            <w:pPr>
              <w:spacing w:after="20"/>
            </w:pPr>
            <w:r>
              <w:rPr>
                <w:color w:val="1C3A36"/>
                <w:sz w:val="15"/>
              </w:rPr>
              <w:t>508,750,050.0</w:t>
            </w:r>
          </w:p>
        </w:tc>
        <w:tc>
          <w:tcPr>
            <w:tcW w:type="dxa" w:w="1368"/>
          </w:tcPr>
          <w:p>
            <w:pPr>
              <w:spacing w:after="20"/>
            </w:pPr>
            <w:r>
              <w:rPr>
                <w:color w:val="1C3A36"/>
                <w:sz w:val="15"/>
              </w:rPr>
              <w:t>2025-12-31</w:t>
            </w:r>
          </w:p>
        </w:tc>
        <w:tc>
          <w:tcPr>
            <w:tcW w:type="dxa" w:w="3845"/>
          </w:tcPr>
          <w:p>
            <w:pPr>
              <w:spacing w:after="20"/>
            </w:pPr>
            <w:r>
              <w:rPr>
                <w:color w:val="1C3A36"/>
                <w:sz w:val="15"/>
              </w:rPr>
              <w:t>Other financial investments at 31-Dec-2025 — deposits PLEDGED against credit facilities, so not free cash (note 9-E). Audited consolidated FS, transition period 1-Jul-2025 to 31-Dec-2025, Crowe unqualified, 18-Feb-2026</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8,136,418,030.0</w:t>
            </w:r>
          </w:p>
        </w:tc>
        <w:tc>
          <w:tcPr>
            <w:tcW w:type="dxa" w:w="1368"/>
          </w:tcPr>
          <w:p>
            <w:pPr>
              <w:spacing w:after="20"/>
            </w:pPr>
            <w:r>
              <w:rPr>
                <w:color w:val="1C3A36"/>
                <w:sz w:val="15"/>
              </w:rPr>
              <w:t>2025-12-31</w:t>
            </w:r>
          </w:p>
        </w:tc>
        <w:tc>
          <w:tcPr>
            <w:tcW w:type="dxa" w:w="3845"/>
          </w:tcPr>
          <w:p>
            <w:pPr>
              <w:spacing w:after="20"/>
            </w:pPr>
            <w:r>
              <w:rPr>
                <w:color w:val="1C3A36"/>
                <w:sz w:val="15"/>
              </w:rPr>
              <w:t>Total assets at 31-Dec-2025. Audited consolidated FS, transition period 1-Jul-2025 to 31-Dec-2025, Crowe unqualified, 18-Feb-2026</w:t>
            </w:r>
          </w:p>
        </w:tc>
      </w:tr>
      <w:tr>
        <w:tc>
          <w:tcPr>
            <w:tcW w:type="dxa" w:w="2736"/>
          </w:tcPr>
          <w:p>
            <w:pPr>
              <w:spacing w:after="20"/>
            </w:pPr>
            <w:r>
              <w:rPr>
                <w:color w:val="1C3A36"/>
                <w:sz w:val="15"/>
              </w:rPr>
              <w:t>liab_snap</w:t>
            </w:r>
          </w:p>
        </w:tc>
        <w:tc>
          <w:tcPr>
            <w:tcW w:type="dxa" w:w="2232"/>
          </w:tcPr>
          <w:p>
            <w:pPr>
              <w:spacing w:after="20"/>
            </w:pPr>
            <w:r>
              <w:rPr>
                <w:color w:val="1C3A36"/>
                <w:sz w:val="15"/>
              </w:rPr>
              <w:t>3,311,643,082.0</w:t>
            </w:r>
          </w:p>
        </w:tc>
        <w:tc>
          <w:tcPr>
            <w:tcW w:type="dxa" w:w="1368"/>
          </w:tcPr>
          <w:p>
            <w:pPr>
              <w:spacing w:after="20"/>
            </w:pPr>
            <w:r>
              <w:rPr>
                <w:color w:val="1C3A36"/>
                <w:sz w:val="15"/>
              </w:rPr>
              <w:t>2025-12-31</w:t>
            </w:r>
          </w:p>
        </w:tc>
        <w:tc>
          <w:tcPr>
            <w:tcW w:type="dxa" w:w="3845"/>
          </w:tcPr>
          <w:p>
            <w:pPr>
              <w:spacing w:after="20"/>
            </w:pPr>
            <w:r>
              <w:rPr>
                <w:color w:val="1C3A36"/>
                <w:sz w:val="15"/>
              </w:rPr>
              <w:t>Total liabilities at 31-Dec-2025. Audited consolidated FS, transition period 1-Jul-2025 to 31-Dec-2025, Crowe unqualified, 18-Feb-2026</w:t>
            </w:r>
          </w:p>
        </w:tc>
      </w:tr>
      <w:tr>
        <w:tc>
          <w:tcPr>
            <w:tcW w:type="dxa" w:w="2736"/>
          </w:tcPr>
          <w:p>
            <w:pPr>
              <w:spacing w:after="20"/>
            </w:pPr>
            <w:r>
              <w:rPr>
                <w:color w:val="1C3A36"/>
                <w:sz w:val="15"/>
              </w:rPr>
              <w:t>eq_parent</w:t>
            </w:r>
          </w:p>
        </w:tc>
        <w:tc>
          <w:tcPr>
            <w:tcW w:type="dxa" w:w="2232"/>
          </w:tcPr>
          <w:p>
            <w:pPr>
              <w:spacing w:after="20"/>
            </w:pPr>
            <w:r>
              <w:rPr>
                <w:color w:val="1C3A36"/>
                <w:sz w:val="15"/>
              </w:rPr>
              <w:t>4,790,695,948.0</w:t>
            </w:r>
          </w:p>
        </w:tc>
        <w:tc>
          <w:tcPr>
            <w:tcW w:type="dxa" w:w="1368"/>
          </w:tcPr>
          <w:p>
            <w:pPr>
              <w:spacing w:after="20"/>
            </w:pPr>
            <w:r>
              <w:rPr>
                <w:color w:val="1C3A36"/>
                <w:sz w:val="15"/>
              </w:rPr>
              <w:t>2025-12-31</w:t>
            </w:r>
          </w:p>
        </w:tc>
        <w:tc>
          <w:tcPr>
            <w:tcW w:type="dxa" w:w="3845"/>
          </w:tcPr>
          <w:p>
            <w:pPr>
              <w:spacing w:after="20"/>
            </w:pPr>
            <w:r>
              <w:rPr>
                <w:color w:val="1C3A36"/>
                <w:sz w:val="15"/>
              </w:rPr>
              <w:t>Total AMOC (parent) equity at 31-Dec-2025. Audited consolidated FS, transition period 1-Jul-2025 to 31-Dec-2025, Crowe unqualified, 18-Feb-2026</w:t>
            </w:r>
          </w:p>
        </w:tc>
      </w:tr>
      <w:tr>
        <w:tc>
          <w:tcPr>
            <w:tcW w:type="dxa" w:w="2736"/>
          </w:tcPr>
          <w:p>
            <w:pPr>
              <w:spacing w:after="20"/>
            </w:pPr>
            <w:r>
              <w:rPr>
                <w:color w:val="1C3A36"/>
                <w:sz w:val="15"/>
              </w:rPr>
              <w:t>eq_nci</w:t>
            </w:r>
          </w:p>
        </w:tc>
        <w:tc>
          <w:tcPr>
            <w:tcW w:type="dxa" w:w="2232"/>
          </w:tcPr>
          <w:p>
            <w:pPr>
              <w:spacing w:after="20"/>
            </w:pPr>
            <w:r>
              <w:rPr>
                <w:color w:val="1C3A36"/>
                <w:sz w:val="15"/>
              </w:rPr>
              <w:t>34,079,000.0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carrying amount at 31-Dec-2025. Audited consolidated FS, transition period 1-Jul-2025 to 31-Dec-2025, Crowe unqualified, 18-Feb-2026</w:t>
            </w:r>
          </w:p>
        </w:tc>
      </w:tr>
      <w:tr>
        <w:tc>
          <w:tcPr>
            <w:tcW w:type="dxa" w:w="2736"/>
          </w:tcPr>
          <w:p>
            <w:pPr>
              <w:spacing w:after="20"/>
            </w:pPr>
            <w:r>
              <w:rPr>
                <w:color w:val="1C3A36"/>
                <w:sz w:val="15"/>
              </w:rPr>
              <w:t>debt_lt</w:t>
            </w:r>
          </w:p>
        </w:tc>
        <w:tc>
          <w:tcPr>
            <w:tcW w:type="dxa" w:w="2232"/>
          </w:tcPr>
          <w:p>
            <w:pPr>
              <w:spacing w:after="20"/>
            </w:pPr>
            <w:r>
              <w:rPr>
                <w:color w:val="1C3A36"/>
                <w:sz w:val="15"/>
              </w:rPr>
              <w:t>11,805,265.0</w:t>
            </w:r>
          </w:p>
        </w:tc>
        <w:tc>
          <w:tcPr>
            <w:tcW w:type="dxa" w:w="1368"/>
          </w:tcPr>
          <w:p>
            <w:pPr>
              <w:spacing w:after="20"/>
            </w:pPr>
            <w:r>
              <w:rPr>
                <w:color w:val="1C3A36"/>
                <w:sz w:val="15"/>
              </w:rPr>
              <w:t>2025-12-31</w:t>
            </w:r>
          </w:p>
        </w:tc>
        <w:tc>
          <w:tcPr>
            <w:tcW w:type="dxa" w:w="3845"/>
          </w:tcPr>
          <w:p>
            <w:pPr>
              <w:spacing w:after="20"/>
            </w:pPr>
            <w:r>
              <w:rPr>
                <w:color w:val="1C3A36"/>
                <w:sz w:val="15"/>
              </w:rPr>
              <w:t>Long-term loans at 31-Dec-2025 (note 20). Audited consolidated FS, transition period 1-Jul-2025 to 31-Dec-2025, Crowe unqualified, 18-Feb-2026</w:t>
            </w:r>
          </w:p>
        </w:tc>
      </w:tr>
      <w:tr>
        <w:tc>
          <w:tcPr>
            <w:tcW w:type="dxa" w:w="2736"/>
          </w:tcPr>
          <w:p>
            <w:pPr>
              <w:spacing w:after="20"/>
            </w:pPr>
            <w:r>
              <w:rPr>
                <w:color w:val="1C3A36"/>
                <w:sz w:val="15"/>
              </w:rPr>
              <w:t>debt_st</w:t>
            </w:r>
          </w:p>
        </w:tc>
        <w:tc>
          <w:tcPr>
            <w:tcW w:type="dxa" w:w="2232"/>
          </w:tcPr>
          <w:p>
            <w:pPr>
              <w:spacing w:after="20"/>
            </w:pPr>
            <w:r>
              <w:rPr>
                <w:color w:val="1C3A36"/>
                <w:sz w:val="15"/>
              </w:rPr>
              <w:t>9,172,172.0</w:t>
            </w:r>
          </w:p>
        </w:tc>
        <w:tc>
          <w:tcPr>
            <w:tcW w:type="dxa" w:w="1368"/>
          </w:tcPr>
          <w:p>
            <w:pPr>
              <w:spacing w:after="20"/>
            </w:pPr>
            <w:r>
              <w:rPr>
                <w:color w:val="1C3A36"/>
                <w:sz w:val="15"/>
              </w:rPr>
              <w:t>2025-12-31</w:t>
            </w:r>
          </w:p>
        </w:tc>
        <w:tc>
          <w:tcPr>
            <w:tcW w:type="dxa" w:w="3845"/>
          </w:tcPr>
          <w:p>
            <w:pPr>
              <w:spacing w:after="20"/>
            </w:pPr>
            <w:r>
              <w:rPr>
                <w:color w:val="1C3A36"/>
                <w:sz w:val="15"/>
              </w:rPr>
              <w:t>Short-term loans and facilities at 31-Dec-2025 (note 20). Audited consolidated FS, transition period 1-Jul-2025 to 31-Dec-2025, Crowe unqualified, 18-Feb-2026</w:t>
            </w:r>
          </w:p>
        </w:tc>
      </w:tr>
      <w:tr>
        <w:tc>
          <w:tcPr>
            <w:tcW w:type="dxa" w:w="2736"/>
          </w:tcPr>
          <w:p>
            <w:pPr>
              <w:spacing w:after="20"/>
            </w:pPr>
            <w:r>
              <w:rPr>
                <w:color w:val="1C3A36"/>
                <w:sz w:val="15"/>
              </w:rPr>
              <w:t>leases</w:t>
            </w:r>
          </w:p>
        </w:tc>
        <w:tc>
          <w:tcPr>
            <w:tcW w:type="dxa" w:w="2232"/>
          </w:tcPr>
          <w:p>
            <w:pPr>
              <w:spacing w:after="20"/>
            </w:pPr>
            <w:r>
              <w:rPr>
                <w:color w:val="1C3A36"/>
                <w:sz w:val="15"/>
              </w:rPr>
              <w:t>4,278,324.0</w:t>
            </w:r>
          </w:p>
        </w:tc>
        <w:tc>
          <w:tcPr>
            <w:tcW w:type="dxa" w:w="1368"/>
          </w:tcPr>
          <w:p>
            <w:pPr>
              <w:spacing w:after="20"/>
            </w:pPr>
            <w:r>
              <w:rPr>
                <w:color w:val="1C3A36"/>
                <w:sz w:val="15"/>
              </w:rPr>
              <w:t>2025-12-31</w:t>
            </w:r>
          </w:p>
        </w:tc>
        <w:tc>
          <w:tcPr>
            <w:tcW w:type="dxa" w:w="3845"/>
          </w:tcPr>
          <w:p>
            <w:pPr>
              <w:spacing w:after="20"/>
            </w:pPr>
            <w:r>
              <w:rPr>
                <w:color w:val="1C3A36"/>
                <w:sz w:val="15"/>
              </w:rPr>
              <w:t>Total lease liabilities at 31-Dec-2025 (note 8-2-2). Audited consolidated FS, transition period 1-Jul-2025 to 31-Dec-2025, Crowe unqualified, 18-Feb-2026</w:t>
            </w:r>
          </w:p>
        </w:tc>
      </w:tr>
      <w:tr>
        <w:tc>
          <w:tcPr>
            <w:tcW w:type="dxa" w:w="2736"/>
          </w:tcPr>
          <w:p>
            <w:pPr>
              <w:spacing w:after="20"/>
            </w:pPr>
            <w:r>
              <w:rPr>
                <w:color w:val="1C3A36"/>
                <w:sz w:val="15"/>
              </w:rPr>
              <w:t>payables</w:t>
            </w:r>
          </w:p>
        </w:tc>
        <w:tc>
          <w:tcPr>
            <w:tcW w:type="dxa" w:w="2232"/>
          </w:tcPr>
          <w:p>
            <w:pPr>
              <w:spacing w:after="20"/>
            </w:pPr>
            <w:r>
              <w:rPr>
                <w:color w:val="1C3A36"/>
                <w:sz w:val="15"/>
              </w:rPr>
              <w:t>7,942,650.0</w:t>
            </w:r>
          </w:p>
        </w:tc>
        <w:tc>
          <w:tcPr>
            <w:tcW w:type="dxa" w:w="1368"/>
          </w:tcPr>
          <w:p>
            <w:pPr>
              <w:spacing w:after="20"/>
            </w:pPr>
            <w:r>
              <w:rPr>
                <w:color w:val="1C3A36"/>
                <w:sz w:val="15"/>
              </w:rPr>
              <w:t>2025-12-31</w:t>
            </w:r>
          </w:p>
        </w:tc>
        <w:tc>
          <w:tcPr>
            <w:tcW w:type="dxa" w:w="3845"/>
          </w:tcPr>
          <w:p>
            <w:pPr>
              <w:spacing w:after="20"/>
            </w:pPr>
            <w:r>
              <w:rPr>
                <w:color w:val="1C3A36"/>
                <w:sz w:val="15"/>
              </w:rPr>
              <w:t>Accounts and notes payable at 31-Dec-2025 (note 10-3). The previous edition modelled a trade payable of about 2.5bn funding the working capital cycle; the actual trade payable is under 8mn and the funding sits in the EGPC current account instead. Audited consolidated FS, transition period 1-Jul-2025 to 31-Dec-2025, Crowe unqualified, 18-Feb-2026</w:t>
            </w:r>
          </w:p>
        </w:tc>
      </w:tr>
      <w:tr>
        <w:tc>
          <w:tcPr>
            <w:tcW w:type="dxa" w:w="2736"/>
          </w:tcPr>
          <w:p>
            <w:pPr>
              <w:spacing w:after="20"/>
            </w:pPr>
            <w:r>
              <w:rPr>
                <w:color w:val="1C3A36"/>
                <w:sz w:val="15"/>
              </w:rPr>
              <w:t>creditors</w:t>
            </w:r>
          </w:p>
        </w:tc>
        <w:tc>
          <w:tcPr>
            <w:tcW w:type="dxa" w:w="2232"/>
          </w:tcPr>
          <w:p>
            <w:pPr>
              <w:spacing w:after="20"/>
            </w:pPr>
            <w:r>
              <w:rPr>
                <w:color w:val="1C3A36"/>
                <w:sz w:val="15"/>
              </w:rPr>
              <w:t>2,044,446,416.0</w:t>
            </w:r>
          </w:p>
        </w:tc>
        <w:tc>
          <w:tcPr>
            <w:tcW w:type="dxa" w:w="1368"/>
          </w:tcPr>
          <w:p>
            <w:pPr>
              <w:spacing w:after="20"/>
            </w:pPr>
            <w:r>
              <w:rPr>
                <w:color w:val="1C3A36"/>
                <w:sz w:val="15"/>
              </w:rPr>
              <w:t>2025-12-31</w:t>
            </w:r>
          </w:p>
        </w:tc>
        <w:tc>
          <w:tcPr>
            <w:tcW w:type="dxa" w:w="3845"/>
          </w:tcPr>
          <w:p>
            <w:pPr>
              <w:spacing w:after="20"/>
            </w:pPr>
            <w:r>
              <w:rPr>
                <w:color w:val="1C3A36"/>
                <w:sz w:val="15"/>
              </w:rPr>
              <w:t>Creditors and other credit balances at 31-Dec-2025 (note 11): EGPC current account 1,132,353,505, deposits 70,891,867, miscellaneous taxes 47,021,719, dividends payable 517,250,000, miscellaneous creditors 148,226,091, customer advances 60,028,880. Audited consolidated FS, transition period 1-Jul-2025 to 31-Dec-2025, Crowe unqualified, 18-Feb-2026</w:t>
            </w:r>
          </w:p>
        </w:tc>
      </w:tr>
      <w:tr>
        <w:tc>
          <w:tcPr>
            <w:tcW w:type="dxa" w:w="2736"/>
          </w:tcPr>
          <w:p>
            <w:pPr>
              <w:spacing w:after="20"/>
            </w:pPr>
            <w:r>
              <w:rPr>
                <w:color w:val="1C3A36"/>
                <w:sz w:val="15"/>
              </w:rPr>
              <w:t>provisions</w:t>
            </w:r>
          </w:p>
        </w:tc>
        <w:tc>
          <w:tcPr>
            <w:tcW w:type="dxa" w:w="2232"/>
          </w:tcPr>
          <w:p>
            <w:pPr>
              <w:spacing w:after="20"/>
            </w:pPr>
            <w:r>
              <w:rPr>
                <w:color w:val="1C3A36"/>
                <w:sz w:val="15"/>
              </w:rPr>
              <w:t>921,440,353.0</w:t>
            </w:r>
          </w:p>
        </w:tc>
        <w:tc>
          <w:tcPr>
            <w:tcW w:type="dxa" w:w="1368"/>
          </w:tcPr>
          <w:p>
            <w:pPr>
              <w:spacing w:after="20"/>
            </w:pPr>
            <w:r>
              <w:rPr>
                <w:color w:val="1C3A36"/>
                <w:sz w:val="15"/>
              </w:rPr>
              <w:t>2025-12-31</w:t>
            </w:r>
          </w:p>
        </w:tc>
        <w:tc>
          <w:tcPr>
            <w:tcW w:type="dxa" w:w="3845"/>
          </w:tcPr>
          <w:p>
            <w:pPr>
              <w:spacing w:after="20"/>
            </w:pPr>
            <w:r>
              <w:rPr>
                <w:color w:val="1C3A36"/>
                <w:sz w:val="15"/>
              </w:rPr>
              <w:t>Provisions at 31-Dec-2025 (note 10-1): tax disputes 904,609,345 and claims and disputes 16,831,008. A contingent liability worth EGP 0.71 a share that the previous edition never carried at all</w:t>
            </w:r>
          </w:p>
        </w:tc>
      </w:tr>
      <w:tr>
        <w:tc>
          <w:tcPr>
            <w:tcW w:type="dxa" w:w="2736"/>
          </w:tcPr>
          <w:p>
            <w:pPr>
              <w:spacing w:after="20"/>
            </w:pPr>
            <w:r>
              <w:rPr>
                <w:color w:val="1C3A36"/>
                <w:sz w:val="15"/>
              </w:rPr>
              <w:t>dtax_liab</w:t>
            </w:r>
          </w:p>
        </w:tc>
        <w:tc>
          <w:tcPr>
            <w:tcW w:type="dxa" w:w="2232"/>
          </w:tcPr>
          <w:p>
            <w:pPr>
              <w:spacing w:after="20"/>
            </w:pPr>
            <w:r>
              <w:rPr>
                <w:color w:val="1C3A36"/>
                <w:sz w:val="15"/>
              </w:rPr>
              <w:t>108,612,469.0</w:t>
            </w:r>
          </w:p>
        </w:tc>
        <w:tc>
          <w:tcPr>
            <w:tcW w:type="dxa" w:w="1368"/>
          </w:tcPr>
          <w:p>
            <w:pPr>
              <w:spacing w:after="20"/>
            </w:pPr>
            <w:r>
              <w:rPr>
                <w:color w:val="1C3A36"/>
                <w:sz w:val="15"/>
              </w:rPr>
              <w:t>2025-12-31</w:t>
            </w:r>
          </w:p>
        </w:tc>
        <w:tc>
          <w:tcPr>
            <w:tcW w:type="dxa" w:w="3845"/>
          </w:tcPr>
          <w:p>
            <w:pPr>
              <w:spacing w:after="20"/>
            </w:pPr>
            <w:r>
              <w:rPr>
                <w:color w:val="1C3A36"/>
                <w:sz w:val="15"/>
              </w:rPr>
              <w:t>Deferred tax liability at 31-Dec-2025 (note 13-A). Audited consolidated FS, transition period 1-Jul-2025 to 31-Dec-2025, Crowe unqualified, 18-Feb-2026</w:t>
            </w:r>
          </w:p>
        </w:tc>
      </w:tr>
      <w:tr>
        <w:tc>
          <w:tcPr>
            <w:tcW w:type="dxa" w:w="2736"/>
          </w:tcPr>
          <w:p>
            <w:pPr>
              <w:spacing w:after="20"/>
            </w:pPr>
            <w:r>
              <w:rPr>
                <w:color w:val="1C3A36"/>
                <w:sz w:val="15"/>
              </w:rPr>
              <w:t>tax_due</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Due to the tax authority at 31-Dec-2025 (note 10-2). Audited consolidated FS, transition period 1-Jul-2025 to 31-Dec-2025, Crowe unqualified, 18-Feb-2026</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517,250,000.0</w:t>
            </w:r>
          </w:p>
        </w:tc>
        <w:tc>
          <w:tcPr>
            <w:tcW w:type="dxa" w:w="1368"/>
          </w:tcPr>
          <w:p>
            <w:pPr>
              <w:spacing w:after="20"/>
            </w:pPr>
            <w:r>
              <w:rPr>
                <w:color w:val="1C3A36"/>
                <w:sz w:val="15"/>
              </w:rPr>
              <w:t>2025-12-31</w:t>
            </w:r>
          </w:p>
        </w:tc>
        <w:tc>
          <w:tcPr>
            <w:tcW w:type="dxa" w:w="3845"/>
          </w:tcPr>
          <w:p>
            <w:pPr>
              <w:spacing w:after="20"/>
            </w:pPr>
            <w:r>
              <w:rPr>
                <w:color w:val="1C3A36"/>
                <w:sz w:val="15"/>
              </w:rPr>
              <w:t>Dividends payable at 31-Dec-2025 (note 11, other credit balances) — declared and not yet paid at the reporting date. Audited consolidated FS, transition period 1-Jul-2025 to 31-Dec-2025, Crowe unqualified, 18-Feb-2026</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AMOC holds 86.45% of Alexandria Wax Products S.A.E. (note 1-2). The previous edition inferred 3.0% from the gap between consolidated and standalone profit; the filing says 4.645%</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(gas oil -8.3% a year, naphtha -7.4%, fuel oil -6.4%, heavy fuel oil -28.2%; only wax +1.1% and LPG +1.7% grew).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reverts toward the five-year mean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0.908</w:t>
            </w:r>
          </w:p>
        </w:tc>
        <w:tc>
          <w:tcPr>
            <w:tcW w:type="dxa" w:w="1368"/>
          </w:tcPr>
          <w:p>
            <w:pPr>
              <w:spacing w:after="20"/>
            </w:pPr>
            <w:r>
              <w:rPr>
                <w:color w:val="1C3A36"/>
                <w:sz w:val="15"/>
              </w:rPr>
              <w:t>2026-07-22</w:t>
            </w:r>
          </w:p>
        </w:tc>
        <w:tc>
          <w:tcPr>
            <w:tcW w:type="dxa" w:w="3845"/>
          </w:tcPr>
          <w:p>
            <w:pPr>
              <w:spacing w:after="20"/>
            </w:pPr>
            <w:r>
              <w:rPr>
                <w:color w:val="1C3A36"/>
                <w:sz w:val="15"/>
              </w:rPr>
              <w:t>Own-stock tier-1 regression, AMOC weekly log-returns against the EGX30 — the published index of the exchange AMOC is listed on, series as of 22 July 2026. R-squared 0.259, n = 253, standard error 0.165, 90% confidence interval [0.637, 1.179], Blume cross-check 0.939.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-3.5% on beta and under a percent on fair value;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In the previous edition this input drove NOTHING — it was registered, published in the source register and read by no line of the model. It is now the spine of both sides of the margin: every product realisation is this deck times a crack multiple solved from the disclosed product table, and the feedstock charge is this deck times a differential solved from disclosed cost of sales</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1.33, 1.28, 1.12, 1.145, 1.13, 1.115, 1.1, 1.095</w:t>
            </w:r>
          </w:p>
        </w:tc>
        <w:tc>
          <w:tcPr>
            <w:tcW w:type="dxa" w:w="1368"/>
          </w:tcPr>
          <w:p>
            <w:pPr>
              <w:spacing w:after="20"/>
            </w:pPr>
            <w:r>
              <w:rPr>
                <w:color w:val="1C3A36"/>
                <w:sz w:val="15"/>
              </w:rPr>
              <w:t>2026-08-06</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Historical years as printed, easing toward the central bank's published target thereafter</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bl>
    <w:p>
      <w:pPr>
        <w:spacing w:after="40"/>
      </w:pPr>
    </w:p>
    <w:p>
      <w:pPr>
        <w:spacing w:after="60" w:before="160"/>
      </w:pPr>
      <w:r>
        <w:rPr>
          <w:b/>
          <w:i w:val="0"/>
          <w:color w:val="1C3A36"/>
          <w:sz w:val="22"/>
        </w:rPr>
        <w:t>Global layer — 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line_price_growth</w:t>
            </w:r>
          </w:p>
        </w:tc>
        <w:tc>
          <w:tcPr>
            <w:tcW w:type="dxa" w:w="2232"/>
          </w:tcPr>
          <w:p>
            <w:pPr>
              <w:spacing w:after="20"/>
            </w:pPr>
            <w:r>
              <w:rPr>
                <w:color w:val="1C3A36"/>
                <w:sz w:val="15"/>
              </w:rPr>
              <w:t>0.09, 0.075, 0.065, 0.058, 0.052</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The realisation ITSELF is disclosed — note 14-A value divided by note 14-A tonnes — so only its growth is forecast. Struck below the assumed exchange-rate path on the view that a pass-through processor recovers currency in price with a lag. The second and last free operating parameter</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fx_path</w:t>
            </w:r>
          </w:p>
        </w:tc>
        <w:tc>
          <w:tcPr>
            <w:tcW w:type="dxa" w:w="2232"/>
          </w:tcPr>
          <w:p>
            <w:pPr>
              <w:spacing w:after="20"/>
            </w:pPr>
            <w:r>
              <w:rPr>
                <w:color w:val="1C3A36"/>
                <w:sz w:val="15"/>
              </w:rPr>
              <w:t>50.9, 53.4, 55.8, 58, 60.1</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about 4.5% a year of depreciation from the 2025 average. Below the inflation differential, on the view that the post-float regime and the reserve build slow the pass-through — this is a genuine driver: both revenue legs are priced off dollar product benchmarks</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0.22</w:t>
            </w:r>
          </w:p>
        </w:tc>
        <w:tc>
          <w:tcPr>
            <w:tcW w:type="dxa" w:w="1368"/>
          </w:tcPr>
          <w:p>
            <w:pPr>
              <w:spacing w:after="20"/>
            </w:pPr>
            <w:r>
              <w:rPr>
                <w:color w:val="1C3A36"/>
                <w:sz w:val="15"/>
              </w:rPr>
              <w:t>2026-08-06</w:t>
            </w:r>
          </w:p>
        </w:tc>
        <w:tc>
          <w:tcPr>
            <w:tcW w:type="dxa" w:w="3845"/>
          </w:tcPr>
          <w:p>
            <w:pPr>
              <w:spacing w:after="20"/>
            </w:pPr>
            <w:r>
              <w:rPr>
                <w:color w:val="1C3A36"/>
                <w:sz w:val="15"/>
              </w:rPr>
              <w:t>Marginal cost of debt. The gross book is EGP 25mn — 0.06% of revenue — of short-dated Egyptian-pound facilities, so the rate is taken at the corridor lending rate of 20.00% plus a 200bp corporate spread rather than pretended to be observable.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0.22, 0.195, 0.175, 0.16, 0.15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0.055</w:t>
            </w:r>
          </w:p>
        </w:tc>
        <w:tc>
          <w:tcPr>
            <w:tcW w:type="dxa" w:w="1368"/>
          </w:tcPr>
          <w:p>
            <w:pPr>
              <w:spacing w:after="20"/>
            </w:pPr>
            <w:r>
              <w:rPr>
                <w:color w:val="1C3A36"/>
                <w:sz w:val="15"/>
              </w:rPr>
              <w:t>2026-08-06</w:t>
            </w:r>
          </w:p>
        </w:tc>
        <w:tc>
          <w:tcPr>
            <w:tcW w:type="dxa" w:w="3845"/>
          </w:tcPr>
          <w:p>
            <w:pPr>
              <w:spacing w:after="20"/>
            </w:pPr>
            <w:r>
              <w:rPr>
                <w:color w:val="1C3A36"/>
                <w:sz w:val="15"/>
              </w:rPr>
              <w:t>Terminal real risk-free rate, the standard emerging-market convention. The terminal NOMINAL risk-free rate is not an input: it is DERIVED as this real rate plus the central bank's inflation target IN FORCE for the terminal horizon (`cbe_target`), so the single most terminal-value-sensitive number in the model cannot be set by hand. The previous edition hardcoded 10.50% by adding 5.5pp to the 5% target dated Q4-2028 while describing it as 'the' medium-term target; the target in force is 7% for Q4-2026 and the July-2026 rate decision pushed even that to H2-2027</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g_term</w:t>
            </w:r>
          </w:p>
        </w:tc>
        <w:tc>
          <w:tcPr>
            <w:tcW w:type="dxa" w:w="2232"/>
          </w:tcPr>
          <w:p>
            <w:pPr>
              <w:spacing w:after="20"/>
            </w:pPr>
            <w:r>
              <w:rPr>
                <w:color w:val="1C3A36"/>
                <w:sz w:val="15"/>
              </w:rPr>
              <w:t>0.05</w:t>
            </w:r>
          </w:p>
        </w:tc>
        <w:tc>
          <w:tcPr>
            <w:tcW w:type="dxa" w:w="1368"/>
          </w:tcPr>
          <w:p>
            <w:pPr>
              <w:spacing w:after="20"/>
            </w:pPr>
            <w:r>
              <w:rPr>
                <w:color w:val="1C3A36"/>
                <w:sz w:val="15"/>
              </w:rPr>
              <w:t>2026-08-06</w:t>
            </w:r>
          </w:p>
        </w:tc>
        <w:tc>
          <w:tcPr>
            <w:tcW w:type="dxa" w:w="3845"/>
          </w:tcPr>
          <w:p>
            <w:pPr>
              <w:spacing w:after="20"/>
            </w:pPr>
            <w:r>
              <w:rPr>
                <w:color w:val="1C3A36"/>
                <w:sz w:val="15"/>
              </w:rPr>
              <w:t>Terminal growth, 5% — the standing centre for established names in this market once currency turbulence has passed, sensitised 3-7%. An EGP-nominal rate struck against an EGP-nominal terminal risk-free rate</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808,084 tonnes for EGP 20,736mn. Realisations per tonne are that note divided by itself; nothing is reconstructed and no crack multiple, crude parity or feedstock differential is needed or used. The specialty slate is 11.97% of tonnage and 22.37%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90.7%, salaries 4.5%, other (natural gas, electricity, water, spare parts, maintenance and the EPROM operating contract) 4.1%,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+18.3%</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