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1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roughly half the base year is a disclosure to the exchange rather than an audited filing.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5.53 a share against a market price of EGP 9.10. Fair value sits 39.2% BELOW the price; equivalently the price stands 64.4% ABOVE fair value. The weighted range is EGP 3.64 to 8.29 and the price is outside it. Every one of the four lenses lands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weighted central still reaches only EGP 7.47, -17.9% against the price. Section 1.13 walks the whole stack, one full model re-run per row.</w:t>
            </w:r>
          </w:p>
          <w:p>
            <w:pPr>
              <w:spacing w:after="100"/>
            </w:pPr>
            <w:r>
              <w:rPr>
                <w:b/>
                <w:color w:val="1C3A36"/>
                <w:sz w:val="19"/>
              </w:rPr>
              <w:t xml:space="preserve">WHAT A BUYER AT THE PRICE MUST BELIEVE.  </w:t>
            </w:r>
            <w:r>
              <w:rPr>
                <w:color w:val="1C3A36"/>
                <w:sz w:val="19"/>
              </w:rPr>
              <w:t>For EGP 9.10 to be fair the cash-flow lens must reach EGP 12.80, 162% above this model. On the study’s own live grids that means a PERMANENT gross margin near 12.2% — above the best single quarter this company has ever filed — or volume growth at roughly ten times the assumed path. Section 1.14 derives both.</w:t>
            </w:r>
          </w:p>
          <w:p>
            <w:pPr>
              <w:spacing w:after="100"/>
            </w:pPr>
            <w:r>
              <w:rPr>
                <w:b/>
                <w:color w:val="1C3A36"/>
                <w:sz w:val="19"/>
              </w:rPr>
              <w:t xml:space="preserve">AND THE HONEST WEAKNESS.  </w:t>
            </w:r>
            <w:r>
              <w:rPr>
                <w:color w:val="1C3A36"/>
                <w:sz w:val="19"/>
              </w:rPr>
              <w:t>Half the base year is a press release rather than a filing, and two exchange disclosures that would move the answer in OPPOSITE directions could not be reached from this environment. Both are named and priced in section 7 rather than left out.</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736"/>
        <w:gridCol w:w="1037"/>
        <w:gridCol w:w="1037"/>
        <w:gridCol w:w="1037"/>
        <w:gridCol w:w="893"/>
        <w:gridCol w:w="1037"/>
      </w:tblGrid>
      <w:tr>
        <w:tc>
          <w:tcPr>
            <w:tcW w:type="dxa" w:w="2232"/>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893"/>
            <w:shd w:val="clear" w:color="auto" w:fill="EAF0EE"/>
          </w:tcPr>
          <w:p>
            <w:pPr>
              <w:spacing w:after="20"/>
            </w:pPr>
            <w:r>
              <w:rPr>
                <w:b/>
                <w:color w:val="1C3A36"/>
                <w:sz w:val="18"/>
              </w:rPr>
              <w:t>Weight</w:t>
            </w:r>
          </w:p>
        </w:tc>
        <w:tc>
          <w:tcPr>
            <w:tcW w:type="dxa" w:w="1037"/>
            <w:shd w:val="clear" w:color="auto" w:fill="EAF0EE"/>
          </w:tcPr>
          <w:p>
            <w:pPr>
              <w:spacing w:after="20"/>
            </w:pPr>
            <w:r>
              <w:rPr>
                <w:b/>
                <w:color w:val="1C3A36"/>
                <w:sz w:val="18"/>
              </w:rPr>
              <w:t>vs price</w:t>
            </w:r>
          </w:p>
        </w:tc>
      </w:tr>
      <w:tr>
        <w:tc>
          <w:tcPr>
            <w:tcW w:type="dxa" w:w="2232"/>
          </w:tcPr>
          <w:p>
            <w:pPr>
              <w:spacing w:after="20"/>
            </w:pPr>
            <w:r>
              <w:rPr>
                <w:color w:val="1C3A36"/>
                <w:sz w:val="18"/>
              </w:rPr>
              <w:t>Discounted cash flow</w:t>
            </w:r>
          </w:p>
        </w:tc>
        <w:tc>
          <w:tcPr>
            <w:tcW w:type="dxa" w:w="2736"/>
          </w:tcPr>
          <w:p>
            <w:pPr>
              <w:spacing w:after="20"/>
            </w:pPr>
            <w:r>
              <w:rPr>
                <w:color w:val="1C3A36"/>
                <w:sz w:val="18"/>
              </w:rPr>
              <w:t>unlevered cash, discounted on a glide</w:t>
            </w:r>
          </w:p>
        </w:tc>
        <w:tc>
          <w:tcPr>
            <w:tcW w:type="dxa" w:w="1037"/>
          </w:tcPr>
          <w:p>
            <w:pPr>
              <w:spacing w:after="20"/>
              <w:jc w:val="right"/>
            </w:pPr>
            <w:r>
              <w:rPr>
                <w:color w:val="1C3A36"/>
                <w:sz w:val="18"/>
              </w:rPr>
              <w:t>2.28</w:t>
            </w:r>
          </w:p>
        </w:tc>
        <w:tc>
          <w:tcPr>
            <w:tcW w:type="dxa" w:w="1037"/>
          </w:tcPr>
          <w:p>
            <w:pPr>
              <w:spacing w:after="20"/>
              <w:jc w:val="right"/>
            </w:pPr>
            <w:r>
              <w:rPr>
                <w:color w:val="1C3A36"/>
                <w:sz w:val="18"/>
              </w:rPr>
              <w:t>4.88</w:t>
            </w:r>
          </w:p>
        </w:tc>
        <w:tc>
          <w:tcPr>
            <w:tcW w:type="dxa" w:w="1037"/>
          </w:tcPr>
          <w:p>
            <w:pPr>
              <w:spacing w:after="20"/>
              <w:jc w:val="right"/>
            </w:pPr>
            <w:r>
              <w:rPr>
                <w:color w:val="1C3A36"/>
                <w:sz w:val="18"/>
              </w:rPr>
              <w:t>9.51</w:t>
            </w:r>
          </w:p>
        </w:tc>
        <w:tc>
          <w:tcPr>
            <w:tcW w:type="dxa" w:w="893"/>
          </w:tcPr>
          <w:p>
            <w:pPr>
              <w:spacing w:after="20"/>
              <w:jc w:val="right"/>
            </w:pPr>
            <w:r>
              <w:rPr>
                <w:color w:val="1C3A36"/>
                <w:sz w:val="18"/>
              </w:rPr>
              <w:t>45%</w:t>
            </w:r>
          </w:p>
        </w:tc>
        <w:tc>
          <w:tcPr>
            <w:tcW w:type="dxa" w:w="1037"/>
          </w:tcPr>
          <w:p>
            <w:pPr>
              <w:spacing w:after="20"/>
              <w:jc w:val="right"/>
            </w:pPr>
            <w:r>
              <w:rPr>
                <w:color w:val="1C3A36"/>
                <w:sz w:val="18"/>
              </w:rPr>
              <w:t>-46.4%</w:t>
            </w:r>
          </w:p>
        </w:tc>
      </w:tr>
      <w:tr>
        <w:tc>
          <w:tcPr>
            <w:tcW w:type="dxa" w:w="2232"/>
          </w:tcPr>
          <w:p>
            <w:pPr>
              <w:spacing w:after="20"/>
            </w:pPr>
            <w:r>
              <w:rPr>
                <w:color w:val="1C3A36"/>
                <w:sz w:val="18"/>
              </w:rPr>
              <w:t>Relative multiples</w:t>
            </w:r>
          </w:p>
        </w:tc>
        <w:tc>
          <w:tcPr>
            <w:tcW w:type="dxa" w:w="2736"/>
          </w:tcPr>
          <w:p>
            <w:pPr>
              <w:spacing w:after="20"/>
            </w:pPr>
            <w:r>
              <w:rPr>
                <w:color w:val="1C3A36"/>
                <w:sz w:val="18"/>
              </w:rPr>
              <w:t>own trailing EV/EBITDA, no re-rating</w:t>
            </w:r>
          </w:p>
        </w:tc>
        <w:tc>
          <w:tcPr>
            <w:tcW w:type="dxa" w:w="1037"/>
          </w:tcPr>
          <w:p>
            <w:pPr>
              <w:spacing w:after="20"/>
              <w:jc w:val="right"/>
            </w:pPr>
            <w:r>
              <w:rPr>
                <w:color w:val="1C3A36"/>
                <w:sz w:val="18"/>
              </w:rPr>
              <w:t>6.39</w:t>
            </w:r>
          </w:p>
        </w:tc>
        <w:tc>
          <w:tcPr>
            <w:tcW w:type="dxa" w:w="1037"/>
          </w:tcPr>
          <w:p>
            <w:pPr>
              <w:spacing w:after="20"/>
              <w:jc w:val="right"/>
            </w:pPr>
            <w:r>
              <w:rPr>
                <w:color w:val="1C3A36"/>
                <w:sz w:val="18"/>
              </w:rPr>
              <w:t>8.14</w:t>
            </w:r>
          </w:p>
        </w:tc>
        <w:tc>
          <w:tcPr>
            <w:tcW w:type="dxa" w:w="1037"/>
          </w:tcPr>
          <w:p>
            <w:pPr>
              <w:spacing w:after="20"/>
              <w:jc w:val="right"/>
            </w:pPr>
            <w:r>
              <w:rPr>
                <w:color w:val="1C3A36"/>
                <w:sz w:val="18"/>
              </w:rPr>
              <w:t>9.88</w:t>
            </w:r>
          </w:p>
        </w:tc>
        <w:tc>
          <w:tcPr>
            <w:tcW w:type="dxa" w:w="893"/>
          </w:tcPr>
          <w:p>
            <w:pPr>
              <w:spacing w:after="20"/>
              <w:jc w:val="right"/>
            </w:pPr>
            <w:r>
              <w:rPr>
                <w:color w:val="1C3A36"/>
                <w:sz w:val="18"/>
              </w:rPr>
              <w:t>20%</w:t>
            </w:r>
          </w:p>
        </w:tc>
        <w:tc>
          <w:tcPr>
            <w:tcW w:type="dxa" w:w="1037"/>
          </w:tcPr>
          <w:p>
            <w:pPr>
              <w:spacing w:after="20"/>
              <w:jc w:val="right"/>
            </w:pPr>
            <w:r>
              <w:rPr>
                <w:color w:val="1C3A36"/>
                <w:sz w:val="18"/>
              </w:rPr>
              <w:t>-10.6%</w:t>
            </w:r>
          </w:p>
        </w:tc>
      </w:tr>
      <w:tr>
        <w:tc>
          <w:tcPr>
            <w:tcW w:type="dxa" w:w="2232"/>
          </w:tcPr>
          <w:p>
            <w:pPr>
              <w:spacing w:after="20"/>
            </w:pPr>
            <w:r>
              <w:rPr>
                <w:color w:val="1C3A36"/>
                <w:sz w:val="18"/>
              </w:rPr>
              <w:t>Normalised earnings</w:t>
            </w:r>
          </w:p>
        </w:tc>
        <w:tc>
          <w:tcPr>
            <w:tcW w:type="dxa" w:w="2736"/>
          </w:tcPr>
          <w:p>
            <w:pPr>
              <w:spacing w:after="20"/>
            </w:pPr>
            <w:r>
              <w:rPr>
                <w:color w:val="1C3A36"/>
                <w:sz w:val="18"/>
              </w:rPr>
              <w:t>mid-cycle operating EPS, discounted</w:t>
            </w:r>
          </w:p>
        </w:tc>
        <w:tc>
          <w:tcPr>
            <w:tcW w:type="dxa" w:w="1037"/>
          </w:tcPr>
          <w:p>
            <w:pPr>
              <w:spacing w:after="20"/>
              <w:jc w:val="right"/>
            </w:pPr>
            <w:r>
              <w:rPr>
                <w:color w:val="1C3A36"/>
                <w:sz w:val="18"/>
              </w:rPr>
              <w:t>3.93</w:t>
            </w:r>
          </w:p>
        </w:tc>
        <w:tc>
          <w:tcPr>
            <w:tcW w:type="dxa" w:w="1037"/>
          </w:tcPr>
          <w:p>
            <w:pPr>
              <w:spacing w:after="20"/>
              <w:jc w:val="right"/>
            </w:pPr>
            <w:r>
              <w:rPr>
                <w:color w:val="1C3A36"/>
                <w:sz w:val="18"/>
              </w:rPr>
              <w:t>5.08</w:t>
            </w:r>
          </w:p>
        </w:tc>
        <w:tc>
          <w:tcPr>
            <w:tcW w:type="dxa" w:w="1037"/>
          </w:tcPr>
          <w:p>
            <w:pPr>
              <w:spacing w:after="20"/>
              <w:jc w:val="right"/>
            </w:pPr>
            <w:r>
              <w:rPr>
                <w:color w:val="1C3A36"/>
                <w:sz w:val="18"/>
              </w:rPr>
              <w:t>6.23</w:t>
            </w:r>
          </w:p>
        </w:tc>
        <w:tc>
          <w:tcPr>
            <w:tcW w:type="dxa" w:w="893"/>
          </w:tcPr>
          <w:p>
            <w:pPr>
              <w:spacing w:after="20"/>
              <w:jc w:val="right"/>
            </w:pPr>
            <w:r>
              <w:rPr>
                <w:color w:val="1C3A36"/>
                <w:sz w:val="18"/>
              </w:rPr>
              <w:t>20%</w:t>
            </w:r>
          </w:p>
        </w:tc>
        <w:tc>
          <w:tcPr>
            <w:tcW w:type="dxa" w:w="1037"/>
          </w:tcPr>
          <w:p>
            <w:pPr>
              <w:spacing w:after="20"/>
              <w:jc w:val="right"/>
            </w:pPr>
            <w:r>
              <w:rPr>
                <w:color w:val="1C3A36"/>
                <w:sz w:val="18"/>
              </w:rPr>
              <w:t>-44.2%</w:t>
            </w:r>
          </w:p>
        </w:tc>
      </w:tr>
      <w:tr>
        <w:tc>
          <w:tcPr>
            <w:tcW w:type="dxa" w:w="2232"/>
          </w:tcPr>
          <w:p>
            <w:pPr>
              <w:spacing w:after="20"/>
            </w:pPr>
            <w:r>
              <w:rPr>
                <w:color w:val="1C3A36"/>
                <w:sz w:val="18"/>
              </w:rPr>
              <w:t>Book and sustainable return</w:t>
            </w:r>
          </w:p>
        </w:tc>
        <w:tc>
          <w:tcPr>
            <w:tcW w:type="dxa" w:w="2736"/>
          </w:tcPr>
          <w:p>
            <w:pPr>
              <w:spacing w:after="20"/>
            </w:pPr>
            <w:r>
              <w:rPr>
                <w:color w:val="1C3A36"/>
                <w:sz w:val="18"/>
              </w:rPr>
              <w:t>justified price-to-book</w:t>
            </w:r>
          </w:p>
        </w:tc>
        <w:tc>
          <w:tcPr>
            <w:tcW w:type="dxa" w:w="1037"/>
          </w:tcPr>
          <w:p>
            <w:pPr>
              <w:spacing w:after="20"/>
              <w:jc w:val="right"/>
            </w:pPr>
            <w:r>
              <w:rPr>
                <w:color w:val="1C3A36"/>
                <w:sz w:val="18"/>
              </w:rPr>
              <w:t>3.64</w:t>
            </w:r>
          </w:p>
        </w:tc>
        <w:tc>
          <w:tcPr>
            <w:tcW w:type="dxa" w:w="1037"/>
          </w:tcPr>
          <w:p>
            <w:pPr>
              <w:spacing w:after="20"/>
              <w:jc w:val="right"/>
            </w:pPr>
            <w:r>
              <w:rPr>
                <w:color w:val="1C3A36"/>
                <w:sz w:val="18"/>
              </w:rPr>
              <w:t>4.64</w:t>
            </w:r>
          </w:p>
        </w:tc>
        <w:tc>
          <w:tcPr>
            <w:tcW w:type="dxa" w:w="1037"/>
          </w:tcPr>
          <w:p>
            <w:pPr>
              <w:spacing w:after="20"/>
              <w:jc w:val="right"/>
            </w:pPr>
            <w:r>
              <w:rPr>
                <w:color w:val="1C3A36"/>
                <w:sz w:val="18"/>
              </w:rPr>
              <w:t>5.25</w:t>
            </w:r>
          </w:p>
        </w:tc>
        <w:tc>
          <w:tcPr>
            <w:tcW w:type="dxa" w:w="893"/>
          </w:tcPr>
          <w:p>
            <w:pPr>
              <w:spacing w:after="20"/>
              <w:jc w:val="right"/>
            </w:pPr>
            <w:r>
              <w:rPr>
                <w:color w:val="1C3A36"/>
                <w:sz w:val="18"/>
              </w:rPr>
              <w:t>15%</w:t>
            </w:r>
          </w:p>
        </w:tc>
        <w:tc>
          <w:tcPr>
            <w:tcW w:type="dxa" w:w="1037"/>
          </w:tcPr>
          <w:p>
            <w:pPr>
              <w:spacing w:after="20"/>
              <w:jc w:val="right"/>
            </w:pPr>
            <w:r>
              <w:rPr>
                <w:color w:val="1C3A36"/>
                <w:sz w:val="18"/>
              </w:rPr>
              <w:t>-49.0%</w:t>
            </w:r>
          </w:p>
        </w:tc>
      </w:tr>
      <w:tr>
        <w:tc>
          <w:tcPr>
            <w:tcW w:type="dxa" w:w="2232"/>
            <w:shd w:val="clear" w:color="auto" w:fill="F6F1E6"/>
          </w:tcPr>
          <w:p>
            <w:pPr>
              <w:spacing w:after="20"/>
            </w:pPr>
            <w:r>
              <w:rPr>
                <w:b/>
                <w:color w:val="1C3A36"/>
                <w:sz w:val="18"/>
              </w:rPr>
              <w:t>WEIGHTED CENTRAL</w:t>
            </w:r>
          </w:p>
        </w:tc>
        <w:tc>
          <w:tcPr>
            <w:tcW w:type="dxa" w:w="2736"/>
            <w:shd w:val="clear" w:color="auto" w:fill="F6F1E6"/>
          </w:tcPr>
          <w:p>
            <w:pPr>
              <w:spacing w:after="20"/>
            </w:pPr>
            <w:r>
              <w:rPr>
                <w:b/>
                <w:color w:val="1C3A36"/>
                <w:sz w:val="18"/>
              </w:rPr>
              <w:t>the four, weighted</w:t>
            </w:r>
          </w:p>
        </w:tc>
        <w:tc>
          <w:tcPr>
            <w:tcW w:type="dxa" w:w="1037"/>
            <w:shd w:val="clear" w:color="auto" w:fill="F6F1E6"/>
          </w:tcPr>
          <w:p>
            <w:pPr>
              <w:spacing w:after="20"/>
              <w:jc w:val="right"/>
            </w:pPr>
            <w:r>
              <w:rPr>
                <w:b/>
                <w:color w:val="1C3A36"/>
                <w:sz w:val="18"/>
              </w:rPr>
              <w:t>3.64</w:t>
            </w:r>
          </w:p>
        </w:tc>
        <w:tc>
          <w:tcPr>
            <w:tcW w:type="dxa" w:w="1037"/>
            <w:shd w:val="clear" w:color="auto" w:fill="F6F1E6"/>
          </w:tcPr>
          <w:p>
            <w:pPr>
              <w:spacing w:after="20"/>
              <w:jc w:val="right"/>
            </w:pPr>
            <w:r>
              <w:rPr>
                <w:b/>
                <w:color w:val="1C3A36"/>
                <w:sz w:val="18"/>
              </w:rPr>
              <w:t>5.53</w:t>
            </w:r>
          </w:p>
        </w:tc>
        <w:tc>
          <w:tcPr>
            <w:tcW w:type="dxa" w:w="1037"/>
            <w:shd w:val="clear" w:color="auto" w:fill="F6F1E6"/>
          </w:tcPr>
          <w:p>
            <w:pPr>
              <w:spacing w:after="20"/>
              <w:jc w:val="right"/>
            </w:pPr>
            <w:r>
              <w:rPr>
                <w:b/>
                <w:color w:val="1C3A36"/>
                <w:sz w:val="18"/>
              </w:rPr>
              <w:t>8.29</w:t>
            </w:r>
          </w:p>
        </w:tc>
        <w:tc>
          <w:tcPr>
            <w:tcW w:type="dxa" w:w="893"/>
            <w:shd w:val="clear" w:color="auto" w:fill="F6F1E6"/>
          </w:tcPr>
          <w:p>
            <w:pPr>
              <w:spacing w:after="20"/>
              <w:jc w:val="right"/>
            </w:pPr>
            <w:r>
              <w:rPr>
                <w:b/>
                <w:color w:val="1C3A36"/>
                <w:sz w:val="18"/>
              </w:rPr>
              <w:t>100%</w:t>
            </w:r>
          </w:p>
        </w:tc>
        <w:tc>
          <w:tcPr>
            <w:tcW w:type="dxa" w:w="1037"/>
            <w:shd w:val="clear" w:color="auto" w:fill="F6F1E6"/>
          </w:tcPr>
          <w:p>
            <w:pPr>
              <w:spacing w:after="20"/>
              <w:jc w:val="right"/>
            </w:pPr>
            <w:r>
              <w:rPr>
                <w:b/>
                <w:color w:val="1C3A36"/>
                <w:sz w:val="18"/>
              </w:rPr>
              <w:t>-39.2%</w:t>
            </w:r>
          </w:p>
        </w:tc>
      </w:tr>
    </w:tbl>
    <w:p>
      <w:pPr>
        <w:spacing w:after="40"/>
      </w:pPr>
    </w:p>
    <w:p>
      <w:pPr>
        <w:spacing w:after="200" w:before="0"/>
      </w:pPr>
      <w:r>
        <w:rPr>
          <w:b w:val="0"/>
          <w:i/>
          <w:color w:val="6E7B77"/>
          <w:sz w:val="17"/>
        </w:rPr>
        <w:t>Table 1 — the four lenses. The bear and bull columns of the weighted row are WEIGHTED with the same 45/20/20/15 weights as the base column. The widest single lens spans EGP 2.28–9.88; that is reported as an ENVELOPE, not as the range of a weighted estimate. The previous edition labelled a row "weighted central" and then took the minimum and maximum across all four lenses, both of which came from the cash-flow lens alone, overstating the published spread by about two and a half times.</w:t>
      </w:r>
    </w:p>
    <w:p>
      <w:pPr>
        <w:spacing w:after="40"/>
        <w:jc w:val="center"/>
      </w:pPr>
      <w:r>
        <w:drawing>
          <wp:inline xmlns:a="http://schemas.openxmlformats.org/drawingml/2006/main" xmlns:pic="http://schemas.openxmlformats.org/drawingml/2006/picture">
            <wp:extent cx="6309360" cy="26431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643110"/>
                    </a:xfrm>
                    <a:prstGeom prst="rect"/>
                  </pic:spPr>
                </pic:pic>
              </a:graphicData>
            </a:graphic>
          </wp:inline>
        </w:drawing>
      </w:r>
    </w:p>
    <w:p>
      <w:pPr>
        <w:spacing w:after="200" w:before="0"/>
      </w:pPr>
      <w:r>
        <w:rPr>
          <w:b w:val="0"/>
          <w:i/>
          <w:color w:val="6E7B77"/>
          <w:sz w:val="17"/>
        </w:rPr>
        <w:t>Figure 1 — the football field. The price (red dashed) sits above every lens base and above the top of the weighted range. It falls inside only the cash-flow lens’s bull tail, which is five favourable driver moves at once.</w:t>
      </w:r>
    </w:p>
    <w:p>
      <w:pPr>
        <w:spacing w:after="120" w:before="280"/>
      </w:pPr>
      <w:r>
        <w:rPr>
          <w:b/>
          <w:i w:val="0"/>
          <w:color w:val="1C3A36"/>
          <w:sz w:val="30"/>
        </w:rPr>
        <w:t>The company</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54,969.0</w:t>
            </w:r>
          </w:p>
        </w:tc>
        <w:tc>
          <w:tcPr>
            <w:tcW w:type="dxa" w:w="1584"/>
          </w:tcPr>
          <w:p>
            <w:pPr>
              <w:spacing w:after="20"/>
              <w:jc w:val="right"/>
            </w:pPr>
            <w:r>
              <w:rPr>
                <w:color w:val="1C3A36"/>
                <w:sz w:val="18"/>
              </w:rPr>
              <w:t>2,597</w:t>
            </w:r>
          </w:p>
        </w:tc>
        <w:tc>
          <w:tcPr>
            <w:tcW w:type="dxa" w:w="1656"/>
          </w:tcPr>
          <w:p>
            <w:pPr>
              <w:spacing w:after="20"/>
              <w:jc w:val="right"/>
            </w:pPr>
            <w:r>
              <w:rPr>
                <w:color w:val="1C3A36"/>
                <w:sz w:val="18"/>
              </w:rPr>
              <w:t>47,250</w:t>
            </w:r>
          </w:p>
        </w:tc>
        <w:tc>
          <w:tcPr>
            <w:tcW w:type="dxa" w:w="1512"/>
          </w:tcPr>
          <w:p>
            <w:pPr>
              <w:spacing w:after="20"/>
              <w:jc w:val="right"/>
            </w:pPr>
            <w:r>
              <w:rPr>
                <w:color w:val="1C3A36"/>
                <w:sz w:val="18"/>
              </w:rPr>
              <w:t>6.80%</w:t>
            </w:r>
          </w:p>
        </w:tc>
        <w:tc>
          <w:tcPr>
            <w:tcW w:type="dxa" w:w="1440"/>
          </w:tcPr>
          <w:p>
            <w:pPr>
              <w:spacing w:after="20"/>
              <w:jc w:val="right"/>
            </w:pPr>
            <w:r>
              <w:rPr>
                <w:color w:val="1C3A36"/>
                <w:sz w:val="18"/>
              </w:rPr>
              <w:t>12.53%</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41,774.2</w:t>
            </w:r>
          </w:p>
        </w:tc>
        <w:tc>
          <w:tcPr>
            <w:tcW w:type="dxa" w:w="1584"/>
          </w:tcPr>
          <w:p>
            <w:pPr>
              <w:spacing w:after="20"/>
              <w:jc w:val="right"/>
            </w:pPr>
            <w:r>
              <w:rPr>
                <w:color w:val="1C3A36"/>
                <w:sz w:val="18"/>
              </w:rPr>
              <w:t>2,042</w:t>
            </w:r>
          </w:p>
        </w:tc>
        <w:tc>
          <w:tcPr>
            <w:tcW w:type="dxa" w:w="1656"/>
          </w:tcPr>
          <w:p>
            <w:pPr>
              <w:spacing w:after="20"/>
              <w:jc w:val="right"/>
            </w:pPr>
            <w:r>
              <w:rPr>
                <w:color w:val="1C3A36"/>
                <w:sz w:val="18"/>
              </w:rPr>
              <w:t>48,881</w:t>
            </w:r>
          </w:p>
        </w:tc>
        <w:tc>
          <w:tcPr>
            <w:tcW w:type="dxa" w:w="1512"/>
          </w:tcPr>
          <w:p>
            <w:pPr>
              <w:spacing w:after="20"/>
              <w:jc w:val="right"/>
            </w:pPr>
            <w:r>
              <w:rPr>
                <w:color w:val="1C3A36"/>
                <w:sz w:val="18"/>
              </w:rPr>
              <w:t>5.17%</w:t>
            </w:r>
          </w:p>
        </w:tc>
        <w:tc>
          <w:tcPr>
            <w:tcW w:type="dxa" w:w="1440"/>
          </w:tcPr>
          <w:p>
            <w:pPr>
              <w:spacing w:after="20"/>
              <w:jc w:val="right"/>
            </w:pPr>
            <w:r>
              <w:rPr>
                <w:color w:val="1C3A36"/>
                <w:sz w:val="18"/>
              </w:rPr>
              <w:t>9.85%</w:t>
            </w:r>
          </w:p>
        </w:tc>
      </w:tr>
      <w:tr>
        <w:tc>
          <w:tcPr>
            <w:tcW w:type="dxa" w:w="2520"/>
          </w:tcPr>
          <w:p>
            <w:pPr>
              <w:spacing w:after="20"/>
            </w:pPr>
            <w:r>
              <w:rPr>
                <w:color w:val="1C3A36"/>
                <w:sz w:val="18"/>
              </w:rPr>
              <w:t>Gas oil</w:t>
            </w:r>
          </w:p>
        </w:tc>
        <w:tc>
          <w:tcPr>
            <w:tcW w:type="dxa" w:w="1440"/>
          </w:tcPr>
          <w:p>
            <w:pPr>
              <w:spacing w:after="20"/>
              <w:jc w:val="right"/>
            </w:pPr>
            <w:r>
              <w:rPr>
                <w:color w:val="1C3A36"/>
                <w:sz w:val="18"/>
              </w:rPr>
              <w:t>171,684.9</w:t>
            </w:r>
          </w:p>
        </w:tc>
        <w:tc>
          <w:tcPr>
            <w:tcW w:type="dxa" w:w="1584"/>
          </w:tcPr>
          <w:p>
            <w:pPr>
              <w:spacing w:after="20"/>
              <w:jc w:val="right"/>
            </w:pPr>
            <w:r>
              <w:rPr>
                <w:color w:val="1C3A36"/>
                <w:sz w:val="18"/>
              </w:rPr>
              <w:t>5,122</w:t>
            </w:r>
          </w:p>
        </w:tc>
        <w:tc>
          <w:tcPr>
            <w:tcW w:type="dxa" w:w="1656"/>
          </w:tcPr>
          <w:p>
            <w:pPr>
              <w:spacing w:after="20"/>
              <w:jc w:val="right"/>
            </w:pPr>
            <w:r>
              <w:rPr>
                <w:color w:val="1C3A36"/>
                <w:sz w:val="18"/>
              </w:rPr>
              <w:t>29,832</w:t>
            </w:r>
          </w:p>
        </w:tc>
        <w:tc>
          <w:tcPr>
            <w:tcW w:type="dxa" w:w="1512"/>
          </w:tcPr>
          <w:p>
            <w:pPr>
              <w:spacing w:after="20"/>
              <w:jc w:val="right"/>
            </w:pPr>
            <w:r>
              <w:rPr>
                <w:color w:val="1C3A36"/>
                <w:sz w:val="18"/>
              </w:rPr>
              <w:t>21.25%</w:t>
            </w:r>
          </w:p>
        </w:tc>
        <w:tc>
          <w:tcPr>
            <w:tcW w:type="dxa" w:w="1440"/>
          </w:tcPr>
          <w:p>
            <w:pPr>
              <w:spacing w:after="20"/>
              <w:jc w:val="right"/>
            </w:pPr>
            <w:r>
              <w:rPr>
                <w:color w:val="1C3A36"/>
                <w:sz w:val="18"/>
              </w:rPr>
              <w:t>24.70%</w:t>
            </w:r>
          </w:p>
        </w:tc>
      </w:tr>
      <w:tr>
        <w:tc>
          <w:tcPr>
            <w:tcW w:type="dxa" w:w="2520"/>
          </w:tcPr>
          <w:p>
            <w:pPr>
              <w:spacing w:after="20"/>
            </w:pPr>
            <w:r>
              <w:rPr>
                <w:color w:val="1C3A36"/>
                <w:sz w:val="18"/>
              </w:rPr>
              <w:t>Naphtha</w:t>
            </w:r>
          </w:p>
        </w:tc>
        <w:tc>
          <w:tcPr>
            <w:tcW w:type="dxa" w:w="1440"/>
          </w:tcPr>
          <w:p>
            <w:pPr>
              <w:spacing w:after="20"/>
              <w:jc w:val="right"/>
            </w:pPr>
            <w:r>
              <w:rPr>
                <w:color w:val="1C3A36"/>
                <w:sz w:val="18"/>
              </w:rPr>
              <w:t>41,430.9</w:t>
            </w:r>
          </w:p>
        </w:tc>
        <w:tc>
          <w:tcPr>
            <w:tcW w:type="dxa" w:w="1584"/>
          </w:tcPr>
          <w:p>
            <w:pPr>
              <w:spacing w:after="20"/>
              <w:jc w:val="right"/>
            </w:pPr>
            <w:r>
              <w:rPr>
                <w:color w:val="1C3A36"/>
                <w:sz w:val="18"/>
              </w:rPr>
              <w:t>959</w:t>
            </w:r>
          </w:p>
        </w:tc>
        <w:tc>
          <w:tcPr>
            <w:tcW w:type="dxa" w:w="1656"/>
          </w:tcPr>
          <w:p>
            <w:pPr>
              <w:spacing w:after="20"/>
              <w:jc w:val="right"/>
            </w:pPr>
            <w:r>
              <w:rPr>
                <w:color w:val="1C3A36"/>
                <w:sz w:val="18"/>
              </w:rPr>
              <w:t>23,141</w:t>
            </w:r>
          </w:p>
        </w:tc>
        <w:tc>
          <w:tcPr>
            <w:tcW w:type="dxa" w:w="1512"/>
          </w:tcPr>
          <w:p>
            <w:pPr>
              <w:spacing w:after="20"/>
              <w:jc w:val="right"/>
            </w:pPr>
            <w:r>
              <w:rPr>
                <w:color w:val="1C3A36"/>
                <w:sz w:val="18"/>
              </w:rPr>
              <w:t>5.13%</w:t>
            </w:r>
          </w:p>
        </w:tc>
        <w:tc>
          <w:tcPr>
            <w:tcW w:type="dxa" w:w="1440"/>
          </w:tcPr>
          <w:p>
            <w:pPr>
              <w:spacing w:after="20"/>
              <w:jc w:val="right"/>
            </w:pPr>
            <w:r>
              <w:rPr>
                <w:color w:val="1C3A36"/>
                <w:sz w:val="18"/>
              </w:rPr>
              <w:t>4.62%</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23,735.8</w:t>
            </w:r>
          </w:p>
        </w:tc>
        <w:tc>
          <w:tcPr>
            <w:tcW w:type="dxa" w:w="1584"/>
          </w:tcPr>
          <w:p>
            <w:pPr>
              <w:spacing w:after="20"/>
              <w:jc w:val="right"/>
            </w:pPr>
            <w:r>
              <w:rPr>
                <w:color w:val="1C3A36"/>
                <w:sz w:val="18"/>
              </w:rPr>
              <w:t>816</w:t>
            </w:r>
          </w:p>
        </w:tc>
        <w:tc>
          <w:tcPr>
            <w:tcW w:type="dxa" w:w="1656"/>
          </w:tcPr>
          <w:p>
            <w:pPr>
              <w:spacing w:after="20"/>
              <w:jc w:val="right"/>
            </w:pPr>
            <w:r>
              <w:rPr>
                <w:color w:val="1C3A36"/>
                <w:sz w:val="18"/>
              </w:rPr>
              <w:t>34,389</w:t>
            </w:r>
          </w:p>
        </w:tc>
        <w:tc>
          <w:tcPr>
            <w:tcW w:type="dxa" w:w="1512"/>
          </w:tcPr>
          <w:p>
            <w:pPr>
              <w:spacing w:after="20"/>
              <w:jc w:val="right"/>
            </w:pPr>
            <w:r>
              <w:rPr>
                <w:color w:val="1C3A36"/>
                <w:sz w:val="18"/>
              </w:rPr>
              <w:t>2.94%</w:t>
            </w:r>
          </w:p>
        </w:tc>
        <w:tc>
          <w:tcPr>
            <w:tcW w:type="dxa" w:w="1440"/>
          </w:tcPr>
          <w:p>
            <w:pPr>
              <w:spacing w:after="20"/>
              <w:jc w:val="right"/>
            </w:pPr>
            <w:r>
              <w:rPr>
                <w:color w:val="1C3A36"/>
                <w:sz w:val="18"/>
              </w:rPr>
              <w:t>3.94%</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460,153.6</w:t>
            </w:r>
          </w:p>
        </w:tc>
        <w:tc>
          <w:tcPr>
            <w:tcW w:type="dxa" w:w="1584"/>
          </w:tcPr>
          <w:p>
            <w:pPr>
              <w:spacing w:after="20"/>
              <w:jc w:val="right"/>
            </w:pPr>
            <w:r>
              <w:rPr>
                <w:color w:val="1C3A36"/>
                <w:sz w:val="18"/>
              </w:rPr>
              <w:t>8,976</w:t>
            </w:r>
          </w:p>
        </w:tc>
        <w:tc>
          <w:tcPr>
            <w:tcW w:type="dxa" w:w="1656"/>
          </w:tcPr>
          <w:p>
            <w:pPr>
              <w:spacing w:after="20"/>
              <w:jc w:val="right"/>
            </w:pPr>
            <w:r>
              <w:rPr>
                <w:color w:val="1C3A36"/>
                <w:sz w:val="18"/>
              </w:rPr>
              <w:t>19,506</w:t>
            </w:r>
          </w:p>
        </w:tc>
        <w:tc>
          <w:tcPr>
            <w:tcW w:type="dxa" w:w="1512"/>
          </w:tcPr>
          <w:p>
            <w:pPr>
              <w:spacing w:after="20"/>
              <w:jc w:val="right"/>
            </w:pPr>
            <w:r>
              <w:rPr>
                <w:color w:val="1C3A36"/>
                <w:sz w:val="18"/>
              </w:rPr>
              <w:t>56.94%</w:t>
            </w:r>
          </w:p>
        </w:tc>
        <w:tc>
          <w:tcPr>
            <w:tcW w:type="dxa" w:w="1440"/>
          </w:tcPr>
          <w:p>
            <w:pPr>
              <w:spacing w:after="20"/>
              <w:jc w:val="right"/>
            </w:pPr>
            <w:r>
              <w:rPr>
                <w:color w:val="1C3A36"/>
                <w:sz w:val="18"/>
              </w:rPr>
              <w:t>43.29%</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14,327.5</w:t>
            </w:r>
          </w:p>
        </w:tc>
        <w:tc>
          <w:tcPr>
            <w:tcW w:type="dxa" w:w="1584"/>
          </w:tcPr>
          <w:p>
            <w:pPr>
              <w:spacing w:after="20"/>
              <w:jc w:val="right"/>
            </w:pPr>
            <w:r>
              <w:rPr>
                <w:color w:val="1C3A36"/>
                <w:sz w:val="18"/>
              </w:rPr>
              <w:t>224</w:t>
            </w:r>
          </w:p>
        </w:tc>
        <w:tc>
          <w:tcPr>
            <w:tcW w:type="dxa" w:w="1656"/>
          </w:tcPr>
          <w:p>
            <w:pPr>
              <w:spacing w:after="20"/>
              <w:jc w:val="right"/>
            </w:pPr>
            <w:r>
              <w:rPr>
                <w:color w:val="1C3A36"/>
                <w:sz w:val="18"/>
              </w:rPr>
              <w:t>15,642</w:t>
            </w:r>
          </w:p>
        </w:tc>
        <w:tc>
          <w:tcPr>
            <w:tcW w:type="dxa" w:w="1512"/>
          </w:tcPr>
          <w:p>
            <w:pPr>
              <w:spacing w:after="20"/>
              <w:jc w:val="right"/>
            </w:pPr>
            <w:r>
              <w:rPr>
                <w:color w:val="1C3A36"/>
                <w:sz w:val="18"/>
              </w:rPr>
              <w:t>1.77%</w:t>
            </w:r>
          </w:p>
        </w:tc>
        <w:tc>
          <w:tcPr>
            <w:tcW w:type="dxa" w:w="1440"/>
          </w:tcPr>
          <w:p>
            <w:pPr>
              <w:spacing w:after="20"/>
              <w:jc w:val="right"/>
            </w:pPr>
            <w:r>
              <w:rPr>
                <w:color w:val="1C3A36"/>
                <w:sz w:val="18"/>
              </w:rPr>
              <w:t>1.08%</w:t>
            </w:r>
          </w:p>
        </w:tc>
      </w:tr>
      <w:tr>
        <w:tc>
          <w:tcPr>
            <w:tcW w:type="dxa" w:w="2520"/>
          </w:tcPr>
          <w:p>
            <w:pPr>
              <w:spacing w:after="20"/>
            </w:pPr>
            <w:r>
              <w:rPr>
                <w:color w:val="1C3A36"/>
                <w:sz w:val="18"/>
              </w:rPr>
              <w:t>Waste</w:t>
            </w:r>
          </w:p>
        </w:tc>
        <w:tc>
          <w:tcPr>
            <w:tcW w:type="dxa" w:w="1440"/>
          </w:tcPr>
          <w:p>
            <w:pPr>
              <w:spacing w:after="20"/>
              <w:jc w:val="right"/>
            </w:pPr>
            <w:r>
              <w:rPr>
                <w:color w:val="1C3A36"/>
                <w:sz w:val="18"/>
              </w:rPr>
              <w:t>7.8</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11,176</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808,083.6</w:t>
            </w:r>
          </w:p>
        </w:tc>
        <w:tc>
          <w:tcPr>
            <w:tcW w:type="dxa" w:w="1584"/>
            <w:shd w:val="clear" w:color="auto" w:fill="F6F1E6"/>
          </w:tcPr>
          <w:p>
            <w:pPr>
              <w:spacing w:after="20"/>
              <w:jc w:val="right"/>
            </w:pPr>
            <w:r>
              <w:rPr>
                <w:b/>
                <w:color w:val="1C3A36"/>
                <w:sz w:val="18"/>
              </w:rPr>
              <w:t>20,736</w:t>
            </w:r>
          </w:p>
        </w:tc>
        <w:tc>
          <w:tcPr>
            <w:tcW w:type="dxa" w:w="1656"/>
            <w:shd w:val="clear" w:color="auto" w:fill="F6F1E6"/>
          </w:tcPr>
          <w:p>
            <w:pPr>
              <w:spacing w:after="20"/>
              <w:jc w:val="right"/>
            </w:pPr>
            <w:r>
              <w:rPr>
                <w:b/>
                <w:color w:val="1C3A36"/>
                <w:sz w:val="18"/>
              </w:rPr>
              <w:t>25,660</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12.0% of the tonnage and 22.4% of the value. That asymmetry is the company.</w:t>
      </w:r>
    </w:p>
    <w:p>
      <w:pPr>
        <w:spacing w:after="120" w:before="0"/>
      </w:pPr>
      <w:r>
        <w:rPr>
          <w:b w:val="0"/>
          <w:i w:val="0"/>
          <w:color w:val="1C3A36"/>
          <w:sz w:val="21"/>
        </w:rPr>
        <w:t>Raw materials are 90.7% of cost of sales (note 15-A) and 82.5% of revenue. A business whose single largest line is that big, and whose gross margin is 9.0%,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2,464</w:t>
            </w:r>
          </w:p>
        </w:tc>
        <w:tc>
          <w:tcPr>
            <w:tcW w:type="dxa" w:w="1080"/>
          </w:tcPr>
          <w:p>
            <w:pPr>
              <w:spacing w:after="20"/>
              <w:jc w:val="right"/>
            </w:pPr>
            <w:r>
              <w:rPr>
                <w:color w:val="1C3A36"/>
                <w:sz w:val="17"/>
              </w:rPr>
              <w:t>1.91</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509</w:t>
            </w:r>
          </w:p>
        </w:tc>
        <w:tc>
          <w:tcPr>
            <w:tcW w:type="dxa" w:w="1080"/>
          </w:tcPr>
          <w:p>
            <w:pPr>
              <w:spacing w:after="20"/>
              <w:jc w:val="right"/>
            </w:pPr>
            <w:r>
              <w:rPr>
                <w:color w:val="1C3A36"/>
                <w:sz w:val="17"/>
              </w:rPr>
              <w:t>0.39</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21</w:t>
            </w:r>
          </w:p>
        </w:tc>
        <w:tc>
          <w:tcPr>
            <w:tcW w:type="dxa" w:w="1080"/>
          </w:tcPr>
          <w:p>
            <w:pPr>
              <w:spacing w:after="20"/>
              <w:jc w:val="right"/>
            </w:pPr>
            <w:r>
              <w:rPr>
                <w:color w:val="1C3A36"/>
                <w:sz w:val="17"/>
              </w:rPr>
              <w:t>0.02</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2,443</w:t>
            </w:r>
          </w:p>
        </w:tc>
        <w:tc>
          <w:tcPr>
            <w:tcW w:type="dxa" w:w="1080"/>
            <w:shd w:val="clear" w:color="auto" w:fill="F6F1E6"/>
          </w:tcPr>
          <w:p>
            <w:pPr>
              <w:spacing w:after="20"/>
              <w:jc w:val="right"/>
            </w:pPr>
            <w:r>
              <w:rPr>
                <w:b/>
                <w:color w:val="1C3A36"/>
                <w:sz w:val="17"/>
              </w:rPr>
              <w:t>1.89</w:t>
            </w:r>
          </w:p>
        </w:tc>
        <w:tc>
          <w:tcPr>
            <w:tcW w:type="dxa" w:w="4464"/>
            <w:shd w:val="clear" w:color="auto" w:fill="F6F1E6"/>
          </w:tcPr>
          <w:p>
            <w:pPr>
              <w:spacing w:after="20"/>
            </w:pPr>
            <w:r>
              <w:rPr>
                <w:b/>
                <w:color w:val="1C3A36"/>
                <w:sz w:val="17"/>
              </w:rPr>
              <w:t>20.8%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921</w:t>
            </w:r>
          </w:p>
        </w:tc>
        <w:tc>
          <w:tcPr>
            <w:tcW w:type="dxa" w:w="1080"/>
          </w:tcPr>
          <w:p>
            <w:pPr>
              <w:spacing w:after="20"/>
              <w:jc w:val="right"/>
            </w:pPr>
            <w:r>
              <w:rPr>
                <w:color w:val="1C3A36"/>
                <w:sz w:val="17"/>
              </w:rPr>
              <w:t>0.71</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517</w:t>
            </w:r>
          </w:p>
        </w:tc>
        <w:tc>
          <w:tcPr>
            <w:tcW w:type="dxa" w:w="1080"/>
          </w:tcPr>
          <w:p>
            <w:pPr>
              <w:spacing w:after="20"/>
              <w:jc w:val="right"/>
            </w:pPr>
            <w:r>
              <w:rPr>
                <w:color w:val="1C3A36"/>
                <w:sz w:val="17"/>
              </w:rPr>
              <w:t>0.40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4,791</w:t>
            </w:r>
          </w:p>
        </w:tc>
        <w:tc>
          <w:tcPr>
            <w:tcW w:type="dxa" w:w="1080"/>
          </w:tcPr>
          <w:p>
            <w:pPr>
              <w:spacing w:after="20"/>
              <w:jc w:val="right"/>
            </w:pPr>
            <w:r>
              <w:rPr>
                <w:color w:val="1C3A36"/>
                <w:sz w:val="17"/>
              </w:rPr>
              <w:t>3.71</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1,300mn and net working capital of EGP 2,251mn against a single equity stake of EGP 70mn. And consolidated profit is dominated by one plant, with the minority in the wax subsidiary running at 3.26%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half AMOC disclosed to the Egyptian Exchange on 29-30 July 2026, one week before this study’s anchor date. No annualisation scalar is applied to either half. HALF OF THIS BASE YEAR IS A PRESS RELEASE AND NOT A FILING, and this study says so on every page that uses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2,951</w:t>
            </w:r>
          </w:p>
        </w:tc>
        <w:tc>
          <w:tcPr>
            <w:tcW w:type="dxa" w:w="1512"/>
          </w:tcPr>
          <w:p>
            <w:pPr>
              <w:spacing w:after="20"/>
              <w:jc w:val="right"/>
            </w:pPr>
            <w:r>
              <w:rPr>
                <w:color w:val="1C3A36"/>
                <w:sz w:val="17"/>
              </w:rPr>
              <w:t>4,225</w:t>
            </w:r>
          </w:p>
        </w:tc>
        <w:tc>
          <w:tcPr>
            <w:tcW w:type="dxa" w:w="2520"/>
          </w:tcPr>
          <w:p>
            <w:pPr>
              <w:spacing w:after="20"/>
            </w:pPr>
            <w:r>
              <w:rPr>
                <w:color w:val="1C3A36"/>
                <w:sz w:val="17"/>
              </w:rPr>
              <w:t>second half SOLVED, see below</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11.25%</w:t>
            </w:r>
          </w:p>
        </w:tc>
        <w:tc>
          <w:tcPr>
            <w:tcW w:type="dxa" w:w="1512"/>
          </w:tcPr>
          <w:p>
            <w:pPr>
              <w:spacing w:after="20"/>
              <w:jc w:val="right"/>
            </w:pPr>
            <w:r>
              <w:rPr>
                <w:color w:val="1C3A36"/>
                <w:sz w:val="17"/>
              </w:rPr>
              <w:t>9.00%</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1,747</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151</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160</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301</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RELEASED GROSS PROFIT IS REJECTED. The release states gross profit of EGP 3,258mn for the half. Run through the company’s own first-quarter expense run rates, that figure implies profit after tax of EGP 2,142mn against the EGP 1,903mn the SAME release reports — 12.6% too high. At least one of the two released lines is wrong. Three tests decide which: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4752"/>
        <w:gridCol w:w="1800"/>
        <w:gridCol w:w="2376"/>
      </w:tblGrid>
      <w:tr>
        <w:tc>
          <w:tcPr>
            <w:tcW w:type="dxa" w:w="1584"/>
            <w:shd w:val="clear" w:color="auto" w:fill="EAF0EE"/>
          </w:tcPr>
          <w:p>
            <w:pPr>
              <w:spacing w:after="20"/>
            </w:pPr>
            <w:r>
              <w:rPr>
                <w:b/>
                <w:color w:val="1C3A36"/>
                <w:sz w:val="17"/>
              </w:rPr>
              <w:t>Test</w:t>
            </w:r>
          </w:p>
        </w:tc>
        <w:tc>
          <w:tcPr>
            <w:tcW w:type="dxa" w:w="4752"/>
            <w:shd w:val="clear" w:color="auto" w:fill="EAF0EE"/>
          </w:tcPr>
          <w:p>
            <w:pPr>
              <w:spacing w:after="20"/>
            </w:pPr>
            <w:r>
              <w:rPr>
                <w:b/>
                <w:color w:val="1C3A36"/>
                <w:sz w:val="17"/>
              </w:rPr>
              <w:t>What is compared</w:t>
            </w:r>
          </w:p>
        </w:tc>
        <w:tc>
          <w:tcPr>
            <w:tcW w:type="dxa" w:w="1800"/>
            <w:shd w:val="clear" w:color="auto" w:fill="EAF0EE"/>
          </w:tcPr>
          <w:p>
            <w:pPr>
              <w:spacing w:after="20"/>
            </w:pPr>
            <w:r>
              <w:rPr>
                <w:b/>
                <w:color w:val="1C3A36"/>
                <w:sz w:val="17"/>
              </w:rPr>
              <w:t>Result</w:t>
            </w:r>
          </w:p>
        </w:tc>
        <w:tc>
          <w:tcPr>
            <w:tcW w:type="dxa" w:w="2376"/>
            <w:shd w:val="clear" w:color="auto" w:fill="EAF0EE"/>
          </w:tcPr>
          <w:p>
            <w:pPr>
              <w:spacing w:after="20"/>
            </w:pPr>
            <w:r>
              <w:rPr>
                <w:b/>
                <w:color w:val="1C3A36"/>
                <w:sz w:val="17"/>
              </w:rPr>
              <w:t>Verdict</w:t>
            </w:r>
          </w:p>
        </w:tc>
      </w:tr>
      <w:tr>
        <w:tc>
          <w:tcPr>
            <w:tcW w:type="dxa" w:w="1584"/>
          </w:tcPr>
          <w:p>
            <w:pPr>
              <w:spacing w:after="20"/>
            </w:pPr>
            <w:r>
              <w:rPr>
                <w:color w:val="1C3A36"/>
                <w:sz w:val="17"/>
              </w:rPr>
              <w:t>1 — profit</w:t>
            </w:r>
          </w:p>
        </w:tc>
        <w:tc>
          <w:tcPr>
            <w:tcW w:type="dxa" w:w="4752"/>
          </w:tcPr>
          <w:p>
            <w:pPr>
              <w:spacing w:after="20"/>
            </w:pPr>
            <w:r>
              <w:rPr>
                <w:color w:val="1C3A36"/>
                <w:sz w:val="17"/>
              </w:rPr>
              <w:t>reported majority profit against the "+109%" growth applied to Jan-Jun 2025 majority profit read off the AUDITED statement of changes in equity</w:t>
            </w:r>
          </w:p>
        </w:tc>
        <w:tc>
          <w:tcPr>
            <w:tcW w:type="dxa" w:w="1800"/>
          </w:tcPr>
          <w:p>
            <w:pPr>
              <w:spacing w:after="20"/>
              <w:jc w:val="right"/>
            </w:pPr>
            <w:r>
              <w:rPr>
                <w:color w:val="1C3A36"/>
                <w:sz w:val="17"/>
              </w:rPr>
              <w:t>agree within 1.2%</w:t>
            </w:r>
          </w:p>
        </w:tc>
        <w:tc>
          <w:tcPr>
            <w:tcW w:type="dxa" w:w="2376"/>
          </w:tcPr>
          <w:p>
            <w:pPr>
              <w:spacing w:after="20"/>
            </w:pPr>
            <w:r>
              <w:rPr>
                <w:color w:val="1C3A36"/>
                <w:sz w:val="17"/>
              </w:rPr>
              <w:t>CONFIRMS the profit line</w:t>
            </w:r>
          </w:p>
        </w:tc>
      </w:tr>
      <w:tr>
        <w:tc>
          <w:tcPr>
            <w:tcW w:type="dxa" w:w="1584"/>
          </w:tcPr>
          <w:p>
            <w:pPr>
              <w:spacing w:after="20"/>
            </w:pPr>
            <w:r>
              <w:rPr>
                <w:color w:val="1C3A36"/>
                <w:sz w:val="17"/>
              </w:rPr>
              <w:t>2 — revenue</w:t>
            </w:r>
          </w:p>
        </w:tc>
        <w:tc>
          <w:tcPr>
            <w:tcW w:type="dxa" w:w="4752"/>
          </w:tcPr>
          <w:p>
            <w:pPr>
              <w:spacing w:after="20"/>
            </w:pPr>
            <w:r>
              <w:rPr>
                <w:color w:val="1C3A36"/>
                <w:sz w:val="17"/>
              </w:rPr>
              <w:t>reported revenue triangulated back to a twelve-month figure to Jun-2025 against an independent route through the audited comparatives</w:t>
            </w:r>
          </w:p>
        </w:tc>
        <w:tc>
          <w:tcPr>
            <w:tcW w:type="dxa" w:w="1800"/>
          </w:tcPr>
          <w:p>
            <w:pPr>
              <w:spacing w:after="20"/>
              <w:jc w:val="right"/>
            </w:pPr>
            <w:r>
              <w:rPr>
                <w:color w:val="1C3A36"/>
                <w:sz w:val="17"/>
              </w:rPr>
              <w:t>agree within 0.2%</w:t>
            </w:r>
          </w:p>
        </w:tc>
        <w:tc>
          <w:tcPr>
            <w:tcW w:type="dxa" w:w="2376"/>
          </w:tcPr>
          <w:p>
            <w:pPr>
              <w:spacing w:after="20"/>
            </w:pPr>
            <w:r>
              <w:rPr>
                <w:color w:val="1C3A36"/>
                <w:sz w:val="17"/>
              </w:rPr>
              <w:t>CONFIRMS the revenue line</w:t>
            </w:r>
          </w:p>
        </w:tc>
      </w:tr>
      <w:tr>
        <w:tc>
          <w:tcPr>
            <w:tcW w:type="dxa" w:w="1584"/>
          </w:tcPr>
          <w:p>
            <w:pPr>
              <w:spacing w:after="20"/>
            </w:pPr>
            <w:r>
              <w:rPr>
                <w:color w:val="1C3A36"/>
                <w:sz w:val="17"/>
              </w:rPr>
              <w:t>3 — gross profit</w:t>
            </w:r>
          </w:p>
        </w:tc>
        <w:tc>
          <w:tcPr>
            <w:tcW w:type="dxa" w:w="4752"/>
          </w:tcPr>
          <w:p>
            <w:pPr>
              <w:spacing w:after="20"/>
            </w:pPr>
            <w:r>
              <w:rPr>
                <w:color w:val="1C3A36"/>
                <w:sz w:val="17"/>
              </w:rPr>
              <w:t>released gross profit run down to profit after tax on Q1-2026 expense run rates, against the profit in the same release</w:t>
            </w:r>
          </w:p>
        </w:tc>
        <w:tc>
          <w:tcPr>
            <w:tcW w:type="dxa" w:w="1800"/>
          </w:tcPr>
          <w:p>
            <w:pPr>
              <w:spacing w:after="20"/>
              <w:jc w:val="right"/>
            </w:pPr>
            <w:r>
              <w:rPr>
                <w:color w:val="1C3A36"/>
                <w:sz w:val="17"/>
              </w:rPr>
              <w:t>disagree by 12.6%</w:t>
            </w:r>
          </w:p>
        </w:tc>
        <w:tc>
          <w:tcPr>
            <w:tcW w:type="dxa" w:w="2376"/>
          </w:tcPr>
          <w:p>
            <w:pPr>
              <w:spacing w:after="20"/>
            </w:pPr>
            <w:r>
              <w:rPr>
                <w:color w:val="1C3A36"/>
                <w:sz w:val="17"/>
              </w:rPr>
              <w:t>REFUTES the gross-profit line</w:t>
            </w:r>
          </w:p>
        </w:tc>
      </w:tr>
    </w:tbl>
    <w:p>
      <w:pPr>
        <w:spacing w:after="40"/>
      </w:pPr>
    </w:p>
    <w:p>
      <w:pPr>
        <w:spacing w:after="200" w:before="0"/>
      </w:pPr>
      <w:r>
        <w:rPr>
          <w:b w:val="0"/>
          <w:i/>
          <w:color w:val="6E7B77"/>
          <w:sz w:val="17"/>
        </w:rPr>
        <w:t>Table 5 — three coherence tests, run before the figure was used. Two independent tests confirm the profit and revenue lines; the third refutes the gross-profit line. Gross profit is therefore SOLVED from the release’s own profit: EGP 2,951mn, putting the implied Q2-2026 gross margin at 12.0% rather than the 13.9% the released line would require. The whole solve is a live formula block on the Base Year sheet of the companion workbook.</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+1.49%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bl>
    <w:p>
      <w:pPr>
        <w:spacing w:after="40"/>
      </w:pPr>
    </w:p>
    <w:p>
      <w:pPr>
        <w:spacing w:after="200" w:before="0"/>
      </w:pPr>
      <w:r>
        <w:rPr>
          <w:b w:val="0"/>
          <w:i/>
          <w:color w:val="6E7B77"/>
          <w:sz w:val="17"/>
        </w:rPr>
        <w:t>Table 6 — the filed margin record. Four consecutively filed periods; the margin ranges 5.05% to 10.19%, a spread of 514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5.27%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6.16  (+11.3%)</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921mn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6.56  (+18.5%)</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517mn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6.39  (+15.4%)</w:t>
            </w:r>
          </w:p>
        </w:tc>
      </w:tr>
    </w:tbl>
    <w:p>
      <w:pPr>
        <w:spacing w:after="40"/>
      </w:pPr>
    </w:p>
    <w:p>
      <w:pPr>
        <w:spacing w:after="200" w:before="0"/>
      </w:pPr>
      <w:r>
        <w:rPr>
          <w:b w:val="0"/>
          <w:i/>
          <w:color w:val="6E7B77"/>
          <w:sz w:val="17"/>
        </w:rPr>
        <w:t>Table 7 — the three charges. The rightmost column is the weighted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1.132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0.110</w:t>
            </w:r>
          </w:p>
        </w:tc>
        <w:tc>
          <w:tcPr>
            <w:tcW w:type="dxa" w:w="1656"/>
          </w:tcPr>
          <w:p>
            <w:pPr>
              <w:spacing w:after="20"/>
              <w:jc w:val="right"/>
            </w:pPr>
            <w:r>
              <w:rPr>
                <w:color w:val="1C3A36"/>
                <w:sz w:val="16"/>
              </w:rPr>
              <w:t>53,502</w:t>
            </w:r>
          </w:p>
        </w:tc>
        <w:tc>
          <w:tcPr>
            <w:tcW w:type="dxa" w:w="1195"/>
          </w:tcPr>
          <w:p>
            <w:pPr>
              <w:spacing w:after="20"/>
              <w:jc w:val="right"/>
            </w:pPr>
            <w:r>
              <w:rPr>
                <w:color w:val="1C3A36"/>
                <w:sz w:val="16"/>
              </w:rPr>
              <w:t>6,411</w:t>
            </w:r>
          </w:p>
        </w:tc>
        <w:tc>
          <w:tcPr>
            <w:tcW w:type="dxa" w:w="1195"/>
          </w:tcPr>
          <w:p>
            <w:pPr>
              <w:spacing w:after="20"/>
              <w:jc w:val="right"/>
            </w:pPr>
            <w:r>
              <w:rPr>
                <w:color w:val="1C3A36"/>
                <w:sz w:val="16"/>
              </w:rPr>
              <w:t>6,892</w:t>
            </w:r>
          </w:p>
        </w:tc>
        <w:tc>
          <w:tcPr>
            <w:tcW w:type="dxa" w:w="1195"/>
          </w:tcPr>
          <w:p>
            <w:pPr>
              <w:spacing w:after="20"/>
              <w:jc w:val="right"/>
            </w:pPr>
            <w:r>
              <w:rPr>
                <w:color w:val="1C3A36"/>
                <w:sz w:val="16"/>
              </w:rPr>
              <w:t>7,340</w:t>
            </w:r>
          </w:p>
        </w:tc>
        <w:tc>
          <w:tcPr>
            <w:tcW w:type="dxa" w:w="1195"/>
          </w:tcPr>
          <w:p>
            <w:pPr>
              <w:spacing w:after="20"/>
              <w:jc w:val="right"/>
            </w:pPr>
            <w:r>
              <w:rPr>
                <w:color w:val="1C3A36"/>
                <w:sz w:val="16"/>
              </w:rPr>
              <w:t>7,766</w:t>
            </w:r>
          </w:p>
        </w:tc>
        <w:tc>
          <w:tcPr>
            <w:tcW w:type="dxa" w:w="1195"/>
          </w:tcPr>
          <w:p>
            <w:pPr>
              <w:spacing w:after="20"/>
              <w:jc w:val="right"/>
            </w:pPr>
            <w:r>
              <w:rPr>
                <w:color w:val="1C3A36"/>
                <w:sz w:val="16"/>
              </w:rPr>
              <w:t>8,170</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0.084</w:t>
            </w:r>
          </w:p>
        </w:tc>
        <w:tc>
          <w:tcPr>
            <w:tcW w:type="dxa" w:w="1656"/>
          </w:tcPr>
          <w:p>
            <w:pPr>
              <w:spacing w:after="20"/>
              <w:jc w:val="right"/>
            </w:pPr>
            <w:r>
              <w:rPr>
                <w:color w:val="1C3A36"/>
                <w:sz w:val="16"/>
              </w:rPr>
              <w:t>55,349</w:t>
            </w:r>
          </w:p>
        </w:tc>
        <w:tc>
          <w:tcPr>
            <w:tcW w:type="dxa" w:w="1195"/>
          </w:tcPr>
          <w:p>
            <w:pPr>
              <w:spacing w:after="20"/>
              <w:jc w:val="right"/>
            </w:pPr>
            <w:r>
              <w:rPr>
                <w:color w:val="1C3A36"/>
                <w:sz w:val="16"/>
              </w:rPr>
              <w:t>5,040</w:t>
            </w:r>
          </w:p>
        </w:tc>
        <w:tc>
          <w:tcPr>
            <w:tcW w:type="dxa" w:w="1195"/>
          </w:tcPr>
          <w:p>
            <w:pPr>
              <w:spacing w:after="20"/>
              <w:jc w:val="right"/>
            </w:pPr>
            <w:r>
              <w:rPr>
                <w:color w:val="1C3A36"/>
                <w:sz w:val="16"/>
              </w:rPr>
              <w:t>5,419</w:t>
            </w:r>
          </w:p>
        </w:tc>
        <w:tc>
          <w:tcPr>
            <w:tcW w:type="dxa" w:w="1195"/>
          </w:tcPr>
          <w:p>
            <w:pPr>
              <w:spacing w:after="20"/>
              <w:jc w:val="right"/>
            </w:pPr>
            <w:r>
              <w:rPr>
                <w:color w:val="1C3A36"/>
                <w:sz w:val="16"/>
              </w:rPr>
              <w:t>5,771</w:t>
            </w:r>
          </w:p>
        </w:tc>
        <w:tc>
          <w:tcPr>
            <w:tcW w:type="dxa" w:w="1195"/>
          </w:tcPr>
          <w:p>
            <w:pPr>
              <w:spacing w:after="20"/>
              <w:jc w:val="right"/>
            </w:pPr>
            <w:r>
              <w:rPr>
                <w:color w:val="1C3A36"/>
                <w:sz w:val="16"/>
              </w:rPr>
              <w:t>6,105</w:t>
            </w:r>
          </w:p>
        </w:tc>
        <w:tc>
          <w:tcPr>
            <w:tcW w:type="dxa" w:w="1195"/>
          </w:tcPr>
          <w:p>
            <w:pPr>
              <w:spacing w:after="20"/>
              <w:jc w:val="right"/>
            </w:pPr>
            <w:r>
              <w:rPr>
                <w:color w:val="1C3A36"/>
                <w:sz w:val="16"/>
              </w:rPr>
              <w:t>6,423</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0.343</w:t>
            </w:r>
          </w:p>
        </w:tc>
        <w:tc>
          <w:tcPr>
            <w:tcW w:type="dxa" w:w="1656"/>
          </w:tcPr>
          <w:p>
            <w:pPr>
              <w:spacing w:after="20"/>
              <w:jc w:val="right"/>
            </w:pPr>
            <w:r>
              <w:rPr>
                <w:color w:val="1C3A36"/>
                <w:sz w:val="16"/>
              </w:rPr>
              <w:t>33,779</w:t>
            </w:r>
          </w:p>
        </w:tc>
        <w:tc>
          <w:tcPr>
            <w:tcW w:type="dxa" w:w="1195"/>
          </w:tcPr>
          <w:p>
            <w:pPr>
              <w:spacing w:after="20"/>
              <w:jc w:val="right"/>
            </w:pPr>
            <w:r>
              <w:rPr>
                <w:color w:val="1C3A36"/>
                <w:sz w:val="16"/>
              </w:rPr>
              <w:t>12,643</w:t>
            </w:r>
          </w:p>
        </w:tc>
        <w:tc>
          <w:tcPr>
            <w:tcW w:type="dxa" w:w="1195"/>
          </w:tcPr>
          <w:p>
            <w:pPr>
              <w:spacing w:after="20"/>
              <w:jc w:val="right"/>
            </w:pPr>
            <w:r>
              <w:rPr>
                <w:color w:val="1C3A36"/>
                <w:sz w:val="16"/>
              </w:rPr>
              <w:t>13,591</w:t>
            </w:r>
          </w:p>
        </w:tc>
        <w:tc>
          <w:tcPr>
            <w:tcW w:type="dxa" w:w="1195"/>
          </w:tcPr>
          <w:p>
            <w:pPr>
              <w:spacing w:after="20"/>
              <w:jc w:val="right"/>
            </w:pPr>
            <w:r>
              <w:rPr>
                <w:color w:val="1C3A36"/>
                <w:sz w:val="16"/>
              </w:rPr>
              <w:t>14,474</w:t>
            </w:r>
          </w:p>
        </w:tc>
        <w:tc>
          <w:tcPr>
            <w:tcW w:type="dxa" w:w="1195"/>
          </w:tcPr>
          <w:p>
            <w:pPr>
              <w:spacing w:after="20"/>
              <w:jc w:val="right"/>
            </w:pPr>
            <w:r>
              <w:rPr>
                <w:color w:val="1C3A36"/>
                <w:sz w:val="16"/>
              </w:rPr>
              <w:t>15,314</w:t>
            </w:r>
          </w:p>
        </w:tc>
        <w:tc>
          <w:tcPr>
            <w:tcW w:type="dxa" w:w="1195"/>
          </w:tcPr>
          <w:p>
            <w:pPr>
              <w:spacing w:after="20"/>
              <w:jc w:val="right"/>
            </w:pPr>
            <w:r>
              <w:rPr>
                <w:color w:val="1C3A36"/>
                <w:sz w:val="16"/>
              </w:rPr>
              <w:t>16,110</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26,203</w:t>
            </w:r>
          </w:p>
        </w:tc>
        <w:tc>
          <w:tcPr>
            <w:tcW w:type="dxa" w:w="1195"/>
          </w:tcPr>
          <w:p>
            <w:pPr>
              <w:spacing w:after="20"/>
              <w:jc w:val="right"/>
            </w:pPr>
            <w:r>
              <w:rPr>
                <w:color w:val="1C3A36"/>
                <w:sz w:val="16"/>
              </w:rPr>
              <w:t>2,367</w:t>
            </w:r>
          </w:p>
        </w:tc>
        <w:tc>
          <w:tcPr>
            <w:tcW w:type="dxa" w:w="1195"/>
          </w:tcPr>
          <w:p>
            <w:pPr>
              <w:spacing w:after="20"/>
              <w:jc w:val="right"/>
            </w:pPr>
            <w:r>
              <w:rPr>
                <w:color w:val="1C3A36"/>
                <w:sz w:val="16"/>
              </w:rPr>
              <w:t>2,544</w:t>
            </w:r>
          </w:p>
        </w:tc>
        <w:tc>
          <w:tcPr>
            <w:tcW w:type="dxa" w:w="1195"/>
          </w:tcPr>
          <w:p>
            <w:pPr>
              <w:spacing w:after="20"/>
              <w:jc w:val="right"/>
            </w:pPr>
            <w:r>
              <w:rPr>
                <w:color w:val="1C3A36"/>
                <w:sz w:val="16"/>
              </w:rPr>
              <w:t>2,709</w:t>
            </w:r>
          </w:p>
        </w:tc>
        <w:tc>
          <w:tcPr>
            <w:tcW w:type="dxa" w:w="1195"/>
          </w:tcPr>
          <w:p>
            <w:pPr>
              <w:spacing w:after="20"/>
              <w:jc w:val="right"/>
            </w:pPr>
            <w:r>
              <w:rPr>
                <w:color w:val="1C3A36"/>
                <w:sz w:val="16"/>
              </w:rPr>
              <w:t>2,867</w:t>
            </w:r>
          </w:p>
        </w:tc>
        <w:tc>
          <w:tcPr>
            <w:tcW w:type="dxa" w:w="1195"/>
          </w:tcPr>
          <w:p>
            <w:pPr>
              <w:spacing w:after="20"/>
              <w:jc w:val="right"/>
            </w:pPr>
            <w:r>
              <w:rPr>
                <w:color w:val="1C3A36"/>
                <w:sz w:val="16"/>
              </w:rPr>
              <w:t>3,016</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0.047</w:t>
            </w:r>
          </w:p>
        </w:tc>
        <w:tc>
          <w:tcPr>
            <w:tcW w:type="dxa" w:w="1656"/>
          </w:tcPr>
          <w:p>
            <w:pPr>
              <w:spacing w:after="20"/>
              <w:jc w:val="right"/>
            </w:pPr>
            <w:r>
              <w:rPr>
                <w:color w:val="1C3A36"/>
                <w:sz w:val="16"/>
              </w:rPr>
              <w:t>38,940</w:t>
            </w:r>
          </w:p>
        </w:tc>
        <w:tc>
          <w:tcPr>
            <w:tcW w:type="dxa" w:w="1195"/>
          </w:tcPr>
          <w:p>
            <w:pPr>
              <w:spacing w:after="20"/>
              <w:jc w:val="right"/>
            </w:pPr>
            <w:r>
              <w:rPr>
                <w:color w:val="1C3A36"/>
                <w:sz w:val="16"/>
              </w:rPr>
              <w:t>2,015</w:t>
            </w:r>
          </w:p>
        </w:tc>
        <w:tc>
          <w:tcPr>
            <w:tcW w:type="dxa" w:w="1195"/>
          </w:tcPr>
          <w:p>
            <w:pPr>
              <w:spacing w:after="20"/>
              <w:jc w:val="right"/>
            </w:pPr>
            <w:r>
              <w:rPr>
                <w:color w:val="1C3A36"/>
                <w:sz w:val="16"/>
              </w:rPr>
              <w:t>2,166</w:t>
            </w:r>
          </w:p>
        </w:tc>
        <w:tc>
          <w:tcPr>
            <w:tcW w:type="dxa" w:w="1195"/>
          </w:tcPr>
          <w:p>
            <w:pPr>
              <w:spacing w:after="20"/>
              <w:jc w:val="right"/>
            </w:pPr>
            <w:r>
              <w:rPr>
                <w:color w:val="1C3A36"/>
                <w:sz w:val="16"/>
              </w:rPr>
              <w:t>2,307</w:t>
            </w:r>
          </w:p>
        </w:tc>
        <w:tc>
          <w:tcPr>
            <w:tcW w:type="dxa" w:w="1195"/>
          </w:tcPr>
          <w:p>
            <w:pPr>
              <w:spacing w:after="20"/>
              <w:jc w:val="right"/>
            </w:pPr>
            <w:r>
              <w:rPr>
                <w:color w:val="1C3A36"/>
                <w:sz w:val="16"/>
              </w:rPr>
              <w:t>2,441</w:t>
            </w:r>
          </w:p>
        </w:tc>
        <w:tc>
          <w:tcPr>
            <w:tcW w:type="dxa" w:w="1195"/>
          </w:tcPr>
          <w:p>
            <w:pPr>
              <w:spacing w:after="20"/>
              <w:jc w:val="right"/>
            </w:pPr>
            <w:r>
              <w:rPr>
                <w:color w:val="1C3A36"/>
                <w:sz w:val="16"/>
              </w:rPr>
              <w:t>2,568</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0.920</w:t>
            </w:r>
          </w:p>
        </w:tc>
        <w:tc>
          <w:tcPr>
            <w:tcW w:type="dxa" w:w="1656"/>
          </w:tcPr>
          <w:p>
            <w:pPr>
              <w:spacing w:after="20"/>
              <w:jc w:val="right"/>
            </w:pPr>
            <w:r>
              <w:rPr>
                <w:color w:val="1C3A36"/>
                <w:sz w:val="16"/>
              </w:rPr>
              <w:t>22,086</w:t>
            </w:r>
          </w:p>
        </w:tc>
        <w:tc>
          <w:tcPr>
            <w:tcW w:type="dxa" w:w="1195"/>
          </w:tcPr>
          <w:p>
            <w:pPr>
              <w:spacing w:after="20"/>
              <w:jc w:val="right"/>
            </w:pPr>
            <w:r>
              <w:rPr>
                <w:color w:val="1C3A36"/>
                <w:sz w:val="16"/>
              </w:rPr>
              <w:t>22,156</w:t>
            </w:r>
          </w:p>
        </w:tc>
        <w:tc>
          <w:tcPr>
            <w:tcW w:type="dxa" w:w="1195"/>
          </w:tcPr>
          <w:p>
            <w:pPr>
              <w:spacing w:after="20"/>
              <w:jc w:val="right"/>
            </w:pPr>
            <w:r>
              <w:rPr>
                <w:color w:val="1C3A36"/>
                <w:sz w:val="16"/>
              </w:rPr>
              <w:t>23,817</w:t>
            </w:r>
          </w:p>
        </w:tc>
        <w:tc>
          <w:tcPr>
            <w:tcW w:type="dxa" w:w="1195"/>
          </w:tcPr>
          <w:p>
            <w:pPr>
              <w:spacing w:after="20"/>
              <w:jc w:val="right"/>
            </w:pPr>
            <w:r>
              <w:rPr>
                <w:color w:val="1C3A36"/>
                <w:sz w:val="16"/>
              </w:rPr>
              <w:t>25,366</w:t>
            </w:r>
          </w:p>
        </w:tc>
        <w:tc>
          <w:tcPr>
            <w:tcW w:type="dxa" w:w="1195"/>
          </w:tcPr>
          <w:p>
            <w:pPr>
              <w:spacing w:after="20"/>
              <w:jc w:val="right"/>
            </w:pPr>
            <w:r>
              <w:rPr>
                <w:color w:val="1C3A36"/>
                <w:sz w:val="16"/>
              </w:rPr>
              <w:t>26,837</w:t>
            </w:r>
          </w:p>
        </w:tc>
        <w:tc>
          <w:tcPr>
            <w:tcW w:type="dxa" w:w="1195"/>
          </w:tcPr>
          <w:p>
            <w:pPr>
              <w:spacing w:after="20"/>
              <w:jc w:val="right"/>
            </w:pPr>
            <w:r>
              <w:rPr>
                <w:color w:val="1C3A36"/>
                <w:sz w:val="16"/>
              </w:rPr>
              <w:t>28,232</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0.029</w:t>
            </w:r>
          </w:p>
        </w:tc>
        <w:tc>
          <w:tcPr>
            <w:tcW w:type="dxa" w:w="1656"/>
          </w:tcPr>
          <w:p>
            <w:pPr>
              <w:spacing w:after="20"/>
              <w:jc w:val="right"/>
            </w:pPr>
            <w:r>
              <w:rPr>
                <w:color w:val="1C3A36"/>
                <w:sz w:val="16"/>
              </w:rPr>
              <w:t>17,712</w:t>
            </w:r>
          </w:p>
        </w:tc>
        <w:tc>
          <w:tcPr>
            <w:tcW w:type="dxa" w:w="1195"/>
          </w:tcPr>
          <w:p>
            <w:pPr>
              <w:spacing w:after="20"/>
              <w:jc w:val="right"/>
            </w:pPr>
            <w:r>
              <w:rPr>
                <w:color w:val="1C3A36"/>
                <w:sz w:val="16"/>
              </w:rPr>
              <w:t>553</w:t>
            </w:r>
          </w:p>
        </w:tc>
        <w:tc>
          <w:tcPr>
            <w:tcW w:type="dxa" w:w="1195"/>
          </w:tcPr>
          <w:p>
            <w:pPr>
              <w:spacing w:after="20"/>
              <w:jc w:val="right"/>
            </w:pPr>
            <w:r>
              <w:rPr>
                <w:color w:val="1C3A36"/>
                <w:sz w:val="16"/>
              </w:rPr>
              <w:t>595</w:t>
            </w:r>
          </w:p>
        </w:tc>
        <w:tc>
          <w:tcPr>
            <w:tcW w:type="dxa" w:w="1195"/>
          </w:tcPr>
          <w:p>
            <w:pPr>
              <w:spacing w:after="20"/>
              <w:jc w:val="right"/>
            </w:pPr>
            <w:r>
              <w:rPr>
                <w:color w:val="1C3A36"/>
                <w:sz w:val="16"/>
              </w:rPr>
              <w:t>633</w:t>
            </w:r>
          </w:p>
        </w:tc>
        <w:tc>
          <w:tcPr>
            <w:tcW w:type="dxa" w:w="1195"/>
          </w:tcPr>
          <w:p>
            <w:pPr>
              <w:spacing w:after="20"/>
              <w:jc w:val="right"/>
            </w:pPr>
            <w:r>
              <w:rPr>
                <w:color w:val="1C3A36"/>
                <w:sz w:val="16"/>
              </w:rPr>
              <w:t>670</w:t>
            </w:r>
          </w:p>
        </w:tc>
        <w:tc>
          <w:tcPr>
            <w:tcW w:type="dxa" w:w="1195"/>
          </w:tcPr>
          <w:p>
            <w:pPr>
              <w:spacing w:after="20"/>
              <w:jc w:val="right"/>
            </w:pPr>
            <w:r>
              <w:rPr>
                <w:color w:val="1C3A36"/>
                <w:sz w:val="16"/>
              </w:rPr>
              <w:t>705</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1.616</w:t>
            </w:r>
          </w:p>
        </w:tc>
        <w:tc>
          <w:tcPr>
            <w:tcW w:type="dxa" w:w="1656"/>
            <w:shd w:val="clear" w:color="auto" w:fill="F6F1E6"/>
          </w:tcPr>
          <w:p>
            <w:pPr>
              <w:spacing w:after="20"/>
              <w:jc w:val="right"/>
            </w:pPr>
            <w:r>
              <w:rPr>
                <w:b/>
                <w:color w:val="1C3A36"/>
                <w:sz w:val="16"/>
              </w:rPr>
              <w:t>29,056</w:t>
            </w:r>
          </w:p>
        </w:tc>
        <w:tc>
          <w:tcPr>
            <w:tcW w:type="dxa" w:w="1195"/>
            <w:shd w:val="clear" w:color="auto" w:fill="F6F1E6"/>
          </w:tcPr>
          <w:p>
            <w:pPr>
              <w:spacing w:after="20"/>
              <w:jc w:val="right"/>
            </w:pPr>
            <w:r>
              <w:rPr>
                <w:b/>
                <w:color w:val="1C3A36"/>
                <w:sz w:val="16"/>
              </w:rPr>
              <w:t>51,185</w:t>
            </w:r>
          </w:p>
        </w:tc>
        <w:tc>
          <w:tcPr>
            <w:tcW w:type="dxa" w:w="1195"/>
            <w:shd w:val="clear" w:color="auto" w:fill="F6F1E6"/>
          </w:tcPr>
          <w:p>
            <w:pPr>
              <w:spacing w:after="20"/>
              <w:jc w:val="right"/>
            </w:pPr>
            <w:r>
              <w:rPr>
                <w:b/>
                <w:color w:val="1C3A36"/>
                <w:sz w:val="16"/>
              </w:rPr>
              <w:t>55,024</w:t>
            </w:r>
          </w:p>
        </w:tc>
        <w:tc>
          <w:tcPr>
            <w:tcW w:type="dxa" w:w="1195"/>
            <w:shd w:val="clear" w:color="auto" w:fill="F6F1E6"/>
          </w:tcPr>
          <w:p>
            <w:pPr>
              <w:spacing w:after="20"/>
              <w:jc w:val="right"/>
            </w:pPr>
            <w:r>
              <w:rPr>
                <w:b/>
                <w:color w:val="1C3A36"/>
                <w:sz w:val="16"/>
              </w:rPr>
              <w:t>58,600</w:t>
            </w:r>
          </w:p>
        </w:tc>
        <w:tc>
          <w:tcPr>
            <w:tcW w:type="dxa" w:w="1195"/>
            <w:shd w:val="clear" w:color="auto" w:fill="F6F1E6"/>
          </w:tcPr>
          <w:p>
            <w:pPr>
              <w:spacing w:after="20"/>
              <w:jc w:val="right"/>
            </w:pPr>
            <w:r>
              <w:rPr>
                <w:b/>
                <w:color w:val="1C3A36"/>
                <w:sz w:val="16"/>
              </w:rPr>
              <w:t>61,999</w:t>
            </w:r>
          </w:p>
        </w:tc>
        <w:tc>
          <w:tcPr>
            <w:tcW w:type="dxa" w:w="1195"/>
            <w:shd w:val="clear" w:color="auto" w:fill="F6F1E6"/>
          </w:tcPr>
          <w:p>
            <w:pPr>
              <w:spacing w:after="20"/>
              <w:jc w:val="right"/>
            </w:pPr>
            <w:r>
              <w:rPr>
                <w:b/>
                <w:color w:val="1C3A36"/>
                <w:sz w:val="16"/>
              </w:rPr>
              <w:t>65,223</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91.0%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9.3%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53,502</w:t>
            </w:r>
          </w:p>
        </w:tc>
        <w:tc>
          <w:tcPr>
            <w:tcW w:type="dxa" w:w="1469"/>
          </w:tcPr>
          <w:p>
            <w:pPr>
              <w:spacing w:after="20"/>
              <w:jc w:val="right"/>
            </w:pPr>
            <w:r>
              <w:rPr>
                <w:color w:val="1C3A36"/>
                <w:sz w:val="17"/>
              </w:rPr>
              <w:t>10,957</w:t>
            </w:r>
          </w:p>
        </w:tc>
        <w:tc>
          <w:tcPr>
            <w:tcW w:type="dxa" w:w="1469"/>
          </w:tcPr>
          <w:p>
            <w:pPr>
              <w:spacing w:after="20"/>
              <w:jc w:val="right"/>
            </w:pPr>
            <w:r>
              <w:rPr>
                <w:color w:val="1C3A36"/>
                <w:sz w:val="17"/>
              </w:rPr>
              <w:t>38,362</w:t>
            </w:r>
          </w:p>
        </w:tc>
        <w:tc>
          <w:tcPr>
            <w:tcW w:type="dxa" w:w="1469"/>
          </w:tcPr>
          <w:p>
            <w:pPr>
              <w:spacing w:after="20"/>
              <w:jc w:val="right"/>
            </w:pPr>
            <w:r>
              <w:rPr>
                <w:color w:val="1C3A36"/>
                <w:sz w:val="17"/>
              </w:rPr>
              <w:t>49,320</w:t>
            </w:r>
          </w:p>
        </w:tc>
        <w:tc>
          <w:tcPr>
            <w:tcW w:type="dxa" w:w="1368"/>
          </w:tcPr>
          <w:p>
            <w:pPr>
              <w:spacing w:after="20"/>
              <w:jc w:val="right"/>
            </w:pPr>
            <w:r>
              <w:rPr>
                <w:color w:val="1C3A36"/>
                <w:sz w:val="17"/>
              </w:rPr>
              <w:t>4,182</w:t>
            </w:r>
          </w:p>
        </w:tc>
        <w:tc>
          <w:tcPr>
            <w:tcW w:type="dxa" w:w="1008"/>
          </w:tcPr>
          <w:p>
            <w:pPr>
              <w:spacing w:after="20"/>
              <w:jc w:val="right"/>
            </w:pPr>
            <w:r>
              <w:rPr>
                <w:color w:val="1C3A36"/>
                <w:sz w:val="17"/>
              </w:rPr>
              <w:t>7.8%</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55,349</w:t>
            </w:r>
          </w:p>
        </w:tc>
        <w:tc>
          <w:tcPr>
            <w:tcW w:type="dxa" w:w="1469"/>
          </w:tcPr>
          <w:p>
            <w:pPr>
              <w:spacing w:after="20"/>
              <w:jc w:val="right"/>
            </w:pPr>
            <w:r>
              <w:rPr>
                <w:color w:val="1C3A36"/>
                <w:sz w:val="17"/>
              </w:rPr>
              <w:t>12,601</w:t>
            </w:r>
          </w:p>
        </w:tc>
        <w:tc>
          <w:tcPr>
            <w:tcW w:type="dxa" w:w="1469"/>
          </w:tcPr>
          <w:p>
            <w:pPr>
              <w:spacing w:after="20"/>
              <w:jc w:val="right"/>
            </w:pPr>
            <w:r>
              <w:rPr>
                <w:color w:val="1C3A36"/>
                <w:sz w:val="17"/>
              </w:rPr>
              <w:t>38,546</w:t>
            </w:r>
          </w:p>
        </w:tc>
        <w:tc>
          <w:tcPr>
            <w:tcW w:type="dxa" w:w="1469"/>
          </w:tcPr>
          <w:p>
            <w:pPr>
              <w:spacing w:after="20"/>
              <w:jc w:val="right"/>
            </w:pPr>
            <w:r>
              <w:rPr>
                <w:color w:val="1C3A36"/>
                <w:sz w:val="17"/>
              </w:rPr>
              <w:t>51,147</w:t>
            </w:r>
          </w:p>
        </w:tc>
        <w:tc>
          <w:tcPr>
            <w:tcW w:type="dxa" w:w="1368"/>
          </w:tcPr>
          <w:p>
            <w:pPr>
              <w:spacing w:after="20"/>
              <w:jc w:val="right"/>
            </w:pPr>
            <w:r>
              <w:rPr>
                <w:color w:val="1C3A36"/>
                <w:sz w:val="17"/>
              </w:rPr>
              <w:t>4,202</w:t>
            </w:r>
          </w:p>
        </w:tc>
        <w:tc>
          <w:tcPr>
            <w:tcW w:type="dxa" w:w="1008"/>
          </w:tcPr>
          <w:p>
            <w:pPr>
              <w:spacing w:after="20"/>
              <w:jc w:val="right"/>
            </w:pPr>
            <w:r>
              <w:rPr>
                <w:color w:val="1C3A36"/>
                <w:sz w:val="17"/>
              </w:rPr>
              <w:t>7.6%</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33,779</w:t>
            </w:r>
          </w:p>
        </w:tc>
        <w:tc>
          <w:tcPr>
            <w:tcW w:type="dxa" w:w="1469"/>
          </w:tcPr>
          <w:p>
            <w:pPr>
              <w:spacing w:after="20"/>
              <w:jc w:val="right"/>
            </w:pPr>
            <w:r>
              <w:rPr>
                <w:color w:val="1C3A36"/>
                <w:sz w:val="17"/>
              </w:rPr>
              <w:t>2,739</w:t>
            </w:r>
          </w:p>
        </w:tc>
        <w:tc>
          <w:tcPr>
            <w:tcW w:type="dxa" w:w="1469"/>
          </w:tcPr>
          <w:p>
            <w:pPr>
              <w:spacing w:after="20"/>
              <w:jc w:val="right"/>
            </w:pPr>
            <w:r>
              <w:rPr>
                <w:color w:val="1C3A36"/>
                <w:sz w:val="17"/>
              </w:rPr>
              <w:t>27,989</w:t>
            </w:r>
          </w:p>
        </w:tc>
        <w:tc>
          <w:tcPr>
            <w:tcW w:type="dxa" w:w="1469"/>
          </w:tcPr>
          <w:p>
            <w:pPr>
              <w:spacing w:after="20"/>
              <w:jc w:val="right"/>
            </w:pPr>
            <w:r>
              <w:rPr>
                <w:color w:val="1C3A36"/>
                <w:sz w:val="17"/>
              </w:rPr>
              <w:t>30,728</w:t>
            </w:r>
          </w:p>
        </w:tc>
        <w:tc>
          <w:tcPr>
            <w:tcW w:type="dxa" w:w="1368"/>
          </w:tcPr>
          <w:p>
            <w:pPr>
              <w:spacing w:after="20"/>
              <w:jc w:val="right"/>
            </w:pPr>
            <w:r>
              <w:rPr>
                <w:color w:val="1C3A36"/>
                <w:sz w:val="17"/>
              </w:rPr>
              <w:t>3,051</w:t>
            </w:r>
          </w:p>
        </w:tc>
        <w:tc>
          <w:tcPr>
            <w:tcW w:type="dxa" w:w="1008"/>
          </w:tcPr>
          <w:p>
            <w:pPr>
              <w:spacing w:after="20"/>
              <w:jc w:val="right"/>
            </w:pPr>
            <w:r>
              <w:rPr>
                <w:color w:val="1C3A36"/>
                <w:sz w:val="17"/>
              </w:rPr>
              <w:t>9.0%</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26,203</w:t>
            </w:r>
          </w:p>
        </w:tc>
        <w:tc>
          <w:tcPr>
            <w:tcW w:type="dxa" w:w="1469"/>
          </w:tcPr>
          <w:p>
            <w:pPr>
              <w:spacing w:after="20"/>
              <w:jc w:val="right"/>
            </w:pPr>
            <w:r>
              <w:rPr>
                <w:color w:val="1C3A36"/>
                <w:sz w:val="17"/>
              </w:rPr>
              <w:t>2,191</w:t>
            </w:r>
          </w:p>
        </w:tc>
        <w:tc>
          <w:tcPr>
            <w:tcW w:type="dxa" w:w="1469"/>
          </w:tcPr>
          <w:p>
            <w:pPr>
              <w:spacing w:after="20"/>
              <w:jc w:val="right"/>
            </w:pPr>
            <w:r>
              <w:rPr>
                <w:color w:val="1C3A36"/>
                <w:sz w:val="17"/>
              </w:rPr>
              <w:t>21,651</w:t>
            </w:r>
          </w:p>
        </w:tc>
        <w:tc>
          <w:tcPr>
            <w:tcW w:type="dxa" w:w="1469"/>
          </w:tcPr>
          <w:p>
            <w:pPr>
              <w:spacing w:after="20"/>
              <w:jc w:val="right"/>
            </w:pPr>
            <w:r>
              <w:rPr>
                <w:color w:val="1C3A36"/>
                <w:sz w:val="17"/>
              </w:rPr>
              <w:t>23,843</w:t>
            </w:r>
          </w:p>
        </w:tc>
        <w:tc>
          <w:tcPr>
            <w:tcW w:type="dxa" w:w="1368"/>
          </w:tcPr>
          <w:p>
            <w:pPr>
              <w:spacing w:after="20"/>
              <w:jc w:val="right"/>
            </w:pPr>
            <w:r>
              <w:rPr>
                <w:color w:val="1C3A36"/>
                <w:sz w:val="17"/>
              </w:rPr>
              <w:t>2,360</w:t>
            </w:r>
          </w:p>
        </w:tc>
        <w:tc>
          <w:tcPr>
            <w:tcW w:type="dxa" w:w="1008"/>
          </w:tcPr>
          <w:p>
            <w:pPr>
              <w:spacing w:after="20"/>
              <w:jc w:val="right"/>
            </w:pPr>
            <w:r>
              <w:rPr>
                <w:color w:val="1C3A36"/>
                <w:sz w:val="17"/>
              </w:rPr>
              <w:t>9.0%</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38,940</w:t>
            </w:r>
          </w:p>
        </w:tc>
        <w:tc>
          <w:tcPr>
            <w:tcW w:type="dxa" w:w="1469"/>
          </w:tcPr>
          <w:p>
            <w:pPr>
              <w:spacing w:after="20"/>
              <w:jc w:val="right"/>
            </w:pPr>
            <w:r>
              <w:rPr>
                <w:color w:val="1C3A36"/>
                <w:sz w:val="17"/>
              </w:rPr>
              <w:t>1,644</w:t>
            </w:r>
          </w:p>
        </w:tc>
        <w:tc>
          <w:tcPr>
            <w:tcW w:type="dxa" w:w="1469"/>
          </w:tcPr>
          <w:p>
            <w:pPr>
              <w:spacing w:after="20"/>
              <w:jc w:val="right"/>
            </w:pPr>
            <w:r>
              <w:rPr>
                <w:color w:val="1C3A36"/>
                <w:sz w:val="17"/>
              </w:rPr>
              <w:t>33,630</w:t>
            </w:r>
          </w:p>
        </w:tc>
        <w:tc>
          <w:tcPr>
            <w:tcW w:type="dxa" w:w="1469"/>
          </w:tcPr>
          <w:p>
            <w:pPr>
              <w:spacing w:after="20"/>
              <w:jc w:val="right"/>
            </w:pPr>
            <w:r>
              <w:rPr>
                <w:color w:val="1C3A36"/>
                <w:sz w:val="17"/>
              </w:rPr>
              <w:t>35,274</w:t>
            </w:r>
          </w:p>
        </w:tc>
        <w:tc>
          <w:tcPr>
            <w:tcW w:type="dxa" w:w="1368"/>
          </w:tcPr>
          <w:p>
            <w:pPr>
              <w:spacing w:after="20"/>
              <w:jc w:val="right"/>
            </w:pPr>
            <w:r>
              <w:rPr>
                <w:color w:val="1C3A36"/>
                <w:sz w:val="17"/>
              </w:rPr>
              <w:t>3,666</w:t>
            </w:r>
          </w:p>
        </w:tc>
        <w:tc>
          <w:tcPr>
            <w:tcW w:type="dxa" w:w="1008"/>
          </w:tcPr>
          <w:p>
            <w:pPr>
              <w:spacing w:after="20"/>
              <w:jc w:val="right"/>
            </w:pPr>
            <w:r>
              <w:rPr>
                <w:color w:val="1C3A36"/>
                <w:sz w:val="17"/>
              </w:rPr>
              <w:t>9.4%</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22,086</w:t>
            </w:r>
          </w:p>
        </w:tc>
        <w:tc>
          <w:tcPr>
            <w:tcW w:type="dxa" w:w="1469"/>
          </w:tcPr>
          <w:p>
            <w:pPr>
              <w:spacing w:after="20"/>
              <w:jc w:val="right"/>
            </w:pPr>
            <w:r>
              <w:rPr>
                <w:color w:val="1C3A36"/>
                <w:sz w:val="17"/>
              </w:rPr>
              <w:t>548</w:t>
            </w:r>
          </w:p>
        </w:tc>
        <w:tc>
          <w:tcPr>
            <w:tcW w:type="dxa" w:w="1469"/>
          </w:tcPr>
          <w:p>
            <w:pPr>
              <w:spacing w:after="20"/>
              <w:jc w:val="right"/>
            </w:pPr>
            <w:r>
              <w:rPr>
                <w:color w:val="1C3A36"/>
                <w:sz w:val="17"/>
              </w:rPr>
              <w:t>19,421</w:t>
            </w:r>
          </w:p>
        </w:tc>
        <w:tc>
          <w:tcPr>
            <w:tcW w:type="dxa" w:w="1469"/>
          </w:tcPr>
          <w:p>
            <w:pPr>
              <w:spacing w:after="20"/>
              <w:jc w:val="right"/>
            </w:pPr>
            <w:r>
              <w:rPr>
                <w:color w:val="1C3A36"/>
                <w:sz w:val="17"/>
              </w:rPr>
              <w:t>19,969</w:t>
            </w:r>
          </w:p>
        </w:tc>
        <w:tc>
          <w:tcPr>
            <w:tcW w:type="dxa" w:w="1368"/>
          </w:tcPr>
          <w:p>
            <w:pPr>
              <w:spacing w:after="20"/>
              <w:jc w:val="right"/>
            </w:pPr>
            <w:r>
              <w:rPr>
                <w:color w:val="1C3A36"/>
                <w:sz w:val="17"/>
              </w:rPr>
              <w:t>2,117</w:t>
            </w:r>
          </w:p>
        </w:tc>
        <w:tc>
          <w:tcPr>
            <w:tcW w:type="dxa" w:w="1008"/>
          </w:tcPr>
          <w:p>
            <w:pPr>
              <w:spacing w:after="20"/>
              <w:jc w:val="right"/>
            </w:pPr>
            <w:r>
              <w:rPr>
                <w:color w:val="1C3A36"/>
                <w:sz w:val="17"/>
              </w:rPr>
              <w:t>9.6%</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17,712</w:t>
            </w:r>
          </w:p>
        </w:tc>
        <w:tc>
          <w:tcPr>
            <w:tcW w:type="dxa" w:w="1469"/>
          </w:tcPr>
          <w:p>
            <w:pPr>
              <w:spacing w:after="20"/>
              <w:jc w:val="right"/>
            </w:pPr>
            <w:r>
              <w:rPr>
                <w:color w:val="1C3A36"/>
                <w:sz w:val="17"/>
              </w:rPr>
              <w:t>548</w:t>
            </w:r>
          </w:p>
        </w:tc>
        <w:tc>
          <w:tcPr>
            <w:tcW w:type="dxa" w:w="1469"/>
          </w:tcPr>
          <w:p>
            <w:pPr>
              <w:spacing w:after="20"/>
              <w:jc w:val="right"/>
            </w:pPr>
            <w:r>
              <w:rPr>
                <w:color w:val="1C3A36"/>
                <w:sz w:val="17"/>
              </w:rPr>
              <w:t>15,477</w:t>
            </w:r>
          </w:p>
        </w:tc>
        <w:tc>
          <w:tcPr>
            <w:tcW w:type="dxa" w:w="1469"/>
          </w:tcPr>
          <w:p>
            <w:pPr>
              <w:spacing w:after="20"/>
              <w:jc w:val="right"/>
            </w:pPr>
            <w:r>
              <w:rPr>
                <w:color w:val="1C3A36"/>
                <w:sz w:val="17"/>
              </w:rPr>
              <w:t>16,024</w:t>
            </w:r>
          </w:p>
        </w:tc>
        <w:tc>
          <w:tcPr>
            <w:tcW w:type="dxa" w:w="1368"/>
          </w:tcPr>
          <w:p>
            <w:pPr>
              <w:spacing w:after="20"/>
              <w:jc w:val="right"/>
            </w:pPr>
            <w:r>
              <w:rPr>
                <w:color w:val="1C3A36"/>
                <w:sz w:val="17"/>
              </w:rPr>
              <w:t>1,687</w:t>
            </w:r>
          </w:p>
        </w:tc>
        <w:tc>
          <w:tcPr>
            <w:tcW w:type="dxa" w:w="1008"/>
          </w:tcPr>
          <w:p>
            <w:pPr>
              <w:spacing w:after="20"/>
              <w:jc w:val="right"/>
            </w:pPr>
            <w:r>
              <w:rPr>
                <w:color w:val="1C3A36"/>
                <w:sz w:val="17"/>
              </w:rPr>
              <w:t>9.5%</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29,056</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26,441</w:t>
            </w:r>
          </w:p>
        </w:tc>
        <w:tc>
          <w:tcPr>
            <w:tcW w:type="dxa" w:w="1368"/>
            <w:shd w:val="clear" w:color="auto" w:fill="F6F1E6"/>
          </w:tcPr>
          <w:p>
            <w:pPr>
              <w:spacing w:after="20"/>
              <w:jc w:val="right"/>
            </w:pPr>
            <w:r>
              <w:rPr>
                <w:b/>
                <w:color w:val="1C3A36"/>
                <w:sz w:val="17"/>
              </w:rPr>
              <w:t>2,614</w:t>
            </w:r>
          </w:p>
        </w:tc>
        <w:tc>
          <w:tcPr>
            <w:tcW w:type="dxa" w:w="1008"/>
            <w:shd w:val="clear" w:color="auto" w:fill="F6F1E6"/>
          </w:tcPr>
          <w:p>
            <w:pPr>
              <w:spacing w:after="20"/>
              <w:jc w:val="right"/>
            </w:pPr>
            <w:r>
              <w:rPr>
                <w:b/>
                <w:color w:val="1C3A36"/>
                <w:sz w:val="17"/>
              </w:rPr>
              <w:t>9.0%</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2.0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126.24%</w:t>
            </w:r>
          </w:p>
        </w:tc>
        <w:tc>
          <w:tcPr>
            <w:tcW w:type="dxa" w:w="1296"/>
          </w:tcPr>
          <w:p>
            <w:pPr>
              <w:spacing w:after="20"/>
              <w:jc w:val="right"/>
            </w:pPr>
            <w:r>
              <w:rPr>
                <w:color w:val="1C3A36"/>
                <w:sz w:val="17"/>
              </w:rPr>
              <w:t>90.00%</w:t>
            </w:r>
          </w:p>
        </w:tc>
        <w:tc>
          <w:tcPr>
            <w:tcW w:type="dxa" w:w="4824"/>
          </w:tcPr>
          <w:p>
            <w:pPr>
              <w:spacing w:after="20"/>
            </w:pPr>
            <w:r>
              <w:rPr>
                <w:color w:val="1C3A36"/>
                <w:sz w:val="17"/>
              </w:rPr>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-26.24%</w:t>
            </w:r>
          </w:p>
        </w:tc>
        <w:tc>
          <w:tcPr>
            <w:tcW w:type="dxa" w:w="1296"/>
          </w:tcPr>
          <w:p>
            <w:pPr>
              <w:spacing w:after="20"/>
              <w:jc w:val="right"/>
            </w:pPr>
            <w:r>
              <w:rPr>
                <w:color w:val="1C3A36"/>
                <w:sz w:val="17"/>
              </w:rPr>
              <w:t>10.00%</w:t>
            </w:r>
          </w:p>
        </w:tc>
        <w:tc>
          <w:tcPr>
            <w:tcW w:type="dxa" w:w="4824"/>
          </w:tcPr>
          <w:p>
            <w:pPr>
              <w:spacing w:after="20"/>
            </w:pPr>
            <w:r>
              <w:rPr>
                <w:color w:val="1C3A36"/>
                <w:sz w:val="17"/>
              </w:rPr>
              <w:t>NEGATIVE in the explicit window — the company holds net cash</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31.19%</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negative debt weight RAISES the operating rate above the cost of equity</w:t>
            </w:r>
          </w:p>
        </w:tc>
      </w:tr>
    </w:tbl>
    <w:p>
      <w:pPr>
        <w:spacing w:after="40"/>
      </w:pPr>
    </w:p>
    <w:p>
      <w:pPr>
        <w:spacing w:after="200" w:before="0"/>
      </w:pPr>
      <w:r>
        <w:rPr>
          <w:b w:val="0"/>
          <w:i/>
          <w:color w:val="6E7B77"/>
          <w:sz w:val="17"/>
        </w:rPr>
        <w:t>Table 10 — the discount-rate stack. The construction that matters most here is the net-cash weighting. A naive model lets a cash pile drag the weighted rate DOWN; this one applies a negative debt weight of -26.2%, which forces the operating rate to 31.2% — ABOVE the 27.5% cost of equity — correctly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0.357</w:t>
            </w:r>
          </w:p>
        </w:tc>
        <w:tc>
          <w:tcPr>
            <w:tcW w:type="dxa" w:w="1195"/>
          </w:tcPr>
          <w:p>
            <w:pPr>
              <w:spacing w:after="20"/>
              <w:jc w:val="right"/>
            </w:pPr>
            <w:r>
              <w:rPr>
                <w:color w:val="1C3A36"/>
                <w:sz w:val="17"/>
              </w:rPr>
              <w:t>0.643</w:t>
            </w:r>
          </w:p>
        </w:tc>
        <w:tc>
          <w:tcPr>
            <w:tcW w:type="dxa" w:w="1195"/>
          </w:tcPr>
          <w:p>
            <w:pPr>
              <w:spacing w:after="20"/>
              <w:jc w:val="right"/>
            </w:pPr>
            <w:r>
              <w:rPr>
                <w:color w:val="1C3A36"/>
                <w:sz w:val="17"/>
              </w:rPr>
              <w:t>0.857</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31.19%</w:t>
            </w:r>
          </w:p>
        </w:tc>
        <w:tc>
          <w:tcPr>
            <w:tcW w:type="dxa" w:w="1195"/>
          </w:tcPr>
          <w:p>
            <w:pPr>
              <w:spacing w:after="20"/>
              <w:jc w:val="right"/>
            </w:pPr>
            <w:r>
              <w:rPr>
                <w:color w:val="1C3A36"/>
                <w:sz w:val="17"/>
              </w:rPr>
              <w:t>26.53%</w:t>
            </w:r>
          </w:p>
        </w:tc>
        <w:tc>
          <w:tcPr>
            <w:tcW w:type="dxa" w:w="1195"/>
          </w:tcPr>
          <w:p>
            <w:pPr>
              <w:spacing w:after="20"/>
              <w:jc w:val="right"/>
            </w:pPr>
            <w:r>
              <w:rPr>
                <w:color w:val="1C3A36"/>
                <w:sz w:val="17"/>
              </w:rPr>
              <w:t>22.80%</w:t>
            </w:r>
          </w:p>
        </w:tc>
        <w:tc>
          <w:tcPr>
            <w:tcW w:type="dxa" w:w="1195"/>
          </w:tcPr>
          <w:p>
            <w:pPr>
              <w:spacing w:after="20"/>
              <w:jc w:val="right"/>
            </w:pPr>
            <w:r>
              <w:rPr>
                <w:color w:val="1C3A36"/>
                <w:sz w:val="17"/>
              </w:rPr>
              <w:t>20.00%</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0.76224</w:t>
            </w:r>
          </w:p>
        </w:tc>
        <w:tc>
          <w:tcPr>
            <w:tcW w:type="dxa" w:w="1195"/>
          </w:tcPr>
          <w:p>
            <w:pPr>
              <w:spacing w:after="20"/>
              <w:jc w:val="right"/>
            </w:pPr>
            <w:r>
              <w:rPr>
                <w:color w:val="1C3A36"/>
                <w:sz w:val="17"/>
              </w:rPr>
              <w:t>0.60242</w:t>
            </w:r>
          </w:p>
        </w:tc>
        <w:tc>
          <w:tcPr>
            <w:tcW w:type="dxa" w:w="1195"/>
          </w:tcPr>
          <w:p>
            <w:pPr>
              <w:spacing w:after="20"/>
              <w:jc w:val="right"/>
            </w:pPr>
            <w:r>
              <w:rPr>
                <w:color w:val="1C3A36"/>
                <w:sz w:val="17"/>
              </w:rPr>
              <w:t>0.49057</w:t>
            </w:r>
          </w:p>
        </w:tc>
        <w:tc>
          <w:tcPr>
            <w:tcW w:type="dxa" w:w="1195"/>
          </w:tcPr>
          <w:p>
            <w:pPr>
              <w:spacing w:after="20"/>
              <w:jc w:val="right"/>
            </w:pPr>
            <w:r>
              <w:rPr>
                <w:color w:val="1C3A36"/>
                <w:sz w:val="17"/>
              </w:rPr>
              <w:t>0.40879</w:t>
            </w:r>
          </w:p>
        </w:tc>
        <w:tc>
          <w:tcPr>
            <w:tcW w:type="dxa" w:w="1195"/>
          </w:tcPr>
          <w:p>
            <w:pPr>
              <w:spacing w:after="20"/>
              <w:jc w:val="right"/>
            </w:pPr>
            <w:r>
              <w:rPr>
                <w:color w:val="1C3A36"/>
                <w:sz w:val="17"/>
              </w:rPr>
              <w:t>0.34603</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51,185</w:t>
            </w:r>
          </w:p>
        </w:tc>
        <w:tc>
          <w:tcPr>
            <w:tcW w:type="dxa" w:w="1238"/>
          </w:tcPr>
          <w:p>
            <w:pPr>
              <w:spacing w:after="20"/>
              <w:jc w:val="right"/>
            </w:pPr>
            <w:r>
              <w:rPr>
                <w:color w:val="1C3A36"/>
                <w:sz w:val="17"/>
              </w:rPr>
              <w:t>55,024</w:t>
            </w:r>
          </w:p>
        </w:tc>
        <w:tc>
          <w:tcPr>
            <w:tcW w:type="dxa" w:w="1238"/>
          </w:tcPr>
          <w:p>
            <w:pPr>
              <w:spacing w:after="20"/>
              <w:jc w:val="right"/>
            </w:pPr>
            <w:r>
              <w:rPr>
                <w:color w:val="1C3A36"/>
                <w:sz w:val="17"/>
              </w:rPr>
              <w:t>58,600</w:t>
            </w:r>
          </w:p>
        </w:tc>
        <w:tc>
          <w:tcPr>
            <w:tcW w:type="dxa" w:w="1238"/>
          </w:tcPr>
          <w:p>
            <w:pPr>
              <w:spacing w:after="20"/>
              <w:jc w:val="right"/>
            </w:pPr>
            <w:r>
              <w:rPr>
                <w:color w:val="1C3A36"/>
                <w:sz w:val="17"/>
              </w:rPr>
              <w:t>61,999</w:t>
            </w:r>
          </w:p>
        </w:tc>
        <w:tc>
          <w:tcPr>
            <w:tcW w:type="dxa" w:w="1238"/>
          </w:tcPr>
          <w:p>
            <w:pPr>
              <w:spacing w:after="20"/>
              <w:jc w:val="right"/>
            </w:pPr>
            <w:r>
              <w:rPr>
                <w:color w:val="1C3A36"/>
                <w:sz w:val="17"/>
              </w:rPr>
              <w:t>65,223</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46,772</w:t>
            </w:r>
          </w:p>
        </w:tc>
        <w:tc>
          <w:tcPr>
            <w:tcW w:type="dxa" w:w="1238"/>
          </w:tcPr>
          <w:p>
            <w:pPr>
              <w:spacing w:after="20"/>
              <w:jc w:val="right"/>
            </w:pPr>
            <w:r>
              <w:rPr>
                <w:color w:val="1C3A36"/>
                <w:sz w:val="17"/>
              </w:rPr>
              <w:t>50,504</w:t>
            </w:r>
          </w:p>
        </w:tc>
        <w:tc>
          <w:tcPr>
            <w:tcW w:type="dxa" w:w="1238"/>
          </w:tcPr>
          <w:p>
            <w:pPr>
              <w:spacing w:after="20"/>
              <w:jc w:val="right"/>
            </w:pPr>
            <w:r>
              <w:rPr>
                <w:color w:val="1C3A36"/>
                <w:sz w:val="17"/>
              </w:rPr>
              <w:t>54,018</w:t>
            </w:r>
          </w:p>
        </w:tc>
        <w:tc>
          <w:tcPr>
            <w:tcW w:type="dxa" w:w="1238"/>
          </w:tcPr>
          <w:p>
            <w:pPr>
              <w:spacing w:after="20"/>
              <w:jc w:val="right"/>
            </w:pPr>
            <w:r>
              <w:rPr>
                <w:color w:val="1C3A36"/>
                <w:sz w:val="17"/>
              </w:rPr>
              <w:t>57,368</w:t>
            </w:r>
          </w:p>
        </w:tc>
        <w:tc>
          <w:tcPr>
            <w:tcW w:type="dxa" w:w="1238"/>
          </w:tcPr>
          <w:p>
            <w:pPr>
              <w:spacing w:after="20"/>
              <w:jc w:val="right"/>
            </w:pPr>
            <w:r>
              <w:rPr>
                <w:color w:val="1C3A36"/>
                <w:sz w:val="17"/>
              </w:rPr>
              <w:t>60,598</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4,413</w:t>
            </w:r>
          </w:p>
        </w:tc>
        <w:tc>
          <w:tcPr>
            <w:tcW w:type="dxa" w:w="1238"/>
            <w:shd w:val="clear" w:color="auto" w:fill="F6F1E6"/>
          </w:tcPr>
          <w:p>
            <w:pPr>
              <w:spacing w:after="20"/>
              <w:jc w:val="right"/>
            </w:pPr>
            <w:r>
              <w:rPr>
                <w:b/>
                <w:color w:val="1C3A36"/>
                <w:sz w:val="17"/>
              </w:rPr>
              <w:t>4,520</w:t>
            </w:r>
          </w:p>
        </w:tc>
        <w:tc>
          <w:tcPr>
            <w:tcW w:type="dxa" w:w="1238"/>
            <w:shd w:val="clear" w:color="auto" w:fill="F6F1E6"/>
          </w:tcPr>
          <w:p>
            <w:pPr>
              <w:spacing w:after="20"/>
              <w:jc w:val="right"/>
            </w:pPr>
            <w:r>
              <w:rPr>
                <w:b/>
                <w:color w:val="1C3A36"/>
                <w:sz w:val="17"/>
              </w:rPr>
              <w:t>4,582</w:t>
            </w:r>
          </w:p>
        </w:tc>
        <w:tc>
          <w:tcPr>
            <w:tcW w:type="dxa" w:w="1238"/>
            <w:shd w:val="clear" w:color="auto" w:fill="F6F1E6"/>
          </w:tcPr>
          <w:p>
            <w:pPr>
              <w:spacing w:after="20"/>
              <w:jc w:val="right"/>
            </w:pPr>
            <w:r>
              <w:rPr>
                <w:b/>
                <w:color w:val="1C3A36"/>
                <w:sz w:val="17"/>
              </w:rPr>
              <w:t>4,631</w:t>
            </w:r>
          </w:p>
        </w:tc>
        <w:tc>
          <w:tcPr>
            <w:tcW w:type="dxa" w:w="1238"/>
            <w:shd w:val="clear" w:color="auto" w:fill="F6F1E6"/>
          </w:tcPr>
          <w:p>
            <w:pPr>
              <w:spacing w:after="20"/>
              <w:jc w:val="right"/>
            </w:pPr>
            <w:r>
              <w:rPr>
                <w:b/>
                <w:color w:val="1C3A36"/>
                <w:sz w:val="17"/>
              </w:rPr>
              <w:t>4,626</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8.62%</w:t>
            </w:r>
          </w:p>
        </w:tc>
        <w:tc>
          <w:tcPr>
            <w:tcW w:type="dxa" w:w="1238"/>
          </w:tcPr>
          <w:p>
            <w:pPr>
              <w:spacing w:after="20"/>
              <w:jc w:val="right"/>
            </w:pPr>
            <w:r>
              <w:rPr>
                <w:color w:val="1C3A36"/>
                <w:sz w:val="17"/>
              </w:rPr>
              <w:t>8.21%</w:t>
            </w:r>
          </w:p>
        </w:tc>
        <w:tc>
          <w:tcPr>
            <w:tcW w:type="dxa" w:w="1238"/>
          </w:tcPr>
          <w:p>
            <w:pPr>
              <w:spacing w:after="20"/>
              <w:jc w:val="right"/>
            </w:pPr>
            <w:r>
              <w:rPr>
                <w:color w:val="1C3A36"/>
                <w:sz w:val="17"/>
              </w:rPr>
              <w:t>7.82%</w:t>
            </w:r>
          </w:p>
        </w:tc>
        <w:tc>
          <w:tcPr>
            <w:tcW w:type="dxa" w:w="1238"/>
          </w:tcPr>
          <w:p>
            <w:pPr>
              <w:spacing w:after="20"/>
              <w:jc w:val="right"/>
            </w:pPr>
            <w:r>
              <w:rPr>
                <w:color w:val="1C3A36"/>
                <w:sz w:val="17"/>
              </w:rPr>
              <w:t>7.47%</w:t>
            </w:r>
          </w:p>
        </w:tc>
        <w:tc>
          <w:tcPr>
            <w:tcW w:type="dxa" w:w="1238"/>
          </w:tcPr>
          <w:p>
            <w:pPr>
              <w:spacing w:after="20"/>
              <w:jc w:val="right"/>
            </w:pPr>
            <w:r>
              <w:rPr>
                <w:color w:val="1C3A36"/>
                <w:sz w:val="17"/>
              </w:rPr>
              <w:t>7.09%</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2,000</w:t>
            </w:r>
          </w:p>
        </w:tc>
        <w:tc>
          <w:tcPr>
            <w:tcW w:type="dxa" w:w="1238"/>
          </w:tcPr>
          <w:p>
            <w:pPr>
              <w:spacing w:after="20"/>
              <w:jc w:val="right"/>
            </w:pPr>
            <w:r>
              <w:rPr>
                <w:color w:val="1C3A36"/>
                <w:sz w:val="17"/>
              </w:rPr>
              <w:t>2,260</w:t>
            </w:r>
          </w:p>
        </w:tc>
        <w:tc>
          <w:tcPr>
            <w:tcW w:type="dxa" w:w="1238"/>
          </w:tcPr>
          <w:p>
            <w:pPr>
              <w:spacing w:after="20"/>
              <w:jc w:val="right"/>
            </w:pPr>
            <w:r>
              <w:rPr>
                <w:color w:val="1C3A36"/>
                <w:sz w:val="17"/>
              </w:rPr>
              <w:t>2,520</w:t>
            </w:r>
          </w:p>
        </w:tc>
        <w:tc>
          <w:tcPr>
            <w:tcW w:type="dxa" w:w="1238"/>
          </w:tcPr>
          <w:p>
            <w:pPr>
              <w:spacing w:after="20"/>
              <w:jc w:val="right"/>
            </w:pPr>
            <w:r>
              <w:rPr>
                <w:color w:val="1C3A36"/>
                <w:sz w:val="17"/>
              </w:rPr>
              <w:t>2,772</w:t>
            </w:r>
          </w:p>
        </w:tc>
        <w:tc>
          <w:tcPr>
            <w:tcW w:type="dxa" w:w="1238"/>
          </w:tcPr>
          <w:p>
            <w:pPr>
              <w:spacing w:after="20"/>
              <w:jc w:val="right"/>
            </w:pPr>
            <w:r>
              <w:rPr>
                <w:color w:val="1C3A36"/>
                <w:sz w:val="17"/>
              </w:rPr>
              <w:t>3,036</w:t>
            </w:r>
          </w:p>
        </w:tc>
      </w:tr>
      <w:tr>
        <w:tc>
          <w:tcPr>
            <w:tcW w:type="dxa" w:w="3600"/>
          </w:tcPr>
          <w:p>
            <w:pPr>
              <w:spacing w:after="20"/>
            </w:pPr>
            <w:r>
              <w:rPr>
                <w:color w:val="1C3A36"/>
                <w:sz w:val="17"/>
              </w:rPr>
              <w:t>EBITDA</w:t>
            </w:r>
          </w:p>
        </w:tc>
        <w:tc>
          <w:tcPr>
            <w:tcW w:type="dxa" w:w="1238"/>
          </w:tcPr>
          <w:p>
            <w:pPr>
              <w:spacing w:after="20"/>
              <w:jc w:val="right"/>
            </w:pPr>
            <w:r>
              <w:rPr>
                <w:color w:val="1C3A36"/>
                <w:sz w:val="17"/>
              </w:rPr>
              <w:t>2,413</w:t>
            </w:r>
          </w:p>
        </w:tc>
        <w:tc>
          <w:tcPr>
            <w:tcW w:type="dxa" w:w="1238"/>
          </w:tcPr>
          <w:p>
            <w:pPr>
              <w:spacing w:after="20"/>
              <w:jc w:val="right"/>
            </w:pPr>
            <w:r>
              <w:rPr>
                <w:color w:val="1C3A36"/>
                <w:sz w:val="17"/>
              </w:rPr>
              <w:t>2,260</w:t>
            </w:r>
          </w:p>
        </w:tc>
        <w:tc>
          <w:tcPr>
            <w:tcW w:type="dxa" w:w="1238"/>
          </w:tcPr>
          <w:p>
            <w:pPr>
              <w:spacing w:after="20"/>
              <w:jc w:val="right"/>
            </w:pPr>
            <w:r>
              <w:rPr>
                <w:color w:val="1C3A36"/>
                <w:sz w:val="17"/>
              </w:rPr>
              <w:t>2,062</w:t>
            </w:r>
          </w:p>
        </w:tc>
        <w:tc>
          <w:tcPr>
            <w:tcW w:type="dxa" w:w="1238"/>
          </w:tcPr>
          <w:p>
            <w:pPr>
              <w:spacing w:after="20"/>
              <w:jc w:val="right"/>
            </w:pPr>
            <w:r>
              <w:rPr>
                <w:color w:val="1C3A36"/>
                <w:sz w:val="17"/>
              </w:rPr>
              <w:t>1,859</w:t>
            </w:r>
          </w:p>
        </w:tc>
        <w:tc>
          <w:tcPr>
            <w:tcW w:type="dxa" w:w="1238"/>
          </w:tcPr>
          <w:p>
            <w:pPr>
              <w:spacing w:after="20"/>
              <w:jc w:val="right"/>
            </w:pPr>
            <w:r>
              <w:rPr>
                <w:color w:val="1C3A36"/>
                <w:sz w:val="17"/>
              </w:rPr>
              <w:t>1,590</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174</w:t>
            </w:r>
          </w:p>
        </w:tc>
        <w:tc>
          <w:tcPr>
            <w:tcW w:type="dxa" w:w="1238"/>
          </w:tcPr>
          <w:p>
            <w:pPr>
              <w:spacing w:after="20"/>
              <w:jc w:val="right"/>
            </w:pPr>
            <w:r>
              <w:rPr>
                <w:color w:val="1C3A36"/>
                <w:sz w:val="17"/>
              </w:rPr>
              <w:t>183</w:t>
            </w:r>
          </w:p>
        </w:tc>
        <w:tc>
          <w:tcPr>
            <w:tcW w:type="dxa" w:w="1238"/>
          </w:tcPr>
          <w:p>
            <w:pPr>
              <w:spacing w:after="20"/>
              <w:jc w:val="right"/>
            </w:pPr>
            <w:r>
              <w:rPr>
                <w:color w:val="1C3A36"/>
                <w:sz w:val="17"/>
              </w:rPr>
              <w:t>194</w:t>
            </w:r>
          </w:p>
        </w:tc>
        <w:tc>
          <w:tcPr>
            <w:tcW w:type="dxa" w:w="1238"/>
          </w:tcPr>
          <w:p>
            <w:pPr>
              <w:spacing w:after="20"/>
              <w:jc w:val="right"/>
            </w:pPr>
            <w:r>
              <w:rPr>
                <w:color w:val="1C3A36"/>
                <w:sz w:val="17"/>
              </w:rPr>
              <w:t>206</w:t>
            </w:r>
          </w:p>
        </w:tc>
        <w:tc>
          <w:tcPr>
            <w:tcW w:type="dxa" w:w="1238"/>
          </w:tcPr>
          <w:p>
            <w:pPr>
              <w:spacing w:after="20"/>
              <w:jc w:val="right"/>
            </w:pPr>
            <w:r>
              <w:rPr>
                <w:color w:val="1C3A36"/>
                <w:sz w:val="17"/>
              </w:rPr>
              <w:t>219</w:t>
            </w:r>
          </w:p>
        </w:tc>
      </w:tr>
      <w:tr>
        <w:tc>
          <w:tcPr>
            <w:tcW w:type="dxa" w:w="3600"/>
          </w:tcPr>
          <w:p>
            <w:pPr>
              <w:spacing w:after="20"/>
            </w:pPr>
            <w:r>
              <w:rPr>
                <w:color w:val="1C3A36"/>
                <w:sz w:val="17"/>
              </w:rPr>
              <w:t>EBIT</w:t>
            </w:r>
          </w:p>
        </w:tc>
        <w:tc>
          <w:tcPr>
            <w:tcW w:type="dxa" w:w="1238"/>
          </w:tcPr>
          <w:p>
            <w:pPr>
              <w:spacing w:after="20"/>
              <w:jc w:val="right"/>
            </w:pPr>
            <w:r>
              <w:rPr>
                <w:color w:val="1C3A36"/>
                <w:sz w:val="17"/>
              </w:rPr>
              <w:t>2,239</w:t>
            </w:r>
          </w:p>
        </w:tc>
        <w:tc>
          <w:tcPr>
            <w:tcW w:type="dxa" w:w="1238"/>
          </w:tcPr>
          <w:p>
            <w:pPr>
              <w:spacing w:after="20"/>
              <w:jc w:val="right"/>
            </w:pPr>
            <w:r>
              <w:rPr>
                <w:color w:val="1C3A36"/>
                <w:sz w:val="17"/>
              </w:rPr>
              <w:t>2,076</w:t>
            </w:r>
          </w:p>
        </w:tc>
        <w:tc>
          <w:tcPr>
            <w:tcW w:type="dxa" w:w="1238"/>
          </w:tcPr>
          <w:p>
            <w:pPr>
              <w:spacing w:after="20"/>
              <w:jc w:val="right"/>
            </w:pPr>
            <w:r>
              <w:rPr>
                <w:color w:val="1C3A36"/>
                <w:sz w:val="17"/>
              </w:rPr>
              <w:t>1,868</w:t>
            </w:r>
          </w:p>
        </w:tc>
        <w:tc>
          <w:tcPr>
            <w:tcW w:type="dxa" w:w="1238"/>
          </w:tcPr>
          <w:p>
            <w:pPr>
              <w:spacing w:after="20"/>
              <w:jc w:val="right"/>
            </w:pPr>
            <w:r>
              <w:rPr>
                <w:color w:val="1C3A36"/>
                <w:sz w:val="17"/>
              </w:rPr>
              <w:t>1,653</w:t>
            </w:r>
          </w:p>
        </w:tc>
        <w:tc>
          <w:tcPr>
            <w:tcW w:type="dxa" w:w="1238"/>
          </w:tcPr>
          <w:p>
            <w:pPr>
              <w:spacing w:after="20"/>
              <w:jc w:val="right"/>
            </w:pPr>
            <w:r>
              <w:rPr>
                <w:color w:val="1C3A36"/>
                <w:sz w:val="17"/>
              </w:rPr>
              <w:t>1,370</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1,644</w:t>
            </w:r>
          </w:p>
        </w:tc>
        <w:tc>
          <w:tcPr>
            <w:tcW w:type="dxa" w:w="1238"/>
          </w:tcPr>
          <w:p>
            <w:pPr>
              <w:spacing w:after="20"/>
              <w:jc w:val="right"/>
            </w:pPr>
            <w:r>
              <w:rPr>
                <w:color w:val="1C3A36"/>
                <w:sz w:val="17"/>
              </w:rPr>
              <w:t>1,524</w:t>
            </w:r>
          </w:p>
        </w:tc>
        <w:tc>
          <w:tcPr>
            <w:tcW w:type="dxa" w:w="1238"/>
          </w:tcPr>
          <w:p>
            <w:pPr>
              <w:spacing w:after="20"/>
              <w:jc w:val="right"/>
            </w:pPr>
            <w:r>
              <w:rPr>
                <w:color w:val="1C3A36"/>
                <w:sz w:val="17"/>
              </w:rPr>
              <w:t>1,371</w:t>
            </w:r>
          </w:p>
        </w:tc>
        <w:tc>
          <w:tcPr>
            <w:tcW w:type="dxa" w:w="1238"/>
          </w:tcPr>
          <w:p>
            <w:pPr>
              <w:spacing w:after="20"/>
              <w:jc w:val="right"/>
            </w:pPr>
            <w:r>
              <w:rPr>
                <w:color w:val="1C3A36"/>
                <w:sz w:val="17"/>
              </w:rPr>
              <w:t>1,213</w:t>
            </w:r>
          </w:p>
        </w:tc>
        <w:tc>
          <w:tcPr>
            <w:tcW w:type="dxa" w:w="1238"/>
          </w:tcPr>
          <w:p>
            <w:pPr>
              <w:spacing w:after="20"/>
              <w:jc w:val="right"/>
            </w:pPr>
            <w:r>
              <w:rPr>
                <w:color w:val="1C3A36"/>
                <w:sz w:val="17"/>
              </w:rPr>
              <w:t>1,006</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174</w:t>
            </w:r>
          </w:p>
        </w:tc>
        <w:tc>
          <w:tcPr>
            <w:tcW w:type="dxa" w:w="1238"/>
          </w:tcPr>
          <w:p>
            <w:pPr>
              <w:spacing w:after="20"/>
              <w:jc w:val="right"/>
            </w:pPr>
            <w:r>
              <w:rPr>
                <w:color w:val="1C3A36"/>
                <w:sz w:val="17"/>
              </w:rPr>
              <w:t>183</w:t>
            </w:r>
          </w:p>
        </w:tc>
        <w:tc>
          <w:tcPr>
            <w:tcW w:type="dxa" w:w="1238"/>
          </w:tcPr>
          <w:p>
            <w:pPr>
              <w:spacing w:after="20"/>
              <w:jc w:val="right"/>
            </w:pPr>
            <w:r>
              <w:rPr>
                <w:color w:val="1C3A36"/>
                <w:sz w:val="17"/>
              </w:rPr>
              <w:t>194</w:t>
            </w:r>
          </w:p>
        </w:tc>
        <w:tc>
          <w:tcPr>
            <w:tcW w:type="dxa" w:w="1238"/>
          </w:tcPr>
          <w:p>
            <w:pPr>
              <w:spacing w:after="20"/>
              <w:jc w:val="right"/>
            </w:pPr>
            <w:r>
              <w:rPr>
                <w:color w:val="1C3A36"/>
                <w:sz w:val="17"/>
              </w:rPr>
              <w:t>206</w:t>
            </w:r>
          </w:p>
        </w:tc>
        <w:tc>
          <w:tcPr>
            <w:tcW w:type="dxa" w:w="1238"/>
          </w:tcPr>
          <w:p>
            <w:pPr>
              <w:spacing w:after="20"/>
              <w:jc w:val="right"/>
            </w:pPr>
            <w:r>
              <w:rPr>
                <w:color w:val="1C3A36"/>
                <w:sz w:val="17"/>
              </w:rPr>
              <w:t>219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173</w:t>
            </w:r>
          </w:p>
        </w:tc>
        <w:tc>
          <w:tcPr>
            <w:tcW w:type="dxa" w:w="1238"/>
          </w:tcPr>
          <w:p>
            <w:pPr>
              <w:spacing w:after="20"/>
              <w:jc w:val="right"/>
            </w:pPr>
            <w:r>
              <w:rPr>
                <w:color w:val="1C3A36"/>
                <w:sz w:val="17"/>
              </w:rPr>
              <w:t>196</w:t>
            </w:r>
          </w:p>
        </w:tc>
        <w:tc>
          <w:tcPr>
            <w:tcW w:type="dxa" w:w="1238"/>
          </w:tcPr>
          <w:p>
            <w:pPr>
              <w:spacing w:after="20"/>
              <w:jc w:val="right"/>
            </w:pPr>
            <w:r>
              <w:rPr>
                <w:color w:val="1C3A36"/>
                <w:sz w:val="17"/>
              </w:rPr>
              <w:t>218</w:t>
            </w:r>
          </w:p>
        </w:tc>
        <w:tc>
          <w:tcPr>
            <w:tcW w:type="dxa" w:w="1238"/>
          </w:tcPr>
          <w:p>
            <w:pPr>
              <w:spacing w:after="20"/>
              <w:jc w:val="right"/>
            </w:pPr>
            <w:r>
              <w:rPr>
                <w:color w:val="1C3A36"/>
                <w:sz w:val="17"/>
              </w:rPr>
              <w:t>240</w:t>
            </w:r>
          </w:p>
        </w:tc>
        <w:tc>
          <w:tcPr>
            <w:tcW w:type="dxa" w:w="1238"/>
          </w:tcPr>
          <w:p>
            <w:pPr>
              <w:spacing w:after="20"/>
              <w:jc w:val="right"/>
            </w:pPr>
            <w:r>
              <w:rPr>
                <w:color w:val="1C3A36"/>
                <w:sz w:val="17"/>
              </w:rPr>
              <w:t>263</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209</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179</w:t>
            </w:r>
          </w:p>
        </w:tc>
        <w:tc>
          <w:tcPr>
            <w:tcW w:type="dxa" w:w="1238"/>
          </w:tcPr>
          <w:p>
            <w:pPr>
              <w:spacing w:after="20"/>
              <w:jc w:val="right"/>
            </w:pPr>
            <w:r>
              <w:rPr>
                <w:color w:val="1C3A36"/>
                <w:sz w:val="17"/>
              </w:rPr>
              <w:t>171</w:t>
            </w:r>
          </w:p>
        </w:tc>
        <w:tc>
          <w:tcPr>
            <w:tcW w:type="dxa" w:w="1238"/>
          </w:tcPr>
          <w:p>
            <w:pPr>
              <w:spacing w:after="20"/>
              <w:jc w:val="right"/>
            </w:pPr>
            <w:r>
              <w:rPr>
                <w:color w:val="1C3A36"/>
                <w:sz w:val="17"/>
              </w:rPr>
              <w:t>164</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1,436</w:t>
            </w:r>
          </w:p>
        </w:tc>
        <w:tc>
          <w:tcPr>
            <w:tcW w:type="dxa" w:w="1238"/>
            <w:shd w:val="clear" w:color="auto" w:fill="F6F1E6"/>
          </w:tcPr>
          <w:p>
            <w:pPr>
              <w:spacing w:after="20"/>
              <w:jc w:val="right"/>
            </w:pPr>
            <w:r>
              <w:rPr>
                <w:b/>
                <w:color w:val="1C3A36"/>
                <w:sz w:val="17"/>
              </w:rPr>
              <w:t>1,321</w:t>
            </w:r>
          </w:p>
        </w:tc>
        <w:tc>
          <w:tcPr>
            <w:tcW w:type="dxa" w:w="1238"/>
            <w:shd w:val="clear" w:color="auto" w:fill="F6F1E6"/>
          </w:tcPr>
          <w:p>
            <w:pPr>
              <w:spacing w:after="20"/>
              <w:jc w:val="right"/>
            </w:pPr>
            <w:r>
              <w:rPr>
                <w:b/>
                <w:color w:val="1C3A36"/>
                <w:sz w:val="17"/>
              </w:rPr>
              <w:t>1,168</w:t>
            </w:r>
          </w:p>
        </w:tc>
        <w:tc>
          <w:tcPr>
            <w:tcW w:type="dxa" w:w="1238"/>
            <w:shd w:val="clear" w:color="auto" w:fill="F6F1E6"/>
          </w:tcPr>
          <w:p>
            <w:pPr>
              <w:spacing w:after="20"/>
              <w:jc w:val="right"/>
            </w:pPr>
            <w:r>
              <w:rPr>
                <w:b/>
                <w:color w:val="1C3A36"/>
                <w:sz w:val="17"/>
              </w:rPr>
              <w:t>1,008</w:t>
            </w:r>
          </w:p>
        </w:tc>
        <w:tc>
          <w:tcPr>
            <w:tcW w:type="dxa" w:w="1238"/>
            <w:shd w:val="clear" w:color="auto" w:fill="F6F1E6"/>
          </w:tcPr>
          <w:p>
            <w:pPr>
              <w:spacing w:after="20"/>
              <w:jc w:val="right"/>
            </w:pPr>
            <w:r>
              <w:rPr>
                <w:b/>
                <w:color w:val="1C3A36"/>
                <w:sz w:val="17"/>
              </w:rPr>
              <w:t>799</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0.76224</w:t>
            </w:r>
          </w:p>
        </w:tc>
        <w:tc>
          <w:tcPr>
            <w:tcW w:type="dxa" w:w="1238"/>
          </w:tcPr>
          <w:p>
            <w:pPr>
              <w:spacing w:after="20"/>
              <w:jc w:val="right"/>
            </w:pPr>
            <w:r>
              <w:rPr>
                <w:color w:val="1C3A36"/>
                <w:sz w:val="17"/>
              </w:rPr>
              <w:t>0.60242</w:t>
            </w:r>
          </w:p>
        </w:tc>
        <w:tc>
          <w:tcPr>
            <w:tcW w:type="dxa" w:w="1238"/>
          </w:tcPr>
          <w:p>
            <w:pPr>
              <w:spacing w:after="20"/>
              <w:jc w:val="right"/>
            </w:pPr>
            <w:r>
              <w:rPr>
                <w:color w:val="1C3A36"/>
                <w:sz w:val="17"/>
              </w:rPr>
              <w:t>0.49057</w:t>
            </w:r>
          </w:p>
        </w:tc>
        <w:tc>
          <w:tcPr>
            <w:tcW w:type="dxa" w:w="1238"/>
          </w:tcPr>
          <w:p>
            <w:pPr>
              <w:spacing w:after="20"/>
              <w:jc w:val="right"/>
            </w:pPr>
            <w:r>
              <w:rPr>
                <w:color w:val="1C3A36"/>
                <w:sz w:val="17"/>
              </w:rPr>
              <w:t>0.40879</w:t>
            </w:r>
          </w:p>
        </w:tc>
        <w:tc>
          <w:tcPr>
            <w:tcW w:type="dxa" w:w="1238"/>
          </w:tcPr>
          <w:p>
            <w:pPr>
              <w:spacing w:after="20"/>
              <w:jc w:val="right"/>
            </w:pPr>
            <w:r>
              <w:rPr>
                <w:color w:val="1C3A36"/>
                <w:sz w:val="17"/>
              </w:rPr>
              <w:t>0.34603</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1,094</w:t>
            </w:r>
          </w:p>
        </w:tc>
        <w:tc>
          <w:tcPr>
            <w:tcW w:type="dxa" w:w="1238"/>
            <w:shd w:val="clear" w:color="auto" w:fill="F6F1E6"/>
          </w:tcPr>
          <w:p>
            <w:pPr>
              <w:spacing w:after="20"/>
              <w:jc w:val="right"/>
            </w:pPr>
            <w:r>
              <w:rPr>
                <w:b/>
                <w:color w:val="1C3A36"/>
                <w:sz w:val="17"/>
              </w:rPr>
              <w:t>796</w:t>
            </w:r>
          </w:p>
        </w:tc>
        <w:tc>
          <w:tcPr>
            <w:tcW w:type="dxa" w:w="1238"/>
            <w:shd w:val="clear" w:color="auto" w:fill="F6F1E6"/>
          </w:tcPr>
          <w:p>
            <w:pPr>
              <w:spacing w:after="20"/>
              <w:jc w:val="right"/>
            </w:pPr>
            <w:r>
              <w:rPr>
                <w:b/>
                <w:color w:val="1C3A36"/>
                <w:sz w:val="17"/>
              </w:rPr>
              <w:t>573</w:t>
            </w:r>
          </w:p>
        </w:tc>
        <w:tc>
          <w:tcPr>
            <w:tcW w:type="dxa" w:w="1238"/>
            <w:shd w:val="clear" w:color="auto" w:fill="F6F1E6"/>
          </w:tcPr>
          <w:p>
            <w:pPr>
              <w:spacing w:after="20"/>
              <w:jc w:val="right"/>
            </w:pPr>
            <w:r>
              <w:rPr>
                <w:b/>
                <w:color w:val="1C3A36"/>
                <w:sz w:val="17"/>
              </w:rPr>
              <w:t>412</w:t>
            </w:r>
          </w:p>
        </w:tc>
        <w:tc>
          <w:tcPr>
            <w:tcW w:type="dxa" w:w="1238"/>
            <w:shd w:val="clear" w:color="auto" w:fill="F6F1E6"/>
          </w:tcPr>
          <w:p>
            <w:pPr>
              <w:spacing w:after="20"/>
              <w:jc w:val="right"/>
            </w:pPr>
            <w:r>
              <w:rPr>
                <w:b/>
                <w:color w:val="1C3A36"/>
                <w:sz w:val="17"/>
              </w:rPr>
              <w:t>276</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18.1-year life, plus growth at the plant’s own EGP 1,948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3,151</w:t>
            </w:r>
          </w:p>
        </w:tc>
        <w:tc>
          <w:tcPr>
            <w:tcW w:type="dxa" w:w="1296"/>
          </w:tcPr>
          <w:p>
            <w:pPr>
              <w:spacing w:after="20"/>
              <w:jc w:val="right"/>
            </w:pPr>
            <w:r>
              <w:rPr>
                <w:color w:val="1C3A36"/>
                <w:sz w:val="17"/>
              </w:rPr>
              <w:t>2.44</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1,807</w:t>
            </w:r>
          </w:p>
        </w:tc>
        <w:tc>
          <w:tcPr>
            <w:tcW w:type="dxa" w:w="1296"/>
          </w:tcPr>
          <w:p>
            <w:pPr>
              <w:spacing w:after="20"/>
              <w:jc w:val="right"/>
            </w:pPr>
            <w:r>
              <w:rPr>
                <w:color w:val="1C3A36"/>
                <w:sz w:val="17"/>
              </w:rPr>
              <w:t>1.40</w:t>
            </w:r>
          </w:p>
        </w:tc>
        <w:tc>
          <w:tcPr>
            <w:tcW w:type="dxa" w:w="3600"/>
          </w:tcPr>
          <w:p>
            <w:pPr>
              <w:spacing w:after="20"/>
            </w:pPr>
            <w:r>
              <w:rPr>
                <w:color w:val="1C3A36"/>
                <w:sz w:val="17"/>
              </w:rPr>
              <w:t>36.4%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4,959</w:t>
            </w:r>
          </w:p>
        </w:tc>
        <w:tc>
          <w:tcPr>
            <w:tcW w:type="dxa" w:w="1296"/>
            <w:shd w:val="clear" w:color="auto" w:fill="F6F1E6"/>
          </w:tcPr>
          <w:p>
            <w:pPr>
              <w:spacing w:after="20"/>
              <w:jc w:val="right"/>
            </w:pPr>
            <w:r>
              <w:rPr>
                <w:b/>
                <w:color w:val="1C3A36"/>
                <w:sz w:val="17"/>
              </w:rPr>
              <w:t>3.84</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2,443</w:t>
            </w:r>
          </w:p>
        </w:tc>
        <w:tc>
          <w:tcPr>
            <w:tcW w:type="dxa" w:w="1296"/>
          </w:tcPr>
          <w:p>
            <w:pPr>
              <w:spacing w:after="20"/>
              <w:jc w:val="right"/>
            </w:pPr>
            <w:r>
              <w:rPr>
                <w:color w:val="1C3A36"/>
                <w:sz w:val="17"/>
              </w:rPr>
              <w:t>1.89</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7,401</w:t>
            </w:r>
          </w:p>
        </w:tc>
        <w:tc>
          <w:tcPr>
            <w:tcW w:type="dxa" w:w="1296"/>
          </w:tcPr>
          <w:p>
            <w:pPr>
              <w:spacing w:after="20"/>
              <w:jc w:val="right"/>
            </w:pPr>
            <w:r>
              <w:rPr>
                <w:color w:val="1C3A36"/>
                <w:sz w:val="17"/>
              </w:rPr>
              <w:t>5.73</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(241)</w:t>
            </w:r>
          </w:p>
        </w:tc>
        <w:tc>
          <w:tcPr>
            <w:tcW w:type="dxa" w:w="1296"/>
          </w:tcPr>
          <w:p>
            <w:pPr>
              <w:spacing w:after="20"/>
              <w:jc w:val="right"/>
            </w:pPr>
            <w:r>
              <w:rPr>
                <w:color w:val="1C3A36"/>
                <w:sz w:val="17"/>
              </w:rPr>
              <w:t>(0.19)</w:t>
            </w:r>
          </w:p>
        </w:tc>
        <w:tc>
          <w:tcPr>
            <w:tcW w:type="dxa" w:w="3600"/>
          </w:tcPr>
          <w:p>
            <w:pPr>
              <w:spacing w:after="20"/>
            </w:pPr>
            <w:r>
              <w:rPr>
                <w:color w:val="1C3A36"/>
                <w:sz w:val="17"/>
              </w:rPr>
              <w:t>3.258%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(921)</w:t>
            </w:r>
          </w:p>
        </w:tc>
        <w:tc>
          <w:tcPr>
            <w:tcW w:type="dxa" w:w="1296"/>
          </w:tcPr>
          <w:p>
            <w:pPr>
              <w:spacing w:after="20"/>
              <w:jc w:val="right"/>
            </w:pPr>
            <w:r>
              <w:rPr>
                <w:color w:val="1C3A36"/>
                <w:sz w:val="17"/>
              </w:rPr>
              <w:t>(0.71)</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(517)</w:t>
            </w:r>
          </w:p>
        </w:tc>
        <w:tc>
          <w:tcPr>
            <w:tcW w:type="dxa" w:w="1296"/>
          </w:tcPr>
          <w:p>
            <w:pPr>
              <w:spacing w:after="20"/>
              <w:jc w:val="right"/>
            </w:pPr>
            <w:r>
              <w:rPr>
                <w:color w:val="1C3A36"/>
                <w:sz w:val="17"/>
              </w:rPr>
              <w:t>(0.40)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578</w:t>
            </w:r>
          </w:p>
        </w:tc>
        <w:tc>
          <w:tcPr>
            <w:tcW w:type="dxa" w:w="1296"/>
          </w:tcPr>
          <w:p>
            <w:pPr>
              <w:spacing w:after="20"/>
              <w:jc w:val="right"/>
            </w:pPr>
            <w:r>
              <w:rPr>
                <w:color w:val="1C3A36"/>
                <w:sz w:val="17"/>
              </w:rPr>
              <w:t>0.45</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6,300</w:t>
            </w:r>
          </w:p>
        </w:tc>
        <w:tc>
          <w:tcPr>
            <w:tcW w:type="dxa" w:w="1296"/>
            <w:shd w:val="clear" w:color="auto" w:fill="F6F1E6"/>
          </w:tcPr>
          <w:p>
            <w:pPr>
              <w:spacing w:after="20"/>
              <w:jc w:val="right"/>
            </w:pPr>
            <w:r>
              <w:rPr>
                <w:b/>
                <w:color w:val="1C3A36"/>
                <w:sz w:val="17"/>
              </w:rPr>
              <w:t>4.88</w:t>
            </w:r>
          </w:p>
        </w:tc>
        <w:tc>
          <w:tcPr>
            <w:tcW w:type="dxa" w:w="3600"/>
            <w:shd w:val="clear" w:color="auto" w:fill="F6F1E6"/>
          </w:tcPr>
          <w:p>
            <w:pPr>
              <w:spacing w:after="20"/>
            </w:pPr>
            <w:r>
              <w:rPr>
                <w:b/>
                <w:color w:val="1C3A36"/>
                <w:sz w:val="17"/>
              </w:rPr>
              <w:t>against a price of 9.10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0.85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14.3%.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5% terminal growth and a 14.3% return, the terminal block reinvests 35.0% of profit. That is ABOVE the final explicit year’s 20.6%, so the terminal block is funded rather than flattered — a step of +14.46%, disclosed here because it RAISES nothing and a reader is entitled to see it either way. Terminal value carries 36.4%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21.3%</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-2.24%</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56.4%</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2.75%</w:t>
            </w:r>
          </w:p>
        </w:tc>
      </w:tr>
      <w:tr>
        <w:tc>
          <w:tcPr>
            <w:tcW w:type="dxa" w:w="2736"/>
            <w:shd w:val="clear" w:color="auto" w:fill="F6F1E6"/>
          </w:tcPr>
          <w:p>
            <w:pPr>
              <w:spacing w:after="20"/>
            </w:pPr>
            <w:r>
              <w:rPr>
                <w:b/>
                <w:color w:val="1C3A36"/>
                <w:sz w:val="17"/>
              </w:rPr>
              <w:t>Four-period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0.0%</w:t>
            </w:r>
          </w:p>
        </w:tc>
        <w:tc>
          <w:tcPr>
            <w:tcW w:type="dxa" w:w="2664"/>
            <w:shd w:val="clear" w:color="auto" w:fill="F6F1E6"/>
          </w:tcPr>
          <w:p>
            <w:pPr>
              <w:spacing w:after="20"/>
              <w:jc w:val="right"/>
            </w:pPr>
            <w:r>
              <w:rPr>
                <w:b/>
                <w:color w:val="1C3A36"/>
                <w:sz w:val="17"/>
              </w:rPr>
              <w:t>0.35%</w:t>
            </w:r>
          </w:p>
        </w:tc>
      </w:tr>
    </w:tbl>
    <w:p>
      <w:pPr>
        <w:spacing w:after="40"/>
      </w:pPr>
    </w:p>
    <w:p>
      <w:pPr>
        <w:spacing w:after="200" w:before="0"/>
      </w:pPr>
      <w:r>
        <w:rPr>
          <w:b w:val="0"/>
          <w:i/>
          <w:color w:val="6E7B77"/>
          <w:sz w:val="17"/>
        </w:rPr>
        <w:t>Table 14 — the reinvestment record. TWO of the four filed periods show POSITIVE reinvestment and the four-period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5% is generous, and the study says so. The reinvestment waterfall itself implies 3.63%; the four-period average implies far less. The terminal growth sensitivity in section 1.11 shows why the choice barely matters here: because the reinvestment identity FUNDS growth before crediting it, the value moves only from EGP 4.92 at 3% to 4.82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3.07</w:t>
            </w:r>
          </w:p>
        </w:tc>
        <w:tc>
          <w:tcPr>
            <w:tcW w:type="dxa" w:w="1080"/>
          </w:tcPr>
          <w:p>
            <w:pPr>
              <w:spacing w:after="20"/>
              <w:jc w:val="right"/>
            </w:pPr>
            <w:r>
              <w:rPr>
                <w:color w:val="1C3A36"/>
                <w:sz w:val="17"/>
              </w:rPr>
              <w:t>3.97</w:t>
            </w:r>
          </w:p>
        </w:tc>
        <w:tc>
          <w:tcPr>
            <w:tcW w:type="dxa" w:w="1080"/>
          </w:tcPr>
          <w:p>
            <w:pPr>
              <w:spacing w:after="20"/>
              <w:jc w:val="right"/>
            </w:pPr>
            <w:r>
              <w:rPr>
                <w:color w:val="1C3A36"/>
                <w:sz w:val="17"/>
              </w:rPr>
              <w:t>4.88</w:t>
            </w:r>
          </w:p>
        </w:tc>
        <w:tc>
          <w:tcPr>
            <w:tcW w:type="dxa" w:w="1080"/>
          </w:tcPr>
          <w:p>
            <w:pPr>
              <w:spacing w:after="20"/>
              <w:jc w:val="right"/>
            </w:pPr>
            <w:r>
              <w:rPr>
                <w:color w:val="1C3A36"/>
                <w:sz w:val="17"/>
              </w:rPr>
              <w:t>5.78</w:t>
            </w:r>
          </w:p>
        </w:tc>
        <w:tc>
          <w:tcPr>
            <w:tcW w:type="dxa" w:w="1080"/>
          </w:tcPr>
          <w:p>
            <w:pPr>
              <w:spacing w:after="20"/>
              <w:jc w:val="right"/>
            </w:pPr>
            <w:r>
              <w:rPr>
                <w:color w:val="1C3A36"/>
                <w:sz w:val="17"/>
              </w:rPr>
              <w:t>6.69</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2.97</w:t>
            </w:r>
          </w:p>
        </w:tc>
        <w:tc>
          <w:tcPr>
            <w:tcW w:type="dxa" w:w="1080"/>
          </w:tcPr>
          <w:p>
            <w:pPr>
              <w:spacing w:after="20"/>
              <w:jc w:val="right"/>
            </w:pPr>
            <w:r>
              <w:rPr>
                <w:color w:val="1C3A36"/>
                <w:sz w:val="17"/>
              </w:rPr>
              <w:t>3.72</w:t>
            </w:r>
          </w:p>
        </w:tc>
        <w:tc>
          <w:tcPr>
            <w:tcW w:type="dxa" w:w="1080"/>
          </w:tcPr>
          <w:p>
            <w:pPr>
              <w:spacing w:after="20"/>
              <w:jc w:val="right"/>
            </w:pPr>
            <w:r>
              <w:rPr>
                <w:color w:val="1C3A36"/>
                <w:sz w:val="17"/>
              </w:rPr>
              <w:t>4.88</w:t>
            </w:r>
          </w:p>
        </w:tc>
        <w:tc>
          <w:tcPr>
            <w:tcW w:type="dxa" w:w="1080"/>
          </w:tcPr>
          <w:p>
            <w:pPr>
              <w:spacing w:after="20"/>
              <w:jc w:val="right"/>
            </w:pPr>
            <w:r>
              <w:rPr>
                <w:color w:val="1C3A36"/>
                <w:sz w:val="17"/>
              </w:rPr>
              <w:t>5.78</w:t>
            </w:r>
          </w:p>
        </w:tc>
        <w:tc>
          <w:tcPr>
            <w:tcW w:type="dxa" w:w="1080"/>
          </w:tcPr>
          <w:p>
            <w:pPr>
              <w:spacing w:after="20"/>
              <w:jc w:val="right"/>
            </w:pPr>
            <w:r>
              <w:rPr>
                <w:color w:val="1C3A36"/>
                <w:sz w:val="17"/>
              </w:rPr>
              <w:t>6.78</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4.12</w:t>
            </w:r>
          </w:p>
        </w:tc>
        <w:tc>
          <w:tcPr>
            <w:tcW w:type="dxa" w:w="1080"/>
          </w:tcPr>
          <w:p>
            <w:pPr>
              <w:spacing w:after="20"/>
              <w:jc w:val="right"/>
            </w:pPr>
            <w:r>
              <w:rPr>
                <w:color w:val="1C3A36"/>
                <w:sz w:val="17"/>
              </w:rPr>
              <w:t>4.50</w:t>
            </w:r>
          </w:p>
        </w:tc>
        <w:tc>
          <w:tcPr>
            <w:tcW w:type="dxa" w:w="1080"/>
          </w:tcPr>
          <w:p>
            <w:pPr>
              <w:spacing w:after="20"/>
              <w:jc w:val="right"/>
            </w:pPr>
            <w:r>
              <w:rPr>
                <w:color w:val="1C3A36"/>
                <w:sz w:val="17"/>
              </w:rPr>
              <w:t>4.88</w:t>
            </w:r>
          </w:p>
        </w:tc>
        <w:tc>
          <w:tcPr>
            <w:tcW w:type="dxa" w:w="1080"/>
          </w:tcPr>
          <w:p>
            <w:pPr>
              <w:spacing w:after="20"/>
              <w:jc w:val="right"/>
            </w:pPr>
            <w:r>
              <w:rPr>
                <w:color w:val="1C3A36"/>
                <w:sz w:val="17"/>
              </w:rPr>
              <w:t>5.26</w:t>
            </w:r>
          </w:p>
        </w:tc>
        <w:tc>
          <w:tcPr>
            <w:tcW w:type="dxa" w:w="1080"/>
          </w:tcPr>
          <w:p>
            <w:pPr>
              <w:spacing w:after="20"/>
              <w:jc w:val="right"/>
            </w:pPr>
            <w:r>
              <w:rPr>
                <w:color w:val="1C3A36"/>
                <w:sz w:val="17"/>
              </w:rPr>
              <w:t>5.65</w:t>
            </w:r>
          </w:p>
        </w:tc>
      </w:tr>
      <w:tr>
        <w:tc>
          <w:tcPr>
            <w:tcW w:type="dxa" w:w="4104"/>
          </w:tcPr>
          <w:p>
            <w:pPr>
              <w:spacing w:after="20"/>
            </w:pPr>
            <w:r>
              <w:rPr>
                <w:color w:val="1C3A36"/>
                <w:sz w:val="17"/>
              </w:rPr>
              <w:t>Beta</w:t>
            </w:r>
          </w:p>
        </w:tc>
        <w:tc>
          <w:tcPr>
            <w:tcW w:type="dxa" w:w="1080"/>
          </w:tcPr>
          <w:p>
            <w:pPr>
              <w:spacing w:after="20"/>
              <w:jc w:val="right"/>
            </w:pPr>
            <w:r>
              <w:rPr>
                <w:color w:val="1C3A36"/>
                <w:sz w:val="17"/>
              </w:rPr>
              <w:t>5.44</w:t>
            </w:r>
          </w:p>
        </w:tc>
        <w:tc>
          <w:tcPr>
            <w:tcW w:type="dxa" w:w="1080"/>
          </w:tcPr>
          <w:p>
            <w:pPr>
              <w:spacing w:after="20"/>
              <w:jc w:val="right"/>
            </w:pPr>
            <w:r>
              <w:rPr>
                <w:color w:val="1C3A36"/>
                <w:sz w:val="17"/>
              </w:rPr>
              <w:t>5.06</w:t>
            </w:r>
          </w:p>
        </w:tc>
        <w:tc>
          <w:tcPr>
            <w:tcW w:type="dxa" w:w="1080"/>
          </w:tcPr>
          <w:p>
            <w:pPr>
              <w:spacing w:after="20"/>
              <w:jc w:val="right"/>
            </w:pPr>
            <w:r>
              <w:rPr>
                <w:color w:val="1C3A36"/>
                <w:sz w:val="17"/>
              </w:rPr>
              <w:t>4.88</w:t>
            </w:r>
          </w:p>
        </w:tc>
        <w:tc>
          <w:tcPr>
            <w:tcW w:type="dxa" w:w="1080"/>
          </w:tcPr>
          <w:p>
            <w:pPr>
              <w:spacing w:after="20"/>
              <w:jc w:val="right"/>
            </w:pPr>
            <w:r>
              <w:rPr>
                <w:color w:val="1C3A36"/>
                <w:sz w:val="17"/>
              </w:rPr>
              <w:t>4.54</w:t>
            </w:r>
          </w:p>
        </w:tc>
        <w:tc>
          <w:tcPr>
            <w:tcW w:type="dxa" w:w="1080"/>
          </w:tcPr>
          <w:p>
            <w:pPr>
              <w:spacing w:after="20"/>
              <w:jc w:val="right"/>
            </w:pPr>
            <w:r>
              <w:rPr>
                <w:color w:val="1C3A36"/>
                <w:sz w:val="17"/>
              </w:rPr>
              <w:t>4.36</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5.86</w:t>
            </w:r>
          </w:p>
        </w:tc>
        <w:tc>
          <w:tcPr>
            <w:tcW w:type="dxa" w:w="1080"/>
          </w:tcPr>
          <w:p>
            <w:pPr>
              <w:spacing w:after="20"/>
              <w:jc w:val="right"/>
            </w:pPr>
            <w:r>
              <w:rPr>
                <w:color w:val="1C3A36"/>
                <w:sz w:val="17"/>
              </w:rPr>
              <w:t>5.37</w:t>
            </w:r>
          </w:p>
        </w:tc>
        <w:tc>
          <w:tcPr>
            <w:tcW w:type="dxa" w:w="1080"/>
          </w:tcPr>
          <w:p>
            <w:pPr>
              <w:spacing w:after="20"/>
              <w:jc w:val="right"/>
            </w:pPr>
            <w:r>
              <w:rPr>
                <w:color w:val="1C3A36"/>
                <w:sz w:val="17"/>
              </w:rPr>
              <w:t>4.88</w:t>
            </w:r>
          </w:p>
        </w:tc>
        <w:tc>
          <w:tcPr>
            <w:tcW w:type="dxa" w:w="1080"/>
          </w:tcPr>
          <w:p>
            <w:pPr>
              <w:spacing w:after="20"/>
              <w:jc w:val="right"/>
            </w:pPr>
            <w:r>
              <w:rPr>
                <w:color w:val="1C3A36"/>
                <w:sz w:val="17"/>
              </w:rPr>
              <w:t>4.39</w:t>
            </w:r>
          </w:p>
        </w:tc>
        <w:tc>
          <w:tcPr>
            <w:tcW w:type="dxa" w:w="1080"/>
          </w:tcPr>
          <w:p>
            <w:pPr>
              <w:spacing w:after="20"/>
              <w:jc w:val="right"/>
            </w:pPr>
            <w:r>
              <w:rPr>
                <w:color w:val="1C3A36"/>
                <w:sz w:val="17"/>
              </w:rPr>
              <w:t>3.90</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4.92</w:t>
            </w:r>
          </w:p>
        </w:tc>
        <w:tc>
          <w:tcPr>
            <w:tcW w:type="dxa" w:w="1080"/>
          </w:tcPr>
          <w:p>
            <w:pPr>
              <w:spacing w:after="20"/>
              <w:jc w:val="right"/>
            </w:pPr>
            <w:r>
              <w:rPr>
                <w:color w:val="1C3A36"/>
                <w:sz w:val="17"/>
              </w:rPr>
              <w:t>4.90</w:t>
            </w:r>
          </w:p>
        </w:tc>
        <w:tc>
          <w:tcPr>
            <w:tcW w:type="dxa" w:w="1080"/>
          </w:tcPr>
          <w:p>
            <w:pPr>
              <w:spacing w:after="20"/>
              <w:jc w:val="right"/>
            </w:pPr>
            <w:r>
              <w:rPr>
                <w:color w:val="1C3A36"/>
                <w:sz w:val="17"/>
              </w:rPr>
              <w:t>4.88</w:t>
            </w:r>
          </w:p>
        </w:tc>
        <w:tc>
          <w:tcPr>
            <w:tcW w:type="dxa" w:w="1080"/>
          </w:tcPr>
          <w:p>
            <w:pPr>
              <w:spacing w:after="20"/>
              <w:jc w:val="right"/>
            </w:pPr>
            <w:r>
              <w:rPr>
                <w:color w:val="1C3A36"/>
                <w:sz w:val="17"/>
              </w:rPr>
              <w:t>4.85</w:t>
            </w:r>
          </w:p>
        </w:tc>
        <w:tc>
          <w:tcPr>
            <w:tcW w:type="dxa" w:w="1080"/>
          </w:tcPr>
          <w:p>
            <w:pPr>
              <w:spacing w:after="20"/>
              <w:jc w:val="right"/>
            </w:pPr>
            <w:r>
              <w:rPr>
                <w:color w:val="1C3A36"/>
                <w:sz w:val="17"/>
              </w:rPr>
              <w:t>4.82</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0.91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6.08</w:t>
            </w:r>
          </w:p>
        </w:tc>
        <w:tc>
          <w:tcPr>
            <w:tcW w:type="dxa" w:w="1224"/>
          </w:tcPr>
          <w:p>
            <w:pPr>
              <w:spacing w:after="20"/>
              <w:jc w:val="right"/>
            </w:pPr>
            <w:r>
              <w:rPr>
                <w:color w:val="1C3A36"/>
                <w:sz w:val="17"/>
              </w:rPr>
              <w:t>6.15</w:t>
            </w:r>
          </w:p>
        </w:tc>
        <w:tc>
          <w:tcPr>
            <w:tcW w:type="dxa" w:w="1224"/>
          </w:tcPr>
          <w:p>
            <w:pPr>
              <w:spacing w:after="20"/>
              <w:jc w:val="right"/>
            </w:pPr>
            <w:r>
              <w:rPr>
                <w:color w:val="1C3A36"/>
                <w:sz w:val="17"/>
              </w:rPr>
              <w:t>6.24</w:t>
            </w:r>
          </w:p>
        </w:tc>
        <w:tc>
          <w:tcPr>
            <w:tcW w:type="dxa" w:w="1224"/>
          </w:tcPr>
          <w:p>
            <w:pPr>
              <w:spacing w:after="20"/>
              <w:jc w:val="right"/>
            </w:pPr>
            <w:r>
              <w:rPr>
                <w:color w:val="1C3A36"/>
                <w:sz w:val="17"/>
              </w:rPr>
              <w:t>6.34</w:t>
            </w:r>
          </w:p>
        </w:tc>
        <w:tc>
          <w:tcPr>
            <w:tcW w:type="dxa" w:w="1224"/>
          </w:tcPr>
          <w:p>
            <w:pPr>
              <w:spacing w:after="20"/>
              <w:jc w:val="right"/>
            </w:pPr>
            <w:r>
              <w:rPr>
                <w:color w:val="1C3A36"/>
                <w:sz w:val="17"/>
              </w:rPr>
              <w:t>6.46</w:t>
            </w:r>
          </w:p>
        </w:tc>
      </w:tr>
      <w:tr>
        <w:tc>
          <w:tcPr>
            <w:tcW w:type="dxa" w:w="3384"/>
          </w:tcPr>
          <w:p>
            <w:pPr>
              <w:spacing w:after="20"/>
            </w:pPr>
            <w:r>
              <w:rPr>
                <w:color w:val="1C3A36"/>
                <w:sz w:val="17"/>
              </w:rPr>
              <w:t>17.14%</w:t>
            </w:r>
          </w:p>
        </w:tc>
        <w:tc>
          <w:tcPr>
            <w:tcW w:type="dxa" w:w="1224"/>
          </w:tcPr>
          <w:p>
            <w:pPr>
              <w:spacing w:after="20"/>
              <w:jc w:val="right"/>
            </w:pPr>
            <w:r>
              <w:rPr>
                <w:color w:val="1C3A36"/>
                <w:sz w:val="17"/>
              </w:rPr>
              <w:t>5.90</w:t>
            </w:r>
          </w:p>
        </w:tc>
        <w:tc>
          <w:tcPr>
            <w:tcW w:type="dxa" w:w="1224"/>
          </w:tcPr>
          <w:p>
            <w:pPr>
              <w:spacing w:after="20"/>
              <w:jc w:val="right"/>
            </w:pPr>
            <w:r>
              <w:rPr>
                <w:color w:val="1C3A36"/>
                <w:sz w:val="17"/>
              </w:rPr>
              <w:t>5.95</w:t>
            </w:r>
          </w:p>
        </w:tc>
        <w:tc>
          <w:tcPr>
            <w:tcW w:type="dxa" w:w="1224"/>
          </w:tcPr>
          <w:p>
            <w:pPr>
              <w:spacing w:after="20"/>
              <w:jc w:val="right"/>
            </w:pPr>
            <w:r>
              <w:rPr>
                <w:color w:val="1C3A36"/>
                <w:sz w:val="17"/>
              </w:rPr>
              <w:t>6.02</w:t>
            </w:r>
          </w:p>
        </w:tc>
        <w:tc>
          <w:tcPr>
            <w:tcW w:type="dxa" w:w="1224"/>
          </w:tcPr>
          <w:p>
            <w:pPr>
              <w:spacing w:after="20"/>
              <w:jc w:val="right"/>
            </w:pPr>
            <w:r>
              <w:rPr>
                <w:color w:val="1C3A36"/>
                <w:sz w:val="17"/>
              </w:rPr>
              <w:t>6.09</w:t>
            </w:r>
          </w:p>
        </w:tc>
        <w:tc>
          <w:tcPr>
            <w:tcW w:type="dxa" w:w="1224"/>
          </w:tcPr>
          <w:p>
            <w:pPr>
              <w:spacing w:after="20"/>
              <w:jc w:val="right"/>
            </w:pPr>
            <w:r>
              <w:rPr>
                <w:color w:val="1C3A36"/>
                <w:sz w:val="17"/>
              </w:rPr>
              <w:t>6.18</w:t>
            </w:r>
          </w:p>
        </w:tc>
      </w:tr>
      <w:tr>
        <w:tc>
          <w:tcPr>
            <w:tcW w:type="dxa" w:w="3384"/>
          </w:tcPr>
          <w:p>
            <w:pPr>
              <w:spacing w:after="20"/>
            </w:pPr>
            <w:r>
              <w:rPr>
                <w:color w:val="1C3A36"/>
                <w:sz w:val="17"/>
              </w:rPr>
              <w:t>18.14%</w:t>
            </w:r>
          </w:p>
        </w:tc>
        <w:tc>
          <w:tcPr>
            <w:tcW w:type="dxa" w:w="1224"/>
          </w:tcPr>
          <w:p>
            <w:pPr>
              <w:spacing w:after="20"/>
              <w:jc w:val="right"/>
            </w:pPr>
            <w:r>
              <w:rPr>
                <w:color w:val="1C3A36"/>
                <w:sz w:val="17"/>
              </w:rPr>
              <w:t>5.74</w:t>
            </w:r>
          </w:p>
        </w:tc>
        <w:tc>
          <w:tcPr>
            <w:tcW w:type="dxa" w:w="1224"/>
          </w:tcPr>
          <w:p>
            <w:pPr>
              <w:spacing w:after="20"/>
              <w:jc w:val="right"/>
            </w:pPr>
            <w:r>
              <w:rPr>
                <w:color w:val="1C3A36"/>
                <w:sz w:val="17"/>
              </w:rPr>
              <w:t>5.78</w:t>
            </w:r>
          </w:p>
        </w:tc>
        <w:tc>
          <w:tcPr>
            <w:tcW w:type="dxa" w:w="1224"/>
          </w:tcPr>
          <w:p>
            <w:pPr>
              <w:spacing w:after="20"/>
              <w:jc w:val="right"/>
            </w:pPr>
            <w:r>
              <w:rPr>
                <w:color w:val="1C3A36"/>
                <w:sz w:val="17"/>
              </w:rPr>
              <w:t>5.83</w:t>
            </w:r>
          </w:p>
        </w:tc>
        <w:tc>
          <w:tcPr>
            <w:tcW w:type="dxa" w:w="1224"/>
          </w:tcPr>
          <w:p>
            <w:pPr>
              <w:spacing w:after="20"/>
              <w:jc w:val="right"/>
            </w:pPr>
            <w:r>
              <w:rPr>
                <w:color w:val="1C3A36"/>
                <w:sz w:val="17"/>
              </w:rPr>
              <w:t>5.88</w:t>
            </w:r>
          </w:p>
        </w:tc>
        <w:tc>
          <w:tcPr>
            <w:tcW w:type="dxa" w:w="1224"/>
          </w:tcPr>
          <w:p>
            <w:pPr>
              <w:spacing w:after="20"/>
              <w:jc w:val="right"/>
            </w:pPr>
            <w:r>
              <w:rPr>
                <w:color w:val="1C3A36"/>
                <w:sz w:val="17"/>
              </w:rPr>
              <w:t>5.95</w:t>
            </w:r>
          </w:p>
        </w:tc>
      </w:tr>
      <w:tr>
        <w:tc>
          <w:tcPr>
            <w:tcW w:type="dxa" w:w="3384"/>
          </w:tcPr>
          <w:p>
            <w:pPr>
              <w:spacing w:after="20"/>
            </w:pPr>
            <w:r>
              <w:rPr>
                <w:color w:val="1C3A36"/>
                <w:sz w:val="17"/>
              </w:rPr>
              <w:t>19.14%</w:t>
            </w:r>
          </w:p>
        </w:tc>
        <w:tc>
          <w:tcPr>
            <w:tcW w:type="dxa" w:w="1224"/>
          </w:tcPr>
          <w:p>
            <w:pPr>
              <w:spacing w:after="20"/>
              <w:jc w:val="right"/>
            </w:pPr>
            <w:r>
              <w:rPr>
                <w:color w:val="1C3A36"/>
                <w:sz w:val="17"/>
              </w:rPr>
              <w:t>5.59</w:t>
            </w:r>
          </w:p>
        </w:tc>
        <w:tc>
          <w:tcPr>
            <w:tcW w:type="dxa" w:w="1224"/>
          </w:tcPr>
          <w:p>
            <w:pPr>
              <w:spacing w:after="20"/>
              <w:jc w:val="right"/>
            </w:pPr>
            <w:r>
              <w:rPr>
                <w:color w:val="1C3A36"/>
                <w:sz w:val="17"/>
              </w:rPr>
              <w:t>5.63</w:t>
            </w:r>
          </w:p>
        </w:tc>
        <w:tc>
          <w:tcPr>
            <w:tcW w:type="dxa" w:w="1224"/>
          </w:tcPr>
          <w:p>
            <w:pPr>
              <w:spacing w:after="20"/>
              <w:jc w:val="right"/>
            </w:pPr>
            <w:r>
              <w:rPr>
                <w:color w:val="1C3A36"/>
                <w:sz w:val="17"/>
              </w:rPr>
              <w:t>5.66</w:t>
            </w:r>
          </w:p>
        </w:tc>
        <w:tc>
          <w:tcPr>
            <w:tcW w:type="dxa" w:w="1224"/>
          </w:tcPr>
          <w:p>
            <w:pPr>
              <w:spacing w:after="20"/>
              <w:jc w:val="right"/>
            </w:pPr>
            <w:r>
              <w:rPr>
                <w:color w:val="1C3A36"/>
                <w:sz w:val="17"/>
              </w:rPr>
              <w:t>5.71</w:t>
            </w:r>
          </w:p>
        </w:tc>
        <w:tc>
          <w:tcPr>
            <w:tcW w:type="dxa" w:w="1224"/>
          </w:tcPr>
          <w:p>
            <w:pPr>
              <w:spacing w:after="20"/>
              <w:jc w:val="right"/>
            </w:pPr>
            <w:r>
              <w:rPr>
                <w:color w:val="1C3A36"/>
                <w:sz w:val="17"/>
              </w:rPr>
              <w:t>5.76</w:t>
            </w:r>
          </w:p>
        </w:tc>
      </w:tr>
      <w:tr>
        <w:tc>
          <w:tcPr>
            <w:tcW w:type="dxa" w:w="3384"/>
          </w:tcPr>
          <w:p>
            <w:pPr>
              <w:spacing w:after="20"/>
            </w:pPr>
            <w:r>
              <w:rPr>
                <w:color w:val="1C3A36"/>
                <w:sz w:val="17"/>
              </w:rPr>
              <w:t>20.14%</w:t>
            </w:r>
          </w:p>
        </w:tc>
        <w:tc>
          <w:tcPr>
            <w:tcW w:type="dxa" w:w="1224"/>
          </w:tcPr>
          <w:p>
            <w:pPr>
              <w:spacing w:after="20"/>
              <w:jc w:val="right"/>
            </w:pPr>
            <w:r>
              <w:rPr>
                <w:color w:val="1C3A36"/>
                <w:sz w:val="17"/>
              </w:rPr>
              <w:t>5.47</w:t>
            </w:r>
          </w:p>
        </w:tc>
        <w:tc>
          <w:tcPr>
            <w:tcW w:type="dxa" w:w="1224"/>
          </w:tcPr>
          <w:p>
            <w:pPr>
              <w:spacing w:after="20"/>
              <w:jc w:val="right"/>
            </w:pPr>
            <w:r>
              <w:rPr>
                <w:color w:val="1C3A36"/>
                <w:sz w:val="17"/>
              </w:rPr>
              <w:t>5.49</w:t>
            </w:r>
          </w:p>
        </w:tc>
        <w:tc>
          <w:tcPr>
            <w:tcW w:type="dxa" w:w="1224"/>
          </w:tcPr>
          <w:p>
            <w:pPr>
              <w:spacing w:after="20"/>
              <w:jc w:val="right"/>
            </w:pPr>
            <w:r>
              <w:rPr>
                <w:color w:val="1C3A36"/>
                <w:sz w:val="17"/>
              </w:rPr>
              <w:t>5.52</w:t>
            </w:r>
          </w:p>
        </w:tc>
        <w:tc>
          <w:tcPr>
            <w:tcW w:type="dxa" w:w="1224"/>
          </w:tcPr>
          <w:p>
            <w:pPr>
              <w:spacing w:after="20"/>
              <w:jc w:val="right"/>
            </w:pPr>
            <w:r>
              <w:rPr>
                <w:color w:val="1C3A36"/>
                <w:sz w:val="17"/>
              </w:rPr>
              <w:t>5.55</w:t>
            </w:r>
          </w:p>
        </w:tc>
        <w:tc>
          <w:tcPr>
            <w:tcW w:type="dxa" w:w="1224"/>
          </w:tcPr>
          <w:p>
            <w:pPr>
              <w:spacing w:after="20"/>
              <w:jc w:val="right"/>
            </w:pPr>
            <w:r>
              <w:rPr>
                <w:color w:val="1C3A36"/>
                <w:sz w:val="17"/>
              </w:rPr>
              <w:t>5.59</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are not a single lever moved twice — they are FIVE drivers moved together, which is why they are much wider than any single row in Table 15. They are joint-worst and joint-best cases and no probability attaches to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-1.0%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1.0%</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0.97x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1.03x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2.0%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-2.0%</w:t>
            </w:r>
          </w:p>
        </w:tc>
      </w:tr>
      <w:tr>
        <w:tc>
          <w:tcPr>
            <w:tcW w:type="dxa" w:w="4392"/>
          </w:tcPr>
          <w:p>
            <w:pPr>
              <w:spacing w:after="20"/>
            </w:pPr>
            <w:r>
              <w:rPr>
                <w:color w:val="1C3A36"/>
                <w:sz w:val="17"/>
              </w:rPr>
              <w:t>Terminal growth rate</w:t>
            </w:r>
          </w:p>
        </w:tc>
        <w:tc>
          <w:tcPr>
            <w:tcW w:type="dxa" w:w="1512"/>
          </w:tcPr>
          <w:p>
            <w:pPr>
              <w:spacing w:after="20"/>
              <w:jc w:val="right"/>
            </w:pPr>
            <w:r>
              <w:rPr>
                <w:color w:val="1C3A36"/>
                <w:sz w:val="17"/>
              </w:rPr>
              <w:t>3.0%</w:t>
            </w:r>
          </w:p>
        </w:tc>
        <w:tc>
          <w:tcPr>
            <w:tcW w:type="dxa" w:w="1512"/>
          </w:tcPr>
          <w:p>
            <w:pPr>
              <w:spacing w:after="20"/>
              <w:jc w:val="right"/>
            </w:pPr>
            <w:r>
              <w:rPr>
                <w:color w:val="1C3A36"/>
                <w:sz w:val="17"/>
              </w:rPr>
              <w:t>5%</w:t>
            </w:r>
          </w:p>
        </w:tc>
        <w:tc>
          <w:tcPr>
            <w:tcW w:type="dxa" w:w="1512"/>
          </w:tcPr>
          <w:p>
            <w:pPr>
              <w:spacing w:after="20"/>
              <w:jc w:val="right"/>
            </w:pPr>
            <w:r>
              <w:rPr>
                <w:color w:val="1C3A36"/>
                <w:sz w:val="17"/>
              </w:rPr>
              <w:t>6.0%</w:t>
            </w:r>
          </w:p>
        </w:tc>
      </w:tr>
      <w:tr>
        <w:tc>
          <w:tcPr>
            <w:tcW w:type="dxa" w:w="4392"/>
            <w:shd w:val="clear" w:color="auto" w:fill="F6F1E6"/>
          </w:tcPr>
          <w:p>
            <w:pPr>
              <w:spacing w:after="20"/>
            </w:pPr>
            <w:r>
              <w:rPr>
                <w:b/>
                <w:color w:val="1C3A36"/>
                <w:sz w:val="17"/>
              </w:rPr>
              <w:t>RESULTING FAIR VALUE, cash-flow lens</w:t>
            </w:r>
          </w:p>
        </w:tc>
        <w:tc>
          <w:tcPr>
            <w:tcW w:type="dxa" w:w="1512"/>
            <w:shd w:val="clear" w:color="auto" w:fill="F6F1E6"/>
          </w:tcPr>
          <w:p>
            <w:pPr>
              <w:spacing w:after="20"/>
              <w:jc w:val="right"/>
            </w:pPr>
            <w:r>
              <w:rPr>
                <w:b/>
                <w:color w:val="1C3A36"/>
                <w:sz w:val="17"/>
              </w:rPr>
              <w:t>2.28</w:t>
            </w:r>
          </w:p>
        </w:tc>
        <w:tc>
          <w:tcPr>
            <w:tcW w:type="dxa" w:w="1512"/>
            <w:shd w:val="clear" w:color="auto" w:fill="F6F1E6"/>
          </w:tcPr>
          <w:p>
            <w:pPr>
              <w:spacing w:after="20"/>
              <w:jc w:val="right"/>
            </w:pPr>
            <w:r>
              <w:rPr>
                <w:b/>
                <w:color w:val="1C3A36"/>
                <w:sz w:val="17"/>
              </w:rPr>
              <w:t>4.88</w:t>
            </w:r>
          </w:p>
        </w:tc>
        <w:tc>
          <w:tcPr>
            <w:tcW w:type="dxa" w:w="1512"/>
            <w:shd w:val="clear" w:color="auto" w:fill="F6F1E6"/>
          </w:tcPr>
          <w:p>
            <w:pPr>
              <w:spacing w:after="20"/>
              <w:jc w:val="right"/>
            </w:pPr>
            <w:r>
              <w:rPr>
                <w:b/>
                <w:color w:val="1C3A36"/>
                <w:sz w:val="17"/>
              </w:rPr>
              <w:t>9.51</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3.54 times enterprise value to EBITDA and 7.1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3.54 times TRAILING EBITDA through the same bridge: EGP 8.14.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1.027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5.08.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1.25 times = (sustainable return 28% less growth) over (cost of equity 23.39% less growth), on book value of EGP 3.71: EGP 4.64.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32.6%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5.95</w:t>
            </w:r>
          </w:p>
        </w:tc>
        <w:tc>
          <w:tcPr>
            <w:tcW w:type="dxa" w:w="1224"/>
          </w:tcPr>
          <w:p>
            <w:pPr>
              <w:spacing w:after="20"/>
              <w:jc w:val="right"/>
            </w:pPr>
            <w:r>
              <w:rPr>
                <w:color w:val="1C3A36"/>
                <w:sz w:val="17"/>
              </w:rPr>
              <w:t>-34.6%</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6.56</w:t>
            </w:r>
          </w:p>
        </w:tc>
        <w:tc>
          <w:tcPr>
            <w:tcW w:type="dxa" w:w="1224"/>
          </w:tcPr>
          <w:p>
            <w:pPr>
              <w:spacing w:after="20"/>
              <w:jc w:val="right"/>
            </w:pPr>
            <w:r>
              <w:rPr>
                <w:color w:val="1C3A36"/>
                <w:sz w:val="17"/>
              </w:rPr>
              <w:t>-27.9%</w:t>
            </w:r>
          </w:p>
        </w:tc>
        <w:tc>
          <w:tcPr>
            <w:tcW w:type="dxa" w:w="4320"/>
          </w:tcPr>
          <w:p>
            <w:pPr>
              <w:spacing w:after="20"/>
            </w:pPr>
            <w:r>
              <w:rPr>
                <w:color w:val="1C3A36"/>
                <w:sz w:val="17"/>
              </w:rPr>
              <w:t>EGP 921mn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6.39</w:t>
            </w:r>
          </w:p>
        </w:tc>
        <w:tc>
          <w:tcPr>
            <w:tcW w:type="dxa" w:w="1224"/>
          </w:tcPr>
          <w:p>
            <w:pPr>
              <w:spacing w:after="20"/>
              <w:jc w:val="right"/>
            </w:pPr>
            <w:r>
              <w:rPr>
                <w:color w:val="1C3A36"/>
                <w:sz w:val="17"/>
              </w:rPr>
              <w:t>-29.8%</w:t>
            </w:r>
          </w:p>
        </w:tc>
        <w:tc>
          <w:tcPr>
            <w:tcW w:type="dxa" w:w="4320"/>
          </w:tcPr>
          <w:p>
            <w:pPr>
              <w:spacing w:after="20"/>
            </w:pPr>
            <w:r>
              <w:rPr>
                <w:color w:val="1C3A36"/>
                <w:sz w:val="17"/>
              </w:rPr>
              <w:t>EGP 517mn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6.16</w:t>
            </w:r>
          </w:p>
        </w:tc>
        <w:tc>
          <w:tcPr>
            <w:tcW w:type="dxa" w:w="1224"/>
          </w:tcPr>
          <w:p>
            <w:pPr>
              <w:spacing w:after="20"/>
              <w:jc w:val="right"/>
            </w:pPr>
            <w:r>
              <w:rPr>
                <w:color w:val="1C3A36"/>
                <w:sz w:val="17"/>
              </w:rPr>
              <w:t>-32.3%</w:t>
            </w:r>
          </w:p>
        </w:tc>
        <w:tc>
          <w:tcPr>
            <w:tcW w:type="dxa" w:w="4320"/>
          </w:tcPr>
          <w:p>
            <w:pPr>
              <w:spacing w:after="20"/>
            </w:pPr>
            <w:r>
              <w:rPr>
                <w:color w:val="1C3A36"/>
                <w:sz w:val="17"/>
              </w:rPr>
              <w:t>the 5.3%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6.19</w:t>
            </w:r>
          </w:p>
        </w:tc>
        <w:tc>
          <w:tcPr>
            <w:tcW w:type="dxa" w:w="1224"/>
          </w:tcPr>
          <w:p>
            <w:pPr>
              <w:spacing w:after="20"/>
              <w:jc w:val="right"/>
            </w:pPr>
            <w:r>
              <w:rPr>
                <w:color w:val="1C3A36"/>
                <w:sz w:val="17"/>
              </w:rPr>
              <w:t>-32.0%</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5.97</w:t>
            </w:r>
          </w:p>
        </w:tc>
        <w:tc>
          <w:tcPr>
            <w:tcW w:type="dxa" w:w="1224"/>
          </w:tcPr>
          <w:p>
            <w:pPr>
              <w:spacing w:after="20"/>
              <w:jc w:val="right"/>
            </w:pPr>
            <w:r>
              <w:rPr>
                <w:color w:val="1C3A36"/>
                <w:sz w:val="17"/>
              </w:rPr>
              <w:t>-34.4%</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7.47</w:t>
            </w:r>
          </w:p>
        </w:tc>
        <w:tc>
          <w:tcPr>
            <w:tcW w:type="dxa" w:w="1224"/>
            <w:shd w:val="clear" w:color="auto" w:fill="F6F1E6"/>
          </w:tcPr>
          <w:p>
            <w:pPr>
              <w:spacing w:after="20"/>
              <w:jc w:val="right"/>
            </w:pPr>
            <w:r>
              <w:rPr>
                <w:b/>
                <w:color w:val="1C3A36"/>
                <w:sz w:val="17"/>
              </w:rPr>
              <w:t>-17.9%</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everything and the price is still 17.9% above the model.</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No single concession, and not all of them together, reaches the price.</w:t>
      </w:r>
    </w:p>
    <w:p>
      <w:pPr>
        <w:spacing w:after="120" w:before="0"/>
      </w:pPr>
      <w:r>
        <w:rPr>
          <w:b w:val="0"/>
          <w:i w:val="0"/>
          <w:color w:val="1C3A36"/>
          <w:sz w:val="21"/>
        </w:rPr>
        <w:t>Two further contested choices are computed rather than conceded. On the RATING-BASIS equity risk premium instead of the CDS basis, the cash-flow lens is EGP 5.30;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5.79.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9.0% gross margin, discounted at an Egyptian cost of equity of 27.5% falling to 18.9%, is worth less than EGP 9.10 a share on any internally consistent arithmetic this study can construct.</w:t>
      </w:r>
    </w:p>
    <w:p>
      <w:pPr>
        <w:spacing w:after="80" w:before="200"/>
      </w:pPr>
      <w:r>
        <w:rPr>
          <w:b/>
          <w:i w:val="0"/>
          <w:color w:val="1C3A36"/>
          <w:sz w:val="24"/>
        </w:rPr>
        <w:t>1.14  What a buyer at EGP 9.10 must believe</w:t>
      </w:r>
    </w:p>
    <w:p>
      <w:pPr>
        <w:spacing w:after="120" w:before="0"/>
      </w:pPr>
      <w:r>
        <w:rPr>
          <w:b w:val="0"/>
          <w:i w:val="0"/>
          <w:color w:val="1C3A36"/>
          <w:sz w:val="21"/>
        </w:rPr>
        <w:t>Inverting the model at the market price, holding everything else at its published value:</w:t>
      </w:r>
    </w:p>
    <w:p>
      <w:pPr>
        <w:pStyle w:val="ListBullet"/>
        <w:spacing w:after="60"/>
      </w:pPr>
      <w:r>
        <w:rPr>
          <w:b/>
          <w:color w:val="1C3A36"/>
          <w:sz w:val="21"/>
        </w:rPr>
        <w:t xml:space="preserve">THE REQUIRED LENS — </w:t>
      </w:r>
      <w:r>
        <w:rPr>
          <w:color w:val="1C3A36"/>
          <w:sz w:val="21"/>
        </w:rPr>
        <w:t>the cash-flow lens must reach EGP 12.80 against this model’s 4.88 — an uplift of 162%;</w:t>
      </w:r>
    </w:p>
    <w:p>
      <w:pPr>
        <w:pStyle w:val="ListBullet"/>
        <w:spacing w:after="60"/>
      </w:pPr>
      <w:r>
        <w:rPr>
          <w:b/>
          <w:color w:val="1C3A36"/>
          <w:sz w:val="21"/>
        </w:rPr>
        <w:t xml:space="preserve">AS MARGIN — </w:t>
      </w:r>
      <w:r>
        <w:rPr>
          <w:color w:val="1C3A36"/>
          <w:sz w:val="21"/>
        </w:rPr>
        <w:t>read off the margin grid, that needs roughly +3.6 percentage points of gross margin on EVERY forecast year and in perpetuity: a permanent ~12.2% against a four-period filed record of 5.05% to 10.19% whose best single quarter is 10.19%;</w:t>
      </w:r>
    </w:p>
    <w:p>
      <w:pPr>
        <w:pStyle w:val="ListBullet"/>
        <w:spacing w:after="60"/>
      </w:pPr>
      <w:r>
        <w:rPr>
          <w:b/>
          <w:color w:val="1C3A36"/>
          <w:sz w:val="21"/>
        </w:rPr>
        <w:t xml:space="preserve">AS VOLUME — </w:t>
      </w:r>
      <w:r>
        <w:rPr>
          <w:color w:val="1C3A36"/>
          <w:sz w:val="21"/>
        </w:rPr>
        <w:t>or, read off the volume grid, roughly ten and a half times the assumed volume-growth path — a plant adding capacity it has not announced, which the built capital line would then have to fund;</w:t>
      </w:r>
    </w:p>
    <w:p>
      <w:pPr>
        <w:pStyle w:val="ListBullet"/>
        <w:spacing w:after="60"/>
      </w:pPr>
      <w:r>
        <w:rPr>
          <w:b/>
          <w:color w:val="1C3A36"/>
          <w:sz w:val="21"/>
        </w:rPr>
        <w:t xml:space="preserve">NOT VIA THE RATE — </w:t>
      </w:r>
      <w:r>
        <w:rPr>
          <w:color w:val="1C3A36"/>
          <w:sz w:val="21"/>
        </w:rPr>
        <w:t>the discount rate cannot get there. Even at a beta of 0.60 the lens reaches only EGP 5.44, and terminal growth cannot do it at any rate the reinvestment identity permits.</w:t>
      </w:r>
    </w:p>
    <w:p>
      <w:pPr>
        <w:spacing w:after="120" w:before="0"/>
      </w:pPr>
      <w:r>
        <w:rPr>
          <w:b w:val="0"/>
          <w:i w:val="0"/>
          <w:color w:val="1C3A36"/>
          <w:sz w:val="21"/>
        </w:rPr>
        <w:t>The one belief that WOULD close the gap honestly is the released H1-2026 gross-profit line taken at face value — and section 1.2 shows that line contradicts the profit printed in the same release by 12.6%. A buyer at the price is, in effect, trusting the single number in that disclosure which fails its own internal arithmetic.</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today)</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49 of 57 (86.0%)</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80.7%</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56.1%</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1.225x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86.0%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1.23x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9.10</w:t>
            </w:r>
          </w:p>
        </w:tc>
        <w:tc>
          <w:tcPr>
            <w:tcW w:type="dxa" w:w="2376"/>
          </w:tcPr>
          <w:p>
            <w:pPr>
              <w:spacing w:after="20"/>
              <w:jc w:val="right"/>
            </w:pPr>
            <w:r>
              <w:rPr>
                <w:color w:val="1C3A36"/>
                <w:sz w:val="17"/>
              </w:rPr>
              <w:t>100.0%</w:t>
            </w:r>
          </w:p>
        </w:tc>
        <w:tc>
          <w:tcPr>
            <w:tcW w:type="dxa" w:w="2376"/>
          </w:tcPr>
          <w:p>
            <w:pPr>
              <w:spacing w:after="20"/>
              <w:jc w:val="right"/>
            </w:pPr>
            <w:r>
              <w:rPr>
                <w:color w:val="1C3A36"/>
                <w:sz w:val="17"/>
              </w:rPr>
              <w:t>100.0%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5.53</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0.6%</w:t>
            </w:r>
          </w:p>
        </w:tc>
        <w:tc>
          <w:tcPr>
            <w:tcW w:type="dxa" w:w="2880"/>
          </w:tcPr>
          <w:p>
            <w:pPr>
              <w:spacing w:after="20"/>
            </w:pPr>
            <w:r>
              <w:rPr>
                <w:color w:val="1C3A36"/>
                <w:sz w:val="17"/>
              </w:rPr>
              <w:t>THIS STUDY’S FAIR VALUE</w:t>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weighted fair value</w:t>
            </w:r>
          </w:p>
        </w:tc>
        <w:tc>
          <w:tcPr>
            <w:tcW w:type="dxa" w:w="3456"/>
          </w:tcPr>
          <w:p>
            <w:pPr>
              <w:spacing w:after="20"/>
            </w:pPr>
            <w:r>
              <w:rPr>
                <w:color w:val="1C3A36"/>
                <w:sz w:val="17"/>
              </w:rPr>
              <w:t>EGP 5.53  (range 3.64–8.29)</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9.10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0.91 on the cash-flow lens, and the filed record spans 514 basis points;</w:t>
      </w:r>
    </w:p>
    <w:p>
      <w:pPr>
        <w:pStyle w:val="ListBullet"/>
        <w:spacing w:after="60"/>
      </w:pPr>
      <w:r>
        <w:rPr>
          <w:b/>
          <w:color w:val="1C3A36"/>
          <w:sz w:val="21"/>
        </w:rPr>
        <w:t xml:space="preserve">THE REPORTED HALF — </w:t>
      </w:r>
      <w:r>
        <w:rPr>
          <w:color w:val="1C3A36"/>
          <w:sz w:val="21"/>
        </w:rPr>
        <w:t>the base year is half press release. Audited half-year statements that restate revenue or profit materially would move the whole build — and note the direction: the fully-audited nine-month alternative prices the central LOWER, not higher;</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fair value (under EGP 5.53)</w:t>
            </w:r>
          </w:p>
        </w:tc>
        <w:tc>
          <w:tcPr>
            <w:tcW w:type="dxa" w:w="2736"/>
          </w:tcPr>
          <w:p>
            <w:pPr>
              <w:spacing w:after="20"/>
              <w:jc w:val="right"/>
            </w:pPr>
            <w:r>
              <w:rPr>
                <w:color w:val="1C3A36"/>
                <w:sz w:val="18"/>
              </w:rPr>
              <w:t>1.3%</w:t>
            </w:r>
          </w:p>
        </w:tc>
      </w:tr>
      <w:tr>
        <w:tc>
          <w:tcPr>
            <w:tcW w:type="dxa" w:w="6048"/>
          </w:tcPr>
          <w:p>
            <w:pPr>
              <w:spacing w:after="20"/>
            </w:pPr>
            <w:r>
              <w:rPr>
                <w:color w:val="1C3A36"/>
                <w:sz w:val="18"/>
              </w:rPr>
              <w:t>EGP 5.53 to 7.50</w:t>
            </w:r>
          </w:p>
        </w:tc>
        <w:tc>
          <w:tcPr>
            <w:tcW w:type="dxa" w:w="2736"/>
          </w:tcPr>
          <w:p>
            <w:pPr>
              <w:spacing w:after="20"/>
              <w:jc w:val="right"/>
            </w:pPr>
            <w:r>
              <w:rPr>
                <w:color w:val="1C3A36"/>
                <w:sz w:val="18"/>
              </w:rPr>
              <w:t>12.4%</w:t>
            </w:r>
          </w:p>
        </w:tc>
      </w:tr>
      <w:tr>
        <w:tc>
          <w:tcPr>
            <w:tcW w:type="dxa" w:w="6048"/>
          </w:tcPr>
          <w:p>
            <w:pPr>
              <w:spacing w:after="20"/>
            </w:pPr>
            <w:r>
              <w:rPr>
                <w:color w:val="1C3A36"/>
                <w:sz w:val="18"/>
              </w:rPr>
              <w:t>EGP 7.50 to 9.10</w:t>
            </w:r>
          </w:p>
        </w:tc>
        <w:tc>
          <w:tcPr>
            <w:tcW w:type="dxa" w:w="2736"/>
          </w:tcPr>
          <w:p>
            <w:pPr>
              <w:spacing w:after="20"/>
              <w:jc w:val="right"/>
            </w:pPr>
            <w:r>
              <w:rPr>
                <w:color w:val="1C3A36"/>
                <w:sz w:val="18"/>
              </w:rPr>
              <w:t>30.7%</w:t>
            </w:r>
          </w:p>
        </w:tc>
      </w:tr>
      <w:tr>
        <w:tc>
          <w:tcPr>
            <w:tcW w:type="dxa" w:w="6048"/>
          </w:tcPr>
          <w:p>
            <w:pPr>
              <w:spacing w:after="20"/>
            </w:pPr>
            <w:r>
              <w:rPr>
                <w:color w:val="1C3A36"/>
                <w:sz w:val="18"/>
              </w:rPr>
              <w:t>EGP 9.10 to 11.00</w:t>
            </w:r>
          </w:p>
        </w:tc>
        <w:tc>
          <w:tcPr>
            <w:tcW w:type="dxa" w:w="2736"/>
          </w:tcPr>
          <w:p>
            <w:pPr>
              <w:spacing w:after="20"/>
              <w:jc w:val="right"/>
            </w:pPr>
            <w:r>
              <w:rPr>
                <w:color w:val="1C3A36"/>
                <w:sz w:val="18"/>
              </w:rPr>
              <w:t>36.3%</w:t>
            </w:r>
          </w:p>
        </w:tc>
      </w:tr>
      <w:tr>
        <w:tc>
          <w:tcPr>
            <w:tcW w:type="dxa" w:w="6048"/>
          </w:tcPr>
          <w:p>
            <w:pPr>
              <w:spacing w:after="20"/>
            </w:pPr>
            <w:r>
              <w:rPr>
                <w:color w:val="1C3A36"/>
                <w:sz w:val="18"/>
              </w:rPr>
              <w:t>Above EGP 11.00</w:t>
            </w:r>
          </w:p>
        </w:tc>
        <w:tc>
          <w:tcPr>
            <w:tcW w:type="dxa" w:w="2736"/>
          </w:tcPr>
          <w:p>
            <w:pPr>
              <w:spacing w:after="20"/>
              <w:jc w:val="right"/>
            </w:pPr>
            <w:r>
              <w:rPr>
                <w:color w:val="1C3A36"/>
                <w:sz w:val="18"/>
              </w:rPr>
              <w:t>19.3%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36%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HALF THE BASE YEAR IS NOT AUDITED. The six months to 30 June 2026 is an exchange disclosure, not a filing. Its gross-profit line is rejected on a coherence test and solved from its own profit line; its revenue and profit lines pass two independent tests. If the audited half-year statements restate either, the base moves.</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514-basis-point range across four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four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037"/>
        <w:gridCol w:w="1037"/>
        <w:gridCol w:w="1037"/>
        <w:gridCol w:w="1037"/>
        <w:gridCol w:w="950"/>
        <w:gridCol w:w="950"/>
        <w:gridCol w:w="950"/>
        <w:gridCol w:w="950"/>
        <w:gridCol w:w="950"/>
      </w:tblGrid>
      <w:tr>
        <w:tc>
          <w:tcPr>
            <w:tcW w:type="dxa" w:w="2160"/>
            <w:shd w:val="clear" w:color="auto" w:fill="EAF0EE"/>
          </w:tcPr>
          <w:p>
            <w:pPr>
              <w:spacing w:after="20"/>
            </w:pPr>
            <w:r>
              <w:rPr>
                <w:b/>
                <w:color w:val="1C3A36"/>
                <w:sz w:val="15"/>
              </w:rPr>
            </w:r>
          </w:p>
        </w:tc>
        <w:tc>
          <w:tcPr>
            <w:tcW w:type="dxa" w:w="1037"/>
            <w:shd w:val="clear" w:color="auto" w:fill="EAF0EE"/>
          </w:tcPr>
          <w:p>
            <w:pPr>
              <w:spacing w:after="20"/>
            </w:pPr>
            <w:r>
              <w:rPr>
                <w:b/>
                <w:color w:val="1C3A36"/>
                <w:sz w:val="15"/>
              </w:rPr>
              <w:t>6M Dec-2024</w:t>
            </w:r>
          </w:p>
        </w:tc>
        <w:tc>
          <w:tcPr>
            <w:tcW w:type="dxa" w:w="1037"/>
            <w:shd w:val="clear" w:color="auto" w:fill="EAF0EE"/>
          </w:tcPr>
          <w:p>
            <w:pPr>
              <w:spacing w:after="20"/>
            </w:pPr>
            <w:r>
              <w:rPr>
                <w:b/>
                <w:color w:val="1C3A36"/>
                <w:sz w:val="15"/>
              </w:rPr>
              <w:t>3M Mar-2025</w:t>
            </w:r>
          </w:p>
        </w:tc>
        <w:tc>
          <w:tcPr>
            <w:tcW w:type="dxa" w:w="1037"/>
            <w:shd w:val="clear" w:color="auto" w:fill="EAF0EE"/>
          </w:tcPr>
          <w:p>
            <w:pPr>
              <w:spacing w:after="20"/>
            </w:pPr>
            <w:r>
              <w:rPr>
                <w:b/>
                <w:color w:val="1C3A36"/>
                <w:sz w:val="15"/>
              </w:rPr>
              <w:t>6M Dec-2025</w:t>
            </w:r>
          </w:p>
        </w:tc>
        <w:tc>
          <w:tcPr>
            <w:tcW w:type="dxa" w:w="1037"/>
            <w:shd w:val="clear" w:color="auto" w:fill="EAF0EE"/>
          </w:tcPr>
          <w:p>
            <w:pPr>
              <w:spacing w:after="20"/>
            </w:pPr>
            <w:r>
              <w:rPr>
                <w:b/>
                <w:color w:val="1C3A36"/>
                <w:sz w:val="15"/>
              </w:rPr>
              <w:t>3M Mar-2026</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c>
          <w:tcPr>
            <w:tcW w:type="dxa" w:w="2160"/>
          </w:tcPr>
          <w:p>
            <w:pPr>
              <w:spacing w:after="20"/>
            </w:pPr>
            <w:r>
              <w:rPr>
                <w:color w:val="1C3A36"/>
                <w:sz w:val="15"/>
              </w:rPr>
              <w:t>Net sales</w:t>
            </w:r>
          </w:p>
        </w:tc>
        <w:tc>
          <w:tcPr>
            <w:tcW w:type="dxa" w:w="1037"/>
          </w:tcPr>
          <w:p>
            <w:pPr>
              <w:spacing w:after="20"/>
              <w:jc w:val="right"/>
            </w:pPr>
            <w:r>
              <w:rPr>
                <w:color w:val="1C3A36"/>
                <w:sz w:val="15"/>
              </w:rPr>
              <w:t>18,246</w:t>
            </w:r>
          </w:p>
        </w:tc>
        <w:tc>
          <w:tcPr>
            <w:tcW w:type="dxa" w:w="1037"/>
          </w:tcPr>
          <w:p>
            <w:pPr>
              <w:spacing w:after="20"/>
              <w:jc w:val="right"/>
            </w:pPr>
            <w:r>
              <w:rPr>
                <w:color w:val="1C3A36"/>
                <w:sz w:val="15"/>
              </w:rPr>
              <w:t>10,068</w:t>
            </w:r>
          </w:p>
        </w:tc>
        <w:tc>
          <w:tcPr>
            <w:tcW w:type="dxa" w:w="1037"/>
          </w:tcPr>
          <w:p>
            <w:pPr>
              <w:spacing w:after="20"/>
              <w:jc w:val="right"/>
            </w:pPr>
            <w:r>
              <w:rPr>
                <w:color w:val="1C3A36"/>
                <w:sz w:val="15"/>
              </w:rPr>
              <w:t>20,736</w:t>
            </w:r>
          </w:p>
        </w:tc>
        <w:tc>
          <w:tcPr>
            <w:tcW w:type="dxa" w:w="1037"/>
          </w:tcPr>
          <w:p>
            <w:pPr>
              <w:spacing w:after="20"/>
              <w:jc w:val="right"/>
            </w:pPr>
            <w:r>
              <w:rPr>
                <w:color w:val="1C3A36"/>
                <w:sz w:val="15"/>
              </w:rPr>
              <w:t>10,511</w:t>
            </w:r>
          </w:p>
        </w:tc>
        <w:tc>
          <w:tcPr>
            <w:tcW w:type="dxa" w:w="950"/>
          </w:tcPr>
          <w:p>
            <w:pPr>
              <w:spacing w:after="20"/>
              <w:jc w:val="right"/>
            </w:pPr>
            <w:r>
              <w:rPr>
                <w:color w:val="1C3A36"/>
                <w:sz w:val="15"/>
              </w:rPr>
              <w:t>51,185</w:t>
            </w:r>
          </w:p>
        </w:tc>
        <w:tc>
          <w:tcPr>
            <w:tcW w:type="dxa" w:w="950"/>
          </w:tcPr>
          <w:p>
            <w:pPr>
              <w:spacing w:after="20"/>
              <w:jc w:val="right"/>
            </w:pPr>
            <w:r>
              <w:rPr>
                <w:color w:val="1C3A36"/>
                <w:sz w:val="15"/>
              </w:rPr>
              <w:t>55,024</w:t>
            </w:r>
          </w:p>
        </w:tc>
        <w:tc>
          <w:tcPr>
            <w:tcW w:type="dxa" w:w="950"/>
          </w:tcPr>
          <w:p>
            <w:pPr>
              <w:spacing w:after="20"/>
              <w:jc w:val="right"/>
            </w:pPr>
            <w:r>
              <w:rPr>
                <w:color w:val="1C3A36"/>
                <w:sz w:val="15"/>
              </w:rPr>
              <w:t>58,600</w:t>
            </w:r>
          </w:p>
        </w:tc>
        <w:tc>
          <w:tcPr>
            <w:tcW w:type="dxa" w:w="950"/>
          </w:tcPr>
          <w:p>
            <w:pPr>
              <w:spacing w:after="20"/>
              <w:jc w:val="right"/>
            </w:pPr>
            <w:r>
              <w:rPr>
                <w:color w:val="1C3A36"/>
                <w:sz w:val="15"/>
              </w:rPr>
              <w:t>61,999</w:t>
            </w:r>
          </w:p>
        </w:tc>
        <w:tc>
          <w:tcPr>
            <w:tcW w:type="dxa" w:w="950"/>
          </w:tcPr>
          <w:p>
            <w:pPr>
              <w:spacing w:after="20"/>
              <w:jc w:val="right"/>
            </w:pPr>
            <w:r>
              <w:rPr>
                <w:color w:val="1C3A36"/>
                <w:sz w:val="15"/>
              </w:rPr>
              <w:t>65,223</w:t>
            </w:r>
          </w:p>
        </w:tc>
      </w:tr>
      <w:tr>
        <w:tc>
          <w:tcPr>
            <w:tcW w:type="dxa" w:w="2160"/>
          </w:tcPr>
          <w:p>
            <w:pPr>
              <w:spacing w:after="20"/>
            </w:pPr>
            <w:r>
              <w:rPr>
                <w:color w:val="1C3A36"/>
                <w:sz w:val="15"/>
              </w:rPr>
              <w:t>Cost of sales</w:t>
            </w:r>
          </w:p>
        </w:tc>
        <w:tc>
          <w:tcPr>
            <w:tcW w:type="dxa" w:w="1037"/>
          </w:tcPr>
          <w:p>
            <w:pPr>
              <w:spacing w:after="20"/>
              <w:jc w:val="right"/>
            </w:pPr>
            <w:r>
              <w:rPr>
                <w:color w:val="1C3A36"/>
                <w:sz w:val="15"/>
              </w:rPr>
              <w:t>16,995</w:t>
            </w:r>
          </w:p>
        </w:tc>
        <w:tc>
          <w:tcPr>
            <w:tcW w:type="dxa" w:w="1037"/>
          </w:tcPr>
          <w:p>
            <w:pPr>
              <w:spacing w:after="20"/>
              <w:jc w:val="right"/>
            </w:pPr>
            <w:r>
              <w:rPr>
                <w:color w:val="1C3A36"/>
                <w:sz w:val="15"/>
              </w:rPr>
              <w:t>9,560</w:t>
            </w:r>
          </w:p>
        </w:tc>
        <w:tc>
          <w:tcPr>
            <w:tcW w:type="dxa" w:w="1037"/>
          </w:tcPr>
          <w:p>
            <w:pPr>
              <w:spacing w:after="20"/>
              <w:jc w:val="right"/>
            </w:pPr>
            <w:r>
              <w:rPr>
                <w:color w:val="1C3A36"/>
                <w:sz w:val="15"/>
              </w:rPr>
              <w:t>19,462</w:t>
            </w:r>
          </w:p>
        </w:tc>
        <w:tc>
          <w:tcPr>
            <w:tcW w:type="dxa" w:w="1037"/>
          </w:tcPr>
          <w:p>
            <w:pPr>
              <w:spacing w:after="20"/>
              <w:jc w:val="right"/>
            </w:pPr>
            <w:r>
              <w:rPr>
                <w:color w:val="1C3A36"/>
                <w:sz w:val="15"/>
              </w:rPr>
              <w:t>9,440</w:t>
            </w:r>
          </w:p>
        </w:tc>
        <w:tc>
          <w:tcPr>
            <w:tcW w:type="dxa" w:w="950"/>
          </w:tcPr>
          <w:p>
            <w:pPr>
              <w:spacing w:after="20"/>
              <w:jc w:val="right"/>
            </w:pPr>
            <w:r>
              <w:rPr>
                <w:color w:val="1C3A36"/>
                <w:sz w:val="15"/>
              </w:rPr>
              <w:t>46,772</w:t>
            </w:r>
          </w:p>
        </w:tc>
        <w:tc>
          <w:tcPr>
            <w:tcW w:type="dxa" w:w="950"/>
          </w:tcPr>
          <w:p>
            <w:pPr>
              <w:spacing w:after="20"/>
              <w:jc w:val="right"/>
            </w:pPr>
            <w:r>
              <w:rPr>
                <w:color w:val="1C3A36"/>
                <w:sz w:val="15"/>
              </w:rPr>
              <w:t>50,504</w:t>
            </w:r>
          </w:p>
        </w:tc>
        <w:tc>
          <w:tcPr>
            <w:tcW w:type="dxa" w:w="950"/>
          </w:tcPr>
          <w:p>
            <w:pPr>
              <w:spacing w:after="20"/>
              <w:jc w:val="right"/>
            </w:pPr>
            <w:r>
              <w:rPr>
                <w:color w:val="1C3A36"/>
                <w:sz w:val="15"/>
              </w:rPr>
              <w:t>54,018</w:t>
            </w:r>
          </w:p>
        </w:tc>
        <w:tc>
          <w:tcPr>
            <w:tcW w:type="dxa" w:w="950"/>
          </w:tcPr>
          <w:p>
            <w:pPr>
              <w:spacing w:after="20"/>
              <w:jc w:val="right"/>
            </w:pPr>
            <w:r>
              <w:rPr>
                <w:color w:val="1C3A36"/>
                <w:sz w:val="15"/>
              </w:rPr>
              <w:t>57,368</w:t>
            </w:r>
          </w:p>
        </w:tc>
        <w:tc>
          <w:tcPr>
            <w:tcW w:type="dxa" w:w="950"/>
          </w:tcPr>
          <w:p>
            <w:pPr>
              <w:spacing w:after="20"/>
              <w:jc w:val="right"/>
            </w:pPr>
            <w:r>
              <w:rPr>
                <w:color w:val="1C3A36"/>
                <w:sz w:val="15"/>
              </w:rPr>
              <w:t>60,598</w:t>
            </w:r>
          </w:p>
        </w:tc>
      </w:tr>
      <w:tr>
        <w:tc>
          <w:tcPr>
            <w:tcW w:type="dxa" w:w="2160"/>
          </w:tcPr>
          <w:p>
            <w:pPr>
              <w:spacing w:after="20"/>
            </w:pPr>
            <w:r>
              <w:rPr>
                <w:color w:val="1C3A36"/>
                <w:sz w:val="15"/>
              </w:rPr>
              <w:t>Gross profit</w:t>
            </w:r>
          </w:p>
        </w:tc>
        <w:tc>
          <w:tcPr>
            <w:tcW w:type="dxa" w:w="1037"/>
          </w:tcPr>
          <w:p>
            <w:pPr>
              <w:spacing w:after="20"/>
              <w:jc w:val="right"/>
            </w:pPr>
            <w:r>
              <w:rPr>
                <w:color w:val="1C3A36"/>
                <w:sz w:val="15"/>
              </w:rPr>
              <w:t>1,251</w:t>
            </w:r>
          </w:p>
        </w:tc>
        <w:tc>
          <w:tcPr>
            <w:tcW w:type="dxa" w:w="1037"/>
          </w:tcPr>
          <w:p>
            <w:pPr>
              <w:spacing w:after="20"/>
              <w:jc w:val="right"/>
            </w:pPr>
            <w:r>
              <w:rPr>
                <w:color w:val="1C3A36"/>
                <w:sz w:val="15"/>
              </w:rPr>
              <w:t>509</w:t>
            </w:r>
          </w:p>
        </w:tc>
        <w:tc>
          <w:tcPr>
            <w:tcW w:type="dxa" w:w="1037"/>
          </w:tcPr>
          <w:p>
            <w:pPr>
              <w:spacing w:after="20"/>
              <w:jc w:val="right"/>
            </w:pPr>
            <w:r>
              <w:rPr>
                <w:color w:val="1C3A36"/>
                <w:sz w:val="15"/>
              </w:rPr>
              <w:t>1,274</w:t>
            </w:r>
          </w:p>
        </w:tc>
        <w:tc>
          <w:tcPr>
            <w:tcW w:type="dxa" w:w="1037"/>
          </w:tcPr>
          <w:p>
            <w:pPr>
              <w:spacing w:after="20"/>
              <w:jc w:val="right"/>
            </w:pPr>
            <w:r>
              <w:rPr>
                <w:color w:val="1C3A36"/>
                <w:sz w:val="15"/>
              </w:rPr>
              <w:t>1,071</w:t>
            </w:r>
          </w:p>
        </w:tc>
        <w:tc>
          <w:tcPr>
            <w:tcW w:type="dxa" w:w="950"/>
          </w:tcPr>
          <w:p>
            <w:pPr>
              <w:spacing w:after="20"/>
              <w:jc w:val="right"/>
            </w:pPr>
            <w:r>
              <w:rPr>
                <w:color w:val="1C3A36"/>
                <w:sz w:val="15"/>
              </w:rPr>
              <w:t>4,413</w:t>
            </w:r>
          </w:p>
        </w:tc>
        <w:tc>
          <w:tcPr>
            <w:tcW w:type="dxa" w:w="950"/>
          </w:tcPr>
          <w:p>
            <w:pPr>
              <w:spacing w:after="20"/>
              <w:jc w:val="right"/>
            </w:pPr>
            <w:r>
              <w:rPr>
                <w:color w:val="1C3A36"/>
                <w:sz w:val="15"/>
              </w:rPr>
              <w:t>4,520</w:t>
            </w:r>
          </w:p>
        </w:tc>
        <w:tc>
          <w:tcPr>
            <w:tcW w:type="dxa" w:w="950"/>
          </w:tcPr>
          <w:p>
            <w:pPr>
              <w:spacing w:after="20"/>
              <w:jc w:val="right"/>
            </w:pPr>
            <w:r>
              <w:rPr>
                <w:color w:val="1C3A36"/>
                <w:sz w:val="15"/>
              </w:rPr>
              <w:t>4,582</w:t>
            </w:r>
          </w:p>
        </w:tc>
        <w:tc>
          <w:tcPr>
            <w:tcW w:type="dxa" w:w="950"/>
          </w:tcPr>
          <w:p>
            <w:pPr>
              <w:spacing w:after="20"/>
              <w:jc w:val="right"/>
            </w:pPr>
            <w:r>
              <w:rPr>
                <w:color w:val="1C3A36"/>
                <w:sz w:val="15"/>
              </w:rPr>
              <w:t>4,631</w:t>
            </w:r>
          </w:p>
        </w:tc>
        <w:tc>
          <w:tcPr>
            <w:tcW w:type="dxa" w:w="950"/>
          </w:tcPr>
          <w:p>
            <w:pPr>
              <w:spacing w:after="20"/>
              <w:jc w:val="right"/>
            </w:pPr>
            <w:r>
              <w:rPr>
                <w:color w:val="1C3A36"/>
                <w:sz w:val="15"/>
              </w:rPr>
              <w:t>4,626</w:t>
            </w:r>
          </w:p>
        </w:tc>
      </w:tr>
      <w:tr>
        <w:tc>
          <w:tcPr>
            <w:tcW w:type="dxa" w:w="2160"/>
          </w:tcPr>
          <w:p>
            <w:pPr>
              <w:spacing w:after="20"/>
            </w:pPr>
            <w:r>
              <w:rPr>
                <w:color w:val="1C3A36"/>
                <w:sz w:val="15"/>
              </w:rPr>
              <w:t>Gross margin</w:t>
            </w:r>
          </w:p>
        </w:tc>
        <w:tc>
          <w:tcPr>
            <w:tcW w:type="dxa" w:w="1037"/>
          </w:tcPr>
          <w:p>
            <w:pPr>
              <w:spacing w:after="20"/>
              <w:jc w:val="right"/>
            </w:pPr>
            <w:r>
              <w:rPr>
                <w:color w:val="1C3A36"/>
                <w:sz w:val="15"/>
              </w:rPr>
              <w:t>6.9%</w:t>
            </w:r>
          </w:p>
        </w:tc>
        <w:tc>
          <w:tcPr>
            <w:tcW w:type="dxa" w:w="1037"/>
          </w:tcPr>
          <w:p>
            <w:pPr>
              <w:spacing w:after="20"/>
              <w:jc w:val="right"/>
            </w:pPr>
            <w:r>
              <w:rPr>
                <w:color w:val="1C3A36"/>
                <w:sz w:val="15"/>
              </w:rPr>
              <w:t>5.1%</w:t>
            </w:r>
          </w:p>
        </w:tc>
        <w:tc>
          <w:tcPr>
            <w:tcW w:type="dxa" w:w="1037"/>
          </w:tcPr>
          <w:p>
            <w:pPr>
              <w:spacing w:after="20"/>
              <w:jc w:val="right"/>
            </w:pPr>
            <w:r>
              <w:rPr>
                <w:color w:val="1C3A36"/>
                <w:sz w:val="15"/>
              </w:rPr>
              <w:t>6.1%</w:t>
            </w:r>
          </w:p>
        </w:tc>
        <w:tc>
          <w:tcPr>
            <w:tcW w:type="dxa" w:w="1037"/>
          </w:tcPr>
          <w:p>
            <w:pPr>
              <w:spacing w:after="20"/>
              <w:jc w:val="right"/>
            </w:pPr>
            <w:r>
              <w:rPr>
                <w:color w:val="1C3A36"/>
                <w:sz w:val="15"/>
              </w:rPr>
              <w:t>10.2%</w:t>
            </w:r>
          </w:p>
        </w:tc>
        <w:tc>
          <w:tcPr>
            <w:tcW w:type="dxa" w:w="950"/>
          </w:tcPr>
          <w:p>
            <w:pPr>
              <w:spacing w:after="20"/>
              <w:jc w:val="right"/>
            </w:pPr>
            <w:r>
              <w:rPr>
                <w:color w:val="1C3A36"/>
                <w:sz w:val="15"/>
              </w:rPr>
              <w:t>8.6%</w:t>
            </w:r>
          </w:p>
        </w:tc>
        <w:tc>
          <w:tcPr>
            <w:tcW w:type="dxa" w:w="950"/>
          </w:tcPr>
          <w:p>
            <w:pPr>
              <w:spacing w:after="20"/>
              <w:jc w:val="right"/>
            </w:pPr>
            <w:r>
              <w:rPr>
                <w:color w:val="1C3A36"/>
                <w:sz w:val="15"/>
              </w:rPr>
              <w:t>8.2%</w:t>
            </w:r>
          </w:p>
        </w:tc>
        <w:tc>
          <w:tcPr>
            <w:tcW w:type="dxa" w:w="950"/>
          </w:tcPr>
          <w:p>
            <w:pPr>
              <w:spacing w:after="20"/>
              <w:jc w:val="right"/>
            </w:pPr>
            <w:r>
              <w:rPr>
                <w:color w:val="1C3A36"/>
                <w:sz w:val="15"/>
              </w:rPr>
              <w:t>7.8%</w:t>
            </w:r>
          </w:p>
        </w:tc>
        <w:tc>
          <w:tcPr>
            <w:tcW w:type="dxa" w:w="950"/>
          </w:tcPr>
          <w:p>
            <w:pPr>
              <w:spacing w:after="20"/>
              <w:jc w:val="right"/>
            </w:pPr>
            <w:r>
              <w:rPr>
                <w:color w:val="1C3A36"/>
                <w:sz w:val="15"/>
              </w:rPr>
              <w:t>7.5%</w:t>
            </w:r>
          </w:p>
        </w:tc>
        <w:tc>
          <w:tcPr>
            <w:tcW w:type="dxa" w:w="950"/>
          </w:tcPr>
          <w:p>
            <w:pPr>
              <w:spacing w:after="20"/>
              <w:jc w:val="right"/>
            </w:pPr>
            <w:r>
              <w:rPr>
                <w:color w:val="1C3A36"/>
                <w:sz w:val="15"/>
              </w:rPr>
              <w:t>7.1%</w:t>
            </w:r>
          </w:p>
        </w:tc>
      </w:tr>
      <w:tr>
        <w:tc>
          <w:tcPr>
            <w:tcW w:type="dxa" w:w="2160"/>
          </w:tcPr>
          <w:p>
            <w:pPr>
              <w:spacing w:after="20"/>
            </w:pPr>
            <w:r>
              <w:rPr>
                <w:color w:val="1C3A36"/>
                <w:sz w:val="15"/>
              </w:rPr>
              <w:t>Operating profit</w:t>
            </w:r>
          </w:p>
        </w:tc>
        <w:tc>
          <w:tcPr>
            <w:tcW w:type="dxa" w:w="1037"/>
          </w:tcPr>
          <w:p>
            <w:pPr>
              <w:spacing w:after="20"/>
              <w:jc w:val="right"/>
            </w:pPr>
            <w:r>
              <w:rPr>
                <w:color w:val="1C3A36"/>
                <w:sz w:val="15"/>
              </w:rPr>
              <w:t>744</w:t>
            </w:r>
          </w:p>
        </w:tc>
        <w:tc>
          <w:tcPr>
            <w:tcW w:type="dxa" w:w="1037"/>
          </w:tcPr>
          <w:p>
            <w:pPr>
              <w:spacing w:after="20"/>
              <w:jc w:val="right"/>
            </w:pPr>
            <w:r>
              <w:rPr>
                <w:color w:val="1C3A36"/>
                <w:sz w:val="15"/>
              </w:rPr>
              <w:t>247</w:t>
            </w:r>
          </w:p>
        </w:tc>
        <w:tc>
          <w:tcPr>
            <w:tcW w:type="dxa" w:w="1037"/>
          </w:tcPr>
          <w:p>
            <w:pPr>
              <w:spacing w:after="20"/>
              <w:jc w:val="right"/>
            </w:pPr>
            <w:r>
              <w:rPr>
                <w:color w:val="1C3A36"/>
                <w:sz w:val="15"/>
              </w:rPr>
              <w:t>486</w:t>
            </w:r>
          </w:p>
        </w:tc>
        <w:tc>
          <w:tcPr>
            <w:tcW w:type="dxa" w:w="1037"/>
          </w:tcPr>
          <w:p>
            <w:pPr>
              <w:spacing w:after="20"/>
              <w:jc w:val="right"/>
            </w:pPr>
            <w:r>
              <w:rPr>
                <w:color w:val="1C3A36"/>
                <w:sz w:val="15"/>
              </w:rPr>
              <w:t>643</w:t>
            </w:r>
          </w:p>
        </w:tc>
        <w:tc>
          <w:tcPr>
            <w:tcW w:type="dxa" w:w="950"/>
          </w:tcPr>
          <w:p>
            <w:pPr>
              <w:spacing w:after="20"/>
              <w:jc w:val="right"/>
            </w:pPr>
            <w:r>
              <w:rPr>
                <w:color w:val="1C3A36"/>
                <w:sz w:val="15"/>
              </w:rPr>
              <w:t>2,239</w:t>
            </w:r>
          </w:p>
        </w:tc>
        <w:tc>
          <w:tcPr>
            <w:tcW w:type="dxa" w:w="950"/>
          </w:tcPr>
          <w:p>
            <w:pPr>
              <w:spacing w:after="20"/>
              <w:jc w:val="right"/>
            </w:pPr>
            <w:r>
              <w:rPr>
                <w:color w:val="1C3A36"/>
                <w:sz w:val="15"/>
              </w:rPr>
              <w:t>2,076</w:t>
            </w:r>
          </w:p>
        </w:tc>
        <w:tc>
          <w:tcPr>
            <w:tcW w:type="dxa" w:w="950"/>
          </w:tcPr>
          <w:p>
            <w:pPr>
              <w:spacing w:after="20"/>
              <w:jc w:val="right"/>
            </w:pPr>
            <w:r>
              <w:rPr>
                <w:color w:val="1C3A36"/>
                <w:sz w:val="15"/>
              </w:rPr>
              <w:t>1,868</w:t>
            </w:r>
          </w:p>
        </w:tc>
        <w:tc>
          <w:tcPr>
            <w:tcW w:type="dxa" w:w="950"/>
          </w:tcPr>
          <w:p>
            <w:pPr>
              <w:spacing w:after="20"/>
              <w:jc w:val="right"/>
            </w:pPr>
            <w:r>
              <w:rPr>
                <w:color w:val="1C3A36"/>
                <w:sz w:val="15"/>
              </w:rPr>
              <w:t>1,653</w:t>
            </w:r>
          </w:p>
        </w:tc>
        <w:tc>
          <w:tcPr>
            <w:tcW w:type="dxa" w:w="950"/>
          </w:tcPr>
          <w:p>
            <w:pPr>
              <w:spacing w:after="20"/>
              <w:jc w:val="right"/>
            </w:pPr>
            <w:r>
              <w:rPr>
                <w:color w:val="1C3A36"/>
                <w:sz w:val="15"/>
              </w:rPr>
              <w:t>1,370</w:t>
            </w:r>
          </w:p>
        </w:tc>
      </w:tr>
      <w:tr>
        <w:tc>
          <w:tcPr>
            <w:tcW w:type="dxa" w:w="2160"/>
          </w:tcPr>
          <w:p>
            <w:pPr>
              <w:spacing w:after="20"/>
            </w:pPr>
            <w:r>
              <w:rPr>
                <w:color w:val="1C3A36"/>
                <w:sz w:val="15"/>
              </w:rPr>
              <w:t>Net finance income</w:t>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950"/>
          </w:tcPr>
          <w:p>
            <w:pPr>
              <w:spacing w:after="20"/>
              <w:jc w:val="right"/>
            </w:pPr>
            <w:r>
              <w:rPr>
                <w:color w:val="1C3A36"/>
                <w:sz w:val="15"/>
              </w:rPr>
              <w:t>414</w:t>
            </w:r>
          </w:p>
        </w:tc>
        <w:tc>
          <w:tcPr>
            <w:tcW w:type="dxa" w:w="950"/>
          </w:tcPr>
          <w:p>
            <w:pPr>
              <w:spacing w:after="20"/>
              <w:jc w:val="right"/>
            </w:pPr>
            <w:r>
              <w:rPr>
                <w:color w:val="1C3A36"/>
                <w:sz w:val="15"/>
              </w:rPr>
              <w:t>323</w:t>
            </w:r>
          </w:p>
        </w:tc>
        <w:tc>
          <w:tcPr>
            <w:tcW w:type="dxa" w:w="950"/>
          </w:tcPr>
          <w:p>
            <w:pPr>
              <w:spacing w:after="20"/>
              <w:jc w:val="right"/>
            </w:pPr>
            <w:r>
              <w:rPr>
                <w:color w:val="1C3A36"/>
                <w:sz w:val="15"/>
              </w:rPr>
              <w:t>253</w:t>
            </w:r>
          </w:p>
        </w:tc>
        <w:tc>
          <w:tcPr>
            <w:tcW w:type="dxa" w:w="950"/>
          </w:tcPr>
          <w:p>
            <w:pPr>
              <w:spacing w:after="20"/>
              <w:jc w:val="right"/>
            </w:pPr>
            <w:r>
              <w:rPr>
                <w:color w:val="1C3A36"/>
                <w:sz w:val="15"/>
              </w:rPr>
              <w:t>201</w:t>
            </w:r>
          </w:p>
        </w:tc>
        <w:tc>
          <w:tcPr>
            <w:tcW w:type="dxa" w:w="950"/>
          </w:tcPr>
          <w:p>
            <w:pPr>
              <w:spacing w:after="20"/>
              <w:jc w:val="right"/>
            </w:pPr>
            <w:r>
              <w:rPr>
                <w:color w:val="1C3A36"/>
                <w:sz w:val="15"/>
              </w:rPr>
              <w:t>159</w:t>
            </w:r>
          </w:p>
        </w:tc>
      </w:tr>
      <w:tr>
        <w:tc>
          <w:tcPr>
            <w:tcW w:type="dxa" w:w="2160"/>
          </w:tcPr>
          <w:p>
            <w:pPr>
              <w:spacing w:after="20"/>
            </w:pPr>
            <w:r>
              <w:rPr>
                <w:color w:val="1C3A36"/>
                <w:sz w:val="15"/>
              </w:rPr>
              <w:t>Attributable profit</w:t>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950"/>
          </w:tcPr>
          <w:p>
            <w:pPr>
              <w:spacing w:after="20"/>
              <w:jc w:val="right"/>
            </w:pPr>
            <w:r>
              <w:rPr>
                <w:color w:val="1C3A36"/>
                <w:sz w:val="15"/>
              </w:rPr>
              <w:t>1,970</w:t>
            </w:r>
          </w:p>
        </w:tc>
        <w:tc>
          <w:tcPr>
            <w:tcW w:type="dxa" w:w="950"/>
          </w:tcPr>
          <w:p>
            <w:pPr>
              <w:spacing w:after="20"/>
              <w:jc w:val="right"/>
            </w:pPr>
            <w:r>
              <w:rPr>
                <w:color w:val="1C3A36"/>
                <w:sz w:val="15"/>
              </w:rPr>
              <w:t>1,782</w:t>
            </w:r>
          </w:p>
        </w:tc>
        <w:tc>
          <w:tcPr>
            <w:tcW w:type="dxa" w:w="950"/>
          </w:tcPr>
          <w:p>
            <w:pPr>
              <w:spacing w:after="20"/>
              <w:jc w:val="right"/>
            </w:pPr>
            <w:r>
              <w:rPr>
                <w:color w:val="1C3A36"/>
                <w:sz w:val="15"/>
              </w:rPr>
              <w:t>1,575</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1,136</w:t>
            </w:r>
          </w:p>
        </w:tc>
      </w:tr>
    </w:tbl>
    <w:p>
      <w:pPr>
        <w:spacing w:after="40"/>
      </w:pPr>
    </w:p>
    <w:p>
      <w:pPr>
        <w:spacing w:after="200" w:before="0"/>
      </w:pPr>
      <w:r>
        <w:rPr>
          <w:b w:val="0"/>
          <w:i/>
          <w:color w:val="6E7B77"/>
          <w:sz w:val="17"/>
        </w:rPr>
        <w:t>Table A.1 — the four filed periods are AS FILED and are of unequal length (two six-month periods and two quarters), so they are shown as reported rather than annualised. The forecast columns are the model.</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1,300</w:t>
            </w:r>
          </w:p>
        </w:tc>
        <w:tc>
          <w:tcPr>
            <w:tcW w:type="dxa" w:w="1037"/>
          </w:tcPr>
          <w:p>
            <w:pPr>
              <w:spacing w:after="20"/>
              <w:jc w:val="right"/>
            </w:pPr>
            <w:r>
              <w:rPr>
                <w:color w:val="1C3A36"/>
                <w:sz w:val="16"/>
              </w:rPr>
              <w:t>1,300</w:t>
            </w:r>
          </w:p>
        </w:tc>
        <w:tc>
          <w:tcPr>
            <w:tcW w:type="dxa" w:w="1037"/>
          </w:tcPr>
          <w:p>
            <w:pPr>
              <w:spacing w:after="20"/>
              <w:jc w:val="right"/>
            </w:pPr>
            <w:r>
              <w:rPr>
                <w:color w:val="1C3A36"/>
                <w:sz w:val="16"/>
              </w:rPr>
              <w:t>1,312</w:t>
            </w:r>
          </w:p>
        </w:tc>
        <w:tc>
          <w:tcPr>
            <w:tcW w:type="dxa" w:w="1037"/>
          </w:tcPr>
          <w:p>
            <w:pPr>
              <w:spacing w:after="20"/>
              <w:jc w:val="right"/>
            </w:pPr>
            <w:r>
              <w:rPr>
                <w:color w:val="1C3A36"/>
                <w:sz w:val="16"/>
              </w:rPr>
              <w:t>1,336</w:t>
            </w:r>
          </w:p>
        </w:tc>
        <w:tc>
          <w:tcPr>
            <w:tcW w:type="dxa" w:w="1037"/>
          </w:tcPr>
          <w:p>
            <w:pPr>
              <w:spacing w:after="20"/>
              <w:jc w:val="right"/>
            </w:pPr>
            <w:r>
              <w:rPr>
                <w:color w:val="1C3A36"/>
                <w:sz w:val="16"/>
              </w:rPr>
              <w:t>1,370</w:t>
            </w:r>
          </w:p>
        </w:tc>
        <w:tc>
          <w:tcPr>
            <w:tcW w:type="dxa" w:w="1037"/>
          </w:tcPr>
          <w:p>
            <w:pPr>
              <w:spacing w:after="20"/>
              <w:jc w:val="right"/>
            </w:pPr>
            <w:r>
              <w:rPr>
                <w:color w:val="1C3A36"/>
                <w:sz w:val="16"/>
              </w:rPr>
              <w:t>1,414</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2,251</w:t>
            </w:r>
          </w:p>
        </w:tc>
        <w:tc>
          <w:tcPr>
            <w:tcW w:type="dxa" w:w="1037"/>
          </w:tcPr>
          <w:p>
            <w:pPr>
              <w:spacing w:after="20"/>
              <w:jc w:val="right"/>
            </w:pPr>
            <w:r>
              <w:rPr>
                <w:color w:val="1C3A36"/>
                <w:sz w:val="16"/>
              </w:rPr>
              <w:t>2,460</w:t>
            </w:r>
          </w:p>
        </w:tc>
        <w:tc>
          <w:tcPr>
            <w:tcW w:type="dxa" w:w="1037"/>
          </w:tcPr>
          <w:p>
            <w:pPr>
              <w:spacing w:after="20"/>
              <w:jc w:val="right"/>
            </w:pPr>
            <w:r>
              <w:rPr>
                <w:color w:val="1C3A36"/>
                <w:sz w:val="16"/>
              </w:rPr>
              <w:t>2,651</w:t>
            </w:r>
          </w:p>
        </w:tc>
        <w:tc>
          <w:tcPr>
            <w:tcW w:type="dxa" w:w="1037"/>
          </w:tcPr>
          <w:p>
            <w:pPr>
              <w:spacing w:after="20"/>
              <w:jc w:val="right"/>
            </w:pPr>
            <w:r>
              <w:rPr>
                <w:color w:val="1C3A36"/>
                <w:sz w:val="16"/>
              </w:rPr>
              <w:t>2,831</w:t>
            </w:r>
          </w:p>
        </w:tc>
        <w:tc>
          <w:tcPr>
            <w:tcW w:type="dxa" w:w="1037"/>
          </w:tcPr>
          <w:p>
            <w:pPr>
              <w:spacing w:after="20"/>
              <w:jc w:val="right"/>
            </w:pPr>
            <w:r>
              <w:rPr>
                <w:color w:val="1C3A36"/>
                <w:sz w:val="16"/>
              </w:rPr>
              <w:t>3,002</w:t>
            </w:r>
          </w:p>
        </w:tc>
        <w:tc>
          <w:tcPr>
            <w:tcW w:type="dxa" w:w="1037"/>
          </w:tcPr>
          <w:p>
            <w:pPr>
              <w:spacing w:after="20"/>
              <w:jc w:val="right"/>
            </w:pPr>
            <w:r>
              <w:rPr>
                <w:color w:val="1C3A36"/>
                <w:sz w:val="16"/>
              </w:rPr>
              <w:t>3,165</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3,552</w:t>
            </w:r>
          </w:p>
        </w:tc>
        <w:tc>
          <w:tcPr>
            <w:tcW w:type="dxa" w:w="1037"/>
            <w:shd w:val="clear" w:color="auto" w:fill="F6F1E6"/>
          </w:tcPr>
          <w:p>
            <w:pPr>
              <w:spacing w:after="20"/>
              <w:jc w:val="right"/>
            </w:pPr>
            <w:r>
              <w:rPr>
                <w:b/>
                <w:color w:val="1C3A36"/>
                <w:sz w:val="16"/>
              </w:rPr>
              <w:t>3,760</w:t>
            </w:r>
          </w:p>
        </w:tc>
        <w:tc>
          <w:tcPr>
            <w:tcW w:type="dxa" w:w="1037"/>
            <w:shd w:val="clear" w:color="auto" w:fill="F6F1E6"/>
          </w:tcPr>
          <w:p>
            <w:pPr>
              <w:spacing w:after="20"/>
              <w:jc w:val="right"/>
            </w:pPr>
            <w:r>
              <w:rPr>
                <w:b/>
                <w:color w:val="1C3A36"/>
                <w:sz w:val="16"/>
              </w:rPr>
              <w:t>3,964</w:t>
            </w:r>
          </w:p>
        </w:tc>
        <w:tc>
          <w:tcPr>
            <w:tcW w:type="dxa" w:w="1037"/>
            <w:shd w:val="clear" w:color="auto" w:fill="F6F1E6"/>
          </w:tcPr>
          <w:p>
            <w:pPr>
              <w:spacing w:after="20"/>
              <w:jc w:val="right"/>
            </w:pPr>
            <w:r>
              <w:rPr>
                <w:b/>
                <w:color w:val="1C3A36"/>
                <w:sz w:val="16"/>
              </w:rPr>
              <w:t>4,167</w:t>
            </w:r>
          </w:p>
        </w:tc>
        <w:tc>
          <w:tcPr>
            <w:tcW w:type="dxa" w:w="1037"/>
            <w:shd w:val="clear" w:color="auto" w:fill="F6F1E6"/>
          </w:tcPr>
          <w:p>
            <w:pPr>
              <w:spacing w:after="20"/>
              <w:jc w:val="right"/>
            </w:pPr>
            <w:r>
              <w:rPr>
                <w:b/>
                <w:color w:val="1C3A36"/>
                <w:sz w:val="16"/>
              </w:rPr>
              <w:t>4,372</w:t>
            </w:r>
          </w:p>
        </w:tc>
        <w:tc>
          <w:tcPr>
            <w:tcW w:type="dxa" w:w="1037"/>
            <w:shd w:val="clear" w:color="auto" w:fill="F6F1E6"/>
          </w:tcPr>
          <w:p>
            <w:pPr>
              <w:spacing w:after="20"/>
              <w:jc w:val="right"/>
            </w:pPr>
            <w:r>
              <w:rPr>
                <w:b/>
                <w:color w:val="1C3A36"/>
                <w:sz w:val="16"/>
              </w:rPr>
              <w:t>4,579</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2,464</w:t>
            </w:r>
          </w:p>
        </w:tc>
        <w:tc>
          <w:tcPr>
            <w:tcW w:type="dxa" w:w="1037"/>
          </w:tcPr>
          <w:p>
            <w:pPr>
              <w:spacing w:after="20"/>
              <w:jc w:val="right"/>
            </w:pPr>
            <w:r>
              <w:rPr>
                <w:color w:val="1C3A36"/>
                <w:sz w:val="16"/>
              </w:rPr>
              <w:t>2,178</w:t>
            </w:r>
          </w:p>
        </w:tc>
        <w:tc>
          <w:tcPr>
            <w:tcW w:type="dxa" w:w="1037"/>
          </w:tcPr>
          <w:p>
            <w:pPr>
              <w:spacing w:after="20"/>
              <w:jc w:val="right"/>
            </w:pPr>
            <w:r>
              <w:rPr>
                <w:color w:val="1C3A36"/>
                <w:sz w:val="16"/>
              </w:rPr>
              <w:t>1,902</w:t>
            </w:r>
          </w:p>
        </w:tc>
        <w:tc>
          <w:tcPr>
            <w:tcW w:type="dxa" w:w="1037"/>
          </w:tcPr>
          <w:p>
            <w:pPr>
              <w:spacing w:after="20"/>
              <w:jc w:val="right"/>
            </w:pPr>
            <w:r>
              <w:rPr>
                <w:color w:val="1C3A36"/>
                <w:sz w:val="16"/>
              </w:rPr>
              <w:t>1,634</w:t>
            </w:r>
          </w:p>
        </w:tc>
        <w:tc>
          <w:tcPr>
            <w:tcW w:type="dxa" w:w="1037"/>
          </w:tcPr>
          <w:p>
            <w:pPr>
              <w:spacing w:after="20"/>
              <w:jc w:val="right"/>
            </w:pPr>
            <w:r>
              <w:rPr>
                <w:color w:val="1C3A36"/>
                <w:sz w:val="16"/>
              </w:rPr>
              <w:t>1,371</w:t>
            </w:r>
          </w:p>
        </w:tc>
        <w:tc>
          <w:tcPr>
            <w:tcW w:type="dxa" w:w="1037"/>
          </w:tcPr>
          <w:p>
            <w:pPr>
              <w:spacing w:after="20"/>
              <w:jc w:val="right"/>
            </w:pPr>
            <w:r>
              <w:rPr>
                <w:color w:val="1C3A36"/>
                <w:sz w:val="16"/>
              </w:rPr>
              <w:t>1,116</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-2,443</w:t>
            </w:r>
          </w:p>
        </w:tc>
        <w:tc>
          <w:tcPr>
            <w:tcW w:type="dxa" w:w="1037"/>
          </w:tcPr>
          <w:p>
            <w:pPr>
              <w:spacing w:after="20"/>
              <w:jc w:val="right"/>
            </w:pPr>
            <w:r>
              <w:rPr>
                <w:color w:val="1C3A36"/>
                <w:sz w:val="16"/>
              </w:rPr>
              <w:t>-2,157</w:t>
            </w:r>
          </w:p>
        </w:tc>
        <w:tc>
          <w:tcPr>
            <w:tcW w:type="dxa" w:w="1037"/>
          </w:tcPr>
          <w:p>
            <w:pPr>
              <w:spacing w:after="20"/>
              <w:jc w:val="right"/>
            </w:pPr>
            <w:r>
              <w:rPr>
                <w:color w:val="1C3A36"/>
                <w:sz w:val="16"/>
              </w:rPr>
              <w:t>-1,881</w:t>
            </w:r>
          </w:p>
        </w:tc>
        <w:tc>
          <w:tcPr>
            <w:tcW w:type="dxa" w:w="1037"/>
          </w:tcPr>
          <w:p>
            <w:pPr>
              <w:spacing w:after="20"/>
              <w:jc w:val="right"/>
            </w:pPr>
            <w:r>
              <w:rPr>
                <w:color w:val="1C3A36"/>
                <w:sz w:val="16"/>
              </w:rPr>
              <w:t>-1,613</w:t>
            </w:r>
          </w:p>
        </w:tc>
        <w:tc>
          <w:tcPr>
            <w:tcW w:type="dxa" w:w="1037"/>
          </w:tcPr>
          <w:p>
            <w:pPr>
              <w:spacing w:after="20"/>
              <w:jc w:val="right"/>
            </w:pPr>
            <w:r>
              <w:rPr>
                <w:color w:val="1C3A36"/>
                <w:sz w:val="16"/>
              </w:rPr>
              <w:t>-1,350</w:t>
            </w:r>
          </w:p>
        </w:tc>
        <w:tc>
          <w:tcPr>
            <w:tcW w:type="dxa" w:w="1037"/>
          </w:tcPr>
          <w:p>
            <w:pPr>
              <w:spacing w:after="20"/>
              <w:jc w:val="right"/>
            </w:pPr>
            <w:r>
              <w:rPr>
                <w:color w:val="1C3A36"/>
                <w:sz w:val="16"/>
              </w:rPr>
              <w:t>-1,095</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4,791</w:t>
            </w:r>
          </w:p>
        </w:tc>
        <w:tc>
          <w:tcPr>
            <w:tcW w:type="dxa" w:w="1037"/>
          </w:tcPr>
          <w:p>
            <w:pPr>
              <w:spacing w:after="20"/>
              <w:jc w:val="right"/>
            </w:pPr>
            <w:r>
              <w:rPr>
                <w:color w:val="1C3A36"/>
                <w:sz w:val="16"/>
              </w:rPr>
              <w:t>4,717</w:t>
            </w:r>
          </w:p>
        </w:tc>
        <w:tc>
          <w:tcPr>
            <w:tcW w:type="dxa" w:w="1037"/>
          </w:tcPr>
          <w:p>
            <w:pPr>
              <w:spacing w:after="20"/>
              <w:jc w:val="right"/>
            </w:pPr>
            <w:r>
              <w:rPr>
                <w:color w:val="1C3A36"/>
                <w:sz w:val="16"/>
              </w:rPr>
              <w:t>4,651</w:t>
            </w:r>
          </w:p>
        </w:tc>
        <w:tc>
          <w:tcPr>
            <w:tcW w:type="dxa" w:w="1037"/>
          </w:tcPr>
          <w:p>
            <w:pPr>
              <w:spacing w:after="20"/>
              <w:jc w:val="right"/>
            </w:pPr>
            <w:r>
              <w:rPr>
                <w:color w:val="1C3A36"/>
                <w:sz w:val="16"/>
              </w:rPr>
              <w:t>4,593</w:t>
            </w:r>
          </w:p>
        </w:tc>
        <w:tc>
          <w:tcPr>
            <w:tcW w:type="dxa" w:w="1037"/>
          </w:tcPr>
          <w:p>
            <w:pPr>
              <w:spacing w:after="20"/>
              <w:jc w:val="right"/>
            </w:pPr>
            <w:r>
              <w:rPr>
                <w:color w:val="1C3A36"/>
                <w:sz w:val="16"/>
              </w:rPr>
              <w:t>4,542</w:t>
            </w:r>
          </w:p>
        </w:tc>
        <w:tc>
          <w:tcPr>
            <w:tcW w:type="dxa" w:w="1037"/>
          </w:tcPr>
          <w:p>
            <w:pPr>
              <w:spacing w:after="20"/>
              <w:jc w:val="right"/>
            </w:pPr>
            <w:r>
              <w:rPr>
                <w:color w:val="1C3A36"/>
                <w:sz w:val="16"/>
              </w:rPr>
              <w:t>4,499</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8,136</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3,312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34</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1,644</w:t>
            </w:r>
          </w:p>
        </w:tc>
        <w:tc>
          <w:tcPr>
            <w:tcW w:type="dxa" w:w="1195"/>
          </w:tcPr>
          <w:p>
            <w:pPr>
              <w:spacing w:after="20"/>
              <w:jc w:val="right"/>
            </w:pPr>
            <w:r>
              <w:rPr>
                <w:color w:val="1C3A36"/>
                <w:sz w:val="16"/>
              </w:rPr>
              <w:t>1,524</w:t>
            </w:r>
          </w:p>
        </w:tc>
        <w:tc>
          <w:tcPr>
            <w:tcW w:type="dxa" w:w="1195"/>
          </w:tcPr>
          <w:p>
            <w:pPr>
              <w:spacing w:after="20"/>
              <w:jc w:val="right"/>
            </w:pPr>
            <w:r>
              <w:rPr>
                <w:color w:val="1C3A36"/>
                <w:sz w:val="16"/>
              </w:rPr>
              <w:t>1,371</w:t>
            </w:r>
          </w:p>
        </w:tc>
        <w:tc>
          <w:tcPr>
            <w:tcW w:type="dxa" w:w="1195"/>
          </w:tcPr>
          <w:p>
            <w:pPr>
              <w:spacing w:after="20"/>
              <w:jc w:val="right"/>
            </w:pPr>
            <w:r>
              <w:rPr>
                <w:color w:val="1C3A36"/>
                <w:sz w:val="16"/>
              </w:rPr>
              <w:t>1,213</w:t>
            </w:r>
          </w:p>
        </w:tc>
        <w:tc>
          <w:tcPr>
            <w:tcW w:type="dxa" w:w="1195"/>
          </w:tcPr>
          <w:p>
            <w:pPr>
              <w:spacing w:after="20"/>
              <w:jc w:val="right"/>
            </w:pPr>
            <w:r>
              <w:rPr>
                <w:color w:val="1C3A36"/>
                <w:sz w:val="16"/>
              </w:rPr>
              <w:t>1,006</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174</w:t>
            </w:r>
          </w:p>
        </w:tc>
        <w:tc>
          <w:tcPr>
            <w:tcW w:type="dxa" w:w="1195"/>
          </w:tcPr>
          <w:p>
            <w:pPr>
              <w:spacing w:after="20"/>
              <w:jc w:val="right"/>
            </w:pPr>
            <w:r>
              <w:rPr>
                <w:color w:val="1C3A36"/>
                <w:sz w:val="16"/>
              </w:rPr>
              <w:t>183</w:t>
            </w:r>
          </w:p>
        </w:tc>
        <w:tc>
          <w:tcPr>
            <w:tcW w:type="dxa" w:w="1195"/>
          </w:tcPr>
          <w:p>
            <w:pPr>
              <w:spacing w:after="20"/>
              <w:jc w:val="right"/>
            </w:pPr>
            <w:r>
              <w:rPr>
                <w:color w:val="1C3A36"/>
                <w:sz w:val="16"/>
              </w:rPr>
              <w:t>194</w:t>
            </w:r>
          </w:p>
        </w:tc>
        <w:tc>
          <w:tcPr>
            <w:tcW w:type="dxa" w:w="1195"/>
          </w:tcPr>
          <w:p>
            <w:pPr>
              <w:spacing w:after="20"/>
              <w:jc w:val="right"/>
            </w:pPr>
            <w:r>
              <w:rPr>
                <w:color w:val="1C3A36"/>
                <w:sz w:val="16"/>
              </w:rPr>
              <w:t>206</w:t>
            </w:r>
          </w:p>
        </w:tc>
        <w:tc>
          <w:tcPr>
            <w:tcW w:type="dxa" w:w="1195"/>
          </w:tcPr>
          <w:p>
            <w:pPr>
              <w:spacing w:after="20"/>
              <w:jc w:val="right"/>
            </w:pPr>
            <w:r>
              <w:rPr>
                <w:color w:val="1C3A36"/>
                <w:sz w:val="16"/>
              </w:rPr>
              <w:t>219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(173)</w:t>
            </w:r>
          </w:p>
        </w:tc>
        <w:tc>
          <w:tcPr>
            <w:tcW w:type="dxa" w:w="1195"/>
          </w:tcPr>
          <w:p>
            <w:pPr>
              <w:spacing w:after="20"/>
              <w:jc w:val="right"/>
            </w:pPr>
            <w:r>
              <w:rPr>
                <w:color w:val="1C3A36"/>
                <w:sz w:val="16"/>
              </w:rPr>
              <w:t>(196)</w:t>
            </w:r>
          </w:p>
        </w:tc>
        <w:tc>
          <w:tcPr>
            <w:tcW w:type="dxa" w:w="1195"/>
          </w:tcPr>
          <w:p>
            <w:pPr>
              <w:spacing w:after="20"/>
              <w:jc w:val="right"/>
            </w:pPr>
            <w:r>
              <w:rPr>
                <w:color w:val="1C3A36"/>
                <w:sz w:val="16"/>
              </w:rPr>
              <w:t>(218)</w:t>
            </w:r>
          </w:p>
        </w:tc>
        <w:tc>
          <w:tcPr>
            <w:tcW w:type="dxa" w:w="1195"/>
          </w:tcPr>
          <w:p>
            <w:pPr>
              <w:spacing w:after="20"/>
              <w:jc w:val="right"/>
            </w:pPr>
            <w:r>
              <w:rPr>
                <w:color w:val="1C3A36"/>
                <w:sz w:val="16"/>
              </w:rPr>
              <w:t>(240)</w:t>
            </w:r>
          </w:p>
        </w:tc>
        <w:tc>
          <w:tcPr>
            <w:tcW w:type="dxa" w:w="1195"/>
          </w:tcPr>
          <w:p>
            <w:pPr>
              <w:spacing w:after="20"/>
              <w:jc w:val="right"/>
            </w:pPr>
            <w:r>
              <w:rPr>
                <w:color w:val="1C3A36"/>
                <w:sz w:val="16"/>
              </w:rPr>
              <w:t>(263)</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(209)</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(179)</w:t>
            </w:r>
          </w:p>
        </w:tc>
        <w:tc>
          <w:tcPr>
            <w:tcW w:type="dxa" w:w="1195"/>
          </w:tcPr>
          <w:p>
            <w:pPr>
              <w:spacing w:after="20"/>
              <w:jc w:val="right"/>
            </w:pPr>
            <w:r>
              <w:rPr>
                <w:color w:val="1C3A36"/>
                <w:sz w:val="16"/>
              </w:rPr>
              <w:t>(171)</w:t>
            </w:r>
          </w:p>
        </w:tc>
        <w:tc>
          <w:tcPr>
            <w:tcW w:type="dxa" w:w="1195"/>
          </w:tcPr>
          <w:p>
            <w:pPr>
              <w:spacing w:after="20"/>
              <w:jc w:val="right"/>
            </w:pPr>
            <w:r>
              <w:rPr>
                <w:color w:val="1C3A36"/>
                <w:sz w:val="16"/>
              </w:rPr>
              <w:t>(164)</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1,436</w:t>
            </w:r>
          </w:p>
        </w:tc>
        <w:tc>
          <w:tcPr>
            <w:tcW w:type="dxa" w:w="1195"/>
            <w:shd w:val="clear" w:color="auto" w:fill="F6F1E6"/>
          </w:tcPr>
          <w:p>
            <w:pPr>
              <w:spacing w:after="20"/>
              <w:jc w:val="right"/>
            </w:pPr>
            <w:r>
              <w:rPr>
                <w:b/>
                <w:color w:val="1C3A36"/>
                <w:sz w:val="16"/>
              </w:rPr>
              <w:t>1,321</w:t>
            </w:r>
          </w:p>
        </w:tc>
        <w:tc>
          <w:tcPr>
            <w:tcW w:type="dxa" w:w="1195"/>
            <w:shd w:val="clear" w:color="auto" w:fill="F6F1E6"/>
          </w:tcPr>
          <w:p>
            <w:pPr>
              <w:spacing w:after="20"/>
              <w:jc w:val="right"/>
            </w:pPr>
            <w:r>
              <w:rPr>
                <w:b/>
                <w:color w:val="1C3A36"/>
                <w:sz w:val="16"/>
              </w:rPr>
              <w:t>1,168</w:t>
            </w:r>
          </w:p>
        </w:tc>
        <w:tc>
          <w:tcPr>
            <w:tcW w:type="dxa" w:w="1195"/>
            <w:shd w:val="clear" w:color="auto" w:fill="F6F1E6"/>
          </w:tcPr>
          <w:p>
            <w:pPr>
              <w:spacing w:after="20"/>
              <w:jc w:val="right"/>
            </w:pPr>
            <w:r>
              <w:rPr>
                <w:b/>
                <w:color w:val="1C3A36"/>
                <w:sz w:val="16"/>
              </w:rPr>
              <w:t>1,008</w:t>
            </w:r>
          </w:p>
        </w:tc>
        <w:tc>
          <w:tcPr>
            <w:tcW w:type="dxa" w:w="1195"/>
            <w:shd w:val="clear" w:color="auto" w:fill="F6F1E6"/>
          </w:tcPr>
          <w:p>
            <w:pPr>
              <w:spacing w:after="20"/>
              <w:jc w:val="right"/>
            </w:pPr>
            <w:r>
              <w:rPr>
                <w:b/>
                <w:color w:val="1C3A36"/>
                <w:sz w:val="16"/>
              </w:rPr>
              <w:t>799</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43.7%</w:t>
            </w:r>
          </w:p>
        </w:tc>
        <w:tc>
          <w:tcPr>
            <w:tcW w:type="dxa" w:w="1195"/>
          </w:tcPr>
          <w:p>
            <w:pPr>
              <w:spacing w:after="20"/>
              <w:jc w:val="right"/>
            </w:pPr>
            <w:r>
              <w:rPr>
                <w:color w:val="1C3A36"/>
                <w:sz w:val="16"/>
              </w:rPr>
              <w:t>38.5%</w:t>
            </w:r>
          </w:p>
        </w:tc>
        <w:tc>
          <w:tcPr>
            <w:tcW w:type="dxa" w:w="1195"/>
          </w:tcPr>
          <w:p>
            <w:pPr>
              <w:spacing w:after="20"/>
              <w:jc w:val="right"/>
            </w:pPr>
            <w:r>
              <w:rPr>
                <w:color w:val="1C3A36"/>
                <w:sz w:val="16"/>
              </w:rPr>
              <w:t>32.9%</w:t>
            </w:r>
          </w:p>
        </w:tc>
        <w:tc>
          <w:tcPr>
            <w:tcW w:type="dxa" w:w="1195"/>
          </w:tcPr>
          <w:p>
            <w:pPr>
              <w:spacing w:after="20"/>
              <w:jc w:val="right"/>
            </w:pPr>
            <w:r>
              <w:rPr>
                <w:color w:val="1C3A36"/>
                <w:sz w:val="16"/>
              </w:rPr>
              <w:t>27.8%</w:t>
            </w:r>
          </w:p>
        </w:tc>
        <w:tc>
          <w:tcPr>
            <w:tcW w:type="dxa" w:w="1195"/>
          </w:tcPr>
          <w:p>
            <w:pPr>
              <w:spacing w:after="20"/>
              <w:jc w:val="right"/>
            </w:pPr>
            <w:r>
              <w:rPr>
                <w:color w:val="1C3A36"/>
                <w:sz w:val="16"/>
              </w:rPr>
              <w:t>22.0%</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1.00x</w:t>
            </w:r>
          </w:p>
        </w:tc>
        <w:tc>
          <w:tcPr>
            <w:tcW w:type="dxa" w:w="1195"/>
          </w:tcPr>
          <w:p>
            <w:pPr>
              <w:spacing w:after="20"/>
              <w:jc w:val="right"/>
            </w:pPr>
            <w:r>
              <w:rPr>
                <w:color w:val="1C3A36"/>
                <w:sz w:val="16"/>
              </w:rPr>
              <w:t>1.07x</w:t>
            </w:r>
          </w:p>
        </w:tc>
        <w:tc>
          <w:tcPr>
            <w:tcW w:type="dxa" w:w="1195"/>
          </w:tcPr>
          <w:p>
            <w:pPr>
              <w:spacing w:after="20"/>
              <w:jc w:val="right"/>
            </w:pPr>
            <w:r>
              <w:rPr>
                <w:color w:val="1C3A36"/>
                <w:sz w:val="16"/>
              </w:rPr>
              <w:t>1.12x</w:t>
            </w:r>
          </w:p>
        </w:tc>
        <w:tc>
          <w:tcPr>
            <w:tcW w:type="dxa" w:w="1195"/>
          </w:tcPr>
          <w:p>
            <w:pPr>
              <w:spacing w:after="20"/>
              <w:jc w:val="right"/>
            </w:pPr>
            <w:r>
              <w:rPr>
                <w:color w:val="1C3A36"/>
                <w:sz w:val="16"/>
              </w:rPr>
              <w:t>1.16x</w:t>
            </w:r>
          </w:p>
        </w:tc>
        <w:tc>
          <w:tcPr>
            <w:tcW w:type="dxa" w:w="1195"/>
          </w:tcPr>
          <w:p>
            <w:pPr>
              <w:spacing w:after="20"/>
              <w:jc w:val="right"/>
            </w:pPr>
            <w:r>
              <w:rPr>
                <w:color w:val="1C3A36"/>
                <w:sz w:val="16"/>
              </w:rPr>
              <w:t>1.20x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5.44 to 4.36,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21mn against a market capitalisation of EGP 11,753mn — 0.1782% of the capital structure. A 500 basis-point error in the cost of debt moves the weighted cost of capital by 0.69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31.19%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31.61% and the cash-flow lens is EGP 5.30. On GROSS rather than net debt weights — the construction this study rejects, because it counts the cash pile twice — the lens is EGP 6.05.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1,868</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253</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1.220</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8.54</w:t>
            </w:r>
          </w:p>
        </w:tc>
      </w:tr>
    </w:tbl>
    <w:p>
      <w:pPr>
        <w:spacing w:after="40"/>
      </w:pPr>
    </w:p>
    <w:p>
      <w:pPr>
        <w:spacing w:after="200" w:before="0"/>
      </w:pPr>
      <w:r>
        <w:rPr>
          <w:b w:val="0"/>
          <w:i/>
          <w:color w:val="6E7B77"/>
          <w:sz w:val="17"/>
        </w:rPr>
        <w:t>Table C.1 — Expert 1. Range EGP 6.10 to 11.59 on a 5.0x to 9.5x multiple band. This is the HIGHEST of the three and it is still -6.2% against the market price. Note that it is an undiscounted 2028E number, which is why it sits above the primary lens.</w:t>
      </w:r>
    </w:p>
    <w:p>
      <w:pPr>
        <w:spacing w:after="80" w:before="200"/>
      </w:pPr>
      <w:r>
        <w:rPr>
          <w:b/>
          <w:i w:val="0"/>
          <w:color w:val="1C3A36"/>
          <w:sz w:val="24"/>
        </w:rPr>
        <w:t>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1,676</w:t>
            </w:r>
          </w:p>
        </w:tc>
        <w:tc>
          <w:tcPr>
            <w:tcW w:type="dxa" w:w="1296"/>
          </w:tcPr>
          <w:p>
            <w:pPr>
              <w:spacing w:after="20"/>
              <w:jc w:val="right"/>
            </w:pPr>
            <w:r>
              <w:rPr>
                <w:color w:val="1C3A36"/>
                <w:sz w:val="16"/>
              </w:rPr>
              <w:t>1,499</w:t>
            </w:r>
          </w:p>
        </w:tc>
        <w:tc>
          <w:tcPr>
            <w:tcW w:type="dxa" w:w="1296"/>
          </w:tcPr>
          <w:p>
            <w:pPr>
              <w:spacing w:after="20"/>
              <w:jc w:val="right"/>
            </w:pPr>
            <w:r>
              <w:rPr>
                <w:color w:val="1C3A36"/>
                <w:sz w:val="16"/>
              </w:rPr>
              <w:t>1,302</w:t>
            </w:r>
          </w:p>
        </w:tc>
        <w:tc>
          <w:tcPr>
            <w:tcW w:type="dxa" w:w="1296"/>
          </w:tcPr>
          <w:p>
            <w:pPr>
              <w:spacing w:after="20"/>
              <w:jc w:val="right"/>
            </w:pPr>
            <w:r>
              <w:rPr>
                <w:color w:val="1C3A36"/>
                <w:sz w:val="16"/>
              </w:rPr>
              <w:t>1,111</w:t>
            </w:r>
          </w:p>
        </w:tc>
        <w:tc>
          <w:tcPr>
            <w:tcW w:type="dxa" w:w="1296"/>
          </w:tcPr>
          <w:p>
            <w:pPr>
              <w:spacing w:after="20"/>
              <w:jc w:val="right"/>
            </w:pPr>
            <w:r>
              <w:rPr>
                <w:color w:val="1C3A36"/>
                <w:sz w:val="16"/>
              </w:rPr>
              <w:t>880</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24.38%</w:t>
            </w:r>
          </w:p>
        </w:tc>
        <w:tc>
          <w:tcPr>
            <w:tcW w:type="dxa" w:w="1296"/>
          </w:tcPr>
          <w:p>
            <w:pPr>
              <w:spacing w:after="20"/>
              <w:jc w:val="right"/>
            </w:pPr>
            <w:r>
              <w:rPr>
                <w:color w:val="1C3A36"/>
                <w:sz w:val="16"/>
              </w:rPr>
              <w:t>21.93%</w:t>
            </w:r>
          </w:p>
        </w:tc>
        <w:tc>
          <w:tcPr>
            <w:tcW w:type="dxa" w:w="1296"/>
          </w:tcPr>
          <w:p>
            <w:pPr>
              <w:spacing w:after="20"/>
              <w:jc w:val="right"/>
            </w:pPr>
            <w:r>
              <w:rPr>
                <w:color w:val="1C3A36"/>
                <w:sz w:val="16"/>
              </w:rPr>
              <w:t>20.08%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0.6308</w:t>
            </w:r>
          </w:p>
        </w:tc>
        <w:tc>
          <w:tcPr>
            <w:tcW w:type="dxa" w:w="1296"/>
          </w:tcPr>
          <w:p>
            <w:pPr>
              <w:spacing w:after="20"/>
              <w:jc w:val="right"/>
            </w:pPr>
            <w:r>
              <w:rPr>
                <w:color w:val="1C3A36"/>
                <w:sz w:val="16"/>
              </w:rPr>
              <w:t>0.5173</w:t>
            </w:r>
          </w:p>
        </w:tc>
        <w:tc>
          <w:tcPr>
            <w:tcW w:type="dxa" w:w="1296"/>
          </w:tcPr>
          <w:p>
            <w:pPr>
              <w:spacing w:after="20"/>
              <w:jc w:val="right"/>
            </w:pPr>
            <w:r>
              <w:rPr>
                <w:color w:val="1C3A36"/>
                <w:sz w:val="16"/>
              </w:rPr>
              <w:t>0.4308</w:t>
            </w:r>
          </w:p>
        </w:tc>
        <w:tc>
          <w:tcPr>
            <w:tcW w:type="dxa" w:w="1296"/>
          </w:tcPr>
          <w:p>
            <w:pPr>
              <w:spacing w:after="20"/>
              <w:jc w:val="right"/>
            </w:pPr>
            <w:r>
              <w:rPr>
                <w:color w:val="1C3A36"/>
                <w:sz w:val="16"/>
              </w:rPr>
              <w:t>0.3625</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1,315</w:t>
            </w:r>
          </w:p>
        </w:tc>
        <w:tc>
          <w:tcPr>
            <w:tcW w:type="dxa" w:w="1296"/>
          </w:tcPr>
          <w:p>
            <w:pPr>
              <w:spacing w:after="20"/>
              <w:jc w:val="right"/>
            </w:pPr>
            <w:r>
              <w:rPr>
                <w:color w:val="1C3A36"/>
                <w:sz w:val="16"/>
              </w:rPr>
              <w:t>945</w:t>
            </w:r>
          </w:p>
        </w:tc>
        <w:tc>
          <w:tcPr>
            <w:tcW w:type="dxa" w:w="1296"/>
          </w:tcPr>
          <w:p>
            <w:pPr>
              <w:spacing w:after="20"/>
              <w:jc w:val="right"/>
            </w:pPr>
            <w:r>
              <w:rPr>
                <w:color w:val="1C3A36"/>
                <w:sz w:val="16"/>
              </w:rPr>
              <w:t>673</w:t>
            </w:r>
          </w:p>
        </w:tc>
        <w:tc>
          <w:tcPr>
            <w:tcW w:type="dxa" w:w="1296"/>
          </w:tcPr>
          <w:p>
            <w:pPr>
              <w:spacing w:after="20"/>
              <w:jc w:val="right"/>
            </w:pPr>
            <w:r>
              <w:rPr>
                <w:color w:val="1C3A36"/>
                <w:sz w:val="16"/>
              </w:rPr>
              <w:t>479</w:t>
            </w:r>
          </w:p>
        </w:tc>
        <w:tc>
          <w:tcPr>
            <w:tcW w:type="dxa" w:w="1296"/>
          </w:tcPr>
          <w:p>
            <w:pPr>
              <w:spacing w:after="20"/>
              <w:jc w:val="right"/>
            </w:pPr>
            <w:r>
              <w:rPr>
                <w:color w:val="1C3A36"/>
                <w:sz w:val="16"/>
              </w:rPr>
              <w:t>319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3,732</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1,570</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(1,439)</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5,301</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4.10</w:t>
            </w:r>
          </w:p>
        </w:tc>
      </w:tr>
    </w:tbl>
    <w:p>
      <w:pPr>
        <w:spacing w:after="40"/>
      </w:pPr>
    </w:p>
    <w:p>
      <w:pPr>
        <w:spacing w:after="200" w:before="0"/>
      </w:pPr>
      <w:r>
        <w:rPr>
          <w:b w:val="0"/>
          <w:i/>
          <w:color w:val="6E7B77"/>
          <w:sz w:val="17"/>
        </w:rPr>
        <w:t>Table C.2 — Expert 2. Range EGP 3.77 to 4.21. This is the LOWEST of the three at -54.9%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3,552</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1,184</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595</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5,331</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5.83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536</w:t>
            </w:r>
          </w:p>
        </w:tc>
        <w:tc>
          <w:tcPr>
            <w:tcW w:type="dxa" w:w="1224"/>
          </w:tcPr>
          <w:p>
            <w:pPr>
              <w:spacing w:after="20"/>
              <w:jc w:val="right"/>
            </w:pPr>
            <w:r>
              <w:rPr>
                <w:color w:val="1C3A36"/>
                <w:sz w:val="17"/>
              </w:rPr>
              <w:t>527</w:t>
            </w:r>
          </w:p>
        </w:tc>
        <w:tc>
          <w:tcPr>
            <w:tcW w:type="dxa" w:w="1224"/>
          </w:tcPr>
          <w:p>
            <w:pPr>
              <w:spacing w:after="20"/>
              <w:jc w:val="right"/>
            </w:pPr>
            <w:r>
              <w:rPr>
                <w:color w:val="1C3A36"/>
                <w:sz w:val="17"/>
              </w:rPr>
              <w:t>468</w:t>
            </w:r>
          </w:p>
        </w:tc>
        <w:tc>
          <w:tcPr>
            <w:tcW w:type="dxa" w:w="1224"/>
          </w:tcPr>
          <w:p>
            <w:pPr>
              <w:spacing w:after="20"/>
              <w:jc w:val="right"/>
            </w:pPr>
            <w:r>
              <w:rPr>
                <w:color w:val="1C3A36"/>
                <w:sz w:val="17"/>
              </w:rPr>
              <w:t>380</w:t>
            </w:r>
          </w:p>
        </w:tc>
        <w:tc>
          <w:tcPr>
            <w:tcW w:type="dxa" w:w="1224"/>
          </w:tcPr>
          <w:p>
            <w:pPr>
              <w:spacing w:after="20"/>
              <w:jc w:val="right"/>
            </w:pPr>
            <w:r>
              <w:rPr>
                <w:color w:val="1C3A36"/>
                <w:sz w:val="17"/>
              </w:rPr>
              <w:t>213</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12.52%</w:t>
            </w:r>
          </w:p>
        </w:tc>
        <w:tc>
          <w:tcPr>
            <w:tcW w:type="dxa" w:w="1224"/>
          </w:tcPr>
          <w:p>
            <w:pPr>
              <w:spacing w:after="20"/>
              <w:jc w:val="right"/>
            </w:pPr>
            <w:r>
              <w:rPr>
                <w:color w:val="1C3A36"/>
                <w:sz w:val="17"/>
              </w:rPr>
              <w:t>11.93%</w:t>
            </w:r>
          </w:p>
        </w:tc>
        <w:tc>
          <w:tcPr>
            <w:tcW w:type="dxa" w:w="1224"/>
          </w:tcPr>
          <w:p>
            <w:pPr>
              <w:spacing w:after="20"/>
              <w:jc w:val="right"/>
            </w:pPr>
            <w:r>
              <w:rPr>
                <w:color w:val="1C3A36"/>
                <w:sz w:val="17"/>
              </w:rPr>
              <w:t>10.11%</w:t>
            </w:r>
          </w:p>
        </w:tc>
        <w:tc>
          <w:tcPr>
            <w:tcW w:type="dxa" w:w="1224"/>
          </w:tcPr>
          <w:p>
            <w:pPr>
              <w:spacing w:after="20"/>
              <w:jc w:val="right"/>
            </w:pPr>
            <w:r>
              <w:rPr>
                <w:color w:val="1C3A36"/>
                <w:sz w:val="17"/>
              </w:rPr>
              <w:t>7.75%</w:t>
            </w:r>
          </w:p>
        </w:tc>
        <w:tc>
          <w:tcPr>
            <w:tcW w:type="dxa" w:w="1224"/>
          </w:tcPr>
          <w:p>
            <w:pPr>
              <w:spacing w:after="20"/>
              <w:jc w:val="right"/>
            </w:pPr>
            <w:r>
              <w:rPr>
                <w:color w:val="1C3A36"/>
                <w:sz w:val="17"/>
              </w:rPr>
              <w:t>3.83%</w:t>
            </w:r>
          </w:p>
        </w:tc>
      </w:tr>
    </w:tbl>
    <w:p>
      <w:pPr>
        <w:spacing w:after="40"/>
      </w:pPr>
    </w:p>
    <w:p>
      <w:pPr>
        <w:spacing w:after="200" w:before="0"/>
      </w:pPr>
      <w:r>
        <w:rPr>
          <w:b w:val="0"/>
          <w:i/>
          <w:color w:val="6E7B77"/>
          <w:sz w:val="17"/>
        </w:rPr>
        <w:t>Table C.3 — Expert 3. Range EGP 5.28 to 5.79.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9.0% of gross margin can support.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8.54</w:t>
            </w:r>
          </w:p>
        </w:tc>
        <w:tc>
          <w:tcPr>
            <w:tcW w:type="dxa" w:w="1728"/>
          </w:tcPr>
          <w:p>
            <w:pPr>
              <w:spacing w:after="20"/>
              <w:jc w:val="right"/>
            </w:pPr>
            <w:r>
              <w:rPr>
                <w:color w:val="1C3A36"/>
                <w:sz w:val="17"/>
              </w:rPr>
              <w:t>6.10–11.59</w:t>
            </w:r>
          </w:p>
        </w:tc>
        <w:tc>
          <w:tcPr>
            <w:tcW w:type="dxa" w:w="1296"/>
          </w:tcPr>
          <w:p>
            <w:pPr>
              <w:spacing w:after="20"/>
              <w:jc w:val="right"/>
            </w:pPr>
            <w:r>
              <w:rPr>
                <w:color w:val="1C3A36"/>
                <w:sz w:val="17"/>
              </w:rPr>
              <w:t>-6.2%</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4.10</w:t>
            </w:r>
          </w:p>
        </w:tc>
        <w:tc>
          <w:tcPr>
            <w:tcW w:type="dxa" w:w="1728"/>
          </w:tcPr>
          <w:p>
            <w:pPr>
              <w:spacing w:after="20"/>
              <w:jc w:val="right"/>
            </w:pPr>
            <w:r>
              <w:rPr>
                <w:color w:val="1C3A36"/>
                <w:sz w:val="17"/>
              </w:rPr>
              <w:t>3.77–4.21</w:t>
            </w:r>
          </w:p>
        </w:tc>
        <w:tc>
          <w:tcPr>
            <w:tcW w:type="dxa" w:w="1296"/>
          </w:tcPr>
          <w:p>
            <w:pPr>
              <w:spacing w:after="20"/>
              <w:jc w:val="right"/>
            </w:pPr>
            <w:r>
              <w:rPr>
                <w:color w:val="1C3A36"/>
                <w:sz w:val="17"/>
              </w:rPr>
              <w:t>-54.9%</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5.83</w:t>
            </w:r>
          </w:p>
        </w:tc>
        <w:tc>
          <w:tcPr>
            <w:tcW w:type="dxa" w:w="1728"/>
          </w:tcPr>
          <w:p>
            <w:pPr>
              <w:spacing w:after="20"/>
              <w:jc w:val="right"/>
            </w:pPr>
            <w:r>
              <w:rPr>
                <w:color w:val="1C3A36"/>
                <w:sz w:val="17"/>
              </w:rPr>
              <w:t>5.28–5.79</w:t>
            </w:r>
          </w:p>
        </w:tc>
        <w:tc>
          <w:tcPr>
            <w:tcW w:type="dxa" w:w="1296"/>
          </w:tcPr>
          <w:p>
            <w:pPr>
              <w:spacing w:after="20"/>
              <w:jc w:val="right"/>
            </w:pPr>
            <w:r>
              <w:rPr>
                <w:color w:val="1C3A36"/>
                <w:sz w:val="17"/>
              </w:rPr>
              <w:t>-36.0%</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5.83</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-36.0%</w:t>
            </w:r>
          </w:p>
        </w:tc>
      </w:tr>
    </w:tbl>
    <w:p>
      <w:pPr>
        <w:spacing w:after="40"/>
      </w:pPr>
    </w:p>
    <w:p>
      <w:pPr>
        <w:spacing w:after="200" w:before="0"/>
      </w:pPr>
      <w:r>
        <w:rPr>
          <w:b w:val="0"/>
          <w:i/>
          <w:color w:val="6E7B77"/>
          <w:sz w:val="17"/>
        </w:rPr>
        <w:t>Table C.4 — the panel. The three methods disagree with each other by more than any of them disagrees with the primary lens, which is the honest reading of a company whose margin is administered. All three land below the market price.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5,775 formulas against 198 pasted filing values (96.7% live), with all thirty sensitivity grid points written out as complete formula engines and every formula cell verified against the model by an independent evaluator — 0 unresolvable, 0 unchecked, 0 disagreements. The bibliography lists all 152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