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17-09-2026   ·   17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31.64 with MNT-Halan at the value GB Corp’s own reviewed balance sheet carries it at (+9%), and EGP 44.12 with MNT-Halan at the price of the June-2026 funding round (+52%).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17.6 bn and GB Capital at the EGP 0.5 bn its own disclosed return supports, EGP 18.1 bn between them — and they come to 58% of the entire traded market capitalisation before a single pound of associate value. What the price leaves for the associates is EGP 13.3 bn, against EGP 16.2 bn carried on the reviewed balance sheet. On GB Corp’s stated holding that values MNT-Halan as a whole at about US$614 mn, against the US$1,400 mn its June-2026 round was struck at and the US$752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25.49% against this study’s 19.40% on the round-price branch — a stretch — but only 20.02%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21–45 with a median near EGP 31;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31.64</w:t>
            </w:r>
          </w:p>
        </w:tc>
        <w:tc>
          <w:tcPr>
            <w:tcW w:type="dxa" w:w="1656"/>
          </w:tcPr>
          <w:p>
            <w:pPr>
              <w:spacing w:after="20"/>
              <w:jc w:val="right"/>
            </w:pPr>
            <w:r>
              <w:rPr>
                <w:color w:val="1C3A36"/>
                <w:sz w:val="17"/>
              </w:rPr>
              <w:t>+9%</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44.12</w:t>
            </w:r>
          </w:p>
        </w:tc>
        <w:tc>
          <w:tcPr>
            <w:tcW w:type="dxa" w:w="1656"/>
          </w:tcPr>
          <w:p>
            <w:pPr>
              <w:spacing w:after="20"/>
              <w:jc w:val="right"/>
            </w:pPr>
            <w:r>
              <w:rPr>
                <w:color w:val="1C3A36"/>
                <w:sz w:val="17"/>
              </w:rPr>
              <w:t>+52%</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6.57×, the median of GB Corp’s own trailing multiple at its last three year-end closes</w:t>
            </w:r>
          </w:p>
        </w:tc>
        <w:tc>
          <w:tcPr>
            <w:tcW w:type="dxa" w:w="2088"/>
          </w:tcPr>
          <w:p>
            <w:pPr>
              <w:spacing w:after="20"/>
              <w:jc w:val="right"/>
            </w:pPr>
            <w:r>
              <w:rPr>
                <w:color w:val="1C3A36"/>
                <w:sz w:val="17"/>
              </w:rPr>
              <w:t>EGP 18.08</w:t>
            </w:r>
          </w:p>
        </w:tc>
        <w:tc>
          <w:tcPr>
            <w:tcW w:type="dxa" w:w="1656"/>
          </w:tcPr>
          <w:p>
            <w:pPr>
              <w:spacing w:after="20"/>
              <w:jc w:val="right"/>
            </w:pPr>
            <w:r>
              <w:rPr>
                <w:color w:val="1C3A36"/>
                <w:sz w:val="17"/>
              </w:rPr>
              <w:t>-38%</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24.0 · p50 29.9 · p95 37.3</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21.0 · p50 30.7 · p95 44.9</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45.49</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7.89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38.26</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7.89–45.49</w:t>
            </w:r>
          </w:p>
        </w:tc>
        <w:tc>
          <w:tcPr>
            <w:tcW w:type="dxa" w:w="1656"/>
          </w:tcPr>
          <w:p>
            <w:pPr>
              <w:spacing w:after="20"/>
              <w:jc w:val="right"/>
            </w:pPr>
            <w:r>
              <w:rPr>
                <w:color w:val="1C3A36"/>
                <w:sz w:val="17"/>
              </w:rPr>
              <w:t>Middle read EGP 38.26</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31.64 on one of GB Corp’s own disclosures about its associate and EGP 44.12 on the other, +9% and +52% against the price; the cross-checks sit either side of the price, the earnings multiple at EGP 18.08 and the disclosed book floor at EGP 30.82 — and the shares trade BELOW their own book. The three experts span EGP 7.89 to 45.49,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because that drift is what this stock's own history measures rather than what anybody hopes for. How often the bands built around it have actually held is published at the end of §3, with the count beside the percentage.</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Misr E-commerce, Bedaia, Kaf for Life Insurance</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14,493.6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7.90% against a terminal cost of equity of 18.73% that justifies — GB CORP PUBLISHES A HIGHER FIGURE FOR THE SAME SEGMENT, 15.1% for FY2025 and 13.5% for the first half of 2026, and this study does not adopt it: its numerator carries EGP 986.4 mn of investment gains from associates and its denominator is an equity base those associates sit inside, so importing it would count MNT-Halan once here and again as the largest single line of the sum of the parts. The company’s figure is printed rather than rebutted in silence — 0.08× of the EGP 6,267 mn operating equity. The associates are the branch: MNT-Halan is carried at EGP 15,724 mn in the reviewed balance sheet at 30 June 2026 and marks at EGP 29,273 mn on GB Corp’s stated 41.61% of the US$1,400 mn June-2026 round at EGP/USD 50.2. THE TWO FIGURES ARE NOT THE SAME KIND OF NUMBER and this study no longer says they are: the carrying value is what GB Corp’s own reviewed accounts carry the stake at, and the round price is what other investors paid in a transaction GB Corp took part in and has never adopted as its own carrying value.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17,629</w:t>
            </w:r>
          </w:p>
        </w:tc>
        <w:tc>
          <w:tcPr>
            <w:tcW w:type="dxa" w:w="1656"/>
          </w:tcPr>
          <w:p>
            <w:pPr>
              <w:spacing w:after="20"/>
              <w:jc w:val="right"/>
            </w:pPr>
            <w:r>
              <w:rPr>
                <w:color w:val="1C3A36"/>
                <w:sz w:val="18"/>
              </w:rPr>
              <w:t>17,629</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482</w:t>
            </w:r>
          </w:p>
        </w:tc>
        <w:tc>
          <w:tcPr>
            <w:tcW w:type="dxa" w:w="1656"/>
          </w:tcPr>
          <w:p>
            <w:pPr>
              <w:spacing w:after="20"/>
              <w:jc w:val="right"/>
            </w:pPr>
            <w:r>
              <w:rPr>
                <w:color w:val="1C3A36"/>
                <w:sz w:val="18"/>
              </w:rPr>
              <w:t>482</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15,724</w:t>
            </w:r>
          </w:p>
        </w:tc>
        <w:tc>
          <w:tcPr>
            <w:tcW w:type="dxa" w:w="1656"/>
          </w:tcPr>
          <w:p>
            <w:pPr>
              <w:spacing w:after="20"/>
              <w:jc w:val="right"/>
            </w:pPr>
            <w:r>
              <w:rPr>
                <w:color w:val="1C3A36"/>
                <w:sz w:val="18"/>
              </w:rPr>
              <w:t>29,273</w:t>
            </w:r>
          </w:p>
        </w:tc>
      </w:tr>
      <w:tr>
        <w:tc>
          <w:tcPr>
            <w:tcW w:type="dxa" w:w="2880"/>
          </w:tcPr>
          <w:p>
            <w:pPr>
              <w:spacing w:after="20"/>
            </w:pPr>
            <w:r>
              <w:rPr>
                <w:b/>
                <w:color w:val="1C3A36"/>
                <w:sz w:val="18"/>
              </w:rPr>
              <w:t>Plus other associates (Misr E-commerce, Bedaia,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507</w:t>
            </w:r>
          </w:p>
        </w:tc>
        <w:tc>
          <w:tcPr>
            <w:tcW w:type="dxa" w:w="1656"/>
          </w:tcPr>
          <w:p>
            <w:pPr>
              <w:spacing w:after="20"/>
              <w:jc w:val="right"/>
            </w:pPr>
            <w:r>
              <w:rPr>
                <w:color w:val="1C3A36"/>
                <w:sz w:val="18"/>
              </w:rPr>
              <w:t>507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34,342</w:t>
            </w:r>
          </w:p>
        </w:tc>
        <w:tc>
          <w:tcPr>
            <w:tcW w:type="dxa" w:w="1656"/>
            <w:shd w:val="clear" w:color="auto" w:fill="F6F1E6"/>
          </w:tcPr>
          <w:p>
            <w:pPr>
              <w:spacing w:after="20"/>
              <w:jc w:val="right"/>
            </w:pPr>
            <w:r>
              <w:rPr>
                <w:b/>
                <w:color w:val="1C3A36"/>
                <w:sz w:val="18"/>
              </w:rPr>
              <w:t>47,891</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31.64</w:t>
            </w:r>
          </w:p>
        </w:tc>
        <w:tc>
          <w:tcPr>
            <w:tcW w:type="dxa" w:w="1656"/>
            <w:shd w:val="clear" w:color="auto" w:fill="F6F1E6"/>
          </w:tcPr>
          <w:p>
            <w:pPr>
              <w:spacing w:after="20"/>
              <w:jc w:val="right"/>
            </w:pPr>
            <w:r>
              <w:rPr>
                <w:b/>
                <w:color w:val="1C3A36"/>
                <w:sz w:val="18"/>
              </w:rPr>
              <w:t>44.12</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+9%</w:t>
            </w:r>
          </w:p>
        </w:tc>
        <w:tc>
          <w:tcPr>
            <w:tcW w:type="dxa" w:w="1656"/>
          </w:tcPr>
          <w:p>
            <w:pPr>
              <w:spacing w:after="20"/>
              <w:jc w:val="right"/>
            </w:pPr>
            <w:r>
              <w:rPr>
                <w:color w:val="1C3A36"/>
                <w:sz w:val="18"/>
              </w:rPr>
              <w:t>+52%</w:t>
            </w:r>
          </w:p>
        </w:tc>
      </w:tr>
    </w:tbl>
    <w:p>
      <w:pPr>
        <w:spacing w:after="40"/>
      </w:pPr>
    </w:p>
    <w:p>
      <w:pPr>
        <w:spacing w:after="120" w:before="0"/>
      </w:pPr>
      <w:r>
        <w:rPr>
          <w:b/>
          <w:i w:val="0"/>
          <w:color w:val="1C3A36"/>
          <w:sz w:val="21"/>
        </w:rPr>
        <w:t>Two answers, EGP 31.64 and 44.12 per share</w:t>
      </w:r>
      <w:r>
        <w:rPr>
          <w:b w:val="0"/>
          <w:i w:val="0"/>
          <w:color w:val="1C3A36"/>
          <w:sz w:val="21"/>
        </w:rPr>
        <w:t>, and no number between them. The gap between the branches is EGP 13.5 bn, 28.3%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1.90%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15,724</w:t>
            </w:r>
          </w:p>
        </w:tc>
        <w:tc>
          <w:tcPr>
            <w:tcW w:type="dxa" w:w="2808"/>
          </w:tcPr>
          <w:p>
            <w:pPr>
              <w:spacing w:after="20"/>
              <w:jc w:val="right"/>
            </w:pPr>
            <w:r>
              <w:rPr>
                <w:color w:val="1C3A36"/>
                <w:sz w:val="18"/>
              </w:rPr>
              <w:t>29,273</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752</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26.97</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46%</w:t>
            </w:r>
          </w:p>
        </w:tc>
        <w:tc>
          <w:tcPr>
            <w:tcW w:type="dxa" w:w="2808"/>
          </w:tcPr>
          <w:p>
            <w:pPr>
              <w:spacing w:after="20"/>
              <w:jc w:val="right"/>
            </w:pPr>
            <w:r>
              <w:rPr>
                <w:color w:val="1C3A36"/>
                <w:sz w:val="18"/>
              </w:rPr>
              <w:t>61%</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93%</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13,347</w:t>
            </w:r>
          </w:p>
        </w:tc>
        <w:tc>
          <w:tcPr>
            <w:tcW w:type="dxa" w:w="2808"/>
          </w:tcPr>
          <w:p>
            <w:pPr>
              <w:spacing w:after="20"/>
              <w:jc w:val="right"/>
            </w:pPr>
            <w:r>
              <w:rPr>
                <w:color w:val="1C3A36"/>
                <w:sz w:val="18"/>
              </w:rPr>
              <w:t>13,347</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17.8%</w:t>
            </w:r>
          </w:p>
        </w:tc>
        <w:tc>
          <w:tcPr>
            <w:tcW w:type="dxa" w:w="2808"/>
          </w:tcPr>
          <w:p>
            <w:pPr>
              <w:spacing w:after="20"/>
              <w:jc w:val="right"/>
            </w:pPr>
            <w:r>
              <w:rPr>
                <w:color w:val="1C3A36"/>
                <w:sz w:val="18"/>
              </w:rPr>
              <w:t>55.2%</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12,840</w:t>
            </w:r>
          </w:p>
        </w:tc>
        <w:tc>
          <w:tcPr>
            <w:tcW w:type="dxa" w:w="2808"/>
          </w:tcPr>
          <w:p>
            <w:pPr>
              <w:spacing w:after="20"/>
              <w:jc w:val="right"/>
            </w:pPr>
            <w:r>
              <w:rPr>
                <w:color w:val="1C3A36"/>
                <w:sz w:val="18"/>
              </w:rPr>
              <w:t>12,840</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7,318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23.89</w:t>
            </w:r>
          </w:p>
        </w:tc>
        <w:tc>
          <w:tcPr>
            <w:tcW w:type="dxa" w:w="3528"/>
          </w:tcPr>
          <w:p>
            <w:pPr>
              <w:spacing w:after="20"/>
              <w:jc w:val="right"/>
            </w:pPr>
            <w:r>
              <w:rPr>
                <w:color w:val="1C3A36"/>
                <w:sz w:val="17"/>
              </w:rPr>
            </w:r>
          </w:p>
        </w:tc>
      </w:tr>
      <w:tr>
        <w:tc>
          <w:tcPr>
            <w:tcW w:type="dxa" w:w="2232"/>
          </w:tcPr>
          <w:p>
            <w:pPr>
              <w:spacing w:after="20"/>
            </w:pPr>
            <w:r>
              <w:rPr>
                <w:b/>
                <w:color w:val="1C3A36"/>
                <w:sz w:val="17"/>
              </w:rPr>
              <w:t>12,840</w:t>
            </w:r>
          </w:p>
        </w:tc>
        <w:tc>
          <w:tcPr>
            <w:tcW w:type="dxa" w:w="2304"/>
          </w:tcPr>
          <w:p>
            <w:pPr>
              <w:spacing w:after="20"/>
              <w:jc w:val="right"/>
            </w:pPr>
            <w:r>
              <w:rPr>
                <w:color w:val="1C3A36"/>
                <w:sz w:val="17"/>
              </w:rPr>
              <w:t>614</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14,636</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30.64</w:t>
            </w:r>
          </w:p>
        </w:tc>
        <w:tc>
          <w:tcPr>
            <w:tcW w:type="dxa" w:w="3528"/>
          </w:tcPr>
          <w:p>
            <w:pPr>
              <w:spacing w:after="20"/>
              <w:jc w:val="right"/>
            </w:pPr>
            <w:r>
              <w:rPr>
                <w:color w:val="1C3A36"/>
                <w:sz w:val="17"/>
              </w:rPr>
            </w:r>
          </w:p>
        </w:tc>
      </w:tr>
      <w:tr>
        <w:tc>
          <w:tcPr>
            <w:tcW w:type="dxa" w:w="2232"/>
          </w:tcPr>
          <w:p>
            <w:pPr>
              <w:spacing w:after="20"/>
            </w:pPr>
            <w:r>
              <w:rPr>
                <w:b/>
                <w:color w:val="1C3A36"/>
                <w:sz w:val="17"/>
              </w:rPr>
              <w:t>15,724</w:t>
            </w:r>
          </w:p>
        </w:tc>
        <w:tc>
          <w:tcPr>
            <w:tcW w:type="dxa" w:w="2304"/>
          </w:tcPr>
          <w:p>
            <w:pPr>
              <w:spacing w:after="20"/>
              <w:jc w:val="right"/>
            </w:pPr>
            <w:r>
              <w:rPr>
                <w:color w:val="1C3A36"/>
                <w:sz w:val="17"/>
              </w:rPr>
              <w:t>752</w:t>
            </w:r>
          </w:p>
        </w:tc>
        <w:tc>
          <w:tcPr>
            <w:tcW w:type="dxa" w:w="2160"/>
          </w:tcPr>
          <w:p>
            <w:pPr>
              <w:spacing w:after="20"/>
              <w:jc w:val="right"/>
            </w:pPr>
            <w:r>
              <w:rPr>
                <w:color w:val="1C3A36"/>
                <w:sz w:val="17"/>
              </w:rPr>
              <w:t>31.64</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21,954</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37.38</w:t>
            </w:r>
          </w:p>
        </w:tc>
        <w:tc>
          <w:tcPr>
            <w:tcW w:type="dxa" w:w="3528"/>
          </w:tcPr>
          <w:p>
            <w:pPr>
              <w:spacing w:after="20"/>
              <w:jc w:val="right"/>
            </w:pPr>
            <w:r>
              <w:rPr>
                <w:color w:val="1C3A36"/>
                <w:sz w:val="17"/>
              </w:rPr>
            </w:r>
          </w:p>
        </w:tc>
      </w:tr>
      <w:tr>
        <w:tc>
          <w:tcPr>
            <w:tcW w:type="dxa" w:w="2232"/>
          </w:tcPr>
          <w:p>
            <w:pPr>
              <w:spacing w:after="20"/>
            </w:pPr>
            <w:r>
              <w:rPr>
                <w:b/>
                <w:color w:val="1C3A36"/>
                <w:sz w:val="17"/>
              </w:rPr>
              <w:t>29,273</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44.12</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22.6% of revenue to 22.6%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19.40% in the first forecast year to a norm-built terminal of 14.16%.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79,677</w:t>
            </w:r>
          </w:p>
        </w:tc>
        <w:tc>
          <w:tcPr>
            <w:tcW w:type="dxa" w:w="1440"/>
          </w:tcPr>
          <w:p>
            <w:pPr>
              <w:spacing w:after="20"/>
              <w:jc w:val="right"/>
            </w:pPr>
            <w:r>
              <w:rPr>
                <w:color w:val="1C3A36"/>
                <w:sz w:val="17"/>
              </w:rPr>
              <w:t>96,864</w:t>
            </w:r>
          </w:p>
        </w:tc>
        <w:tc>
          <w:tcPr>
            <w:tcW w:type="dxa" w:w="1440"/>
          </w:tcPr>
          <w:p>
            <w:pPr>
              <w:spacing w:after="20"/>
              <w:jc w:val="right"/>
            </w:pPr>
            <w:r>
              <w:rPr>
                <w:color w:val="1C3A36"/>
                <w:sz w:val="17"/>
              </w:rPr>
              <w:t>113,587</w:t>
            </w:r>
          </w:p>
        </w:tc>
        <w:tc>
          <w:tcPr>
            <w:tcW w:type="dxa" w:w="1440"/>
          </w:tcPr>
          <w:p>
            <w:pPr>
              <w:spacing w:after="20"/>
              <w:jc w:val="right"/>
            </w:pPr>
            <w:r>
              <w:rPr>
                <w:color w:val="1C3A36"/>
                <w:sz w:val="17"/>
              </w:rPr>
              <w:t>129,841</w:t>
            </w:r>
          </w:p>
        </w:tc>
        <w:tc>
          <w:tcPr>
            <w:tcW w:type="dxa" w:w="1440"/>
          </w:tcPr>
          <w:p>
            <w:pPr>
              <w:spacing w:after="20"/>
              <w:jc w:val="right"/>
            </w:pPr>
            <w:r>
              <w:rPr>
                <w:color w:val="1C3A36"/>
                <w:sz w:val="17"/>
              </w:rPr>
              <w:t>145,889</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6,773</w:t>
            </w:r>
          </w:p>
        </w:tc>
        <w:tc>
          <w:tcPr>
            <w:tcW w:type="dxa" w:w="1440"/>
          </w:tcPr>
          <w:p>
            <w:pPr>
              <w:spacing w:after="20"/>
              <w:jc w:val="right"/>
            </w:pPr>
            <w:r>
              <w:rPr>
                <w:color w:val="1C3A36"/>
                <w:sz w:val="17"/>
              </w:rPr>
              <w:t>8,718</w:t>
            </w:r>
          </w:p>
        </w:tc>
        <w:tc>
          <w:tcPr>
            <w:tcW w:type="dxa" w:w="1440"/>
          </w:tcPr>
          <w:p>
            <w:pPr>
              <w:spacing w:after="20"/>
              <w:jc w:val="right"/>
            </w:pPr>
            <w:r>
              <w:rPr>
                <w:color w:val="1C3A36"/>
                <w:sz w:val="17"/>
              </w:rPr>
              <w:t>10,677</w:t>
            </w:r>
          </w:p>
        </w:tc>
        <w:tc>
          <w:tcPr>
            <w:tcW w:type="dxa" w:w="1440"/>
          </w:tcPr>
          <w:p>
            <w:pPr>
              <w:spacing w:after="20"/>
              <w:jc w:val="right"/>
            </w:pPr>
            <w:r>
              <w:rPr>
                <w:color w:val="1C3A36"/>
                <w:sz w:val="17"/>
              </w:rPr>
              <w:t>12,335</w:t>
            </w:r>
          </w:p>
        </w:tc>
        <w:tc>
          <w:tcPr>
            <w:tcW w:type="dxa" w:w="1440"/>
          </w:tcPr>
          <w:p>
            <w:pPr>
              <w:spacing w:after="20"/>
              <w:jc w:val="right"/>
            </w:pPr>
            <w:r>
              <w:rPr>
                <w:color w:val="1C3A36"/>
                <w:sz w:val="17"/>
              </w:rPr>
              <w:t>13,859</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(876)</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(1,249)</w:t>
            </w:r>
          </w:p>
        </w:tc>
        <w:tc>
          <w:tcPr>
            <w:tcW w:type="dxa" w:w="1440"/>
          </w:tcPr>
          <w:p>
            <w:pPr>
              <w:spacing w:after="20"/>
              <w:jc w:val="right"/>
            </w:pPr>
            <w:r>
              <w:rPr>
                <w:color w:val="1C3A36"/>
                <w:sz w:val="17"/>
              </w:rPr>
              <w:t>(1,428)</w:t>
            </w:r>
          </w:p>
        </w:tc>
        <w:tc>
          <w:tcPr>
            <w:tcW w:type="dxa" w:w="1440"/>
          </w:tcPr>
          <w:p>
            <w:pPr>
              <w:spacing w:after="20"/>
              <w:jc w:val="right"/>
            </w:pPr>
            <w:r>
              <w:rPr>
                <w:color w:val="1C3A36"/>
                <w:sz w:val="17"/>
              </w:rPr>
              <w:t>(1,605)</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5,896</w:t>
            </w:r>
          </w:p>
        </w:tc>
        <w:tc>
          <w:tcPr>
            <w:tcW w:type="dxa" w:w="1440"/>
          </w:tcPr>
          <w:p>
            <w:pPr>
              <w:spacing w:after="20"/>
              <w:jc w:val="right"/>
            </w:pPr>
            <w:r>
              <w:rPr>
                <w:color w:val="1C3A36"/>
                <w:sz w:val="17"/>
              </w:rPr>
              <w:t>7,652</w:t>
            </w:r>
          </w:p>
        </w:tc>
        <w:tc>
          <w:tcPr>
            <w:tcW w:type="dxa" w:w="1440"/>
          </w:tcPr>
          <w:p>
            <w:pPr>
              <w:spacing w:after="20"/>
              <w:jc w:val="right"/>
            </w:pPr>
            <w:r>
              <w:rPr>
                <w:color w:val="1C3A36"/>
                <w:sz w:val="17"/>
              </w:rPr>
              <w:t>9,428</w:t>
            </w:r>
          </w:p>
        </w:tc>
        <w:tc>
          <w:tcPr>
            <w:tcW w:type="dxa" w:w="1440"/>
          </w:tcPr>
          <w:p>
            <w:pPr>
              <w:spacing w:after="20"/>
              <w:jc w:val="right"/>
            </w:pPr>
            <w:r>
              <w:rPr>
                <w:color w:val="1C3A36"/>
                <w:sz w:val="17"/>
              </w:rPr>
              <w:t>10,907</w:t>
            </w:r>
          </w:p>
        </w:tc>
        <w:tc>
          <w:tcPr>
            <w:tcW w:type="dxa" w:w="1440"/>
          </w:tcPr>
          <w:p>
            <w:pPr>
              <w:spacing w:after="20"/>
              <w:jc w:val="right"/>
            </w:pPr>
            <w:r>
              <w:rPr>
                <w:color w:val="1C3A36"/>
                <w:sz w:val="17"/>
              </w:rPr>
              <w:t>12,255</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4,245</w:t>
            </w:r>
          </w:p>
        </w:tc>
        <w:tc>
          <w:tcPr>
            <w:tcW w:type="dxa" w:w="1440"/>
          </w:tcPr>
          <w:p>
            <w:pPr>
              <w:spacing w:after="20"/>
              <w:jc w:val="right"/>
            </w:pPr>
            <w:r>
              <w:rPr>
                <w:color w:val="1C3A36"/>
                <w:sz w:val="17"/>
              </w:rPr>
              <w:t>5,510</w:t>
            </w:r>
          </w:p>
        </w:tc>
        <w:tc>
          <w:tcPr>
            <w:tcW w:type="dxa" w:w="1440"/>
          </w:tcPr>
          <w:p>
            <w:pPr>
              <w:spacing w:after="20"/>
              <w:jc w:val="right"/>
            </w:pPr>
            <w:r>
              <w:rPr>
                <w:color w:val="1C3A36"/>
                <w:sz w:val="17"/>
              </w:rPr>
              <w:t>6,788</w:t>
            </w:r>
          </w:p>
        </w:tc>
        <w:tc>
          <w:tcPr>
            <w:tcW w:type="dxa" w:w="1440"/>
          </w:tcPr>
          <w:p>
            <w:pPr>
              <w:spacing w:after="20"/>
              <w:jc w:val="right"/>
            </w:pPr>
            <w:r>
              <w:rPr>
                <w:color w:val="1C3A36"/>
                <w:sz w:val="17"/>
              </w:rPr>
              <w:t>7,853</w:t>
            </w:r>
          </w:p>
        </w:tc>
        <w:tc>
          <w:tcPr>
            <w:tcW w:type="dxa" w:w="1440"/>
          </w:tcPr>
          <w:p>
            <w:pPr>
              <w:spacing w:after="20"/>
              <w:jc w:val="right"/>
            </w:pPr>
            <w:r>
              <w:rPr>
                <w:color w:val="1C3A36"/>
                <w:sz w:val="17"/>
              </w:rPr>
              <w:t>8,823</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876</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1,249</w:t>
            </w:r>
          </w:p>
        </w:tc>
        <w:tc>
          <w:tcPr>
            <w:tcW w:type="dxa" w:w="1440"/>
          </w:tcPr>
          <w:p>
            <w:pPr>
              <w:spacing w:after="20"/>
              <w:jc w:val="right"/>
            </w:pPr>
            <w:r>
              <w:rPr>
                <w:color w:val="1C3A36"/>
                <w:sz w:val="17"/>
              </w:rPr>
              <w:t>1,428</w:t>
            </w:r>
          </w:p>
        </w:tc>
        <w:tc>
          <w:tcPr>
            <w:tcW w:type="dxa" w:w="1440"/>
          </w:tcPr>
          <w:p>
            <w:pPr>
              <w:spacing w:after="20"/>
              <w:jc w:val="right"/>
            </w:pPr>
            <w:r>
              <w:rPr>
                <w:color w:val="1C3A36"/>
                <w:sz w:val="17"/>
              </w:rPr>
              <w:t>1,605</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(896)</w:t>
            </w:r>
          </w:p>
        </w:tc>
        <w:tc>
          <w:tcPr>
            <w:tcW w:type="dxa" w:w="1440"/>
          </w:tcPr>
          <w:p>
            <w:pPr>
              <w:spacing w:after="20"/>
              <w:jc w:val="right"/>
            </w:pPr>
            <w:r>
              <w:rPr>
                <w:color w:val="1C3A36"/>
                <w:sz w:val="17"/>
              </w:rPr>
              <w:t>(3,880)</w:t>
            </w:r>
          </w:p>
        </w:tc>
        <w:tc>
          <w:tcPr>
            <w:tcW w:type="dxa" w:w="1440"/>
          </w:tcPr>
          <w:p>
            <w:pPr>
              <w:spacing w:after="20"/>
              <w:jc w:val="right"/>
            </w:pPr>
            <w:r>
              <w:rPr>
                <w:color w:val="1C3A36"/>
                <w:sz w:val="17"/>
              </w:rPr>
              <w:t>(3,776)</w:t>
            </w:r>
          </w:p>
        </w:tc>
        <w:tc>
          <w:tcPr>
            <w:tcW w:type="dxa" w:w="1440"/>
          </w:tcPr>
          <w:p>
            <w:pPr>
              <w:spacing w:after="20"/>
              <w:jc w:val="right"/>
            </w:pPr>
            <w:r>
              <w:rPr>
                <w:color w:val="1C3A36"/>
                <w:sz w:val="17"/>
              </w:rPr>
              <w:t>(3,670)</w:t>
            </w:r>
          </w:p>
        </w:tc>
        <w:tc>
          <w:tcPr>
            <w:tcW w:type="dxa" w:w="1440"/>
          </w:tcPr>
          <w:p>
            <w:pPr>
              <w:spacing w:after="20"/>
              <w:jc w:val="right"/>
            </w:pPr>
            <w:r>
              <w:rPr>
                <w:color w:val="1C3A36"/>
                <w:sz w:val="17"/>
              </w:rPr>
              <w:t>(3,623)</w:t>
            </w:r>
          </w:p>
        </w:tc>
      </w:tr>
      <w:tr>
        <w:tc>
          <w:tcPr>
            <w:tcW w:type="dxa" w:w="3024"/>
          </w:tcPr>
          <w:p>
            <w:pPr>
              <w:spacing w:after="20"/>
            </w:pPr>
            <w:r>
              <w:rPr>
                <w:b/>
                <w:color w:val="1C3A36"/>
                <w:sz w:val="17"/>
              </w:rPr>
              <w:t>Less the part of 2026 earned before the bridge date</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w:t>
            </w:r>
          </w:p>
        </w:tc>
        <w:tc>
          <w:tcPr>
            <w:tcW w:type="dxa" w:w="1440"/>
          </w:tcPr>
          <w:p>
            <w:pPr>
              <w:spacing w:after="20"/>
              <w:jc w:val="right"/>
            </w:pPr>
            <w:r>
              <w:rPr>
                <w:color w:val="1C3A36"/>
                <w:sz w:val="17"/>
              </w:rPr>
              <w:t>—</w:t>
            </w:r>
          </w:p>
        </w:tc>
        <w:tc>
          <w:tcPr>
            <w:tcW w:type="dxa" w:w="1440"/>
          </w:tcPr>
          <w:p>
            <w:pPr>
              <w:spacing w:after="20"/>
              <w:jc w:val="right"/>
            </w:pPr>
            <w:r>
              <w:rPr>
                <w:color w:val="1C3A36"/>
                <w:sz w:val="17"/>
              </w:rPr>
              <w:t>—</w:t>
            </w:r>
          </w:p>
        </w:tc>
        <w:tc>
          <w:tcPr>
            <w:tcW w:type="dxa" w:w="1440"/>
          </w:tcPr>
          <w:p>
            <w:pPr>
              <w:spacing w:after="20"/>
              <w:jc w:val="right"/>
            </w:pPr>
            <w:r>
              <w:rPr>
                <w:color w:val="1C3A36"/>
                <w:sz w:val="17"/>
              </w:rPr>
              <w:t>—</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160</w:t>
            </w:r>
          </w:p>
        </w:tc>
        <w:tc>
          <w:tcPr>
            <w:tcW w:type="dxa" w:w="1440"/>
          </w:tcPr>
          <w:p>
            <w:pPr>
              <w:spacing w:after="20"/>
              <w:jc w:val="right"/>
            </w:pPr>
            <w:r>
              <w:rPr>
                <w:color w:val="1C3A36"/>
                <w:sz w:val="17"/>
              </w:rPr>
              <w:t>295</w:t>
            </w:r>
          </w:p>
        </w:tc>
        <w:tc>
          <w:tcPr>
            <w:tcW w:type="dxa" w:w="1440"/>
          </w:tcPr>
          <w:p>
            <w:pPr>
              <w:spacing w:after="20"/>
              <w:jc w:val="right"/>
            </w:pPr>
            <w:r>
              <w:rPr>
                <w:color w:val="1C3A36"/>
                <w:sz w:val="17"/>
              </w:rPr>
              <w:t>1,762</w:t>
            </w:r>
          </w:p>
        </w:tc>
        <w:tc>
          <w:tcPr>
            <w:tcW w:type="dxa" w:w="1440"/>
          </w:tcPr>
          <w:p>
            <w:pPr>
              <w:spacing w:after="20"/>
              <w:jc w:val="right"/>
            </w:pPr>
            <w:r>
              <w:rPr>
                <w:color w:val="1C3A36"/>
                <w:sz w:val="17"/>
              </w:rPr>
              <w:t>3,011</w:t>
            </w:r>
          </w:p>
        </w:tc>
        <w:tc>
          <w:tcPr>
            <w:tcW w:type="dxa" w:w="1440"/>
          </w:tcPr>
          <w:p>
            <w:pPr>
              <w:spacing w:after="20"/>
              <w:jc w:val="right"/>
            </w:pPr>
            <w:r>
              <w:rPr>
                <w:color w:val="1C3A36"/>
                <w:sz w:val="17"/>
              </w:rPr>
              <w:t>4,005</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0.837</w:t>
            </w:r>
          </w:p>
        </w:tc>
        <w:tc>
          <w:tcPr>
            <w:tcW w:type="dxa" w:w="1440"/>
          </w:tcPr>
          <w:p>
            <w:pPr>
              <w:spacing w:after="20"/>
              <w:jc w:val="right"/>
            </w:pPr>
            <w:r>
              <w:rPr>
                <w:color w:val="1C3A36"/>
                <w:sz w:val="17"/>
              </w:rPr>
              <w:t>0.713</w:t>
            </w:r>
          </w:p>
        </w:tc>
        <w:tc>
          <w:tcPr>
            <w:tcW w:type="dxa" w:w="1440"/>
          </w:tcPr>
          <w:p>
            <w:pPr>
              <w:spacing w:after="20"/>
              <w:jc w:val="right"/>
            </w:pPr>
            <w:r>
              <w:rPr>
                <w:color w:val="1C3A36"/>
                <w:sz w:val="17"/>
              </w:rPr>
              <w:t>0.614</w:t>
            </w:r>
          </w:p>
        </w:tc>
        <w:tc>
          <w:tcPr>
            <w:tcW w:type="dxa" w:w="1440"/>
          </w:tcPr>
          <w:p>
            <w:pPr>
              <w:spacing w:after="20"/>
              <w:jc w:val="right"/>
            </w:pPr>
            <w:r>
              <w:rPr>
                <w:color w:val="1C3A36"/>
                <w:sz w:val="17"/>
              </w:rPr>
              <w:t>0.534</w:t>
            </w:r>
          </w:p>
        </w:tc>
        <w:tc>
          <w:tcPr>
            <w:tcW w:type="dxa" w:w="1440"/>
          </w:tcPr>
          <w:p>
            <w:pPr>
              <w:spacing w:after="20"/>
              <w:jc w:val="right"/>
            </w:pPr>
            <w:r>
              <w:rPr>
                <w:color w:val="1C3A36"/>
                <w:sz w:val="17"/>
              </w:rPr>
              <w:t>0.468</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134</w:t>
            </w:r>
          </w:p>
        </w:tc>
        <w:tc>
          <w:tcPr>
            <w:tcW w:type="dxa" w:w="1440"/>
          </w:tcPr>
          <w:p>
            <w:pPr>
              <w:spacing w:after="20"/>
              <w:jc w:val="right"/>
            </w:pPr>
            <w:r>
              <w:rPr>
                <w:color w:val="1C3A36"/>
                <w:sz w:val="17"/>
              </w:rPr>
              <w:t>210</w:t>
            </w:r>
          </w:p>
        </w:tc>
        <w:tc>
          <w:tcPr>
            <w:tcW w:type="dxa" w:w="1440"/>
          </w:tcPr>
          <w:p>
            <w:pPr>
              <w:spacing w:after="20"/>
              <w:jc w:val="right"/>
            </w:pPr>
            <w:r>
              <w:rPr>
                <w:color w:val="1C3A36"/>
                <w:sz w:val="17"/>
              </w:rPr>
              <w:t>1,082</w:t>
            </w:r>
          </w:p>
        </w:tc>
        <w:tc>
          <w:tcPr>
            <w:tcW w:type="dxa" w:w="1440"/>
          </w:tcPr>
          <w:p>
            <w:pPr>
              <w:spacing w:after="20"/>
              <w:jc w:val="right"/>
            </w:pPr>
            <w:r>
              <w:rPr>
                <w:color w:val="1C3A36"/>
                <w:sz w:val="17"/>
              </w:rPr>
              <w:t>1,609</w:t>
            </w:r>
          </w:p>
        </w:tc>
        <w:tc>
          <w:tcPr>
            <w:tcW w:type="dxa" w:w="1440"/>
          </w:tcPr>
          <w:p>
            <w:pPr>
              <w:spacing w:after="20"/>
              <w:jc w:val="right"/>
            </w:pPr>
            <w:r>
              <w:rPr>
                <w:color w:val="1C3A36"/>
                <w:sz w:val="17"/>
              </w:rPr>
              <w:t>1,875</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4,910</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59,842</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28,014</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32,924</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85%</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(14,494)</w:t>
            </w:r>
          </w:p>
        </w:tc>
      </w:tr>
      <w:tr>
        <w:tc>
          <w:tcPr>
            <w:tcW w:type="dxa" w:w="5760"/>
          </w:tcPr>
          <w:p>
            <w:pPr>
              <w:spacing w:after="20"/>
            </w:pPr>
            <w:r>
              <w:rPr>
                <w:b/>
                <w:color w:val="1C3A36"/>
                <w:sz w:val="18"/>
              </w:rPr>
              <w:t>Auto equity value, before the minority</w:t>
            </w:r>
          </w:p>
        </w:tc>
        <w:tc>
          <w:tcPr>
            <w:tcW w:type="dxa" w:w="2304"/>
          </w:tcPr>
          <w:p>
            <w:pPr>
              <w:spacing w:after="20"/>
              <w:jc w:val="right"/>
            </w:pPr>
            <w:r>
              <w:rPr>
                <w:color w:val="1C3A36"/>
                <w:sz w:val="18"/>
              </w:rPr>
              <w:t>18,430</w:t>
            </w:r>
          </w:p>
        </w:tc>
      </w:tr>
      <w:tr>
        <w:tc>
          <w:tcPr>
            <w:tcW w:type="dxa" w:w="5760"/>
          </w:tcPr>
          <w:p>
            <w:pPr>
              <w:spacing w:after="20"/>
            </w:pPr>
            <w:r>
              <w:rPr>
                <w:b/>
                <w:color w:val="1C3A36"/>
                <w:sz w:val="18"/>
              </w:rPr>
              <w:t>less: the minority's 4.35% share of it</w:t>
            </w:r>
          </w:p>
        </w:tc>
        <w:tc>
          <w:tcPr>
            <w:tcW w:type="dxa" w:w="2304"/>
          </w:tcPr>
          <w:p>
            <w:pPr>
              <w:spacing w:after="20"/>
              <w:jc w:val="right"/>
            </w:pPr>
            <w:r>
              <w:rPr>
                <w:color w:val="1C3A36"/>
                <w:sz w:val="18"/>
              </w:rPr>
              <w:t>(801)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17,629</w:t>
            </w:r>
          </w:p>
        </w:tc>
      </w:tr>
    </w:tbl>
    <w:p>
      <w:pPr>
        <w:spacing w:after="40"/>
      </w:pPr>
    </w:p>
    <w:p>
      <w:pPr>
        <w:spacing w:after="120" w:before="0"/>
      </w:pPr>
      <w:r>
        <w:rPr>
          <w:b w:val="0"/>
          <w:i w:val="0"/>
          <w:color w:val="1C3A36"/>
          <w:sz w:val="21"/>
        </w:rPr>
        <w:t>Two honesty notes. First, 85% of the enterprise value sits in the terminal value — this is a growth-and-rates bet dressed as a five-year model, which is why §1.9 sensitises the discount-rate and terminal-growth grid rather than hiding it. Second, the explicit-period cash flow is thin in the first year (EGP 160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B’s research register carries that search among this study’s negative results.</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3,009 mn in the first forecast year, earnings per share of EGP 2.75 — GB Corp trades at 10.52×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4.70× · 6.57× · 10.25× — which is 6.57×.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3,009</w:t>
            </w:r>
          </w:p>
        </w:tc>
      </w:tr>
      <w:tr>
        <w:tc>
          <w:tcPr>
            <w:tcW w:type="dxa" w:w="6192"/>
          </w:tcPr>
          <w:p>
            <w:pPr>
              <w:spacing w:after="20"/>
            </w:pPr>
            <w:r>
              <w:rPr>
                <w:b/>
                <w:color w:val="1C3A36"/>
                <w:sz w:val="18"/>
              </w:rPr>
              <w:t>Less the employees’ share of profit and the board bonus, at the 0.68% rate the latest audited year discloses</w:t>
            </w:r>
          </w:p>
        </w:tc>
        <w:tc>
          <w:tcPr>
            <w:tcW w:type="dxa" w:w="2592"/>
          </w:tcPr>
          <w:p>
            <w:pPr>
              <w:spacing w:after="20"/>
              <w:jc w:val="right"/>
            </w:pPr>
            <w:r>
              <w:rPr>
                <w:color w:val="1C3A36"/>
                <w:sz w:val="18"/>
              </w:rPr>
              <w:t>(20)</w:t>
            </w:r>
          </w:p>
        </w:tc>
      </w:tr>
      <w:tr>
        <w:tc>
          <w:tcPr>
            <w:tcW w:type="dxa" w:w="6192"/>
          </w:tcPr>
          <w:p>
            <w:pPr>
              <w:spacing w:after="20"/>
            </w:pPr>
            <w:r>
              <w:rPr>
                <w:b/>
                <w:color w:val="1C3A36"/>
                <w:sz w:val="18"/>
              </w:rPr>
              <w:t>Earnings the company divides (EGP mn)</w:t>
            </w:r>
          </w:p>
        </w:tc>
        <w:tc>
          <w:tcPr>
            <w:tcW w:type="dxa" w:w="2592"/>
          </w:tcPr>
          <w:p>
            <w:pPr>
              <w:spacing w:after="20"/>
              <w:jc w:val="right"/>
            </w:pPr>
            <w:r>
              <w:rPr>
                <w:color w:val="1C3A36"/>
                <w:sz w:val="18"/>
              </w:rPr>
              <w:t>2,989</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 on the published basic basis</w:t>
            </w:r>
          </w:p>
        </w:tc>
        <w:tc>
          <w:tcPr>
            <w:tcW w:type="dxa" w:w="2592"/>
          </w:tcPr>
          <w:p>
            <w:pPr>
              <w:spacing w:after="20"/>
              <w:jc w:val="right"/>
            </w:pPr>
            <w:r>
              <w:rPr>
                <w:color w:val="1C3A36"/>
                <w:sz w:val="18"/>
              </w:rPr>
              <w:t>2.75</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6.57×</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18.08</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10.52×</w:t>
            </w:r>
          </w:p>
        </w:tc>
      </w:tr>
    </w:tbl>
    <w:p>
      <w:pPr>
        <w:spacing w:after="40"/>
      </w:pPr>
    </w:p>
    <w:p>
      <w:pPr>
        <w:spacing w:after="120" w:before="0"/>
      </w:pPr>
      <w:r>
        <w:rPr>
          <w:b/>
          <w:i w:val="0"/>
          <w:color w:val="1C3A36"/>
          <w:sz w:val="21"/>
        </w:rPr>
        <w:t>Relative cross-check EGP 18.08</w:t>
      </w:r>
      <w:r>
        <w:rPr>
          <w:b w:val="0"/>
          <w:i w:val="0"/>
          <w:color w:val="1C3A36"/>
          <w:sz w:val="21"/>
        </w:rPr>
        <w:t xml:space="preserve"> — -38%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31.64</w:t>
            </w:r>
          </w:p>
        </w:tc>
        <w:tc>
          <w:tcPr>
            <w:tcW w:type="dxa" w:w="1944"/>
          </w:tcPr>
          <w:p>
            <w:pPr>
              <w:spacing w:after="20"/>
              <w:jc w:val="right"/>
            </w:pPr>
            <w:r>
              <w:rPr>
                <w:color w:val="1C3A36"/>
                <w:sz w:val="18"/>
              </w:rPr>
              <w:t>+9%</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44.12</w:t>
            </w:r>
          </w:p>
        </w:tc>
        <w:tc>
          <w:tcPr>
            <w:tcW w:type="dxa" w:w="1944"/>
          </w:tcPr>
          <w:p>
            <w:pPr>
              <w:spacing w:after="20"/>
              <w:jc w:val="right"/>
            </w:pPr>
            <w:r>
              <w:rPr>
                <w:color w:val="1C3A36"/>
                <w:sz w:val="18"/>
              </w:rPr>
              <w:t>+52%</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18.08</w:t>
            </w:r>
          </w:p>
        </w:tc>
        <w:tc>
          <w:tcPr>
            <w:tcW w:type="dxa" w:w="1944"/>
          </w:tcPr>
          <w:p>
            <w:pPr>
              <w:spacing w:after="20"/>
              <w:jc w:val="right"/>
            </w:pPr>
            <w:r>
              <w:rPr>
                <w:color w:val="1C3A36"/>
                <w:sz w:val="18"/>
              </w:rPr>
              <w:t>-38%</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18.08 – 44.12</w:t>
            </w:r>
          </w:p>
        </w:tc>
        <w:tc>
          <w:tcPr>
            <w:tcW w:type="dxa" w:w="1944"/>
            <w:shd w:val="clear" w:color="auto" w:fill="F6F1E6"/>
          </w:tcPr>
          <w:p>
            <w:pPr>
              <w:spacing w:after="20"/>
              <w:jc w:val="right"/>
            </w:pPr>
            <w:r>
              <w:rPr>
                <w:b/>
                <w:color w:val="1C3A36"/>
                <w:sz w:val="18"/>
              </w:rPr>
              <w:t>-38% to +52%</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31.64 on one of the company’s disclosures and EGP 44.12 on the other</w:t>
      </w:r>
      <w:r>
        <w:rPr>
          <w:b w:val="0"/>
          <w:i w:val="0"/>
          <w:color w:val="1C3A36"/>
          <w:sz w:val="21"/>
        </w:rPr>
        <w:t>, +9% and +52% against the price. The width of this picture is not four independent methods converging or failing to converge. Two of the marks — the primary’s branches — differ only in the associate line, and the two cross-checks do not touch that line at all: the earnings multiple reads EGP 18.08 and the disclosed book floor EGP 30.82, both within 38%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7.90%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79,677</w:t>
            </w:r>
          </w:p>
        </w:tc>
        <w:tc>
          <w:tcPr>
            <w:tcW w:type="dxa" w:w="1440"/>
          </w:tcPr>
          <w:p>
            <w:pPr>
              <w:spacing w:after="20"/>
              <w:jc w:val="right"/>
            </w:pPr>
            <w:r>
              <w:rPr>
                <w:color w:val="1C3A36"/>
                <w:sz w:val="17"/>
              </w:rPr>
              <w:t>145,889</w:t>
            </w:r>
          </w:p>
        </w:tc>
      </w:tr>
    </w:tbl>
    <w:p>
      <w:pPr>
        <w:spacing w:after="40"/>
      </w:pPr>
    </w:p>
    <w:p>
      <w:pPr>
        <w:spacing w:after="200" w:before="0"/>
      </w:pPr>
      <w:r>
        <w:rPr>
          <w:b w:val="0"/>
          <w:i/>
          <w:color w:val="6E7B77"/>
          <w:sz w:val="17"/>
        </w:rPr>
        <w:t>Sources: the company’s own FY2023, FY2024 and FY2025 earnings releases, segment volume and revenue tables. THE OPERATING-PROFIT LINE IS COMPUTED FROM THE ROWS ABOVE IT AND THE COMPANY’S OWN PRESENTATION CHANGED. GB Corp’s “Operating Profit” EXCLUDED provisions in its FY2023 presentation and includes them from FY2024, so the two years as reported — 3,977 and 6,177 — are not on one basis and neither sums from the rows printed above it. One basis is used across all three years here, giving 3,708 and 5,821; the company’s own FY2025 release prints the second of those in its own table. A restatement is noted beside, never substituted. A dash marks a line this TABLE does not carry for that year rather than a nil figure. The earlier delivered edition said the study’s committed record did not carry them, which was not right: the record does carry FY2023 and FY2024 segment splits and the workbook prints them. What this table shows is the base year and the forecast, because those are the years the driver build actually uses. The forecast columns are the model’s own driver path.</w:t>
      </w:r>
    </w:p>
    <w:p>
      <w:pPr>
        <w:spacing w:after="120" w:before="0"/>
      </w:pPr>
      <w:r>
        <w:rPr>
          <w:b w:val="0"/>
          <w:i w:val="0"/>
          <w:color w:val="1C3A36"/>
          <w:sz w:val="19"/>
        </w:rPr>
        <w:t>One further pair of figures the workbook carries and this document did not: the study’s own committed SCENARIO SPAN on the primary, EGP 22.90 to 73.56 per share. It is a stress on the model at once rather than one driver at a time — a gross-margin shift, the whole cost-of-capital ladder moved together, terminal growth shifted in real terms, and the marks on the lender and the associates moved with them. IT IS NOT THE ENVELOPE and sits outside it on both sides: the envelope is the range of the present-value READS, which is a different object. Both are published here rather than one in each file.</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15,724 mn and EGP 29,273 mn, a difference of 28.3% of the higher answer, and this study does not choose between them. What the traded price implies for that line is EGP 13,347 mn for ALL the associates together — a discount of 17.8% to the reviewed carrying value and 55.2%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22.6% of revenue down to 22.6%, and because the auto leg’s free cash flow is a thin residual, that path moves it directly — §1.9 prices the grid rather than a single point estimate. Third, the Egyptian nominal-rate path: the schedule glides from 19.40% to 14.16% against terminal growth of 7.00%, a terminal real spread of 7.16%.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25.49% against this study’s 19.40% on the round-price branch — 6.1 points, a stretch on a leg worth less than half the sum of the parts — but only 20.02% on the carrying-value branch, 0.6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and compresses the discount rate this study applies. IT DOES NOT AUTOMATICALLY WIDEN THE LENDER’S SPREAD, and the delivered edition said it did: the interest-rate-risk note shows the lending book is overwhelmingly VARIABLE-rate, with only about a quarter of it fixed, so a cut passes through to the asset side as well as to the funding side.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27.97%</w:t>
            </w:r>
          </w:p>
        </w:tc>
        <w:tc>
          <w:tcPr>
            <w:tcW w:type="dxa" w:w="4320"/>
          </w:tcPr>
          <w:p>
            <w:pPr>
              <w:spacing w:after="20"/>
              <w:jc w:val="right"/>
            </w:pPr>
            <w:r>
              <w:rPr>
                <w:color w:val="1C3A36"/>
                <w:sz w:val="17"/>
              </w:rPr>
              <w:t>reproduces from the normalised rate plus beta times the premium; 29.05%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18.73%</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18.20%</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13.11%</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42.4% / 57.6%</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19.40%</w:t>
            </w:r>
          </w:p>
        </w:tc>
        <w:tc>
          <w:tcPr>
            <w:tcW w:type="dxa" w:w="4320"/>
          </w:tcPr>
          <w:p>
            <w:pPr>
              <w:spacing w:after="20"/>
              <w:jc w:val="right"/>
            </w:pPr>
            <w:r>
              <w:rPr>
                <w:color w:val="1C3A36"/>
                <w:sz w:val="17"/>
              </w:rPr>
              <w:t>19.86%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14.16%</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 Fourth, and it belongs here because a refusal can still leave a charge behind: the terminal spends 1.74 times its own book depreciation on capital expenditure — EGP 2,800 mn against 1,605 mn. A company replacing its base over the 10.9-to-17.1-year composite the filings support would spend about book depreciation grossed for cost inflation, so this terminal charges ABOVE replacement rather than below it. That is the one direction the inference runs without a sourced life, and it is the conservative one. And the beta’s own uncertainty is priced on the regression’s OWN standard error of 0.2041 rather than against a unit beta: one standard error either side is 0.6866 to 1.0947, which is a wider exposure than the distance to 1.0 and is the honest way to state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17.4%</w:t>
            </w:r>
          </w:p>
        </w:tc>
        <w:tc>
          <w:tcPr>
            <w:tcW w:type="dxa" w:w="1224"/>
            <w:shd w:val="clear" w:color="auto" w:fill="EAF0EE"/>
          </w:tcPr>
          <w:p>
            <w:pPr>
              <w:spacing w:after="20"/>
            </w:pPr>
            <w:r>
              <w:rPr>
                <w:b/>
                <w:color w:val="1C3A36"/>
                <w:sz w:val="17"/>
              </w:rPr>
              <w:t>18.4%</w:t>
            </w:r>
          </w:p>
        </w:tc>
        <w:tc>
          <w:tcPr>
            <w:tcW w:type="dxa" w:w="1224"/>
            <w:shd w:val="clear" w:color="auto" w:fill="EAF0EE"/>
          </w:tcPr>
          <w:p>
            <w:pPr>
              <w:spacing w:after="20"/>
            </w:pPr>
            <w:r>
              <w:rPr>
                <w:b/>
                <w:color w:val="1C3A36"/>
                <w:sz w:val="17"/>
              </w:rPr>
              <w:t>19.4%</w:t>
            </w:r>
          </w:p>
        </w:tc>
        <w:tc>
          <w:tcPr>
            <w:tcW w:type="dxa" w:w="1224"/>
            <w:shd w:val="clear" w:color="auto" w:fill="EAF0EE"/>
          </w:tcPr>
          <w:p>
            <w:pPr>
              <w:spacing w:after="20"/>
            </w:pPr>
            <w:r>
              <w:rPr>
                <w:b/>
                <w:color w:val="1C3A36"/>
                <w:sz w:val="17"/>
              </w:rPr>
              <w:t>20.4%</w:t>
            </w:r>
          </w:p>
        </w:tc>
        <w:tc>
          <w:tcPr>
            <w:tcW w:type="dxa" w:w="1224"/>
            <w:shd w:val="clear" w:color="auto" w:fill="EAF0EE"/>
          </w:tcPr>
          <w:p>
            <w:pPr>
              <w:spacing w:after="20"/>
            </w:pPr>
            <w:r>
              <w:rPr>
                <w:b/>
                <w:color w:val="1C3A36"/>
                <w:sz w:val="17"/>
              </w:rPr>
              <w:t>21.4%</w:t>
            </w:r>
          </w:p>
        </w:tc>
      </w:tr>
      <w:tr>
        <w:tc>
          <w:tcPr>
            <w:tcW w:type="dxa" w:w="3384"/>
          </w:tcPr>
          <w:p>
            <w:pPr>
              <w:spacing w:after="20"/>
            </w:pPr>
            <w:r>
              <w:rPr>
                <w:b/>
                <w:color w:val="1C3A36"/>
                <w:sz w:val="17"/>
              </w:rPr>
              <w:t>7,318</w:t>
            </w:r>
          </w:p>
        </w:tc>
        <w:tc>
          <w:tcPr>
            <w:tcW w:type="dxa" w:w="1224"/>
          </w:tcPr>
          <w:p>
            <w:pPr>
              <w:spacing w:after="20"/>
              <w:jc w:val="right"/>
            </w:pPr>
            <w:r>
              <w:rPr>
                <w:color w:val="1C3A36"/>
                <w:sz w:val="17"/>
              </w:rPr>
              <w:t>36.9</w:t>
            </w:r>
          </w:p>
        </w:tc>
        <w:tc>
          <w:tcPr>
            <w:tcW w:type="dxa" w:w="1224"/>
          </w:tcPr>
          <w:p>
            <w:pPr>
              <w:spacing w:after="20"/>
              <w:jc w:val="right"/>
            </w:pPr>
            <w:r>
              <w:rPr>
                <w:color w:val="1C3A36"/>
                <w:sz w:val="17"/>
              </w:rPr>
              <w:t>29.3</w:t>
            </w:r>
          </w:p>
        </w:tc>
        <w:tc>
          <w:tcPr>
            <w:tcW w:type="dxa" w:w="1224"/>
          </w:tcPr>
          <w:p>
            <w:pPr>
              <w:spacing w:after="20"/>
              <w:jc w:val="right"/>
            </w:pPr>
            <w:r>
              <w:rPr>
                <w:color w:val="1C3A36"/>
                <w:sz w:val="17"/>
              </w:rPr>
              <w:t>23.9</w:t>
            </w:r>
          </w:p>
        </w:tc>
        <w:tc>
          <w:tcPr>
            <w:tcW w:type="dxa" w:w="1224"/>
          </w:tcPr>
          <w:p>
            <w:pPr>
              <w:spacing w:after="20"/>
              <w:jc w:val="right"/>
            </w:pPr>
            <w:r>
              <w:rPr>
                <w:color w:val="1C3A36"/>
                <w:sz w:val="17"/>
              </w:rPr>
              <w:t>19.8</w:t>
            </w:r>
          </w:p>
        </w:tc>
        <w:tc>
          <w:tcPr>
            <w:tcW w:type="dxa" w:w="1224"/>
          </w:tcPr>
          <w:p>
            <w:pPr>
              <w:spacing w:after="20"/>
              <w:jc w:val="right"/>
            </w:pPr>
            <w:r>
              <w:rPr>
                <w:color w:val="1C3A36"/>
                <w:sz w:val="17"/>
              </w:rPr>
              <w:t>16.6</w:t>
            </w:r>
          </w:p>
        </w:tc>
      </w:tr>
      <w:tr>
        <w:tc>
          <w:tcPr>
            <w:tcW w:type="dxa" w:w="3384"/>
          </w:tcPr>
          <w:p>
            <w:pPr>
              <w:spacing w:after="20"/>
            </w:pPr>
            <w:r>
              <w:rPr>
                <w:b/>
                <w:color w:val="1C3A36"/>
                <w:sz w:val="17"/>
              </w:rPr>
              <w:t>14,636</w:t>
            </w:r>
          </w:p>
        </w:tc>
        <w:tc>
          <w:tcPr>
            <w:tcW w:type="dxa" w:w="1224"/>
          </w:tcPr>
          <w:p>
            <w:pPr>
              <w:spacing w:after="20"/>
              <w:jc w:val="right"/>
            </w:pPr>
            <w:r>
              <w:rPr>
                <w:color w:val="1C3A36"/>
                <w:sz w:val="17"/>
              </w:rPr>
              <w:t>43.6</w:t>
            </w:r>
          </w:p>
        </w:tc>
        <w:tc>
          <w:tcPr>
            <w:tcW w:type="dxa" w:w="1224"/>
          </w:tcPr>
          <w:p>
            <w:pPr>
              <w:spacing w:after="20"/>
              <w:jc w:val="right"/>
            </w:pPr>
            <w:r>
              <w:rPr>
                <w:color w:val="1C3A36"/>
                <w:sz w:val="17"/>
              </w:rPr>
              <w:t>36.1</w:t>
            </w:r>
          </w:p>
        </w:tc>
        <w:tc>
          <w:tcPr>
            <w:tcW w:type="dxa" w:w="1224"/>
          </w:tcPr>
          <w:p>
            <w:pPr>
              <w:spacing w:after="20"/>
              <w:jc w:val="right"/>
            </w:pPr>
            <w:r>
              <w:rPr>
                <w:color w:val="1C3A36"/>
                <w:sz w:val="17"/>
              </w:rPr>
              <w:t>30.6</w:t>
            </w:r>
          </w:p>
        </w:tc>
        <w:tc>
          <w:tcPr>
            <w:tcW w:type="dxa" w:w="1224"/>
          </w:tcPr>
          <w:p>
            <w:pPr>
              <w:spacing w:after="20"/>
              <w:jc w:val="right"/>
            </w:pPr>
            <w:r>
              <w:rPr>
                <w:color w:val="1C3A36"/>
                <w:sz w:val="17"/>
              </w:rPr>
              <w:t>26.6</w:t>
            </w:r>
          </w:p>
        </w:tc>
        <w:tc>
          <w:tcPr>
            <w:tcW w:type="dxa" w:w="1224"/>
          </w:tcPr>
          <w:p>
            <w:pPr>
              <w:spacing w:after="20"/>
              <w:jc w:val="right"/>
            </w:pPr>
            <w:r>
              <w:rPr>
                <w:color w:val="1C3A36"/>
                <w:sz w:val="17"/>
              </w:rPr>
              <w:t>23.4</w:t>
            </w:r>
          </w:p>
        </w:tc>
      </w:tr>
      <w:tr>
        <w:tc>
          <w:tcPr>
            <w:tcW w:type="dxa" w:w="3384"/>
          </w:tcPr>
          <w:p>
            <w:pPr>
              <w:spacing w:after="20"/>
            </w:pPr>
            <w:r>
              <w:rPr>
                <w:b/>
                <w:color w:val="1C3A36"/>
                <w:sz w:val="17"/>
              </w:rPr>
              <w:t>15,724  ‡</w:t>
            </w:r>
          </w:p>
        </w:tc>
        <w:tc>
          <w:tcPr>
            <w:tcW w:type="dxa" w:w="1224"/>
          </w:tcPr>
          <w:p>
            <w:pPr>
              <w:spacing w:after="20"/>
              <w:jc w:val="right"/>
            </w:pPr>
            <w:r>
              <w:rPr>
                <w:color w:val="1C3A36"/>
                <w:sz w:val="17"/>
              </w:rPr>
              <w:t>44.6</w:t>
            </w:r>
          </w:p>
        </w:tc>
        <w:tc>
          <w:tcPr>
            <w:tcW w:type="dxa" w:w="1224"/>
          </w:tcPr>
          <w:p>
            <w:pPr>
              <w:spacing w:after="20"/>
              <w:jc w:val="right"/>
            </w:pPr>
            <w:r>
              <w:rPr>
                <w:color w:val="1C3A36"/>
                <w:sz w:val="17"/>
              </w:rPr>
              <w:t>37.1</w:t>
            </w:r>
          </w:p>
        </w:tc>
        <w:tc>
          <w:tcPr>
            <w:tcW w:type="dxa" w:w="1224"/>
          </w:tcPr>
          <w:p>
            <w:pPr>
              <w:spacing w:after="20"/>
              <w:jc w:val="right"/>
            </w:pPr>
            <w:r>
              <w:rPr>
                <w:color w:val="1C3A36"/>
                <w:sz w:val="17"/>
              </w:rPr>
              <w:t>31.6</w:t>
            </w:r>
          </w:p>
        </w:tc>
        <w:tc>
          <w:tcPr>
            <w:tcW w:type="dxa" w:w="1224"/>
          </w:tcPr>
          <w:p>
            <w:pPr>
              <w:spacing w:after="20"/>
              <w:jc w:val="right"/>
            </w:pPr>
            <w:r>
              <w:rPr>
                <w:color w:val="1C3A36"/>
                <w:sz w:val="17"/>
              </w:rPr>
              <w:t>27.6</w:t>
            </w:r>
          </w:p>
        </w:tc>
        <w:tc>
          <w:tcPr>
            <w:tcW w:type="dxa" w:w="1224"/>
          </w:tcPr>
          <w:p>
            <w:pPr>
              <w:spacing w:after="20"/>
              <w:jc w:val="right"/>
            </w:pPr>
            <w:r>
              <w:rPr>
                <w:color w:val="1C3A36"/>
                <w:sz w:val="17"/>
              </w:rPr>
              <w:t>24.4</w:t>
            </w:r>
          </w:p>
        </w:tc>
      </w:tr>
      <w:tr>
        <w:tc>
          <w:tcPr>
            <w:tcW w:type="dxa" w:w="3384"/>
          </w:tcPr>
          <w:p>
            <w:pPr>
              <w:spacing w:after="20"/>
            </w:pPr>
            <w:r>
              <w:rPr>
                <w:b/>
                <w:color w:val="1C3A36"/>
                <w:sz w:val="17"/>
              </w:rPr>
              <w:t>21,954</w:t>
            </w:r>
          </w:p>
        </w:tc>
        <w:tc>
          <w:tcPr>
            <w:tcW w:type="dxa" w:w="1224"/>
          </w:tcPr>
          <w:p>
            <w:pPr>
              <w:spacing w:after="20"/>
              <w:jc w:val="right"/>
            </w:pPr>
            <w:r>
              <w:rPr>
                <w:color w:val="1C3A36"/>
                <w:sz w:val="17"/>
              </w:rPr>
              <w:t>50.4</w:t>
            </w:r>
          </w:p>
        </w:tc>
        <w:tc>
          <w:tcPr>
            <w:tcW w:type="dxa" w:w="1224"/>
          </w:tcPr>
          <w:p>
            <w:pPr>
              <w:spacing w:after="20"/>
              <w:jc w:val="right"/>
            </w:pPr>
            <w:r>
              <w:rPr>
                <w:color w:val="1C3A36"/>
                <w:sz w:val="17"/>
              </w:rPr>
              <w:t>42.8</w:t>
            </w:r>
          </w:p>
        </w:tc>
        <w:tc>
          <w:tcPr>
            <w:tcW w:type="dxa" w:w="1224"/>
          </w:tcPr>
          <w:p>
            <w:pPr>
              <w:spacing w:after="20"/>
              <w:jc w:val="right"/>
            </w:pPr>
            <w:r>
              <w:rPr>
                <w:color w:val="1C3A36"/>
                <w:sz w:val="17"/>
              </w:rPr>
              <w:t>37.4</w:t>
            </w:r>
          </w:p>
        </w:tc>
        <w:tc>
          <w:tcPr>
            <w:tcW w:type="dxa" w:w="1224"/>
          </w:tcPr>
          <w:p>
            <w:pPr>
              <w:spacing w:after="20"/>
              <w:jc w:val="right"/>
            </w:pPr>
            <w:r>
              <w:rPr>
                <w:color w:val="1C3A36"/>
                <w:sz w:val="17"/>
              </w:rPr>
              <w:t>33.3</w:t>
            </w:r>
          </w:p>
        </w:tc>
        <w:tc>
          <w:tcPr>
            <w:tcW w:type="dxa" w:w="1224"/>
          </w:tcPr>
          <w:p>
            <w:pPr>
              <w:spacing w:after="20"/>
              <w:jc w:val="right"/>
            </w:pPr>
            <w:r>
              <w:rPr>
                <w:color w:val="1C3A36"/>
                <w:sz w:val="17"/>
              </w:rPr>
              <w:t>30.1</w:t>
            </w:r>
          </w:p>
        </w:tc>
      </w:tr>
      <w:tr>
        <w:tc>
          <w:tcPr>
            <w:tcW w:type="dxa" w:w="3384"/>
          </w:tcPr>
          <w:p>
            <w:pPr>
              <w:spacing w:after="20"/>
            </w:pPr>
            <w:r>
              <w:rPr>
                <w:b/>
                <w:color w:val="1C3A36"/>
                <w:sz w:val="17"/>
              </w:rPr>
              <w:t>29,273  ‡</w:t>
            </w:r>
          </w:p>
        </w:tc>
        <w:tc>
          <w:tcPr>
            <w:tcW w:type="dxa" w:w="1224"/>
          </w:tcPr>
          <w:p>
            <w:pPr>
              <w:spacing w:after="20"/>
              <w:jc w:val="right"/>
            </w:pPr>
            <w:r>
              <w:rPr>
                <w:color w:val="1C3A36"/>
                <w:sz w:val="17"/>
              </w:rPr>
              <w:t>57.1</w:t>
            </w:r>
          </w:p>
        </w:tc>
        <w:tc>
          <w:tcPr>
            <w:tcW w:type="dxa" w:w="1224"/>
          </w:tcPr>
          <w:p>
            <w:pPr>
              <w:spacing w:after="20"/>
              <w:jc w:val="right"/>
            </w:pPr>
            <w:r>
              <w:rPr>
                <w:color w:val="1C3A36"/>
                <w:sz w:val="17"/>
              </w:rPr>
              <w:t>49.5</w:t>
            </w:r>
          </w:p>
        </w:tc>
        <w:tc>
          <w:tcPr>
            <w:tcW w:type="dxa" w:w="1224"/>
          </w:tcPr>
          <w:p>
            <w:pPr>
              <w:spacing w:after="20"/>
              <w:jc w:val="right"/>
            </w:pPr>
            <w:r>
              <w:rPr>
                <w:color w:val="1C3A36"/>
                <w:sz w:val="17"/>
              </w:rPr>
              <w:t>44.1</w:t>
            </w:r>
          </w:p>
        </w:tc>
        <w:tc>
          <w:tcPr>
            <w:tcW w:type="dxa" w:w="1224"/>
          </w:tcPr>
          <w:p>
            <w:pPr>
              <w:spacing w:after="20"/>
              <w:jc w:val="right"/>
            </w:pPr>
            <w:r>
              <w:rPr>
                <w:color w:val="1C3A36"/>
                <w:sz w:val="17"/>
              </w:rPr>
              <w:t>40.0</w:t>
            </w:r>
          </w:p>
        </w:tc>
        <w:tc>
          <w:tcPr>
            <w:tcW w:type="dxa" w:w="1224"/>
          </w:tcPr>
          <w:p>
            <w:pPr>
              <w:spacing w:after="20"/>
              <w:jc w:val="right"/>
            </w:pPr>
            <w:r>
              <w:rPr>
                <w:color w:val="1C3A36"/>
                <w:sz w:val="17"/>
              </w:rPr>
              <w:t>36.9</w:t>
            </w:r>
          </w:p>
        </w:tc>
      </w:tr>
    </w:tbl>
    <w:p>
      <w:pPr>
        <w:spacing w:after="40"/>
      </w:pPr>
    </w:p>
    <w:p>
      <w:pPr>
        <w:spacing w:after="200" w:before="0"/>
      </w:pPr>
      <w:r>
        <w:rPr>
          <w:b w:val="0"/>
          <w:i/>
          <w:color w:val="6E7B77"/>
          <w:sz w:val="17"/>
        </w:rPr>
        <w:t>Sum-of-the-parts fair value, EGP per share, spanning EGP 16.6 to 57.1 across the grid. The two rows marked ‡ are the study’s two published branches; the centre column is the model’s own first-year cost of capital of 19.40%.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17.4%</w:t>
            </w:r>
          </w:p>
        </w:tc>
        <w:tc>
          <w:tcPr>
            <w:tcW w:type="dxa" w:w="1368"/>
          </w:tcPr>
          <w:p>
            <w:pPr>
              <w:spacing w:after="20"/>
              <w:jc w:val="right"/>
            </w:pPr>
            <w:r>
              <w:rPr>
                <w:color w:val="1C3A36"/>
                <w:sz w:val="18"/>
              </w:rPr>
              <w:t>46.2</w:t>
            </w:r>
          </w:p>
        </w:tc>
        <w:tc>
          <w:tcPr>
            <w:tcW w:type="dxa" w:w="1368"/>
          </w:tcPr>
          <w:p>
            <w:pPr>
              <w:spacing w:after="20"/>
              <w:jc w:val="right"/>
            </w:pPr>
            <w:r>
              <w:rPr>
                <w:color w:val="1C3A36"/>
                <w:sz w:val="18"/>
              </w:rPr>
              <w:t>50.7</w:t>
            </w:r>
          </w:p>
        </w:tc>
        <w:tc>
          <w:tcPr>
            <w:tcW w:type="dxa" w:w="1368"/>
          </w:tcPr>
          <w:p>
            <w:pPr>
              <w:spacing w:after="20"/>
              <w:jc w:val="right"/>
            </w:pPr>
            <w:r>
              <w:rPr>
                <w:color w:val="1C3A36"/>
                <w:sz w:val="18"/>
              </w:rPr>
              <w:t>57.1</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18.4%</w:t>
            </w:r>
          </w:p>
        </w:tc>
        <w:tc>
          <w:tcPr>
            <w:tcW w:type="dxa" w:w="1368"/>
          </w:tcPr>
          <w:p>
            <w:pPr>
              <w:spacing w:after="20"/>
              <w:jc w:val="right"/>
            </w:pPr>
            <w:r>
              <w:rPr>
                <w:color w:val="1C3A36"/>
                <w:sz w:val="18"/>
              </w:rPr>
              <w:t>41.8</w:t>
            </w:r>
          </w:p>
        </w:tc>
        <w:tc>
          <w:tcPr>
            <w:tcW w:type="dxa" w:w="1368"/>
          </w:tcPr>
          <w:p>
            <w:pPr>
              <w:spacing w:after="20"/>
              <w:jc w:val="right"/>
            </w:pPr>
            <w:r>
              <w:rPr>
                <w:color w:val="1C3A36"/>
                <w:sz w:val="18"/>
              </w:rPr>
              <w:t>45.1</w:t>
            </w:r>
          </w:p>
        </w:tc>
        <w:tc>
          <w:tcPr>
            <w:tcW w:type="dxa" w:w="1368"/>
          </w:tcPr>
          <w:p>
            <w:pPr>
              <w:spacing w:after="20"/>
              <w:jc w:val="right"/>
            </w:pPr>
            <w:r>
              <w:rPr>
                <w:color w:val="1C3A36"/>
                <w:sz w:val="18"/>
              </w:rPr>
              <w:t>49.5</w:t>
            </w:r>
          </w:p>
        </w:tc>
        <w:tc>
          <w:tcPr>
            <w:tcW w:type="dxa" w:w="1368"/>
          </w:tcPr>
          <w:p>
            <w:pPr>
              <w:spacing w:after="20"/>
              <w:jc w:val="right"/>
            </w:pPr>
            <w:r>
              <w:rPr>
                <w:color w:val="1C3A36"/>
                <w:sz w:val="18"/>
              </w:rPr>
              <w:t>55.7</w:t>
            </w:r>
          </w:p>
        </w:tc>
        <w:tc>
          <w:tcPr>
            <w:tcW w:type="dxa" w:w="1368"/>
          </w:tcPr>
          <w:p>
            <w:pPr>
              <w:spacing w:after="20"/>
              <w:jc w:val="right"/>
            </w:pPr>
            <w:r>
              <w:rPr>
                <w:color w:val="1C3A36"/>
                <w:sz w:val="18"/>
              </w:rPr>
              <w:t>n.m.</w:t>
            </w:r>
          </w:p>
        </w:tc>
      </w:tr>
      <w:tr>
        <w:tc>
          <w:tcPr>
            <w:tcW w:type="dxa" w:w="2736"/>
          </w:tcPr>
          <w:p>
            <w:pPr>
              <w:spacing w:after="20"/>
            </w:pPr>
            <w:r>
              <w:rPr>
                <w:b/>
                <w:color w:val="1C3A36"/>
                <w:sz w:val="18"/>
              </w:rPr>
              <w:t>19.4%</w:t>
            </w:r>
          </w:p>
        </w:tc>
        <w:tc>
          <w:tcPr>
            <w:tcW w:type="dxa" w:w="1368"/>
          </w:tcPr>
          <w:p>
            <w:pPr>
              <w:spacing w:after="20"/>
              <w:jc w:val="right"/>
            </w:pPr>
            <w:r>
              <w:rPr>
                <w:color w:val="1C3A36"/>
                <w:sz w:val="18"/>
              </w:rPr>
              <w:t>38.4</w:t>
            </w:r>
          </w:p>
        </w:tc>
        <w:tc>
          <w:tcPr>
            <w:tcW w:type="dxa" w:w="1368"/>
          </w:tcPr>
          <w:p>
            <w:pPr>
              <w:spacing w:after="20"/>
              <w:jc w:val="right"/>
            </w:pPr>
            <w:r>
              <w:rPr>
                <w:color w:val="1C3A36"/>
                <w:sz w:val="18"/>
              </w:rPr>
              <w:t>40.9</w:t>
            </w:r>
          </w:p>
        </w:tc>
        <w:tc>
          <w:tcPr>
            <w:tcW w:type="dxa" w:w="1368"/>
          </w:tcPr>
          <w:p>
            <w:pPr>
              <w:spacing w:after="20"/>
              <w:jc w:val="right"/>
            </w:pPr>
            <w:r>
              <w:rPr>
                <w:color w:val="1C3A36"/>
                <w:sz w:val="18"/>
              </w:rPr>
              <w:t>44.1</w:t>
            </w:r>
          </w:p>
        </w:tc>
        <w:tc>
          <w:tcPr>
            <w:tcW w:type="dxa" w:w="1368"/>
          </w:tcPr>
          <w:p>
            <w:pPr>
              <w:spacing w:after="20"/>
              <w:jc w:val="right"/>
            </w:pPr>
            <w:r>
              <w:rPr>
                <w:color w:val="1C3A36"/>
                <w:sz w:val="18"/>
              </w:rPr>
              <w:t>48.4</w:t>
            </w:r>
          </w:p>
        </w:tc>
        <w:tc>
          <w:tcPr>
            <w:tcW w:type="dxa" w:w="1368"/>
          </w:tcPr>
          <w:p>
            <w:pPr>
              <w:spacing w:after="20"/>
              <w:jc w:val="right"/>
            </w:pPr>
            <w:r>
              <w:rPr>
                <w:color w:val="1C3A36"/>
                <w:sz w:val="18"/>
              </w:rPr>
              <w:t>54.3</w:t>
            </w:r>
          </w:p>
        </w:tc>
      </w:tr>
      <w:tr>
        <w:tc>
          <w:tcPr>
            <w:tcW w:type="dxa" w:w="2736"/>
          </w:tcPr>
          <w:p>
            <w:pPr>
              <w:spacing w:after="20"/>
            </w:pPr>
            <w:r>
              <w:rPr>
                <w:b/>
                <w:color w:val="1C3A36"/>
                <w:sz w:val="18"/>
              </w:rPr>
              <w:t>20.4%</w:t>
            </w:r>
          </w:p>
        </w:tc>
        <w:tc>
          <w:tcPr>
            <w:tcW w:type="dxa" w:w="1368"/>
          </w:tcPr>
          <w:p>
            <w:pPr>
              <w:spacing w:after="20"/>
              <w:jc w:val="right"/>
            </w:pPr>
            <w:r>
              <w:rPr>
                <w:color w:val="1C3A36"/>
                <w:sz w:val="18"/>
              </w:rPr>
              <w:t>35.6</w:t>
            </w:r>
          </w:p>
        </w:tc>
        <w:tc>
          <w:tcPr>
            <w:tcW w:type="dxa" w:w="1368"/>
          </w:tcPr>
          <w:p>
            <w:pPr>
              <w:spacing w:after="20"/>
              <w:jc w:val="right"/>
            </w:pPr>
            <w:r>
              <w:rPr>
                <w:color w:val="1C3A36"/>
                <w:sz w:val="18"/>
              </w:rPr>
              <w:t>37.6</w:t>
            </w:r>
          </w:p>
        </w:tc>
        <w:tc>
          <w:tcPr>
            <w:tcW w:type="dxa" w:w="1368"/>
          </w:tcPr>
          <w:p>
            <w:pPr>
              <w:spacing w:after="20"/>
              <w:jc w:val="right"/>
            </w:pPr>
            <w:r>
              <w:rPr>
                <w:color w:val="1C3A36"/>
                <w:sz w:val="18"/>
              </w:rPr>
              <w:t>40.0</w:t>
            </w:r>
          </w:p>
        </w:tc>
        <w:tc>
          <w:tcPr>
            <w:tcW w:type="dxa" w:w="1368"/>
          </w:tcPr>
          <w:p>
            <w:pPr>
              <w:spacing w:after="20"/>
              <w:jc w:val="right"/>
            </w:pPr>
            <w:r>
              <w:rPr>
                <w:color w:val="1C3A36"/>
                <w:sz w:val="18"/>
              </w:rPr>
              <w:t>43.2</w:t>
            </w:r>
          </w:p>
        </w:tc>
        <w:tc>
          <w:tcPr>
            <w:tcW w:type="dxa" w:w="1368"/>
          </w:tcPr>
          <w:p>
            <w:pPr>
              <w:spacing w:after="20"/>
              <w:jc w:val="right"/>
            </w:pPr>
            <w:r>
              <w:rPr>
                <w:color w:val="1C3A36"/>
                <w:sz w:val="18"/>
              </w:rPr>
              <w:t>47.3</w:t>
            </w:r>
          </w:p>
        </w:tc>
      </w:tr>
      <w:tr>
        <w:tc>
          <w:tcPr>
            <w:tcW w:type="dxa" w:w="2736"/>
          </w:tcPr>
          <w:p>
            <w:pPr>
              <w:spacing w:after="20"/>
            </w:pPr>
            <w:r>
              <w:rPr>
                <w:b/>
                <w:color w:val="1C3A36"/>
                <w:sz w:val="18"/>
              </w:rPr>
              <w:t>21.4%</w:t>
            </w:r>
          </w:p>
        </w:tc>
        <w:tc>
          <w:tcPr>
            <w:tcW w:type="dxa" w:w="1368"/>
          </w:tcPr>
          <w:p>
            <w:pPr>
              <w:spacing w:after="20"/>
              <w:jc w:val="right"/>
            </w:pPr>
            <w:r>
              <w:rPr>
                <w:color w:val="1C3A36"/>
                <w:sz w:val="18"/>
              </w:rPr>
              <w:t>33.4</w:t>
            </w:r>
          </w:p>
        </w:tc>
        <w:tc>
          <w:tcPr>
            <w:tcW w:type="dxa" w:w="1368"/>
          </w:tcPr>
          <w:p>
            <w:pPr>
              <w:spacing w:after="20"/>
              <w:jc w:val="right"/>
            </w:pPr>
            <w:r>
              <w:rPr>
                <w:color w:val="1C3A36"/>
                <w:sz w:val="18"/>
              </w:rPr>
              <w:t>35.0</w:t>
            </w:r>
          </w:p>
        </w:tc>
        <w:tc>
          <w:tcPr>
            <w:tcW w:type="dxa" w:w="1368"/>
          </w:tcPr>
          <w:p>
            <w:pPr>
              <w:spacing w:after="20"/>
              <w:jc w:val="right"/>
            </w:pPr>
            <w:r>
              <w:rPr>
                <w:color w:val="1C3A36"/>
                <w:sz w:val="18"/>
              </w:rPr>
              <w:t>36.9</w:t>
            </w:r>
          </w:p>
        </w:tc>
        <w:tc>
          <w:tcPr>
            <w:tcW w:type="dxa" w:w="1368"/>
          </w:tcPr>
          <w:p>
            <w:pPr>
              <w:spacing w:after="20"/>
              <w:jc w:val="right"/>
            </w:pPr>
            <w:r>
              <w:rPr>
                <w:color w:val="1C3A36"/>
                <w:sz w:val="18"/>
              </w:rPr>
              <w:t>39.2</w:t>
            </w:r>
          </w:p>
        </w:tc>
        <w:tc>
          <w:tcPr>
            <w:tcW w:type="dxa" w:w="1368"/>
          </w:tcPr>
          <w:p>
            <w:pPr>
              <w:spacing w:after="20"/>
              <w:jc w:val="right"/>
            </w:pPr>
            <w:r>
              <w:rPr>
                <w:color w:val="1C3A36"/>
                <w:sz w:val="18"/>
              </w:rPr>
              <w:t>42.2</w:t>
            </w:r>
          </w:p>
        </w:tc>
      </w:tr>
    </w:tbl>
    <w:p>
      <w:pPr>
        <w:spacing w:after="40"/>
      </w:pPr>
    </w:p>
    <w:p>
      <w:pPr>
        <w:spacing w:after="200" w:before="0"/>
      </w:pPr>
      <w:r>
        <w:rPr>
          <w:b w:val="0"/>
          <w:i/>
          <w:color w:val="6E7B77"/>
          <w:sz w:val="17"/>
        </w:rPr>
        <w:t>Sum-of-the-parts fair value on the round-price branch, EGP per share. The centre cell, 19.4% against 7.0%, is EGP 44.1 — the published branch. Both axes are centred on the model's own build rather than on round numbers. On the carrying-value branch every cell is EGP 12.48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30.69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26.80 – 35.18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rather than an assumption about where value sits; how often the bands built around it have actually held is published at the end of this section.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The rows above are the DISCRETE events and they do not sum to the whole: the remainder is carried by the continuous factors, which have no single dated event behind them, and its magnitude is printed in the row beneath rather than left as a residue a reader has to solve for.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24.03</w:t>
            </w:r>
          </w:p>
        </w:tc>
        <w:tc>
          <w:tcPr>
            <w:tcW w:type="dxa" w:w="1440"/>
          </w:tcPr>
          <w:p>
            <w:pPr>
              <w:spacing w:after="20"/>
              <w:jc w:val="right"/>
            </w:pPr>
            <w:r>
              <w:rPr>
                <w:color w:val="1C3A36"/>
                <w:sz w:val="18"/>
              </w:rPr>
              <w:t>27.64</w:t>
            </w:r>
          </w:p>
        </w:tc>
        <w:tc>
          <w:tcPr>
            <w:tcW w:type="dxa" w:w="1440"/>
          </w:tcPr>
          <w:p>
            <w:pPr>
              <w:spacing w:after="20"/>
              <w:jc w:val="right"/>
            </w:pPr>
            <w:r>
              <w:rPr>
                <w:color w:val="1C3A36"/>
                <w:sz w:val="18"/>
              </w:rPr>
              <w:t>29.91</w:t>
            </w:r>
          </w:p>
        </w:tc>
        <w:tc>
          <w:tcPr>
            <w:tcW w:type="dxa" w:w="1440"/>
          </w:tcPr>
          <w:p>
            <w:pPr>
              <w:spacing w:after="20"/>
              <w:jc w:val="right"/>
            </w:pPr>
            <w:r>
              <w:rPr>
                <w:color w:val="1C3A36"/>
                <w:sz w:val="18"/>
              </w:rPr>
              <w:t>32.37</w:t>
            </w:r>
          </w:p>
        </w:tc>
        <w:tc>
          <w:tcPr>
            <w:tcW w:type="dxa" w:w="1440"/>
          </w:tcPr>
          <w:p>
            <w:pPr>
              <w:spacing w:after="20"/>
              <w:jc w:val="right"/>
            </w:pPr>
            <w:r>
              <w:rPr>
                <w:color w:val="1C3A36"/>
                <w:sz w:val="18"/>
              </w:rPr>
              <w:t>37.31</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21.00</w:t>
            </w:r>
          </w:p>
        </w:tc>
        <w:tc>
          <w:tcPr>
            <w:tcW w:type="dxa" w:w="1440"/>
          </w:tcPr>
          <w:p>
            <w:pPr>
              <w:spacing w:after="20"/>
              <w:jc w:val="right"/>
            </w:pPr>
            <w:r>
              <w:rPr>
                <w:color w:val="1C3A36"/>
                <w:sz w:val="18"/>
              </w:rPr>
              <w:t>26.80</w:t>
            </w:r>
          </w:p>
        </w:tc>
        <w:tc>
          <w:tcPr>
            <w:tcW w:type="dxa" w:w="1440"/>
          </w:tcPr>
          <w:p>
            <w:pPr>
              <w:spacing w:after="20"/>
              <w:jc w:val="right"/>
            </w:pPr>
            <w:r>
              <w:rPr>
                <w:color w:val="1C3A36"/>
                <w:sz w:val="18"/>
              </w:rPr>
              <w:t>30.69</w:t>
            </w:r>
          </w:p>
        </w:tc>
        <w:tc>
          <w:tcPr>
            <w:tcW w:type="dxa" w:w="1440"/>
          </w:tcPr>
          <w:p>
            <w:pPr>
              <w:spacing w:after="20"/>
              <w:jc w:val="right"/>
            </w:pPr>
            <w:r>
              <w:rPr>
                <w:color w:val="1C3A36"/>
                <w:sz w:val="18"/>
              </w:rPr>
              <w:t>35.18</w:t>
            </w:r>
          </w:p>
        </w:tc>
        <w:tc>
          <w:tcPr>
            <w:tcW w:type="dxa" w:w="1440"/>
          </w:tcPr>
          <w:p>
            <w:pPr>
              <w:spacing w:after="20"/>
              <w:jc w:val="right"/>
            </w:pPr>
            <w:r>
              <w:rPr>
                <w:color w:val="1C3A36"/>
                <w:sz w:val="18"/>
              </w:rPr>
              <w:t>44.89</w:t>
            </w:r>
          </w:p>
        </w:tc>
      </w:tr>
    </w:tbl>
    <w:p>
      <w:pPr>
        <w:spacing w:after="40"/>
      </w:pPr>
    </w:p>
    <w:p>
      <w:pPr>
        <w:spacing w:after="120" w:before="0"/>
      </w:pPr>
      <w:r>
        <w:rPr>
          <w:b w:val="0"/>
          <w:i w:val="0"/>
          <w:color w:val="1C3A36"/>
          <w:sz w:val="19"/>
        </w:rPr>
        <w:t>Lead with the 50% band rather than the tails: a quarter ahead, half of all paths finish between EGP 26.80 and 35.18; at one month the band is EGP 27.64–32.37.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44.89, so both branches sit inside the cone’s upper tail.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18%</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6%</w:t>
            </w:r>
          </w:p>
        </w:tc>
        <w:tc>
          <w:tcPr>
            <w:tcW w:type="dxa" w:w="2016"/>
          </w:tcPr>
          <w:p>
            <w:pPr>
              <w:spacing w:after="20"/>
              <w:jc w:val="right"/>
            </w:pPr>
            <w:r>
              <w:rPr>
                <w:color w:val="1C3A36"/>
                <w:sz w:val="18"/>
              </w:rPr>
              <w:t>26%</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12%</w:t>
            </w:r>
          </w:p>
        </w:tc>
        <w:tc>
          <w:tcPr>
            <w:tcW w:type="dxa" w:w="2016"/>
          </w:tcPr>
          <w:p>
            <w:pPr>
              <w:spacing w:after="20"/>
              <w:jc w:val="right"/>
            </w:pPr>
            <w:r>
              <w:rPr>
                <w:color w:val="1C3A36"/>
                <w:sz w:val="18"/>
              </w:rPr>
              <w:t>36%</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23%</w:t>
            </w:r>
          </w:p>
        </w:tc>
        <w:tc>
          <w:tcPr>
            <w:tcW w:type="dxa" w:w="2016"/>
          </w:tcPr>
          <w:p>
            <w:pPr>
              <w:spacing w:after="20"/>
              <w:jc w:val="right"/>
            </w:pPr>
            <w:r>
              <w:rPr>
                <w:color w:val="1C3A36"/>
                <w:sz w:val="18"/>
              </w:rPr>
              <w:t>51%</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46%</w:t>
            </w:r>
          </w:p>
        </w:tc>
        <w:tc>
          <w:tcPr>
            <w:tcW w:type="dxa" w:w="2016"/>
          </w:tcPr>
          <w:p>
            <w:pPr>
              <w:spacing w:after="20"/>
              <w:jc w:val="right"/>
            </w:pPr>
            <w:r>
              <w:rPr>
                <w:color w:val="1C3A36"/>
                <w:sz w:val="18"/>
              </w:rPr>
              <w:t>69%</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81%</w:t>
            </w:r>
          </w:p>
        </w:tc>
        <w:tc>
          <w:tcPr>
            <w:tcW w:type="dxa" w:w="2016"/>
          </w:tcPr>
          <w:p>
            <w:pPr>
              <w:spacing w:after="20"/>
              <w:jc w:val="right"/>
            </w:pPr>
            <w:r>
              <w:rPr>
                <w:color w:val="1C3A36"/>
                <w:sz w:val="18"/>
              </w:rPr>
              <w:t>90%</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53%</w:t>
            </w:r>
          </w:p>
        </w:tc>
        <w:tc>
          <w:tcPr>
            <w:tcW w:type="dxa" w:w="2016"/>
          </w:tcPr>
          <w:p>
            <w:pPr>
              <w:spacing w:after="20"/>
              <w:jc w:val="right"/>
            </w:pPr>
            <w:r>
              <w:rPr>
                <w:color w:val="1C3A36"/>
                <w:sz w:val="18"/>
              </w:rPr>
              <w:t>68%</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22%</w:t>
            </w:r>
          </w:p>
        </w:tc>
        <w:tc>
          <w:tcPr>
            <w:tcW w:type="dxa" w:w="2016"/>
          </w:tcPr>
          <w:p>
            <w:pPr>
              <w:spacing w:after="20"/>
              <w:jc w:val="right"/>
            </w:pPr>
            <w:r>
              <w:rPr>
                <w:color w:val="1C3A36"/>
                <w:sz w:val="18"/>
              </w:rPr>
              <w:t>42%</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80" w:before="200"/>
      </w:pPr>
      <w:r>
        <w:rPr>
          <w:b/>
          <w:i w:val="0"/>
          <w:color w:val="1C3A36"/>
          <w:sz w:val="24"/>
        </w:rPr>
        <w:t>How often these bands have actually held</w:t>
      </w:r>
    </w:p>
    <w:p>
      <w:pPr>
        <w:spacing w:after="120" w:before="0"/>
      </w:pPr>
      <w:r>
        <w:rPr>
          <w:b w:val="0"/>
          <w:i w:val="0"/>
          <w:color w:val="1C3A36"/>
          <w:sz w:val="21"/>
        </w:rPr>
        <w:t>A cone is only worth what its record says. Over 57 resolved three-month forecasts on this stock — every one struck, frozen and then graded against the close on its own stated date — the price finished inside the 90% band 95% of the time, against a 90% target, and inside the middle 50% band 60% of the time against a 50% target. THE COUNT IS PRINTED BESIDE THE PERCENTAGE because a percentage without its count is the number that misleads, and 57 resolved windows is a long record for a single name rather than a short one — long enough for the figure to tell an honest cone from a broken one.</w:t>
      </w:r>
    </w:p>
    <w:p>
      <w:pPr>
        <w:spacing w:after="120" w:before="0"/>
      </w:pPr>
      <w:r>
        <w:rPr>
          <w:b w:val="0"/>
          <w:i w:val="0"/>
          <w:color w:val="1C3A36"/>
          <w:sz w:val="21"/>
        </w:rPr>
        <w:t>One more figure is disclosed and carries no threshold: this cone’s 90% band is 1.42 times as wide as a naive carry-anchored one. That ratio is published because a band can hold as often as it promises simply by being too wide to be useful, and a reader is entitled to see how wide. It is NOT a pass mark and nothing here is graded against it — a wider band is not automatically wrong where the tail it covers is real, and Egyptian three-month moves have a real tail. What the record above supports is a BAND, not an edge, and the difference is the whole reason the counts are printed.</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31.64 and 44.12 — +9% and +52% against the price — on the two bases GB Corp itself publishes for one asset, while its cross-checks sit either side of the traded price at EGP 18.08 on forward earnings and EGP 30.82 on disclosed book. The technical picture has turned: the price came off its short averages with negative momentum and sits in the middle of its own 52-week range. The probabilistic map is the one piece untouched by any of this: its median (30.69)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31.64 (+9%)</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44.12 (+52%)</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18.08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30.69; p5–p95 21.00–44.89</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29.3 bn. What the traded price leaves for ALL the associates together is EGP 13.3 bn. Strip the associate leg out and what remains — the auto business and the lender — is 58%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18.08 to 44.12,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160 mn of free cash flow against EGP 4,005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21%</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25%</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drift measured on this stock’s own history plus fat-tailed innovations put 15% of terminal mass above EGP 38. Read that against the band record earlier in §3: over 57 resolved three-month forecasts this cone’s 90% band has contained the close 95% of the time against a 90% target. That is evidence about the WIDTH of the cone and says nothing about the direction of its median.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29.3 bn. Both are the company’s own disclosures; the filings do not decide between them and neither does this study. The two answers, EGP 31.64 and 44.12,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22.6% of revenue to 22.6%.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85% of the auto leg’s enterprise value is terminal value, at a terminal spread of 7.16%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25.49% on the round-price branch against this study’s 19.40%, and 20.02%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upward median rests on a drift measured on this stock’s own history and on nothing else. What that supports is set out in §3 and is a claim about the WIDTH of the band rather than about the direction of its middle: over 57 resolved three-month forecasts the price finished inside the 90% band 95% of the time against a 90% target. A regime turn would flip the median read; the drift is re-tested at every roll-forward and cut the moment the record stops holding.</w:t>
      </w:r>
    </w:p>
    <w:p>
      <w:pPr>
        <w:pStyle w:val="ListBullet"/>
        <w:spacing w:after="60"/>
      </w:pPr>
      <w:r>
        <w:rPr>
          <w:b/>
          <w:color w:val="1C3A36"/>
          <w:sz w:val="21"/>
        </w:rPr>
        <w:t xml:space="preserve">The lender is a credit cycle, and its mark is a return the cycle sets. </w:t>
      </w:r>
      <w:r>
        <w:rPr>
          <w:color w:val="1C3A36"/>
          <w:sz w:val="21"/>
        </w:rPr>
        <w:t>GB Capital is marked at 0.08× its operating equity because a reviewed return of 7.90% against a terminal cost of equity of 18.73% supports that and no more. On the FY2025 full-year return of 7.53% the same arithmetic gives EGP 283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86,799</w:t>
            </w:r>
          </w:p>
        </w:tc>
        <w:tc>
          <w:tcPr>
            <w:tcW w:type="dxa" w:w="1368"/>
          </w:tcPr>
          <w:p>
            <w:pPr>
              <w:spacing w:after="20"/>
              <w:jc w:val="right"/>
            </w:pPr>
            <w:r>
              <w:rPr>
                <w:color w:val="1C3A36"/>
                <w:sz w:val="16"/>
              </w:rPr>
              <w:t>146,694</w:t>
            </w:r>
          </w:p>
        </w:tc>
        <w:tc>
          <w:tcPr>
            <w:tcW w:type="dxa" w:w="1368"/>
          </w:tcPr>
          <w:p>
            <w:pPr>
              <w:spacing w:after="20"/>
              <w:jc w:val="right"/>
            </w:pPr>
            <w:r>
              <w:rPr>
                <w:color w:val="1C3A36"/>
                <w:sz w:val="16"/>
              </w:rPr>
              <w:t>327,112</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75,660</w:t>
            </w:r>
          </w:p>
        </w:tc>
        <w:tc>
          <w:tcPr>
            <w:tcW w:type="dxa" w:w="1368"/>
          </w:tcPr>
          <w:p>
            <w:pPr>
              <w:spacing w:after="20"/>
              <w:jc w:val="right"/>
            </w:pPr>
            <w:r>
              <w:rPr>
                <w:color w:val="1C3A36"/>
                <w:sz w:val="16"/>
              </w:rPr>
              <w:t>169,640</w:t>
            </w:r>
          </w:p>
        </w:tc>
        <w:tc>
          <w:tcPr>
            <w:tcW w:type="dxa" w:w="1368"/>
          </w:tcPr>
          <w:p>
            <w:pPr>
              <w:spacing w:after="20"/>
              <w:jc w:val="right"/>
            </w:pPr>
            <w:r>
              <w:rPr>
                <w:color w:val="1C3A36"/>
                <w:sz w:val="16"/>
              </w:rPr>
              <w:t>305,963</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65,346</w:t>
            </w:r>
          </w:p>
        </w:tc>
        <w:tc>
          <w:tcPr>
            <w:tcW w:type="dxa" w:w="1368"/>
          </w:tcPr>
          <w:p>
            <w:pPr>
              <w:spacing w:after="20"/>
              <w:jc w:val="right"/>
            </w:pPr>
            <w:r>
              <w:rPr>
                <w:color w:val="1C3A36"/>
                <w:sz w:val="16"/>
              </w:rPr>
              <w:t>192,932</w:t>
            </w:r>
          </w:p>
        </w:tc>
        <w:tc>
          <w:tcPr>
            <w:tcW w:type="dxa" w:w="1368"/>
          </w:tcPr>
          <w:p>
            <w:pPr>
              <w:spacing w:after="20"/>
              <w:jc w:val="right"/>
            </w:pPr>
            <w:r>
              <w:rPr>
                <w:color w:val="1C3A36"/>
                <w:sz w:val="16"/>
              </w:rPr>
              <w:t>393,871</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20,671</w:t>
            </w:r>
          </w:p>
        </w:tc>
        <w:tc>
          <w:tcPr>
            <w:tcW w:type="dxa" w:w="1368"/>
          </w:tcPr>
          <w:p>
            <w:pPr>
              <w:spacing w:after="20"/>
              <w:jc w:val="right"/>
            </w:pPr>
            <w:r>
              <w:rPr>
                <w:color w:val="1C3A36"/>
                <w:sz w:val="16"/>
              </w:rPr>
              <w:t>22,814</w:t>
            </w:r>
          </w:p>
        </w:tc>
        <w:tc>
          <w:tcPr>
            <w:tcW w:type="dxa" w:w="1368"/>
          </w:tcPr>
          <w:p>
            <w:pPr>
              <w:spacing w:after="20"/>
              <w:jc w:val="right"/>
            </w:pPr>
            <w:r>
              <w:rPr>
                <w:color w:val="1C3A36"/>
                <w:sz w:val="16"/>
              </w:rPr>
              <w:t>34,918</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24,623</w:t>
            </w:r>
          </w:p>
        </w:tc>
        <w:tc>
          <w:tcPr>
            <w:tcW w:type="dxa" w:w="1368"/>
          </w:tcPr>
          <w:p>
            <w:pPr>
              <w:spacing w:after="20"/>
              <w:jc w:val="right"/>
            </w:pPr>
            <w:r>
              <w:rPr>
                <w:color w:val="1C3A36"/>
                <w:sz w:val="16"/>
              </w:rPr>
              <w:t>26,537</w:t>
            </w:r>
          </w:p>
        </w:tc>
        <w:tc>
          <w:tcPr>
            <w:tcW w:type="dxa" w:w="1368"/>
          </w:tcPr>
          <w:p>
            <w:pPr>
              <w:spacing w:after="20"/>
              <w:jc w:val="right"/>
            </w:pPr>
            <w:r>
              <w:rPr>
                <w:color w:val="1C3A36"/>
                <w:sz w:val="16"/>
              </w:rPr>
              <w:t>48,445</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19,103</w:t>
            </w:r>
          </w:p>
        </w:tc>
        <w:tc>
          <w:tcPr>
            <w:tcW w:type="dxa" w:w="1368"/>
          </w:tcPr>
          <w:p>
            <w:pPr>
              <w:spacing w:after="20"/>
              <w:jc w:val="right"/>
            </w:pPr>
            <w:r>
              <w:rPr>
                <w:color w:val="1C3A36"/>
                <w:sz w:val="16"/>
              </w:rPr>
              <w:t>30,366</w:t>
            </w:r>
          </w:p>
        </w:tc>
        <w:tc>
          <w:tcPr>
            <w:tcW w:type="dxa" w:w="1368"/>
          </w:tcPr>
          <w:p>
            <w:pPr>
              <w:spacing w:after="20"/>
              <w:jc w:val="right"/>
            </w:pPr>
            <w:r>
              <w:rPr>
                <w:color w:val="1C3A36"/>
                <w:sz w:val="16"/>
              </w:rPr>
              <w:t>58,485</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13,082</w:t>
            </w:r>
          </w:p>
        </w:tc>
        <w:tc>
          <w:tcPr>
            <w:tcW w:type="dxa" w:w="1368"/>
          </w:tcPr>
          <w:p>
            <w:pPr>
              <w:spacing w:after="20"/>
              <w:jc w:val="right"/>
            </w:pPr>
            <w:r>
              <w:rPr>
                <w:color w:val="1C3A36"/>
                <w:sz w:val="16"/>
              </w:rPr>
              <w:t>12,545</w:t>
            </w:r>
          </w:p>
        </w:tc>
        <w:tc>
          <w:tcPr>
            <w:tcW w:type="dxa" w:w="1368"/>
          </w:tcPr>
          <w:p>
            <w:pPr>
              <w:spacing w:after="20"/>
              <w:jc w:val="right"/>
            </w:pPr>
            <w:r>
              <w:rPr>
                <w:color w:val="1C3A36"/>
                <w:sz w:val="16"/>
              </w:rPr>
              <w:t>24,640</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15,578</w:t>
            </w:r>
          </w:p>
        </w:tc>
        <w:tc>
          <w:tcPr>
            <w:tcW w:type="dxa" w:w="1368"/>
          </w:tcPr>
          <w:p>
            <w:pPr>
              <w:spacing w:after="20"/>
              <w:jc w:val="right"/>
            </w:pPr>
            <w:r>
              <w:rPr>
                <w:color w:val="1C3A36"/>
                <w:sz w:val="16"/>
              </w:rPr>
              <w:t>14,747</w:t>
            </w:r>
          </w:p>
        </w:tc>
        <w:tc>
          <w:tcPr>
            <w:tcW w:type="dxa" w:w="1368"/>
          </w:tcPr>
          <w:p>
            <w:pPr>
              <w:spacing w:after="20"/>
              <w:jc w:val="right"/>
            </w:pPr>
            <w:r>
              <w:rPr>
                <w:color w:val="1C3A36"/>
                <w:sz w:val="16"/>
              </w:rPr>
              <w:t>33,333</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14,470</w:t>
            </w:r>
          </w:p>
        </w:tc>
        <w:tc>
          <w:tcPr>
            <w:tcW w:type="dxa" w:w="1368"/>
          </w:tcPr>
          <w:p>
            <w:pPr>
              <w:spacing w:after="20"/>
              <w:jc w:val="right"/>
            </w:pPr>
            <w:r>
              <w:rPr>
                <w:color w:val="1C3A36"/>
                <w:sz w:val="16"/>
              </w:rPr>
              <w:t>17,053</w:t>
            </w:r>
          </w:p>
        </w:tc>
        <w:tc>
          <w:tcPr>
            <w:tcW w:type="dxa" w:w="1368"/>
          </w:tcPr>
          <w:p>
            <w:pPr>
              <w:spacing w:after="20"/>
              <w:jc w:val="right"/>
            </w:pPr>
            <w:r>
              <w:rPr>
                <w:color w:val="1C3A36"/>
                <w:sz w:val="16"/>
              </w:rPr>
              <w:t>39,102</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8,772</w:t>
            </w:r>
          </w:p>
        </w:tc>
        <w:tc>
          <w:tcPr>
            <w:tcW w:type="dxa" w:w="1368"/>
          </w:tcPr>
          <w:p>
            <w:pPr>
              <w:spacing w:after="20"/>
              <w:jc w:val="right"/>
            </w:pPr>
            <w:r>
              <w:rPr>
                <w:color w:val="1C3A36"/>
                <w:sz w:val="16"/>
              </w:rPr>
              <w:t>7,135</w:t>
            </w:r>
          </w:p>
        </w:tc>
        <w:tc>
          <w:tcPr>
            <w:tcW w:type="dxa" w:w="1368"/>
          </w:tcPr>
          <w:p>
            <w:pPr>
              <w:spacing w:after="20"/>
              <w:jc w:val="right"/>
            </w:pPr>
            <w:r>
              <w:rPr>
                <w:color w:val="1C3A36"/>
                <w:sz w:val="16"/>
              </w:rPr>
              <w:t>16,335</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15,073</w:t>
            </w:r>
          </w:p>
        </w:tc>
        <w:tc>
          <w:tcPr>
            <w:tcW w:type="dxa" w:w="1368"/>
          </w:tcPr>
          <w:p>
            <w:pPr>
              <w:spacing w:after="20"/>
              <w:jc w:val="right"/>
            </w:pPr>
            <w:r>
              <w:rPr>
                <w:color w:val="1C3A36"/>
                <w:sz w:val="16"/>
              </w:rPr>
              <w:t>8,952</w:t>
            </w:r>
          </w:p>
        </w:tc>
        <w:tc>
          <w:tcPr>
            <w:tcW w:type="dxa" w:w="1368"/>
          </w:tcPr>
          <w:p>
            <w:pPr>
              <w:spacing w:after="20"/>
              <w:jc w:val="right"/>
            </w:pPr>
            <w:r>
              <w:rPr>
                <w:color w:val="1C3A36"/>
                <w:sz w:val="16"/>
              </w:rPr>
              <w:t>28,424</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30,104</w:t>
            </w:r>
          </w:p>
        </w:tc>
        <w:tc>
          <w:tcPr>
            <w:tcW w:type="dxa" w:w="1368"/>
          </w:tcPr>
          <w:p>
            <w:pPr>
              <w:spacing w:after="20"/>
              <w:jc w:val="right"/>
            </w:pPr>
            <w:r>
              <w:rPr>
                <w:color w:val="1C3A36"/>
                <w:sz w:val="16"/>
              </w:rPr>
              <w:t>10,802</w:t>
            </w:r>
          </w:p>
        </w:tc>
        <w:tc>
          <w:tcPr>
            <w:tcW w:type="dxa" w:w="1368"/>
          </w:tcPr>
          <w:p>
            <w:pPr>
              <w:spacing w:after="20"/>
              <w:jc w:val="right"/>
            </w:pPr>
            <w:r>
              <w:rPr>
                <w:color w:val="1C3A36"/>
                <w:sz w:val="16"/>
              </w:rPr>
              <w:t>30,104</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79,677</w:t>
            </w:r>
          </w:p>
        </w:tc>
        <w:tc>
          <w:tcPr>
            <w:tcW w:type="dxa" w:w="1296"/>
          </w:tcPr>
          <w:p>
            <w:pPr>
              <w:spacing w:after="20"/>
              <w:jc w:val="right"/>
            </w:pPr>
            <w:r>
              <w:rPr>
                <w:color w:val="1C3A36"/>
                <w:sz w:val="16"/>
              </w:rPr>
              <w:t>96,864</w:t>
            </w:r>
          </w:p>
        </w:tc>
        <w:tc>
          <w:tcPr>
            <w:tcW w:type="dxa" w:w="1296"/>
          </w:tcPr>
          <w:p>
            <w:pPr>
              <w:spacing w:after="20"/>
              <w:jc w:val="right"/>
            </w:pPr>
            <w:r>
              <w:rPr>
                <w:color w:val="1C3A36"/>
                <w:sz w:val="16"/>
              </w:rPr>
              <w:t>113,587</w:t>
            </w:r>
          </w:p>
        </w:tc>
        <w:tc>
          <w:tcPr>
            <w:tcW w:type="dxa" w:w="1296"/>
          </w:tcPr>
          <w:p>
            <w:pPr>
              <w:spacing w:after="20"/>
              <w:jc w:val="right"/>
            </w:pPr>
            <w:r>
              <w:rPr>
                <w:color w:val="1C3A36"/>
                <w:sz w:val="16"/>
              </w:rPr>
              <w:t>129,841</w:t>
            </w:r>
          </w:p>
        </w:tc>
        <w:tc>
          <w:tcPr>
            <w:tcW w:type="dxa" w:w="1296"/>
          </w:tcPr>
          <w:p>
            <w:pPr>
              <w:spacing w:after="20"/>
              <w:jc w:val="right"/>
            </w:pPr>
            <w:r>
              <w:rPr>
                <w:color w:val="1C3A36"/>
                <w:sz w:val="16"/>
              </w:rPr>
              <w:t>145,889</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-1,112</w:t>
            </w:r>
          </w:p>
        </w:tc>
        <w:tc>
          <w:tcPr>
            <w:tcW w:type="dxa" w:w="1296"/>
          </w:tcPr>
          <w:p>
            <w:pPr>
              <w:spacing w:after="20"/>
              <w:jc w:val="right"/>
            </w:pPr>
            <w:r>
              <w:rPr>
                <w:color w:val="1C3A36"/>
                <w:sz w:val="16"/>
              </w:rPr>
              <w:t>-1,371</w:t>
            </w:r>
          </w:p>
        </w:tc>
        <w:tc>
          <w:tcPr>
            <w:tcW w:type="dxa" w:w="1296"/>
          </w:tcPr>
          <w:p>
            <w:pPr>
              <w:spacing w:after="20"/>
              <w:jc w:val="right"/>
            </w:pPr>
            <w:r>
              <w:rPr>
                <w:color w:val="1C3A36"/>
                <w:sz w:val="16"/>
              </w:rPr>
              <w:t>-1,632</w:t>
            </w:r>
          </w:p>
        </w:tc>
        <w:tc>
          <w:tcPr>
            <w:tcW w:type="dxa" w:w="1296"/>
          </w:tcPr>
          <w:p>
            <w:pPr>
              <w:spacing w:after="20"/>
              <w:jc w:val="right"/>
            </w:pPr>
            <w:r>
              <w:rPr>
                <w:color w:val="1C3A36"/>
                <w:sz w:val="16"/>
              </w:rPr>
              <w:t>-1,887</w:t>
            </w:r>
          </w:p>
        </w:tc>
        <w:tc>
          <w:tcPr>
            <w:tcW w:type="dxa" w:w="1296"/>
          </w:tcPr>
          <w:p>
            <w:pPr>
              <w:spacing w:after="20"/>
              <w:jc w:val="right"/>
            </w:pPr>
            <w:r>
              <w:rPr>
                <w:color w:val="1C3A36"/>
                <w:sz w:val="16"/>
              </w:rPr>
              <w:t>-2,146</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99,943</w:t>
            </w:r>
          </w:p>
        </w:tc>
        <w:tc>
          <w:tcPr>
            <w:tcW w:type="dxa" w:w="1296"/>
            <w:shd w:val="clear" w:color="auto" w:fill="F6F1E6"/>
          </w:tcPr>
          <w:p>
            <w:pPr>
              <w:spacing w:after="20"/>
              <w:jc w:val="right"/>
            </w:pPr>
            <w:r>
              <w:rPr>
                <w:b/>
                <w:color w:val="1C3A36"/>
                <w:sz w:val="16"/>
              </w:rPr>
              <w:t>123,283</w:t>
            </w:r>
          </w:p>
        </w:tc>
        <w:tc>
          <w:tcPr>
            <w:tcW w:type="dxa" w:w="1296"/>
            <w:shd w:val="clear" w:color="auto" w:fill="F6F1E6"/>
          </w:tcPr>
          <w:p>
            <w:pPr>
              <w:spacing w:after="20"/>
              <w:jc w:val="right"/>
            </w:pPr>
            <w:r>
              <w:rPr>
                <w:b/>
                <w:color w:val="1C3A36"/>
                <w:sz w:val="16"/>
              </w:rPr>
              <w:t>146,694</w:t>
            </w:r>
          </w:p>
        </w:tc>
        <w:tc>
          <w:tcPr>
            <w:tcW w:type="dxa" w:w="1296"/>
            <w:shd w:val="clear" w:color="auto" w:fill="F6F1E6"/>
          </w:tcPr>
          <w:p>
            <w:pPr>
              <w:spacing w:after="20"/>
              <w:jc w:val="right"/>
            </w:pPr>
            <w:r>
              <w:rPr>
                <w:b/>
                <w:color w:val="1C3A36"/>
                <w:sz w:val="16"/>
              </w:rPr>
              <w:t>169,640</w:t>
            </w:r>
          </w:p>
        </w:tc>
        <w:tc>
          <w:tcPr>
            <w:tcW w:type="dxa" w:w="1296"/>
            <w:shd w:val="clear" w:color="auto" w:fill="F6F1E6"/>
          </w:tcPr>
          <w:p>
            <w:pPr>
              <w:spacing w:after="20"/>
              <w:jc w:val="right"/>
            </w:pPr>
            <w:r>
              <w:rPr>
                <w:b/>
                <w:color w:val="1C3A36"/>
                <w:sz w:val="16"/>
              </w:rPr>
              <w:t>192,932</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14,792</w:t>
            </w:r>
          </w:p>
        </w:tc>
        <w:tc>
          <w:tcPr>
            <w:tcW w:type="dxa" w:w="1296"/>
          </w:tcPr>
          <w:p>
            <w:pPr>
              <w:spacing w:after="20"/>
              <w:jc w:val="right"/>
            </w:pPr>
            <w:r>
              <w:rPr>
                <w:color w:val="1C3A36"/>
                <w:sz w:val="16"/>
              </w:rPr>
              <w:t>18,761</w:t>
            </w:r>
          </w:p>
        </w:tc>
        <w:tc>
          <w:tcPr>
            <w:tcW w:type="dxa" w:w="1296"/>
          </w:tcPr>
          <w:p>
            <w:pPr>
              <w:spacing w:after="20"/>
              <w:jc w:val="right"/>
            </w:pPr>
            <w:r>
              <w:rPr>
                <w:color w:val="1C3A36"/>
                <w:sz w:val="16"/>
              </w:rPr>
              <w:t>22,814</w:t>
            </w:r>
          </w:p>
        </w:tc>
        <w:tc>
          <w:tcPr>
            <w:tcW w:type="dxa" w:w="1296"/>
          </w:tcPr>
          <w:p>
            <w:pPr>
              <w:spacing w:after="20"/>
              <w:jc w:val="right"/>
            </w:pPr>
            <w:r>
              <w:rPr>
                <w:color w:val="1C3A36"/>
                <w:sz w:val="16"/>
              </w:rPr>
              <w:t>26,537</w:t>
            </w:r>
          </w:p>
        </w:tc>
        <w:tc>
          <w:tcPr>
            <w:tcW w:type="dxa" w:w="1296"/>
          </w:tcPr>
          <w:p>
            <w:pPr>
              <w:spacing w:after="20"/>
              <w:jc w:val="right"/>
            </w:pPr>
            <w:r>
              <w:rPr>
                <w:color w:val="1C3A36"/>
                <w:sz w:val="16"/>
              </w:rPr>
              <w:t>30,366</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-7,995</w:t>
            </w:r>
          </w:p>
        </w:tc>
        <w:tc>
          <w:tcPr>
            <w:tcW w:type="dxa" w:w="1296"/>
          </w:tcPr>
          <w:p>
            <w:pPr>
              <w:spacing w:after="20"/>
              <w:jc w:val="right"/>
            </w:pPr>
            <w:r>
              <w:rPr>
                <w:color w:val="1C3A36"/>
                <w:sz w:val="16"/>
              </w:rPr>
              <w:t>-9,739</w:t>
            </w:r>
          </w:p>
        </w:tc>
        <w:tc>
          <w:tcPr>
            <w:tcW w:type="dxa" w:w="1296"/>
          </w:tcPr>
          <w:p>
            <w:pPr>
              <w:spacing w:after="20"/>
              <w:jc w:val="right"/>
            </w:pPr>
            <w:r>
              <w:rPr>
                <w:color w:val="1C3A36"/>
                <w:sz w:val="16"/>
              </w:rPr>
              <w:t>-11,442</w:t>
            </w:r>
          </w:p>
        </w:tc>
        <w:tc>
          <w:tcPr>
            <w:tcW w:type="dxa" w:w="1296"/>
          </w:tcPr>
          <w:p>
            <w:pPr>
              <w:spacing w:after="20"/>
              <w:jc w:val="right"/>
            </w:pPr>
            <w:r>
              <w:rPr>
                <w:color w:val="1C3A36"/>
                <w:sz w:val="16"/>
              </w:rPr>
              <w:t>-13,147</w:t>
            </w:r>
          </w:p>
        </w:tc>
        <w:tc>
          <w:tcPr>
            <w:tcW w:type="dxa" w:w="1296"/>
          </w:tcPr>
          <w:p>
            <w:pPr>
              <w:spacing w:after="20"/>
              <w:jc w:val="right"/>
            </w:pPr>
            <w:r>
              <w:rPr>
                <w:color w:val="1C3A36"/>
                <w:sz w:val="16"/>
              </w:rPr>
              <w:t>-14,856</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1,356</w:t>
            </w:r>
          </w:p>
        </w:tc>
        <w:tc>
          <w:tcPr>
            <w:tcW w:type="dxa" w:w="1296"/>
          </w:tcPr>
          <w:p>
            <w:pPr>
              <w:spacing w:after="20"/>
              <w:jc w:val="right"/>
            </w:pPr>
            <w:r>
              <w:rPr>
                <w:color w:val="1C3A36"/>
                <w:sz w:val="16"/>
              </w:rPr>
              <w:t>1,614</w:t>
            </w:r>
          </w:p>
        </w:tc>
        <w:tc>
          <w:tcPr>
            <w:tcW w:type="dxa" w:w="1296"/>
          </w:tcPr>
          <w:p>
            <w:pPr>
              <w:spacing w:after="20"/>
              <w:jc w:val="right"/>
            </w:pPr>
            <w:r>
              <w:rPr>
                <w:color w:val="1C3A36"/>
                <w:sz w:val="16"/>
              </w:rPr>
              <w:t>1,866</w:t>
            </w:r>
          </w:p>
        </w:tc>
        <w:tc>
          <w:tcPr>
            <w:tcW w:type="dxa" w:w="1296"/>
          </w:tcPr>
          <w:p>
            <w:pPr>
              <w:spacing w:after="20"/>
              <w:jc w:val="right"/>
            </w:pPr>
            <w:r>
              <w:rPr>
                <w:color w:val="1C3A36"/>
                <w:sz w:val="16"/>
              </w:rPr>
              <w:t>2,122</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-300</w:t>
            </w:r>
          </w:p>
        </w:tc>
        <w:tc>
          <w:tcPr>
            <w:tcW w:type="dxa" w:w="1296"/>
          </w:tcPr>
          <w:p>
            <w:pPr>
              <w:spacing w:after="20"/>
              <w:jc w:val="right"/>
            </w:pPr>
            <w:r>
              <w:rPr>
                <w:color w:val="1C3A36"/>
                <w:sz w:val="16"/>
              </w:rPr>
              <w:t>-370</w:t>
            </w:r>
          </w:p>
        </w:tc>
        <w:tc>
          <w:tcPr>
            <w:tcW w:type="dxa" w:w="1296"/>
          </w:tcPr>
          <w:p>
            <w:pPr>
              <w:spacing w:after="20"/>
              <w:jc w:val="right"/>
            </w:pPr>
            <w:r>
              <w:rPr>
                <w:color w:val="1C3A36"/>
                <w:sz w:val="16"/>
              </w:rPr>
              <w:t>-440</w:t>
            </w:r>
          </w:p>
        </w:tc>
        <w:tc>
          <w:tcPr>
            <w:tcW w:type="dxa" w:w="1296"/>
          </w:tcPr>
          <w:p>
            <w:pPr>
              <w:spacing w:after="20"/>
              <w:jc w:val="right"/>
            </w:pPr>
            <w:r>
              <w:rPr>
                <w:color w:val="1C3A36"/>
                <w:sz w:val="16"/>
              </w:rPr>
              <w:t>-509</w:t>
            </w:r>
          </w:p>
        </w:tc>
        <w:tc>
          <w:tcPr>
            <w:tcW w:type="dxa" w:w="1296"/>
          </w:tcPr>
          <w:p>
            <w:pPr>
              <w:spacing w:after="20"/>
              <w:jc w:val="right"/>
            </w:pPr>
            <w:r>
              <w:rPr>
                <w:color w:val="1C3A36"/>
                <w:sz w:val="16"/>
              </w:rPr>
              <w:t>-579</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7,596</w:t>
            </w:r>
          </w:p>
        </w:tc>
        <w:tc>
          <w:tcPr>
            <w:tcW w:type="dxa" w:w="1296"/>
            <w:shd w:val="clear" w:color="auto" w:fill="F6F1E6"/>
          </w:tcPr>
          <w:p>
            <w:pPr>
              <w:spacing w:after="20"/>
              <w:jc w:val="right"/>
            </w:pPr>
            <w:r>
              <w:rPr>
                <w:b/>
                <w:color w:val="1C3A36"/>
                <w:sz w:val="16"/>
              </w:rPr>
              <w:t>10,008</w:t>
            </w:r>
          </w:p>
        </w:tc>
        <w:tc>
          <w:tcPr>
            <w:tcW w:type="dxa" w:w="1296"/>
            <w:shd w:val="clear" w:color="auto" w:fill="F6F1E6"/>
          </w:tcPr>
          <w:p>
            <w:pPr>
              <w:spacing w:after="20"/>
              <w:jc w:val="right"/>
            </w:pPr>
            <w:r>
              <w:rPr>
                <w:b/>
                <w:color w:val="1C3A36"/>
                <w:sz w:val="16"/>
              </w:rPr>
              <w:t>12,545</w:t>
            </w:r>
          </w:p>
        </w:tc>
        <w:tc>
          <w:tcPr>
            <w:tcW w:type="dxa" w:w="1296"/>
            <w:shd w:val="clear" w:color="auto" w:fill="F6F1E6"/>
          </w:tcPr>
          <w:p>
            <w:pPr>
              <w:spacing w:after="20"/>
              <w:jc w:val="right"/>
            </w:pPr>
            <w:r>
              <w:rPr>
                <w:b/>
                <w:color w:val="1C3A36"/>
                <w:sz w:val="16"/>
              </w:rPr>
              <w:t>14,747</w:t>
            </w:r>
          </w:p>
        </w:tc>
        <w:tc>
          <w:tcPr>
            <w:tcW w:type="dxa" w:w="1296"/>
            <w:shd w:val="clear" w:color="auto" w:fill="F6F1E6"/>
          </w:tcPr>
          <w:p>
            <w:pPr>
              <w:spacing w:after="20"/>
              <w:jc w:val="right"/>
            </w:pPr>
            <w:r>
              <w:rPr>
                <w:b/>
                <w:color w:val="1C3A36"/>
                <w:sz w:val="16"/>
              </w:rPr>
              <w:t>17,053</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8,846</w:t>
            </w:r>
          </w:p>
        </w:tc>
        <w:tc>
          <w:tcPr>
            <w:tcW w:type="dxa" w:w="1296"/>
            <w:shd w:val="clear" w:color="auto" w:fill="F6F1E6"/>
          </w:tcPr>
          <w:p>
            <w:pPr>
              <w:spacing w:after="20"/>
              <w:jc w:val="right"/>
            </w:pPr>
            <w:r>
              <w:rPr>
                <w:b/>
                <w:color w:val="1C3A36"/>
                <w:sz w:val="16"/>
              </w:rPr>
              <w:t>11,438</w:t>
            </w:r>
          </w:p>
        </w:tc>
        <w:tc>
          <w:tcPr>
            <w:tcW w:type="dxa" w:w="1296"/>
            <w:shd w:val="clear" w:color="auto" w:fill="F6F1E6"/>
          </w:tcPr>
          <w:p>
            <w:pPr>
              <w:spacing w:after="20"/>
              <w:jc w:val="right"/>
            </w:pPr>
            <w:r>
              <w:rPr>
                <w:b/>
                <w:color w:val="1C3A36"/>
                <w:sz w:val="16"/>
              </w:rPr>
              <w:t>14,175</w:t>
            </w:r>
          </w:p>
        </w:tc>
        <w:tc>
          <w:tcPr>
            <w:tcW w:type="dxa" w:w="1296"/>
            <w:shd w:val="clear" w:color="auto" w:fill="F6F1E6"/>
          </w:tcPr>
          <w:p>
            <w:pPr>
              <w:spacing w:after="20"/>
              <w:jc w:val="right"/>
            </w:pPr>
            <w:r>
              <w:rPr>
                <w:b/>
                <w:color w:val="1C3A36"/>
                <w:sz w:val="16"/>
              </w:rPr>
              <w:t>16,577</w:t>
            </w:r>
          </w:p>
        </w:tc>
        <w:tc>
          <w:tcPr>
            <w:tcW w:type="dxa" w:w="1296"/>
            <w:shd w:val="clear" w:color="auto" w:fill="F6F1E6"/>
          </w:tcPr>
          <w:p>
            <w:pPr>
              <w:spacing w:after="20"/>
              <w:jc w:val="right"/>
            </w:pPr>
            <w:r>
              <w:rPr>
                <w:b/>
                <w:color w:val="1C3A36"/>
                <w:sz w:val="16"/>
              </w:rPr>
              <w:t>19,083</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-4,581</w:t>
            </w:r>
          </w:p>
        </w:tc>
        <w:tc>
          <w:tcPr>
            <w:tcW w:type="dxa" w:w="1296"/>
          </w:tcPr>
          <w:p>
            <w:pPr>
              <w:spacing w:after="20"/>
              <w:jc w:val="right"/>
            </w:pPr>
            <w:r>
              <w:rPr>
                <w:color w:val="1C3A36"/>
                <w:sz w:val="16"/>
              </w:rPr>
              <w:t>-4,293</w:t>
            </w:r>
          </w:p>
        </w:tc>
        <w:tc>
          <w:tcPr>
            <w:tcW w:type="dxa" w:w="1296"/>
          </w:tcPr>
          <w:p>
            <w:pPr>
              <w:spacing w:after="20"/>
              <w:jc w:val="right"/>
            </w:pPr>
            <w:r>
              <w:rPr>
                <w:color w:val="1C3A36"/>
                <w:sz w:val="16"/>
              </w:rPr>
              <w:t>-4,063</w:t>
            </w:r>
          </w:p>
        </w:tc>
        <w:tc>
          <w:tcPr>
            <w:tcW w:type="dxa" w:w="1296"/>
          </w:tcPr>
          <w:p>
            <w:pPr>
              <w:spacing w:after="20"/>
              <w:jc w:val="right"/>
            </w:pPr>
            <w:r>
              <w:rPr>
                <w:color w:val="1C3A36"/>
                <w:sz w:val="16"/>
              </w:rPr>
              <w:t>-3,890</w:t>
            </w:r>
          </w:p>
        </w:tc>
        <w:tc>
          <w:tcPr>
            <w:tcW w:type="dxa" w:w="1296"/>
          </w:tcPr>
          <w:p>
            <w:pPr>
              <w:spacing w:after="20"/>
              <w:jc w:val="right"/>
            </w:pPr>
            <w:r>
              <w:rPr>
                <w:color w:val="1C3A36"/>
                <w:sz w:val="16"/>
              </w:rPr>
              <w:t>-3,775</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4,265</w:t>
            </w:r>
          </w:p>
        </w:tc>
        <w:tc>
          <w:tcPr>
            <w:tcW w:type="dxa" w:w="1296"/>
            <w:shd w:val="clear" w:color="auto" w:fill="F6F1E6"/>
          </w:tcPr>
          <w:p>
            <w:pPr>
              <w:spacing w:after="20"/>
              <w:jc w:val="right"/>
            </w:pPr>
            <w:r>
              <w:rPr>
                <w:b/>
                <w:color w:val="1C3A36"/>
                <w:sz w:val="16"/>
              </w:rPr>
              <w:t>7,144</w:t>
            </w:r>
          </w:p>
        </w:tc>
        <w:tc>
          <w:tcPr>
            <w:tcW w:type="dxa" w:w="1296"/>
            <w:shd w:val="clear" w:color="auto" w:fill="F6F1E6"/>
          </w:tcPr>
          <w:p>
            <w:pPr>
              <w:spacing w:after="20"/>
              <w:jc w:val="right"/>
            </w:pPr>
            <w:r>
              <w:rPr>
                <w:b/>
                <w:color w:val="1C3A36"/>
                <w:sz w:val="16"/>
              </w:rPr>
              <w:t>10,112</w:t>
            </w:r>
          </w:p>
        </w:tc>
        <w:tc>
          <w:tcPr>
            <w:tcW w:type="dxa" w:w="1296"/>
            <w:shd w:val="clear" w:color="auto" w:fill="F6F1E6"/>
          </w:tcPr>
          <w:p>
            <w:pPr>
              <w:spacing w:after="20"/>
              <w:jc w:val="right"/>
            </w:pPr>
            <w:r>
              <w:rPr>
                <w:b/>
                <w:color w:val="1C3A36"/>
                <w:sz w:val="16"/>
              </w:rPr>
              <w:t>12,687</w:t>
            </w:r>
          </w:p>
        </w:tc>
        <w:tc>
          <w:tcPr>
            <w:tcW w:type="dxa" w:w="1296"/>
            <w:shd w:val="clear" w:color="auto" w:fill="F6F1E6"/>
          </w:tcPr>
          <w:p>
            <w:pPr>
              <w:spacing w:after="20"/>
              <w:jc w:val="right"/>
            </w:pPr>
            <w:r>
              <w:rPr>
                <w:b/>
                <w:color w:val="1C3A36"/>
                <w:sz w:val="16"/>
              </w:rPr>
              <w:t>15,309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-1,194</w:t>
            </w:r>
          </w:p>
        </w:tc>
        <w:tc>
          <w:tcPr>
            <w:tcW w:type="dxa" w:w="1296"/>
          </w:tcPr>
          <w:p>
            <w:pPr>
              <w:spacing w:after="20"/>
              <w:jc w:val="right"/>
            </w:pPr>
            <w:r>
              <w:rPr>
                <w:color w:val="1C3A36"/>
                <w:sz w:val="16"/>
              </w:rPr>
              <w:t>-2,000</w:t>
            </w:r>
          </w:p>
        </w:tc>
        <w:tc>
          <w:tcPr>
            <w:tcW w:type="dxa" w:w="1296"/>
          </w:tcPr>
          <w:p>
            <w:pPr>
              <w:spacing w:after="20"/>
              <w:jc w:val="right"/>
            </w:pPr>
            <w:r>
              <w:rPr>
                <w:color w:val="1C3A36"/>
                <w:sz w:val="16"/>
              </w:rPr>
              <w:t>-2,831</w:t>
            </w:r>
          </w:p>
        </w:tc>
        <w:tc>
          <w:tcPr>
            <w:tcW w:type="dxa" w:w="1296"/>
          </w:tcPr>
          <w:p>
            <w:pPr>
              <w:spacing w:after="20"/>
              <w:jc w:val="right"/>
            </w:pPr>
            <w:r>
              <w:rPr>
                <w:color w:val="1C3A36"/>
                <w:sz w:val="16"/>
              </w:rPr>
              <w:t>-3,552</w:t>
            </w:r>
          </w:p>
        </w:tc>
        <w:tc>
          <w:tcPr>
            <w:tcW w:type="dxa" w:w="1296"/>
          </w:tcPr>
          <w:p>
            <w:pPr>
              <w:spacing w:after="20"/>
              <w:jc w:val="right"/>
            </w:pPr>
            <w:r>
              <w:rPr>
                <w:color w:val="1C3A36"/>
                <w:sz w:val="16"/>
              </w:rPr>
              <w:t>-4,286</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3,071</w:t>
            </w:r>
          </w:p>
        </w:tc>
        <w:tc>
          <w:tcPr>
            <w:tcW w:type="dxa" w:w="1296"/>
            <w:shd w:val="clear" w:color="auto" w:fill="F6F1E6"/>
          </w:tcPr>
          <w:p>
            <w:pPr>
              <w:spacing w:after="20"/>
              <w:jc w:val="right"/>
            </w:pPr>
            <w:r>
              <w:rPr>
                <w:b/>
                <w:color w:val="1C3A36"/>
                <w:sz w:val="16"/>
              </w:rPr>
              <w:t>5,144</w:t>
            </w:r>
          </w:p>
        </w:tc>
        <w:tc>
          <w:tcPr>
            <w:tcW w:type="dxa" w:w="1296"/>
            <w:shd w:val="clear" w:color="auto" w:fill="F6F1E6"/>
          </w:tcPr>
          <w:p>
            <w:pPr>
              <w:spacing w:after="20"/>
              <w:jc w:val="right"/>
            </w:pPr>
            <w:r>
              <w:rPr>
                <w:b/>
                <w:color w:val="1C3A36"/>
                <w:sz w:val="16"/>
              </w:rPr>
              <w:t>7,281</w:t>
            </w:r>
          </w:p>
        </w:tc>
        <w:tc>
          <w:tcPr>
            <w:tcW w:type="dxa" w:w="1296"/>
            <w:shd w:val="clear" w:color="auto" w:fill="F6F1E6"/>
          </w:tcPr>
          <w:p>
            <w:pPr>
              <w:spacing w:after="20"/>
              <w:jc w:val="right"/>
            </w:pPr>
            <w:r>
              <w:rPr>
                <w:b/>
                <w:color w:val="1C3A36"/>
                <w:sz w:val="16"/>
              </w:rPr>
              <w:t>9,134</w:t>
            </w:r>
          </w:p>
        </w:tc>
        <w:tc>
          <w:tcPr>
            <w:tcW w:type="dxa" w:w="1296"/>
            <w:shd w:val="clear" w:color="auto" w:fill="F6F1E6"/>
          </w:tcPr>
          <w:p>
            <w:pPr>
              <w:spacing w:after="20"/>
              <w:jc w:val="right"/>
            </w:pPr>
            <w:r>
              <w:rPr>
                <w:b/>
                <w:color w:val="1C3A36"/>
                <w:sz w:val="16"/>
              </w:rPr>
              <w:t>11,022</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-61</w:t>
            </w:r>
          </w:p>
        </w:tc>
        <w:tc>
          <w:tcPr>
            <w:tcW w:type="dxa" w:w="1296"/>
          </w:tcPr>
          <w:p>
            <w:pPr>
              <w:spacing w:after="20"/>
              <w:jc w:val="right"/>
            </w:pPr>
            <w:r>
              <w:rPr>
                <w:color w:val="1C3A36"/>
                <w:sz w:val="16"/>
              </w:rPr>
              <w:t>-103</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-183</w:t>
            </w:r>
          </w:p>
        </w:tc>
        <w:tc>
          <w:tcPr>
            <w:tcW w:type="dxa" w:w="1296"/>
          </w:tcPr>
          <w:p>
            <w:pPr>
              <w:spacing w:after="20"/>
              <w:jc w:val="right"/>
            </w:pPr>
            <w:r>
              <w:rPr>
                <w:color w:val="1C3A36"/>
                <w:sz w:val="16"/>
              </w:rPr>
              <w:t>-220</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3,009</w:t>
            </w:r>
          </w:p>
        </w:tc>
        <w:tc>
          <w:tcPr>
            <w:tcW w:type="dxa" w:w="1296"/>
            <w:shd w:val="clear" w:color="auto" w:fill="F6F1E6"/>
          </w:tcPr>
          <w:p>
            <w:pPr>
              <w:spacing w:after="20"/>
              <w:jc w:val="right"/>
            </w:pPr>
            <w:r>
              <w:rPr>
                <w:b/>
                <w:color w:val="1C3A36"/>
                <w:sz w:val="16"/>
              </w:rPr>
              <w:t>5,041</w:t>
            </w:r>
          </w:p>
        </w:tc>
        <w:tc>
          <w:tcPr>
            <w:tcW w:type="dxa" w:w="1296"/>
            <w:shd w:val="clear" w:color="auto" w:fill="F6F1E6"/>
          </w:tcPr>
          <w:p>
            <w:pPr>
              <w:spacing w:after="20"/>
              <w:jc w:val="right"/>
            </w:pPr>
            <w:r>
              <w:rPr>
                <w:b/>
                <w:color w:val="1C3A36"/>
                <w:sz w:val="16"/>
              </w:rPr>
              <w:t>7,135</w:t>
            </w:r>
          </w:p>
        </w:tc>
        <w:tc>
          <w:tcPr>
            <w:tcW w:type="dxa" w:w="1296"/>
            <w:shd w:val="clear" w:color="auto" w:fill="F6F1E6"/>
          </w:tcPr>
          <w:p>
            <w:pPr>
              <w:spacing w:after="20"/>
              <w:jc w:val="right"/>
            </w:pPr>
            <w:r>
              <w:rPr>
                <w:b/>
                <w:color w:val="1C3A36"/>
                <w:sz w:val="16"/>
              </w:rPr>
              <w:t>8,952</w:t>
            </w:r>
          </w:p>
        </w:tc>
        <w:tc>
          <w:tcPr>
            <w:tcW w:type="dxa" w:w="1296"/>
            <w:shd w:val="clear" w:color="auto" w:fill="F6F1E6"/>
          </w:tcPr>
          <w:p>
            <w:pPr>
              <w:spacing w:after="20"/>
              <w:jc w:val="right"/>
            </w:pPr>
            <w:r>
              <w:rPr>
                <w:b/>
                <w:color w:val="1C3A36"/>
                <w:sz w:val="16"/>
              </w:rPr>
              <w:t>10,802</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14.80%</w:t>
            </w:r>
          </w:p>
        </w:tc>
        <w:tc>
          <w:tcPr>
            <w:tcW w:type="dxa" w:w="1296"/>
          </w:tcPr>
          <w:p>
            <w:pPr>
              <w:spacing w:after="20"/>
              <w:jc w:val="right"/>
            </w:pPr>
            <w:r>
              <w:rPr>
                <w:color w:val="1C3A36"/>
                <w:sz w:val="16"/>
              </w:rPr>
              <w:t>15.22%</w:t>
            </w:r>
          </w:p>
        </w:tc>
        <w:tc>
          <w:tcPr>
            <w:tcW w:type="dxa" w:w="1296"/>
          </w:tcPr>
          <w:p>
            <w:pPr>
              <w:spacing w:after="20"/>
              <w:jc w:val="right"/>
            </w:pPr>
            <w:r>
              <w:rPr>
                <w:color w:val="1C3A36"/>
                <w:sz w:val="16"/>
              </w:rPr>
              <w:t>15.55%</w:t>
            </w:r>
          </w:p>
        </w:tc>
        <w:tc>
          <w:tcPr>
            <w:tcW w:type="dxa" w:w="1296"/>
          </w:tcPr>
          <w:p>
            <w:pPr>
              <w:spacing w:after="20"/>
              <w:jc w:val="right"/>
            </w:pPr>
            <w:r>
              <w:rPr>
                <w:color w:val="1C3A36"/>
                <w:sz w:val="16"/>
              </w:rPr>
              <w:t>15.64%</w:t>
            </w:r>
          </w:p>
        </w:tc>
        <w:tc>
          <w:tcPr>
            <w:tcW w:type="dxa" w:w="1296"/>
          </w:tcPr>
          <w:p>
            <w:pPr>
              <w:spacing w:after="20"/>
              <w:jc w:val="right"/>
            </w:pPr>
            <w:r>
              <w:rPr>
                <w:color w:val="1C3A36"/>
                <w:sz w:val="16"/>
              </w:rPr>
              <w:t>15.74%</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2.77</w:t>
            </w:r>
          </w:p>
        </w:tc>
        <w:tc>
          <w:tcPr>
            <w:tcW w:type="dxa" w:w="1296"/>
          </w:tcPr>
          <w:p>
            <w:pPr>
              <w:spacing w:after="20"/>
              <w:jc w:val="right"/>
            </w:pPr>
            <w:r>
              <w:rPr>
                <w:color w:val="1C3A36"/>
                <w:sz w:val="16"/>
              </w:rPr>
              <w:t>4.64</w:t>
            </w:r>
          </w:p>
        </w:tc>
        <w:tc>
          <w:tcPr>
            <w:tcW w:type="dxa" w:w="1296"/>
          </w:tcPr>
          <w:p>
            <w:pPr>
              <w:spacing w:after="20"/>
              <w:jc w:val="right"/>
            </w:pPr>
            <w:r>
              <w:rPr>
                <w:color w:val="1C3A36"/>
                <w:sz w:val="16"/>
              </w:rPr>
              <w:t>6.57</w:t>
            </w:r>
          </w:p>
        </w:tc>
        <w:tc>
          <w:tcPr>
            <w:tcW w:type="dxa" w:w="1296"/>
          </w:tcPr>
          <w:p>
            <w:pPr>
              <w:spacing w:after="20"/>
              <w:jc w:val="right"/>
            </w:pPr>
            <w:r>
              <w:rPr>
                <w:color w:val="1C3A36"/>
                <w:sz w:val="16"/>
              </w:rPr>
              <w:t>8.25</w:t>
            </w:r>
          </w:p>
        </w:tc>
        <w:tc>
          <w:tcPr>
            <w:tcW w:type="dxa" w:w="1296"/>
          </w:tcPr>
          <w:p>
            <w:pPr>
              <w:spacing w:after="20"/>
              <w:jc w:val="right"/>
            </w:pPr>
            <w:r>
              <w:rPr>
                <w:color w:val="1C3A36"/>
                <w:sz w:val="16"/>
              </w:rPr>
              <w:t>9.95</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79,677</w:t>
            </w:r>
          </w:p>
        </w:tc>
        <w:tc>
          <w:tcPr>
            <w:tcW w:type="dxa" w:w="1238"/>
          </w:tcPr>
          <w:p>
            <w:pPr>
              <w:spacing w:after="20"/>
              <w:jc w:val="right"/>
            </w:pPr>
            <w:r>
              <w:rPr>
                <w:color w:val="1C3A36"/>
                <w:sz w:val="17"/>
              </w:rPr>
              <w:t>96,864</w:t>
            </w:r>
          </w:p>
        </w:tc>
        <w:tc>
          <w:tcPr>
            <w:tcW w:type="dxa" w:w="1238"/>
          </w:tcPr>
          <w:p>
            <w:pPr>
              <w:spacing w:after="20"/>
              <w:jc w:val="right"/>
            </w:pPr>
            <w:r>
              <w:rPr>
                <w:color w:val="1C3A36"/>
                <w:sz w:val="17"/>
              </w:rPr>
              <w:t>113,587</w:t>
            </w:r>
          </w:p>
        </w:tc>
        <w:tc>
          <w:tcPr>
            <w:tcW w:type="dxa" w:w="1238"/>
          </w:tcPr>
          <w:p>
            <w:pPr>
              <w:spacing w:after="20"/>
              <w:jc w:val="right"/>
            </w:pPr>
            <w:r>
              <w:rPr>
                <w:color w:val="1C3A36"/>
                <w:sz w:val="17"/>
              </w:rPr>
              <w:t>129,841</w:t>
            </w:r>
          </w:p>
        </w:tc>
        <w:tc>
          <w:tcPr>
            <w:tcW w:type="dxa" w:w="1238"/>
          </w:tcPr>
          <w:p>
            <w:pPr>
              <w:spacing w:after="20"/>
              <w:jc w:val="right"/>
            </w:pPr>
            <w:r>
              <w:rPr>
                <w:color w:val="1C3A36"/>
                <w:sz w:val="17"/>
              </w:rPr>
              <w:t>145,889</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5,896</w:t>
            </w:r>
          </w:p>
        </w:tc>
        <w:tc>
          <w:tcPr>
            <w:tcW w:type="dxa" w:w="1238"/>
          </w:tcPr>
          <w:p>
            <w:pPr>
              <w:spacing w:after="20"/>
              <w:jc w:val="right"/>
            </w:pPr>
            <w:r>
              <w:rPr>
                <w:color w:val="1C3A36"/>
                <w:sz w:val="17"/>
              </w:rPr>
              <w:t>7,652</w:t>
            </w:r>
          </w:p>
        </w:tc>
        <w:tc>
          <w:tcPr>
            <w:tcW w:type="dxa" w:w="1238"/>
          </w:tcPr>
          <w:p>
            <w:pPr>
              <w:spacing w:after="20"/>
              <w:jc w:val="right"/>
            </w:pPr>
            <w:r>
              <w:rPr>
                <w:color w:val="1C3A36"/>
                <w:sz w:val="17"/>
              </w:rPr>
              <w:t>9,428</w:t>
            </w:r>
          </w:p>
        </w:tc>
        <w:tc>
          <w:tcPr>
            <w:tcW w:type="dxa" w:w="1238"/>
          </w:tcPr>
          <w:p>
            <w:pPr>
              <w:spacing w:after="20"/>
              <w:jc w:val="right"/>
            </w:pPr>
            <w:r>
              <w:rPr>
                <w:color w:val="1C3A36"/>
                <w:sz w:val="17"/>
              </w:rPr>
              <w:t>10,907</w:t>
            </w:r>
          </w:p>
        </w:tc>
        <w:tc>
          <w:tcPr>
            <w:tcW w:type="dxa" w:w="1238"/>
          </w:tcPr>
          <w:p>
            <w:pPr>
              <w:spacing w:after="20"/>
              <w:jc w:val="right"/>
            </w:pPr>
            <w:r>
              <w:rPr>
                <w:color w:val="1C3A36"/>
                <w:sz w:val="17"/>
              </w:rPr>
              <w:t>12,255</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4,245</w:t>
            </w:r>
          </w:p>
        </w:tc>
        <w:tc>
          <w:tcPr>
            <w:tcW w:type="dxa" w:w="1238"/>
          </w:tcPr>
          <w:p>
            <w:pPr>
              <w:spacing w:after="20"/>
              <w:jc w:val="right"/>
            </w:pPr>
            <w:r>
              <w:rPr>
                <w:color w:val="1C3A36"/>
                <w:sz w:val="17"/>
              </w:rPr>
              <w:t>5,510</w:t>
            </w:r>
          </w:p>
        </w:tc>
        <w:tc>
          <w:tcPr>
            <w:tcW w:type="dxa" w:w="1238"/>
          </w:tcPr>
          <w:p>
            <w:pPr>
              <w:spacing w:after="20"/>
              <w:jc w:val="right"/>
            </w:pPr>
            <w:r>
              <w:rPr>
                <w:color w:val="1C3A36"/>
                <w:sz w:val="17"/>
              </w:rPr>
              <w:t>6,788</w:t>
            </w:r>
          </w:p>
        </w:tc>
        <w:tc>
          <w:tcPr>
            <w:tcW w:type="dxa" w:w="1238"/>
          </w:tcPr>
          <w:p>
            <w:pPr>
              <w:spacing w:after="20"/>
              <w:jc w:val="right"/>
            </w:pPr>
            <w:r>
              <w:rPr>
                <w:color w:val="1C3A36"/>
                <w:sz w:val="17"/>
              </w:rPr>
              <w:t>7,853</w:t>
            </w:r>
          </w:p>
        </w:tc>
        <w:tc>
          <w:tcPr>
            <w:tcW w:type="dxa" w:w="1238"/>
          </w:tcPr>
          <w:p>
            <w:pPr>
              <w:spacing w:after="20"/>
              <w:jc w:val="right"/>
            </w:pPr>
            <w:r>
              <w:rPr>
                <w:color w:val="1C3A36"/>
                <w:sz w:val="17"/>
              </w:rPr>
              <w:t>8,823</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876</w:t>
            </w:r>
          </w:p>
        </w:tc>
        <w:tc>
          <w:tcPr>
            <w:tcW w:type="dxa" w:w="1238"/>
          </w:tcPr>
          <w:p>
            <w:pPr>
              <w:spacing w:after="20"/>
              <w:jc w:val="right"/>
            </w:pPr>
            <w:r>
              <w:rPr>
                <w:color w:val="1C3A36"/>
                <w:sz w:val="17"/>
              </w:rPr>
              <w:t>1,066</w:t>
            </w:r>
          </w:p>
        </w:tc>
        <w:tc>
          <w:tcPr>
            <w:tcW w:type="dxa" w:w="1238"/>
          </w:tcPr>
          <w:p>
            <w:pPr>
              <w:spacing w:after="20"/>
              <w:jc w:val="right"/>
            </w:pPr>
            <w:r>
              <w:rPr>
                <w:color w:val="1C3A36"/>
                <w:sz w:val="17"/>
              </w:rPr>
              <w:t>1,249</w:t>
            </w:r>
          </w:p>
        </w:tc>
        <w:tc>
          <w:tcPr>
            <w:tcW w:type="dxa" w:w="1238"/>
          </w:tcPr>
          <w:p>
            <w:pPr>
              <w:spacing w:after="20"/>
              <w:jc w:val="right"/>
            </w:pPr>
            <w:r>
              <w:rPr>
                <w:color w:val="1C3A36"/>
                <w:sz w:val="17"/>
              </w:rPr>
              <w:t>1,428</w:t>
            </w:r>
          </w:p>
        </w:tc>
        <w:tc>
          <w:tcPr>
            <w:tcW w:type="dxa" w:w="1238"/>
          </w:tcPr>
          <w:p>
            <w:pPr>
              <w:spacing w:after="20"/>
              <w:jc w:val="right"/>
            </w:pPr>
            <w:r>
              <w:rPr>
                <w:color w:val="1C3A36"/>
                <w:sz w:val="17"/>
              </w:rPr>
              <w:t>1,605</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(896)</w:t>
            </w:r>
          </w:p>
        </w:tc>
        <w:tc>
          <w:tcPr>
            <w:tcW w:type="dxa" w:w="1238"/>
          </w:tcPr>
          <w:p>
            <w:pPr>
              <w:spacing w:after="20"/>
              <w:jc w:val="right"/>
            </w:pPr>
            <w:r>
              <w:rPr>
                <w:color w:val="1C3A36"/>
                <w:sz w:val="17"/>
              </w:rPr>
              <w:t>(3,880)</w:t>
            </w:r>
          </w:p>
        </w:tc>
        <w:tc>
          <w:tcPr>
            <w:tcW w:type="dxa" w:w="1238"/>
          </w:tcPr>
          <w:p>
            <w:pPr>
              <w:spacing w:after="20"/>
              <w:jc w:val="right"/>
            </w:pPr>
            <w:r>
              <w:rPr>
                <w:color w:val="1C3A36"/>
                <w:sz w:val="17"/>
              </w:rPr>
              <w:t>(3,776)</w:t>
            </w:r>
          </w:p>
        </w:tc>
        <w:tc>
          <w:tcPr>
            <w:tcW w:type="dxa" w:w="1238"/>
          </w:tcPr>
          <w:p>
            <w:pPr>
              <w:spacing w:after="20"/>
              <w:jc w:val="right"/>
            </w:pPr>
            <w:r>
              <w:rPr>
                <w:color w:val="1C3A36"/>
                <w:sz w:val="17"/>
              </w:rPr>
              <w:t>(3,670)</w:t>
            </w:r>
          </w:p>
        </w:tc>
        <w:tc>
          <w:tcPr>
            <w:tcW w:type="dxa" w:w="1238"/>
          </w:tcPr>
          <w:p>
            <w:pPr>
              <w:spacing w:after="20"/>
              <w:jc w:val="right"/>
            </w:pPr>
            <w:r>
              <w:rPr>
                <w:color w:val="1C3A36"/>
                <w:sz w:val="17"/>
              </w:rPr>
              <w:t>(3,623)</w:t>
            </w:r>
          </w:p>
        </w:tc>
      </w:tr>
      <w:tr>
        <w:tc>
          <w:tcPr>
            <w:tcW w:type="dxa" w:w="3456"/>
          </w:tcPr>
          <w:p>
            <w:pPr>
              <w:spacing w:after="20"/>
            </w:pPr>
            <w:r>
              <w:rPr>
                <w:b/>
                <w:color w:val="1C3A36"/>
                <w:sz w:val="17"/>
              </w:rPr>
              <w:t>Less the part of 2026 earned before the bridge date</w:t>
            </w:r>
          </w:p>
        </w:tc>
        <w:tc>
          <w:tcPr>
            <w:tcW w:type="dxa" w:w="1238"/>
          </w:tcPr>
          <w:p>
            <w:pPr>
              <w:spacing w:after="20"/>
              <w:jc w:val="right"/>
            </w:pPr>
            <w:r>
              <w:rPr>
                <w:color w:val="1C3A36"/>
                <w:sz w:val="17"/>
              </w:rPr>
              <w:t>(1,066)</w:t>
            </w:r>
          </w:p>
        </w:tc>
        <w:tc>
          <w:tcPr>
            <w:tcW w:type="dxa" w:w="1238"/>
          </w:tcPr>
          <w:p>
            <w:pPr>
              <w:spacing w:after="20"/>
              <w:jc w:val="right"/>
            </w:pPr>
            <w:r>
              <w:rPr>
                <w:color w:val="1C3A36"/>
                <w:sz w:val="17"/>
              </w:rPr>
              <w:t>—</w:t>
            </w:r>
          </w:p>
        </w:tc>
        <w:tc>
          <w:tcPr>
            <w:tcW w:type="dxa" w:w="1238"/>
          </w:tcPr>
          <w:p>
            <w:pPr>
              <w:spacing w:after="20"/>
              <w:jc w:val="right"/>
            </w:pPr>
            <w:r>
              <w:rPr>
                <w:color w:val="1C3A36"/>
                <w:sz w:val="17"/>
              </w:rPr>
              <w:t>—</w:t>
            </w:r>
          </w:p>
        </w:tc>
        <w:tc>
          <w:tcPr>
            <w:tcW w:type="dxa" w:w="1238"/>
          </w:tcPr>
          <w:p>
            <w:pPr>
              <w:spacing w:after="20"/>
              <w:jc w:val="right"/>
            </w:pPr>
            <w:r>
              <w:rPr>
                <w:color w:val="1C3A36"/>
                <w:sz w:val="17"/>
              </w:rPr>
              <w:t>—</w:t>
            </w:r>
          </w:p>
        </w:tc>
        <w:tc>
          <w:tcPr>
            <w:tcW w:type="dxa" w:w="1238"/>
          </w:tcPr>
          <w:p>
            <w:pPr>
              <w:spacing w:after="20"/>
              <w:jc w:val="right"/>
            </w:pPr>
            <w:r>
              <w:rPr>
                <w:color w:val="1C3A36"/>
                <w:sz w:val="17"/>
              </w:rPr>
              <w:t>—</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160</w:t>
            </w:r>
          </w:p>
        </w:tc>
        <w:tc>
          <w:tcPr>
            <w:tcW w:type="dxa" w:w="1238"/>
            <w:shd w:val="clear" w:color="auto" w:fill="F6F1E6"/>
          </w:tcPr>
          <w:p>
            <w:pPr>
              <w:spacing w:after="20"/>
              <w:jc w:val="right"/>
            </w:pPr>
            <w:r>
              <w:rPr>
                <w:b/>
                <w:color w:val="1C3A36"/>
                <w:sz w:val="17"/>
              </w:rPr>
              <w:t>295</w:t>
            </w:r>
          </w:p>
        </w:tc>
        <w:tc>
          <w:tcPr>
            <w:tcW w:type="dxa" w:w="1238"/>
            <w:shd w:val="clear" w:color="auto" w:fill="F6F1E6"/>
          </w:tcPr>
          <w:p>
            <w:pPr>
              <w:spacing w:after="20"/>
              <w:jc w:val="right"/>
            </w:pPr>
            <w:r>
              <w:rPr>
                <w:b/>
                <w:color w:val="1C3A36"/>
                <w:sz w:val="17"/>
              </w:rPr>
              <w:t>1,762</w:t>
            </w:r>
          </w:p>
        </w:tc>
        <w:tc>
          <w:tcPr>
            <w:tcW w:type="dxa" w:w="1238"/>
            <w:shd w:val="clear" w:color="auto" w:fill="F6F1E6"/>
          </w:tcPr>
          <w:p>
            <w:pPr>
              <w:spacing w:after="20"/>
              <w:jc w:val="right"/>
            </w:pPr>
            <w:r>
              <w:rPr>
                <w:b/>
                <w:color w:val="1C3A36"/>
                <w:sz w:val="17"/>
              </w:rPr>
              <w:t>3,011</w:t>
            </w:r>
          </w:p>
        </w:tc>
        <w:tc>
          <w:tcPr>
            <w:tcW w:type="dxa" w:w="1238"/>
            <w:shd w:val="clear" w:color="auto" w:fill="F6F1E6"/>
          </w:tcPr>
          <w:p>
            <w:pPr>
              <w:spacing w:after="20"/>
              <w:jc w:val="right"/>
            </w:pPr>
            <w:r>
              <w:rPr>
                <w:b/>
                <w:color w:val="1C3A36"/>
                <w:sz w:val="17"/>
              </w:rPr>
              <w:t>4,005</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14,493.6</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Leg</w:t>
            </w:r>
          </w:p>
        </w:tc>
        <w:tc>
          <w:tcPr>
            <w:tcW w:type="dxa" w:w="3024"/>
            <w:shd w:val="clear" w:color="auto" w:fill="EAF0EE"/>
          </w:tcPr>
          <w:p>
            <w:pPr>
              <w:spacing w:after="20"/>
            </w:pPr>
            <w:r>
              <w:rPr>
                <w:b/>
                <w:color w:val="1C3A36"/>
                <w:sz w:val="17"/>
              </w:rPr>
              <w:t>Closest peers</w:t>
            </w:r>
          </w:p>
        </w:tc>
        <w:tc>
          <w:tcPr>
            <w:tcW w:type="dxa" w:w="2448"/>
            <w:shd w:val="clear" w:color="auto" w:fill="EAF0EE"/>
          </w:tcPr>
          <w:p>
            <w:pPr>
              <w:spacing w:after="20"/>
            </w:pPr>
            <w:r>
              <w:rPr>
                <w:b/>
                <w:color w:val="1C3A36"/>
                <w:sz w:val="17"/>
              </w:rPr>
              <w:t>How they are typically valued</w:t>
            </w:r>
          </w:p>
        </w:tc>
        <w:tc>
          <w:tcPr>
            <w:tcW w:type="dxa" w:w="2592"/>
            <w:shd w:val="clear" w:color="auto" w:fill="EAF0EE"/>
          </w:tcPr>
          <w:p>
            <w:pPr>
              <w:spacing w:after="20"/>
            </w:pPr>
            <w:r>
              <w:rPr>
                <w:b/>
                <w:color w:val="1C3A36"/>
                <w:sz w:val="17"/>
              </w:rPr>
              <w:t>Caution</w:t>
            </w:r>
          </w:p>
        </w:tc>
      </w:tr>
      <w:tr>
        <w:tc>
          <w:tcPr>
            <w:tcW w:type="dxa" w:w="2160"/>
          </w:tcPr>
          <w:p>
            <w:pPr>
              <w:spacing w:after="20"/>
            </w:pPr>
            <w:r>
              <w:rPr>
                <w:b/>
                <w:color w:val="1C3A36"/>
                <w:sz w:val="17"/>
              </w:rPr>
              <w:t>Auto assembly and distribution</w:t>
            </w:r>
          </w:p>
        </w:tc>
        <w:tc>
          <w:tcPr>
            <w:tcW w:type="dxa" w:w="3024"/>
          </w:tcPr>
          <w:p>
            <w:pPr>
              <w:spacing w:after="20"/>
              <w:jc w:val="right"/>
            </w:pPr>
            <w:r>
              <w:rPr>
                <w:color w:val="1C3A36"/>
                <w:sz w:val="17"/>
              </w:rPr>
              <w:t>Gulf and regional auto distributors; listed consumer-durables names on this exchange</w:t>
            </w:r>
          </w:p>
        </w:tc>
        <w:tc>
          <w:tcPr>
            <w:tcW w:type="dxa" w:w="2448"/>
          </w:tcPr>
          <w:p>
            <w:pPr>
              <w:spacing w:after="20"/>
              <w:jc w:val="right"/>
            </w:pPr>
            <w:r>
              <w:rPr>
                <w:color w:val="1C3A36"/>
                <w:sz w:val="17"/>
              </w:rPr>
              <w:t>Enterprise value against operating profit; earnings multiples</w:t>
            </w:r>
          </w:p>
        </w:tc>
        <w:tc>
          <w:tcPr>
            <w:tcW w:type="dxa" w:w="2592"/>
          </w:tcPr>
          <w:p>
            <w:pPr>
              <w:spacing w:after="20"/>
              <w:jc w:val="right"/>
            </w:pPr>
            <w:r>
              <w:rPr>
                <w:color w:val="1C3A36"/>
                <w:sz w:val="17"/>
              </w:rPr>
              <w:t>None of them assembles under the same localisation regime or carries a captive lender</w:t>
            </w:r>
          </w:p>
        </w:tc>
      </w:tr>
      <w:tr>
        <w:tc>
          <w:tcPr>
            <w:tcW w:type="dxa" w:w="2160"/>
          </w:tcPr>
          <w:p>
            <w:pPr>
              <w:spacing w:after="20"/>
            </w:pPr>
            <w:r>
              <w:rPr>
                <w:b/>
                <w:color w:val="1C3A36"/>
                <w:sz w:val="17"/>
              </w:rPr>
              <w:t>Non-bank consumer and corporate finance</w:t>
            </w:r>
          </w:p>
        </w:tc>
        <w:tc>
          <w:tcPr>
            <w:tcW w:type="dxa" w:w="3024"/>
          </w:tcPr>
          <w:p>
            <w:pPr>
              <w:spacing w:after="20"/>
              <w:jc w:val="right"/>
            </w:pPr>
            <w:r>
              <w:rPr>
                <w:color w:val="1C3A36"/>
                <w:sz w:val="17"/>
              </w:rPr>
              <w:t>Listed Egyptian finance companies with a comparable book</w:t>
            </w:r>
          </w:p>
        </w:tc>
        <w:tc>
          <w:tcPr>
            <w:tcW w:type="dxa" w:w="2448"/>
          </w:tcPr>
          <w:p>
            <w:pPr>
              <w:spacing w:after="20"/>
              <w:jc w:val="right"/>
            </w:pPr>
            <w:r>
              <w:rPr>
                <w:color w:val="1C3A36"/>
                <w:sz w:val="17"/>
              </w:rPr>
              <w:t>Price to book against the return on that book</w:t>
            </w:r>
          </w:p>
        </w:tc>
        <w:tc>
          <w:tcPr>
            <w:tcW w:type="dxa" w:w="2592"/>
          </w:tcPr>
          <w:p>
            <w:pPr>
              <w:spacing w:after="20"/>
              <w:jc w:val="right"/>
            </w:pPr>
            <w:r>
              <w:rPr>
                <w:color w:val="1C3A36"/>
                <w:sz w:val="17"/>
              </w:rPr>
              <w:t>Funding mix and provisioning policy differ enough that the multiple travels badly</w:t>
            </w:r>
          </w:p>
        </w:tc>
      </w:tr>
      <w:tr>
        <w:tc>
          <w:tcPr>
            <w:tcW w:type="dxa" w:w="2160"/>
          </w:tcPr>
          <w:p>
            <w:pPr>
              <w:spacing w:after="20"/>
            </w:pPr>
            <w:r>
              <w:rPr>
                <w:b/>
                <w:color w:val="1C3A36"/>
                <w:sz w:val="17"/>
              </w:rPr>
              <w:t>Fintech associate</w:t>
            </w:r>
          </w:p>
        </w:tc>
        <w:tc>
          <w:tcPr>
            <w:tcW w:type="dxa" w:w="3024"/>
          </w:tcPr>
          <w:p>
            <w:pPr>
              <w:spacing w:after="20"/>
              <w:jc w:val="right"/>
            </w:pPr>
            <w:r>
              <w:rPr>
                <w:color w:val="1C3A36"/>
                <w:sz w:val="17"/>
              </w:rPr>
              <w:t>Listed payments and financial-technology names on this exchange</w:t>
            </w:r>
          </w:p>
        </w:tc>
        <w:tc>
          <w:tcPr>
            <w:tcW w:type="dxa" w:w="2448"/>
          </w:tcPr>
          <w:p>
            <w:pPr>
              <w:spacing w:after="20"/>
              <w:jc w:val="right"/>
            </w:pPr>
            <w:r>
              <w:rPr>
                <w:color w:val="1C3A36"/>
                <w:sz w:val="17"/>
              </w:rPr>
              <w:t>Private marks; the last round is the only observable price</w:t>
            </w:r>
          </w:p>
        </w:tc>
        <w:tc>
          <w:tcPr>
            <w:tcW w:type="dxa" w:w="2592"/>
          </w:tcPr>
          <w:p>
            <w:pPr>
              <w:spacing w:after="20"/>
              <w:jc w:val="right"/>
            </w:pPr>
            <w:r>
              <w:rPr>
                <w:color w:val="1C3A36"/>
                <w:sz w:val="17"/>
              </w:rPr>
              <w:t>A listed comparator has a price and this holding has none — which is the whole subject of this study</w:t>
            </w:r>
          </w:p>
        </w:tc>
      </w:tr>
    </w:tbl>
    <w:p>
      <w:pPr>
        <w:spacing w:after="40"/>
      </w:pPr>
    </w:p>
    <w:p>
      <w:pPr>
        <w:spacing w:after="120" w:before="0"/>
      </w:pPr>
      <w:r>
        <w:rPr>
          <w:b w:val="0"/>
          <w:i w:val="0"/>
          <w:color w:val="1C3A36"/>
          <w:sz w:val="19"/>
        </w:rPr>
        <w:t>The absence of a single clean comparable is itself a finding rather than a gap in the research, and it is why the relative multiple in §1.3 is taken from GB CORP’S OWN trailing rating at its own three year-end closes rather than from a peer set at all. Sector structure: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w:t>
      </w:r>
    </w:p>
    <w:p>
      <w:pPr>
        <w:spacing w:after="80" w:before="200"/>
      </w:pPr>
      <w:r>
        <w:rPr>
          <w:b/>
          <w:i w:val="0"/>
          <w:color w:val="1C3A36"/>
          <w:sz w:val="24"/>
        </w:rPr>
        <w:t>B.2  Risk register</w:t>
      </w:r>
    </w:p>
    <w:p>
      <w:pPr>
        <w:spacing w:after="120" w:before="0"/>
      </w:pPr>
      <w:r>
        <w:rPr>
          <w:b w:val="0"/>
          <w:i w:val="0"/>
          <w:color w:val="1C3A36"/>
          <w:sz w:val="19"/>
        </w:rPr>
        <w:t>Every risk below is either PRICED — the study can put a number on what it is worth and does — or NAMED AND NOT PRICED, because the disclosure to price it does not exist. Nothing is left as an adjective. Where a risk is one of the study’s own contested judgements, the figure is what moving that judgement to its other framing does to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744"/>
            <w:shd w:val="clear" w:color="auto" w:fill="EAF0EE"/>
          </w:tcPr>
          <w:p>
            <w:pPr>
              <w:spacing w:after="20"/>
            </w:pPr>
            <w:r>
              <w:rPr>
                <w:b/>
                <w:color w:val="1C3A36"/>
                <w:sz w:val="16"/>
              </w:rPr>
              <w:t>What it is worth</w:t>
            </w:r>
          </w:p>
        </w:tc>
      </w:tr>
      <w:tr>
        <w:tc>
          <w:tcPr>
            <w:tcW w:type="dxa" w:w="2520"/>
          </w:tcPr>
          <w:p>
            <w:pPr>
              <w:spacing w:after="20"/>
            </w:pPr>
            <w:r>
              <w:rPr>
                <w:b/>
                <w:color w:val="1C3A36"/>
                <w:sz w:val="16"/>
              </w:rPr>
              <w:t>The basis on which the associate is marked</w:t>
            </w:r>
          </w:p>
        </w:tc>
        <w:tc>
          <w:tcPr>
            <w:tcW w:type="dxa" w:w="3960"/>
          </w:tcPr>
          <w:p>
            <w:pPr>
              <w:spacing w:after="20"/>
              <w:jc w:val="right"/>
            </w:pPr>
            <w:r>
              <w:rPr>
                <w:color w:val="1C3A36"/>
                <w:sz w:val="16"/>
              </w:rPr>
              <w:t>GB Corp carries its MNT-Halan interest one way in its own reviewed balance sheet and announced a funding round that marks it another. Both are its own disclosures; the filings do not choose</w:t>
            </w:r>
          </w:p>
        </w:tc>
        <w:tc>
          <w:tcPr>
            <w:tcW w:type="dxa" w:w="3744"/>
          </w:tcPr>
          <w:p>
            <w:pPr>
              <w:spacing w:after="20"/>
              <w:jc w:val="right"/>
            </w:pPr>
            <w:r>
              <w:rPr>
                <w:color w:val="1C3A36"/>
                <w:sz w:val="16"/>
              </w:rPr>
              <w:t>THE ANSWER ITSELF: EGP 12.48 a share between the two published branches, 28.3% of the higher one</w:t>
            </w:r>
          </w:p>
        </w:tc>
      </w:tr>
      <w:tr>
        <w:tc>
          <w:tcPr>
            <w:tcW w:type="dxa" w:w="2520"/>
          </w:tcPr>
          <w:p>
            <w:pPr>
              <w:spacing w:after="20"/>
            </w:pPr>
            <w:r>
              <w:rPr>
                <w:b/>
                <w:color w:val="1C3A36"/>
                <w:sz w:val="16"/>
              </w:rPr>
              <w:t>The associate’s own accounts cannot be verified</w:t>
            </w:r>
          </w:p>
        </w:tc>
        <w:tc>
          <w:tcPr>
            <w:tcW w:type="dxa" w:w="3960"/>
          </w:tcPr>
          <w:p>
            <w:pPr>
              <w:spacing w:after="20"/>
              <w:jc w:val="right"/>
            </w:pPr>
            <w:r>
              <w:rPr>
                <w:color w:val="1C3A36"/>
                <w:sz w:val="16"/>
              </w:rPr>
              <w:t>The reviewers of the 30 June 2026 statements were not provided with that company’s financial statements and could not verify the group’s share of its profits; the same qualification stood on the prior audited year</w:t>
            </w:r>
          </w:p>
        </w:tc>
        <w:tc>
          <w:tcPr>
            <w:tcW w:type="dxa" w:w="3744"/>
          </w:tcPr>
          <w:p>
            <w:pPr>
              <w:spacing w:after="20"/>
              <w:jc w:val="right"/>
            </w:pPr>
            <w:r>
              <w:rPr>
                <w:color w:val="1C3A36"/>
                <w:sz w:val="16"/>
              </w:rPr>
              <w:t>NAMED AND NOT PRICED. A qualification says a figure could not be verified, not what it should have been — but it is why the lower branch is not a safe harbour</w:t>
            </w:r>
          </w:p>
        </w:tc>
      </w:tr>
      <w:tr>
        <w:tc>
          <w:tcPr>
            <w:tcW w:type="dxa" w:w="2520"/>
          </w:tcPr>
          <w:p>
            <w:pPr>
              <w:spacing w:after="20"/>
            </w:pPr>
            <w:r>
              <w:rPr>
                <w:b/>
                <w:color w:val="1C3A36"/>
                <w:sz w:val="16"/>
              </w:rPr>
              <w:t>Working-capital intensity does not release</w:t>
            </w:r>
          </w:p>
        </w:tc>
        <w:tc>
          <w:tcPr>
            <w:tcW w:type="dxa" w:w="3960"/>
          </w:tcPr>
          <w:p>
            <w:pPr>
              <w:spacing w:after="20"/>
              <w:jc w:val="right"/>
            </w:pPr>
            <w:r>
              <w:rPr>
                <w:color w:val="1C3A36"/>
                <w:sz w:val="16"/>
              </w:rPr>
              <w:t>The auto leg’s free cash flow is a thin residual, so the glide in receivables, inventory and payables moves it directly</w:t>
            </w:r>
          </w:p>
        </w:tc>
        <w:tc>
          <w:tcPr>
            <w:tcW w:type="dxa" w:w="3744"/>
          </w:tcPr>
          <w:p>
            <w:pPr>
              <w:spacing w:after="20"/>
              <w:jc w:val="right"/>
            </w:pPr>
            <w:r>
              <w:rPr>
                <w:color w:val="1C3A36"/>
                <w:sz w:val="16"/>
              </w:rPr>
              <w:t>PRICED: 2.4% of the lower branch. Holding the first forecast year flat across the window gives EGP 32.42 against EGP 31.64</w:t>
            </w:r>
          </w:p>
        </w:tc>
      </w:tr>
      <w:tr>
        <w:tc>
          <w:tcPr>
            <w:tcW w:type="dxa" w:w="2520"/>
          </w:tcPr>
          <w:p>
            <w:pPr>
              <w:spacing w:after="20"/>
            </w:pPr>
            <w:r>
              <w:rPr>
                <w:b/>
                <w:color w:val="1C3A36"/>
                <w:sz w:val="16"/>
              </w:rPr>
              <w:t>Capital expenditure stays where the company has been spending it</w:t>
            </w:r>
          </w:p>
        </w:tc>
        <w:tc>
          <w:tcPr>
            <w:tcW w:type="dxa" w:w="3960"/>
          </w:tcPr>
          <w:p>
            <w:pPr>
              <w:spacing w:after="20"/>
              <w:jc w:val="right"/>
            </w:pPr>
            <w:r>
              <w:rPr>
                <w:color w:val="1C3A36"/>
                <w:sz w:val="16"/>
              </w:rPr>
              <w:t>The forward ladder falls to a third of the intensity GB Corp filed for FY2025, and its first year is the figure management guided rather than one this study built</w:t>
            </w:r>
          </w:p>
        </w:tc>
        <w:tc>
          <w:tcPr>
            <w:tcW w:type="dxa" w:w="3744"/>
          </w:tcPr>
          <w:p>
            <w:pPr>
              <w:spacing w:after="20"/>
              <w:jc w:val="right"/>
            </w:pPr>
            <w:r>
              <w:rPr>
                <w:color w:val="1C3A36"/>
                <w:sz w:val="16"/>
              </w:rPr>
              <w:t>PRICED: 30.1% of the lower branch. Spending on at the FY2025 filed amount, flat and therefore falling in real terms, gives EGP 24.32 against EGP 31.64</w:t>
            </w:r>
          </w:p>
        </w:tc>
      </w:tr>
      <w:tr>
        <w:tc>
          <w:tcPr>
            <w:tcW w:type="dxa" w:w="2520"/>
          </w:tcPr>
          <w:p>
            <w:pPr>
              <w:spacing w:after="20"/>
            </w:pPr>
            <w:r>
              <w:rPr>
                <w:b/>
                <w:color w:val="1C3A36"/>
                <w:sz w:val="16"/>
              </w:rPr>
              <w:t>The cost of capital is higher than this study builds</w:t>
            </w:r>
          </w:p>
        </w:tc>
        <w:tc>
          <w:tcPr>
            <w:tcW w:type="dxa" w:w="3960"/>
          </w:tcPr>
          <w:p>
            <w:pPr>
              <w:spacing w:after="20"/>
              <w:jc w:val="right"/>
            </w:pPr>
            <w:r>
              <w:rPr>
                <w:color w:val="1C3A36"/>
                <w:sz w:val="16"/>
              </w:rPr>
              <w:t>The premium basis and the beta are both estimates, and the whole ladder moves with either</w:t>
            </w:r>
          </w:p>
        </w:tc>
        <w:tc>
          <w:tcPr>
            <w:tcW w:type="dxa" w:w="3744"/>
          </w:tcPr>
          <w:p>
            <w:pPr>
              <w:spacing w:after="20"/>
              <w:jc w:val="right"/>
            </w:pPr>
            <w:r>
              <w:rPr>
                <w:color w:val="1C3A36"/>
                <w:sz w:val="16"/>
              </w:rPr>
              <w:t>PRICED: 6.7% on the premium basis and 6.4% on the beta, each measured on the lower branch. §1.9 prices the whole grid</w:t>
            </w:r>
          </w:p>
        </w:tc>
      </w:tr>
      <w:tr>
        <w:tc>
          <w:tcPr>
            <w:tcW w:type="dxa" w:w="2520"/>
          </w:tcPr>
          <w:p>
            <w:pPr>
              <w:spacing w:after="20"/>
            </w:pPr>
            <w:r>
              <w:rPr>
                <w:b/>
                <w:color w:val="1C3A36"/>
                <w:sz w:val="16"/>
              </w:rPr>
              <w:t>The lender’s return is a credit cycle</w:t>
            </w:r>
          </w:p>
        </w:tc>
        <w:tc>
          <w:tcPr>
            <w:tcW w:type="dxa" w:w="3960"/>
          </w:tcPr>
          <w:p>
            <w:pPr>
              <w:spacing w:after="20"/>
              <w:jc w:val="right"/>
            </w:pPr>
            <w:r>
              <w:rPr>
                <w:color w:val="1C3A36"/>
                <w:sz w:val="16"/>
              </w:rPr>
              <w:t>GB Capital is marked by the return it earns above the cost of that equity, and both move with the cycle</w:t>
            </w:r>
          </w:p>
        </w:tc>
        <w:tc>
          <w:tcPr>
            <w:tcW w:type="dxa" w:w="3744"/>
          </w:tcPr>
          <w:p>
            <w:pPr>
              <w:spacing w:after="20"/>
              <w:jc w:val="right"/>
            </w:pPr>
            <w:r>
              <w:rPr>
                <w:color w:val="1C3A36"/>
                <w:sz w:val="16"/>
              </w:rPr>
              <w:t>PRICED: 0.6% between the reviewed half and the full prior year — EGP 283 mn against EGP 482 mn on that leg</w:t>
            </w:r>
          </w:p>
        </w:tc>
      </w:tr>
      <w:tr>
        <w:tc>
          <w:tcPr>
            <w:tcW w:type="dxa" w:w="2520"/>
          </w:tcPr>
          <w:p>
            <w:pPr>
              <w:spacing w:after="20"/>
            </w:pPr>
            <w:r>
              <w:rPr>
                <w:b/>
                <w:color w:val="1C3A36"/>
                <w:sz w:val="16"/>
              </w:rPr>
              <w:t>The Auto margin does not hold where the reviewed half left it</w:t>
            </w:r>
          </w:p>
        </w:tc>
        <w:tc>
          <w:tcPr>
            <w:tcW w:type="dxa" w:w="3960"/>
          </w:tcPr>
          <w:p>
            <w:pPr>
              <w:spacing w:after="20"/>
              <w:jc w:val="right"/>
            </w:pPr>
            <w:r>
              <w:rPr>
                <w:color w:val="1C3A36"/>
                <w:sz w:val="16"/>
              </w:rPr>
              <w:t>New entrants resetting price points, or the currency moving through imported assembly content</w:t>
            </w:r>
          </w:p>
        </w:tc>
        <w:tc>
          <w:tcPr>
            <w:tcW w:type="dxa" w:w="3744"/>
          </w:tcPr>
          <w:p>
            <w:pPr>
              <w:spacing w:after="20"/>
              <w:jc w:val="right"/>
            </w:pPr>
            <w:r>
              <w:rPr>
                <w:color w:val="1C3A36"/>
                <w:sz w:val="16"/>
              </w:rPr>
              <w:t>PRICED: 1.7% between the forecast path and the latest reviewed half held flat across the window</w:t>
            </w:r>
          </w:p>
        </w:tc>
      </w:tr>
      <w:tr>
        <w:tc>
          <w:tcPr>
            <w:tcW w:type="dxa" w:w="2520"/>
          </w:tcPr>
          <w:p>
            <w:pPr>
              <w:spacing w:after="20"/>
            </w:pPr>
            <w:r>
              <w:rPr>
                <w:b/>
                <w:color w:val="1C3A36"/>
                <w:sz w:val="16"/>
              </w:rPr>
              <w:t>Terminal-value dependency, on an asset life that could not be sourced</w:t>
            </w:r>
          </w:p>
        </w:tc>
        <w:tc>
          <w:tcPr>
            <w:tcW w:type="dxa" w:w="3960"/>
          </w:tcPr>
          <w:p>
            <w:pPr>
              <w:spacing w:after="20"/>
              <w:jc w:val="right"/>
            </w:pPr>
            <w:r>
              <w:rPr>
                <w:color w:val="1C3A36"/>
                <w:sz w:val="16"/>
              </w:rPr>
              <w:t>85% of the auto leg’s enterprise value is terminal value, and the accounting-policy note discloses depreciation rate RANGES per class rather than a life</w:t>
            </w:r>
          </w:p>
        </w:tc>
        <w:tc>
          <w:tcPr>
            <w:tcW w:type="dxa" w:w="3744"/>
          </w:tcPr>
          <w:p>
            <w:pPr>
              <w:spacing w:after="20"/>
              <w:jc w:val="right"/>
            </w:pPr>
            <w:r>
              <w:rPr>
                <w:color w:val="1C3A36"/>
                <w:sz w:val="16"/>
              </w:rPr>
              <w:t>NAMED AND NOT PRICED. A life this desk chose would not be a disclosed life, so none was chosen; B.3 records the search</w:t>
            </w:r>
          </w:p>
        </w:tc>
      </w:tr>
      <w:tr>
        <w:tc>
          <w:tcPr>
            <w:tcW w:type="dxa" w:w="2520"/>
          </w:tcPr>
          <w:p>
            <w:pPr>
              <w:spacing w:after="20"/>
            </w:pPr>
            <w:r>
              <w:rPr>
                <w:b/>
                <w:color w:val="1C3A36"/>
                <w:sz w:val="16"/>
              </w:rPr>
              <w:t>Regional exposure to Iraq and Jordan</w:t>
            </w:r>
          </w:p>
        </w:tc>
        <w:tc>
          <w:tcPr>
            <w:tcW w:type="dxa" w:w="3960"/>
          </w:tcPr>
          <w:p>
            <w:pPr>
              <w:spacing w:after="20"/>
              <w:jc w:val="right"/>
            </w:pPr>
            <w:r>
              <w:rPr>
                <w:color w:val="1C3A36"/>
                <w:sz w:val="16"/>
              </w:rPr>
              <w:t>Conflict has already cut volumes in markets that are part of passenger-car revenue</w:t>
            </w:r>
          </w:p>
        </w:tc>
        <w:tc>
          <w:tcPr>
            <w:tcW w:type="dxa" w:w="3744"/>
          </w:tcPr>
          <w:p>
            <w:pPr>
              <w:spacing w:after="20"/>
              <w:jc w:val="right"/>
            </w:pPr>
            <w:r>
              <w:rPr>
                <w:color w:val="1C3A36"/>
                <w:sz w:val="16"/>
              </w:rPr>
              <w:t>NAMED AND NOT PRICED. No sourced split of that revenue for the reviewed half exists in the documents this study holds</w:t>
            </w:r>
          </w:p>
        </w:tc>
      </w:tr>
      <w:tr>
        <w:tc>
          <w:tcPr>
            <w:tcW w:type="dxa" w:w="2520"/>
          </w:tcPr>
          <w:p>
            <w:pPr>
              <w:spacing w:after="20"/>
            </w:pPr>
            <w:r>
              <w:rPr>
                <w:b/>
                <w:color w:val="1C3A36"/>
                <w:sz w:val="16"/>
              </w:rPr>
              <w:t>The pound, on the round-price branch only</w:t>
            </w:r>
          </w:p>
        </w:tc>
        <w:tc>
          <w:tcPr>
            <w:tcW w:type="dxa" w:w="3960"/>
          </w:tcPr>
          <w:p>
            <w:pPr>
              <w:spacing w:after="20"/>
              <w:jc w:val="right"/>
            </w:pPr>
            <w:r>
              <w:rPr>
                <w:color w:val="1C3A36"/>
                <w:sz w:val="16"/>
              </w:rPr>
              <w:t>The round is struck in dollars and translated; a step devaluation moves assembly costs, rates and the pound value of that mark at once</w:t>
            </w:r>
          </w:p>
        </w:tc>
        <w:tc>
          <w:tcPr>
            <w:tcW w:type="dxa" w:w="3744"/>
          </w:tcPr>
          <w:p>
            <w:pPr>
              <w:spacing w:after="20"/>
              <w:jc w:val="right"/>
            </w:pPr>
            <w:r>
              <w:rPr>
                <w:color w:val="1C3A36"/>
                <w:sz w:val="16"/>
              </w:rPr>
              <w:t>NAMED AND NOT PRICED as a separate line. It moves the ROUND branch only — the carrying branch is a pound figure off a pound balance sheet and does not move with it at all</w:t>
            </w:r>
          </w:p>
        </w:tc>
      </w:tr>
    </w:tbl>
    <w:p>
      <w:pPr>
        <w:spacing w:after="40"/>
      </w:pPr>
    </w:p>
    <w:p>
      <w:pPr>
        <w:spacing w:after="200" w:before="0"/>
      </w:pPr>
      <w:r>
        <w:rPr>
          <w:b w:val="0"/>
          <w:i/>
          <w:color w:val="6E7B77"/>
          <w:sz w:val="17"/>
        </w:rPr>
        <w:t>Table B1 — the risk register. Every priced figure is the study’s own contested-judgement record read straight, measured on the branch that gives the larger relative number so the register errs strict.</w:t>
      </w: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GB CORP REPORTS ABOUT ITSELF come only from documents GB Corp published — its own audited and reviewed statements, its own earnings releases and its own investor material — and never from a data vendor, a broker or a press report. Where the company’s own document could not be obtained, the study says so below rather than substituting a weaker source. The standalone source register that accompanies this study carries every input with its value, its source, that source’s own date and the layer it belongs to.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6"/>
              </w:rPr>
              <w:t>Source</w:t>
            </w:r>
          </w:p>
        </w:tc>
        <w:tc>
          <w:tcPr>
            <w:tcW w:type="dxa" w:w="1656"/>
            <w:shd w:val="clear" w:color="auto" w:fill="EAF0EE"/>
          </w:tcPr>
          <w:p>
            <w:pPr>
              <w:spacing w:after="20"/>
            </w:pPr>
            <w:r>
              <w:rPr>
                <w:b/>
                <w:color w:val="1C3A36"/>
                <w:sz w:val="16"/>
              </w:rPr>
              <w:t>Layer</w:t>
            </w:r>
          </w:p>
        </w:tc>
        <w:tc>
          <w:tcPr>
            <w:tcW w:type="dxa" w:w="1944"/>
            <w:shd w:val="clear" w:color="auto" w:fill="EAF0EE"/>
          </w:tcPr>
          <w:p>
            <w:pPr>
              <w:spacing w:after="20"/>
            </w:pPr>
            <w:r>
              <w:rPr>
                <w:b/>
                <w:color w:val="1C3A36"/>
                <w:sz w:val="16"/>
              </w:rPr>
              <w:t>Date the source carries</w:t>
            </w:r>
          </w:p>
        </w:tc>
        <w:tc>
          <w:tcPr>
            <w:tcW w:type="dxa" w:w="2880"/>
            <w:shd w:val="clear" w:color="auto" w:fill="EAF0EE"/>
          </w:tcPr>
          <w:p>
            <w:pPr>
              <w:spacing w:after="20"/>
            </w:pPr>
            <w:r>
              <w:rPr>
                <w:b/>
                <w:color w:val="1C3A36"/>
                <w:sz w:val="16"/>
              </w:rPr>
              <w:t>What it provided</w:t>
            </w:r>
          </w:p>
        </w:tc>
      </w:tr>
      <w:tr>
        <w:tc>
          <w:tcPr>
            <w:tcW w:type="dxa" w:w="3744"/>
          </w:tcPr>
          <w:p>
            <w:pPr>
              <w:spacing w:after="20"/>
            </w:pPr>
            <w:r>
              <w:rPr>
                <w:color w:val="1C3A36"/>
                <w:sz w:val="16"/>
              </w:rPr>
              <w:t>GB_Corp_ER_4Q23_-_ER_-_FINAL.pdf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March 2024</w:t>
            </w:r>
          </w:p>
        </w:tc>
        <w:tc>
          <w:tcPr>
            <w:tcW w:type="dxa" w:w="2880"/>
          </w:tcPr>
          <w:p>
            <w:pPr>
              <w:spacing w:after="20"/>
              <w:jc w:val="right"/>
            </w:pPr>
            <w:r>
              <w:rPr>
                <w:color w:val="1C3A36"/>
                <w:sz w:val="16"/>
              </w:rPr>
              <w:t>the consolidated income statement as originally reported for FY2023</w:t>
            </w:r>
          </w:p>
        </w:tc>
      </w:tr>
      <w:tr>
        <w:tc>
          <w:tcPr>
            <w:tcW w:type="dxa" w:w="3744"/>
          </w:tcPr>
          <w:p>
            <w:pPr>
              <w:spacing w:after="20"/>
            </w:pPr>
            <w:r>
              <w:rPr>
                <w:color w:val="1C3A36"/>
                <w:sz w:val="16"/>
              </w:rPr>
              <w:t>GB_Corp_ER_4Q24-_E_-_Final.pdf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w:t>
            </w:r>
          </w:p>
        </w:tc>
        <w:tc>
          <w:tcPr>
            <w:tcW w:type="dxa" w:w="2880"/>
          </w:tcPr>
          <w:p>
            <w:pPr>
              <w:spacing w:after="20"/>
              <w:jc w:val="right"/>
            </w:pPr>
            <w:r>
              <w:rPr>
                <w:color w:val="1C3A36"/>
                <w:sz w:val="16"/>
              </w:rPr>
              <w:t>the consolidated income statement as originally reported for FY2024</w:t>
            </w:r>
          </w:p>
        </w:tc>
      </w:tr>
      <w:tr>
        <w:tc>
          <w:tcPr>
            <w:tcW w:type="dxa" w:w="3744"/>
          </w:tcPr>
          <w:p>
            <w:pPr>
              <w:spacing w:after="20"/>
            </w:pPr>
            <w:r>
              <w:rPr>
                <w:color w:val="1C3A36"/>
                <w:sz w:val="16"/>
              </w:rPr>
              <w:t>GB_Corp_ER_4Q25-_E_-_Final.pdf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26 February 2026</w:t>
            </w:r>
          </w:p>
        </w:tc>
        <w:tc>
          <w:tcPr>
            <w:tcW w:type="dxa" w:w="2880"/>
          </w:tcPr>
          <w:p>
            <w:pPr>
              <w:spacing w:after="20"/>
              <w:jc w:val="right"/>
            </w:pPr>
            <w:r>
              <w:rPr>
                <w:color w:val="1C3A36"/>
                <w:sz w:val="16"/>
              </w:rPr>
              <w:t>the consolidated income statement as originally reported for FY2025</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 to 26 February 2026</w:t>
            </w:r>
          </w:p>
        </w:tc>
        <w:tc>
          <w:tcPr>
            <w:tcW w:type="dxa" w:w="2880"/>
          </w:tcPr>
          <w:p>
            <w:pPr>
              <w:spacing w:after="20"/>
              <w:jc w:val="right"/>
            </w:pPr>
            <w:r>
              <w:rPr>
                <w:color w:val="1C3A36"/>
                <w:sz w:val="16"/>
              </w:rPr>
              <w:t>the 8 dated inputs the model consumes, each carried in the source register with its own four fields</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 (investor relations)</w:t>
            </w:r>
          </w:p>
        </w:tc>
        <w:tc>
          <w:tcPr>
            <w:tcW w:type="dxa" w:w="1944"/>
          </w:tcPr>
          <w:p>
            <w:pPr>
              <w:spacing w:after="20"/>
              <w:jc w:val="right"/>
            </w:pPr>
            <w:r>
              <w:rPr>
                <w:color w:val="1C3A36"/>
                <w:sz w:val="16"/>
              </w:rPr>
              <w:t>1 March 2024 to 13 August 2026</w:t>
            </w:r>
          </w:p>
        </w:tc>
        <w:tc>
          <w:tcPr>
            <w:tcW w:type="dxa" w:w="2880"/>
          </w:tcPr>
          <w:p>
            <w:pPr>
              <w:spacing w:after="20"/>
              <w:jc w:val="right"/>
            </w:pPr>
            <w:r>
              <w:rPr>
                <w:color w:val="1C3A36"/>
                <w:sz w:val="16"/>
              </w:rPr>
              <w:t>the 11 dated inputs the model consumes, each carried in the source register with its own four fields</w:t>
            </w:r>
          </w:p>
        </w:tc>
      </w:tr>
    </w:tbl>
    <w:p>
      <w:pPr>
        <w:spacing w:after="40"/>
      </w:pPr>
    </w:p>
    <w:p>
      <w:pPr>
        <w:spacing w:after="120" w:before="120"/>
      </w:pPr>
      <w:r>
        <w:rPr>
          <w:b w:val="0"/>
          <w:i w:val="0"/>
          <w:color w:val="1C3A36"/>
          <w:sz w:val="19"/>
        </w:rPr>
        <w:t>Negative results. Each of these is a search that was actually run and did not find what it was looking for; each shaped the model as much as the evidence did.</w:t>
      </w:r>
    </w:p>
    <w:p>
      <w:pPr>
        <w:pStyle w:val="ListBullet"/>
        <w:spacing w:after="60"/>
      </w:pPr>
      <w:r>
        <w:rPr>
          <w:b/>
          <w:color w:val="1C3A36"/>
          <w:sz w:val="21"/>
        </w:rPr>
        <w:t xml:space="preserve">No disclosed useful life for the operating asset base. </w:t>
      </w:r>
      <w:r>
        <w:rPr>
          <w:color w:val="1C3A36"/>
          <w:sz w:val="21"/>
        </w:rPr>
        <w:t>A terminal is meant to rest on a life the company discloses. GB Corp’s accounting-policy note gives depreciation rate RANGES by asset class and no single figure; recovering an implied life from the property, plant and equipment note returns a span that depends on an undisclosed land split and produces per-class rates that contradict the disclosed bands. Finding a range is not finding a life, and a derived life that contradicts the policy it implements is not one either. No life was chosen and the refusal is printed in §1.2.</w:t>
      </w:r>
    </w:p>
    <w:p>
      <w:pPr>
        <w:pStyle w:val="ListBullet"/>
        <w:spacing w:after="60"/>
      </w:pPr>
      <w:r>
        <w:rPr>
          <w:b/>
          <w:color w:val="1C3A36"/>
          <w:sz w:val="21"/>
        </w:rPr>
        <w:t xml:space="preserve">No audited financial statements for the associate that dominates this valuation. </w:t>
      </w:r>
      <w:r>
        <w:rPr>
          <w:color w:val="1C3A36"/>
          <w:sz w:val="21"/>
        </w:rPr>
        <w:t>They were not available to this study and they were not available to GB Corp’s own reviewers either, who say so in a qualified conclusion. That absence is the reason this study publishes two answers rather than one.</w:t>
      </w:r>
    </w:p>
    <w:p>
      <w:pPr>
        <w:pStyle w:val="ListBullet"/>
        <w:spacing w:after="60"/>
      </w:pPr>
      <w:r>
        <w:rPr>
          <w:b/>
          <w:color w:val="1C3A36"/>
          <w:sz w:val="21"/>
        </w:rPr>
        <w:t xml:space="preserve">No sourced split of passenger-car revenue between the domestic and regional markets for the reviewed half. </w:t>
      </w:r>
      <w:r>
        <w:rPr>
          <w:color w:val="1C3A36"/>
          <w:sz w:val="21"/>
        </w:rPr>
        <w:t>The regional exposure is named as a risk and a reader is entitled to its size. It is not disclosed in the documents this study holds for that period, so the exposure is NAMED and NOT PRICED and no split was estimated.</w:t>
      </w:r>
    </w:p>
    <w:p>
      <w:pPr>
        <w:pStyle w:val="ListBullet"/>
        <w:spacing w:after="60"/>
      </w:pPr>
      <w:r>
        <w:rPr>
          <w:b/>
          <w:color w:val="1C3A36"/>
          <w:sz w:val="21"/>
        </w:rPr>
        <w:t xml:space="preserve">No usable beta from the first regression attempted on this name. </w:t>
      </w:r>
      <w:r>
        <w:rPr>
          <w:color w:val="1C3A36"/>
          <w:sz w:val="21"/>
        </w:rPr>
        <w:t>The first attempt used five annual observations and returned a negative slope with essentially no explanatory power. It was refused rather than used. A conforming weekly regression against the exchange’s published index has since been produced and is what this edition adopts; the superseded figure is recorded beside it in the source register rather than deleted.</w:t>
      </w:r>
    </w:p>
    <w:p>
      <w:pPr>
        <w:pStyle w:val="ListBullet"/>
        <w:spacing w:after="60"/>
      </w:pPr>
      <w:r>
        <w:rPr>
          <w:b/>
          <w:color w:val="1C3A36"/>
          <w:sz w:val="21"/>
        </w:rPr>
        <w:t xml:space="preserve">No terms for the second closing of the June-2026 round. </w:t>
      </w:r>
      <w:r>
        <w:rPr>
          <w:color w:val="1C3A36"/>
          <w:sz w:val="21"/>
        </w:rPr>
        <w:t>Public reporting describes that close as an initial tranche of an ongoing round. Size and terms are undisclosed, so neither a higher nor a lower mark has a number behind it and none was invented.</w:t>
      </w:r>
    </w:p>
    <w:p>
      <w:pPr>
        <w:pStyle w:val="ListBullet"/>
        <w:spacing w:after="60"/>
      </w:pPr>
      <w:r>
        <w:rPr>
          <w:b/>
          <w:color w:val="1C3A36"/>
          <w:sz w:val="21"/>
        </w:rPr>
        <w:t xml:space="preserve">No audited statements for the two earliest years of the intended history window. </w:t>
      </w:r>
      <w:r>
        <w:rPr>
          <w:color w:val="1C3A36"/>
          <w:sz w:val="21"/>
        </w:rPr>
        <w:t>The company’s own filings index does not reach those years, and the annual reports for them lay the statements out in a form the text layer cannot attach to labels. The affected balance-sheet items are recorded as MISSING with that reason rather than estimated, and the window was shortened instead.</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C.1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17,629</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29,780</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53,676</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(4,294)</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49,382</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45.49</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39.29 per share; at half, to EGP 33.09.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45.49, on a range of EGP 21.75 to 75.03 — the widest in the room, and driven by the discount debate rather than by an unconfirmed stake. HE IS FALSIFIED BY a real secondary transaction in the associate’s shares at a materially different price, or by a second closing repricing the round. The traded price leaves EGP 13,347 mn for all the associates together, which in his own view is evidence the market does not accept that the round’s marked value transfers cleanly to a minority holder.</w:t>
      </w:r>
    </w:p>
    <w:p>
      <w:pPr>
        <w:spacing w:after="80" w:before="200"/>
      </w:pPr>
      <w:r>
        <w:rPr>
          <w:b/>
          <w:i w:val="0"/>
          <w:color w:val="1C3A36"/>
          <w:sz w:val="24"/>
        </w:rPr>
        <w:t>C.2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18.73%</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0.2560×</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7.89</w:t>
            </w:r>
          </w:p>
        </w:tc>
      </w:tr>
    </w:tbl>
    <w:p>
      <w:pPr>
        <w:spacing w:after="40"/>
      </w:pPr>
    </w:p>
    <w:p>
      <w:pPr>
        <w:spacing w:after="120" w:before="0"/>
      </w:pPr>
      <w:r>
        <w:rPr>
          <w:b w:val="0"/>
          <w:i w:val="0"/>
          <w:color w:val="1C3A36"/>
          <w:sz w:val="19"/>
        </w:rPr>
        <w:t>His arithmetic in one sentence: the group earns 10.00% on its own reported equity against a cost of 18.73%, a shortfall of 8.73 points against its cost of capital, so the accounts on their own justify 0.2560× book and no more — EGP 7.89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5.26; two points higher, to EGP 13.14.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7.89, on a range of EGP 5.26 to 13.14 — far the most conservative in the room and -73%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C.3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19.40%</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(15,084)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10,577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25,313</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41,531</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38.26</w:t>
            </w:r>
          </w:p>
        </w:tc>
      </w:tr>
    </w:tbl>
    <w:p>
      <w:pPr>
        <w:spacing w:after="40"/>
      </w:pPr>
    </w:p>
    <w:p>
      <w:pPr>
        <w:spacing w:after="120" w:before="0"/>
      </w:pPr>
      <w:r>
        <w:rPr>
          <w:b w:val="0"/>
          <w:i w:val="0"/>
          <w:color w:val="1C3A36"/>
          <w:sz w:val="19"/>
        </w:rPr>
        <w:t>Sensitivity — two levers, and he ranks them himself. Moving his haircut on the associate mark from 0.85× to 0.60× costs EGP 6.86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38.26, on a range of EGP 31.40 to 40.89 — even his conservative method lands +32%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4.90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7.1 bn.</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93%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18.73% — it destroys value on the capital it already has, which is why my number is EGP 7.89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45.49</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7.89</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38.26</w:t>
            </w:r>
          </w:p>
        </w:tc>
      </w:tr>
    </w:tbl>
    <w:p>
      <w:pPr>
        <w:spacing w:after="40"/>
      </w:pPr>
    </w:p>
    <w:p>
      <w:pPr>
        <w:spacing w:after="120" w:before="0"/>
      </w:pPr>
      <w:r>
        <w:rPr>
          <w:b w:val="0"/>
          <w:i w:val="0"/>
          <w:color w:val="1C3A36"/>
          <w:sz w:val="21"/>
        </w:rPr>
        <w:t>The spread — EGP 7.89 to 45.49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(17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50.2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17-09-2026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