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CellMar>
          <w:top w:w="90" w:type="dxa"/>
          <w:left w:w="150" w:type="dxa"/>
          <w:bottom w:w="90" w:type="dxa"/>
          <w:right w:w="150" w:type="dxa"/>
        </w:tblCellMar>
        <w:tblLook w:firstColumn="1" w:firstRow="1" w:lastColumn="0" w:lastRow="0" w:noHBand="0" w:noVBand="1" w:val="04A0"/>
      </w:tblPr>
      <w:tblGrid>
        <w:gridCol w:w="14112"/>
      </w:tblGrid>
      <w:tr>
        <w:tc>
          <w:tcPr>
            <w:tcW w:type="dxa" w:w="14112"/>
            <w:shd w:val="clear" w:color="auto" w:fill="1C3A36"/>
          </w:tcPr>
          <w:p>
            <w:r>
              <w:rPr>
                <w:b/>
                <w:color w:val="FFFFFF"/>
                <w:sz w:val="24"/>
              </w:rPr>
              <w:t>TESTAHIL Research — Valuation Study · Bibliography and Source Register</w:t>
            </w:r>
            <w:r>
              <w:rPr>
                <w:color w:val="9FB0AC"/>
                <w:sz w:val="20"/>
              </w:rPr>
              <w:t xml:space="preserve">   9 August 2026</w:t>
            </w:r>
          </w:p>
        </w:tc>
      </w:tr>
    </w:tbl>
    <w:p>
      <w:pPr>
        <w:spacing w:after="80"/>
      </w:pPr>
    </w:p>
    <w:p>
      <w:pPr>
        <w:spacing w:after="100" w:before="240"/>
      </w:pPr>
      <w:r>
        <w:rPr>
          <w:b/>
          <w:i w:val="0"/>
          <w:color w:val="1C3A36"/>
          <w:sz w:val="28"/>
        </w:rPr>
        <w:t>Emirates Central Cooling Systems Corporation PJSC (DFM: EMPOWER)</w:t>
      </w:r>
    </w:p>
    <w:p>
      <w:pPr>
        <w:spacing w:after="100" w:before="0"/>
      </w:pPr>
      <w:r>
        <w:rPr>
          <w:b w:val="0"/>
          <w:i w:val="0"/>
          <w:color w:val="1C3A36"/>
          <w:sz w:val="20"/>
        </w:rPr>
        <w:t>Companion document to the valuation study dated 9 August 2026. It exists so a reader can check the study rather than trust it: every input the model uses is listed with its value, its source and construction, the date the source itself bears (not the date it was read), and the research layer it belongs to. The judgements — the places where the analyst chose rather than observed — are collected separately, each with the evidence that would overturn it. Searches that returned nothing are recorded, because an absence of disclosure shaped the model as much as the disclosures did.</w:t>
      </w:r>
    </w:p>
    <w:tbl>
      <w:tblPr>
        <w:tblW w:type="auto" w:w="0"/>
        <w:jc w:val="cente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CellMar>
          <w:top w:w="40" w:type="dxa"/>
          <w:left w:w="80" w:type="dxa"/>
          <w:bottom w:w="40" w:type="dxa"/>
          <w:right w:w="80" w:type="dxa"/>
        </w:tblCellMar>
        <w:tblLook w:firstColumn="1" w:firstRow="1" w:lastColumn="0" w:lastRow="0" w:noHBand="0" w:noVBand="1" w:val="04A0"/>
      </w:tblPr>
      <w:tblGrid>
        <w:gridCol w:w="1512"/>
        <w:gridCol w:w="12600"/>
      </w:tblGrid>
      <w:tr>
        <w:tc>
          <w:tcPr>
            <w:tcW w:type="dxa" w:w="1512"/>
            <w:shd w:val="clear" w:color="auto" w:fill="EAF0EE"/>
          </w:tcPr>
          <w:p>
            <w:pPr>
              <w:spacing w:after="20"/>
            </w:pPr>
            <w:r>
              <w:rPr>
                <w:b/>
                <w:color w:val="1C3A36"/>
                <w:sz w:val="17"/>
              </w:rPr>
              <w:t>Layer</w:t>
            </w:r>
          </w:p>
        </w:tc>
        <w:tc>
          <w:tcPr>
            <w:tcW w:type="dxa" w:w="12600"/>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12600"/>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Company</w:t>
            </w:r>
          </w:p>
        </w:tc>
        <w:tc>
          <w:tcPr>
            <w:tcW w:type="dxa" w:w="12600"/>
          </w:tcPr>
          <w:p>
            <w:pPr>
              <w:spacing w:after="20"/>
            </w:pPr>
            <w:r>
              <w:rPr>
                <w:color w:val="1C3A36"/>
                <w:sz w:val="17"/>
              </w:rPr>
              <w:t>Empower's own audited and reviewed financial statements, earnings presentations and exchange disclosures</w:t>
            </w:r>
          </w:p>
        </w:tc>
      </w:tr>
      <w:tr>
        <w:tc>
          <w:tcPr>
            <w:tcW w:type="dxa" w:w="1512"/>
          </w:tcPr>
          <w:p>
            <w:pPr>
              <w:spacing w:after="20"/>
            </w:pPr>
            <w:r>
              <w:rPr>
                <w:color w:val="1C3A36"/>
                <w:sz w:val="17"/>
              </w:rPr>
              <w:t>Country</w:t>
            </w:r>
          </w:p>
        </w:tc>
        <w:tc>
          <w:tcPr>
            <w:tcW w:type="dxa" w:w="12600"/>
          </w:tcPr>
          <w:p>
            <w:pPr>
              <w:spacing w:after="20"/>
            </w:pPr>
            <w:r>
              <w:rPr>
                <w:color w:val="1C3A36"/>
                <w:sz w:val="17"/>
              </w:rPr>
              <w:t>UAE macroeconomic and sovereign data: the policy rate, the dirham sovereign curve, default spreads, the equity risk premium, the tax regime</w:t>
            </w:r>
          </w:p>
        </w:tc>
      </w:tr>
      <w:tr>
        <w:tc>
          <w:tcPr>
            <w:tcW w:type="dxa" w:w="1512"/>
          </w:tcPr>
          <w:p>
            <w:pPr>
              <w:spacing w:after="20"/>
            </w:pPr>
            <w:r>
              <w:rPr>
                <w:color w:val="1C3A36"/>
                <w:sz w:val="17"/>
              </w:rPr>
              <w:t>House</w:t>
            </w:r>
          </w:p>
        </w:tc>
        <w:tc>
          <w:tcPr>
            <w:tcW w:type="dxa" w:w="12600"/>
          </w:tcPr>
          <w:p>
            <w:pPr>
              <w:spacing w:after="20"/>
            </w:pPr>
            <w:r>
              <w:rPr>
                <w:color w:val="1C3A36"/>
                <w:sz w:val="17"/>
              </w:rPr>
              <w:t>Analyst judgement — forecast drivers, normalisation choices and cost-of-capital construction, each argued in place rather than asserted</w:t>
            </w:r>
          </w:p>
        </w:tc>
      </w:tr>
    </w:tbl>
    <w:p>
      <w:pPr>
        <w:spacing w:after="40"/>
      </w:pPr>
    </w:p>
    <w:p>
      <w:r>
        <w:br w:type="page"/>
      </w:r>
    </w:p>
    <w:p>
      <w:pPr>
        <w:spacing w:after="100" w:before="240"/>
      </w:pPr>
      <w:r>
        <w:rPr>
          <w:b/>
          <w:i w:val="0"/>
          <w:color w:val="1C3A36"/>
          <w:sz w:val="28"/>
        </w:rPr>
        <w:t>1  Primary documents — the company filings this study is built from</w:t>
      </w:r>
    </w:p>
    <w:p>
      <w:pPr>
        <w:spacing w:after="100" w:before="0"/>
      </w:pPr>
      <w:r>
        <w:rPr>
          <w:b w:val="0"/>
          <w:i w:val="0"/>
          <w:color w:val="1C3A36"/>
          <w:sz w:val="19"/>
        </w:rPr>
        <w:t>All eight documents below were retrieved from the company's own website (empower.ae) on 9 August 2026 and read in full. The investor-relations HTML pages refuse non-browser clients, but the filing archive itself is open; two filings are page scans and were read by optical character recognition, with every extracted statement line cross-footed against the statement totals before use.</w:t>
      </w:r>
    </w:p>
    <w:tbl>
      <w:tblPr>
        <w:tblW w:type="auto" w:w="0"/>
        <w:jc w:val="cente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CellMar>
          <w:top w:w="40" w:type="dxa"/>
          <w:left w:w="80" w:type="dxa"/>
          <w:bottom w:w="40" w:type="dxa"/>
          <w:right w:w="80" w:type="dxa"/>
        </w:tblCellMar>
        <w:tblLook w:firstColumn="1" w:firstRow="1" w:lastColumn="0" w:lastRow="0" w:noHBand="0" w:noVBand="1" w:val="04A0"/>
      </w:tblPr>
      <w:tblGrid>
        <w:gridCol w:w="3528"/>
        <w:gridCol w:w="1152"/>
        <w:gridCol w:w="3528"/>
        <w:gridCol w:w="5904"/>
      </w:tblGrid>
      <w:tr>
        <w:tc>
          <w:tcPr>
            <w:tcW w:type="dxa" w:w="3528"/>
            <w:shd w:val="clear" w:color="auto" w:fill="EAF0EE"/>
          </w:tcPr>
          <w:p>
            <w:pPr>
              <w:spacing w:after="20"/>
            </w:pPr>
            <w:r>
              <w:rPr>
                <w:b/>
                <w:color w:val="1C3A36"/>
                <w:sz w:val="16"/>
              </w:rPr>
              <w:t>Document</w:t>
            </w:r>
          </w:p>
        </w:tc>
        <w:tc>
          <w:tcPr>
            <w:tcW w:type="dxa" w:w="1152"/>
            <w:shd w:val="clear" w:color="auto" w:fill="EAF0EE"/>
          </w:tcPr>
          <w:p>
            <w:pPr>
              <w:spacing w:after="20"/>
            </w:pPr>
            <w:r>
              <w:rPr>
                <w:b/>
                <w:color w:val="1C3A36"/>
                <w:sz w:val="16"/>
              </w:rPr>
              <w:t>Date</w:t>
            </w:r>
          </w:p>
        </w:tc>
        <w:tc>
          <w:tcPr>
            <w:tcW w:type="dxa" w:w="3528"/>
            <w:shd w:val="clear" w:color="auto" w:fill="EAF0EE"/>
          </w:tcPr>
          <w:p>
            <w:pPr>
              <w:spacing w:after="20"/>
            </w:pPr>
            <w:r>
              <w:rPr>
                <w:b/>
                <w:color w:val="1C3A36"/>
                <w:sz w:val="16"/>
              </w:rPr>
              <w:t>Location (empower.ae)</w:t>
            </w:r>
          </w:p>
        </w:tc>
        <w:tc>
          <w:tcPr>
            <w:tcW w:type="dxa" w:w="5904"/>
            <w:shd w:val="clear" w:color="auto" w:fill="EAF0EE"/>
          </w:tcPr>
          <w:p>
            <w:pPr>
              <w:spacing w:after="20"/>
            </w:pPr>
            <w:r>
              <w:rPr>
                <w:b/>
                <w:color w:val="1C3A36"/>
                <w:sz w:val="16"/>
              </w:rPr>
              <w:t>What was taken from it</w:t>
            </w:r>
          </w:p>
        </w:tc>
      </w:tr>
      <w:tr>
        <w:tc>
          <w:tcPr>
            <w:tcW w:type="dxa" w:w="3528"/>
          </w:tcPr>
          <w:p>
            <w:pPr>
              <w:spacing w:after="20"/>
            </w:pPr>
            <w:r>
              <w:rPr>
                <w:color w:val="1C3A36"/>
                <w:sz w:val="16"/>
              </w:rPr>
              <w:t>Audited consolidated financial statements FY2022 (PwC, unqualified) — the listing year, with FY2021 comparatives</w:t>
            </w:r>
          </w:p>
        </w:tc>
        <w:tc>
          <w:tcPr>
            <w:tcW w:type="dxa" w:w="1152"/>
          </w:tcPr>
          <w:p>
            <w:pPr>
              <w:spacing w:after="20"/>
            </w:pPr>
            <w:r>
              <w:rPr>
                <w:color w:val="1C3A36"/>
                <w:sz w:val="16"/>
              </w:rPr>
              <w:t>14-Feb-2023</w:t>
            </w:r>
          </w:p>
        </w:tc>
        <w:tc>
          <w:tcPr>
            <w:tcW w:type="dxa" w:w="3528"/>
          </w:tcPr>
          <w:p>
            <w:pPr>
              <w:spacing w:after="20"/>
            </w:pPr>
            <w:r>
              <w:rPr>
                <w:color w:val="1C3A36"/>
                <w:sz w:val="16"/>
              </w:rPr>
              <w:t>/media/0itbxotb/empower_en_fs_2022.pdf</w:t>
            </w:r>
          </w:p>
        </w:tc>
        <w:tc>
          <w:tcPr>
            <w:tcW w:type="dxa" w:w="5904"/>
          </w:tcPr>
          <w:p>
            <w:pPr>
              <w:spacing w:after="20"/>
            </w:pPr>
            <w:r>
              <w:rPr>
                <w:color w:val="1C3A36"/>
                <w:sz w:val="16"/>
              </w:rPr>
              <w:t>FY2022 and FY2021 income statement, balance sheet and cash flow — the two earliest of the five audited years in the margin history; the listing-date share structure (10,000mn shares at AED 0.10 par)</w:t>
            </w:r>
          </w:p>
        </w:tc>
      </w:tr>
      <w:tr>
        <w:tc>
          <w:tcPr>
            <w:tcW w:type="dxa" w:w="3528"/>
          </w:tcPr>
          <w:p>
            <w:pPr>
              <w:spacing w:after="20"/>
            </w:pPr>
            <w:r>
              <w:rPr>
                <w:color w:val="1C3A36"/>
                <w:sz w:val="16"/>
              </w:rPr>
              <w:t>Audited consolidated financial statements FY2023 (PwC, unqualified)</w:t>
            </w:r>
          </w:p>
        </w:tc>
        <w:tc>
          <w:tcPr>
            <w:tcW w:type="dxa" w:w="1152"/>
          </w:tcPr>
          <w:p>
            <w:pPr>
              <w:spacing w:after="20"/>
            </w:pPr>
            <w:r>
              <w:rPr>
                <w:color w:val="1C3A36"/>
                <w:sz w:val="16"/>
              </w:rPr>
              <w:t>14-Feb-2024</w:t>
            </w:r>
          </w:p>
        </w:tc>
        <w:tc>
          <w:tcPr>
            <w:tcW w:type="dxa" w:w="3528"/>
          </w:tcPr>
          <w:p>
            <w:pPr>
              <w:spacing w:after="20"/>
            </w:pPr>
            <w:r>
              <w:rPr>
                <w:color w:val="1C3A36"/>
                <w:sz w:val="16"/>
              </w:rPr>
              <w:t>/media/vn1fsmte/2023_financial_statements_e.pdf</w:t>
            </w:r>
          </w:p>
        </w:tc>
        <w:tc>
          <w:tcPr>
            <w:tcW w:type="dxa" w:w="5904"/>
          </w:tcPr>
          <w:p>
            <w:pPr>
              <w:spacing w:after="20"/>
            </w:pPr>
            <w:r>
              <w:rPr>
                <w:color w:val="1C3A36"/>
                <w:sz w:val="16"/>
              </w:rPr>
              <w:t>Full FY2023 statements: revenue, cost of sales, operating profit, the tax CREDIT from first recognition of deferred tax assets; the airport-cooling concession acquisition (70% of DXB CoolCo, 35-year concession) and the borrowing step-up that funded it; consumption revenue in the auditor's key-audit-matter section</w:t>
            </w:r>
          </w:p>
        </w:tc>
      </w:tr>
      <w:tr>
        <w:tc>
          <w:tcPr>
            <w:tcW w:type="dxa" w:w="3528"/>
          </w:tcPr>
          <w:p>
            <w:pPr>
              <w:spacing w:after="20"/>
            </w:pPr>
            <w:r>
              <w:rPr>
                <w:color w:val="1C3A36"/>
                <w:sz w:val="16"/>
              </w:rPr>
              <w:t>Audited consolidated financial statements FY2024 (PwC, unqualified)</w:t>
            </w:r>
          </w:p>
        </w:tc>
        <w:tc>
          <w:tcPr>
            <w:tcW w:type="dxa" w:w="1152"/>
          </w:tcPr>
          <w:p>
            <w:pPr>
              <w:spacing w:after="20"/>
            </w:pPr>
            <w:r>
              <w:rPr>
                <w:color w:val="1C3A36"/>
                <w:sz w:val="16"/>
              </w:rPr>
              <w:t>14-Feb-2025</w:t>
            </w:r>
          </w:p>
        </w:tc>
        <w:tc>
          <w:tcPr>
            <w:tcW w:type="dxa" w:w="3528"/>
          </w:tcPr>
          <w:p>
            <w:pPr>
              <w:spacing w:after="20"/>
            </w:pPr>
            <w:r>
              <w:rPr>
                <w:color w:val="1C3A36"/>
                <w:sz w:val="16"/>
              </w:rPr>
              <w:t>/media/0nspfjmz/empower_fs_2024_e_14-02-2025.pdf</w:t>
            </w:r>
          </w:p>
        </w:tc>
        <w:tc>
          <w:tcPr>
            <w:tcW w:type="dxa" w:w="5904"/>
          </w:tcPr>
          <w:p>
            <w:pPr>
              <w:spacing w:after="20"/>
            </w:pPr>
            <w:r>
              <w:rPr>
                <w:color w:val="1C3A36"/>
                <w:sz w:val="16"/>
              </w:rPr>
              <w:t>Full FY2024 statements and notes: electricity and water purchased from DEWA (related-party note); the 2024 refinancing; the 2024 borrowing-cost capitalisation rate; lease, grant and payables notes; consumption revenue in the key-audit-matter section</w:t>
            </w:r>
          </w:p>
        </w:tc>
      </w:tr>
      <w:tr>
        <w:tc>
          <w:tcPr>
            <w:tcW w:type="dxa" w:w="3528"/>
          </w:tcPr>
          <w:p>
            <w:pPr>
              <w:spacing w:after="20"/>
            </w:pPr>
            <w:r>
              <w:rPr>
                <w:color w:val="1C3A36"/>
                <w:sz w:val="16"/>
              </w:rPr>
              <w:t>Audited consolidated financial statements FY2025 (PwC, unqualified)</w:t>
            </w:r>
          </w:p>
        </w:tc>
        <w:tc>
          <w:tcPr>
            <w:tcW w:type="dxa" w:w="1152"/>
          </w:tcPr>
          <w:p>
            <w:pPr>
              <w:spacing w:after="20"/>
            </w:pPr>
            <w:r>
              <w:rPr>
                <w:color w:val="1C3A36"/>
                <w:sz w:val="16"/>
              </w:rPr>
              <w:t>09-Feb-2026</w:t>
            </w:r>
          </w:p>
        </w:tc>
        <w:tc>
          <w:tcPr>
            <w:tcW w:type="dxa" w:w="3528"/>
          </w:tcPr>
          <w:p>
            <w:pPr>
              <w:spacing w:after="20"/>
            </w:pPr>
            <w:r>
              <w:rPr>
                <w:color w:val="1C3A36"/>
                <w:sz w:val="16"/>
              </w:rPr>
              <w:t>/media/lgbpvouk/empower_fs_2025_e_09-02-2026.pdf</w:t>
            </w:r>
          </w:p>
        </w:tc>
        <w:tc>
          <w:tcPr>
            <w:tcW w:type="dxa" w:w="5904"/>
          </w:tcPr>
          <w:p>
            <w:pPr>
              <w:spacing w:after="20"/>
            </w:pPr>
            <w:r>
              <w:rPr>
                <w:color w:val="1C3A36"/>
                <w:sz w:val="16"/>
              </w:rPr>
              <w:t>The anchor year, read by optical character recognition (page scan): every FY2025 income-statement, balance-sheet and cash-flow line in the study; the full 2025 refinancing of both revolving facilities at a reduced margin; the 4.92% borrowing-cost capitalisation rate; the 9.0% effective tax rate; dividends paid; consumption revenue in the key-audit-matter section</w:t>
            </w:r>
          </w:p>
        </w:tc>
      </w:tr>
      <w:tr>
        <w:tc>
          <w:tcPr>
            <w:tcW w:type="dxa" w:w="3528"/>
          </w:tcPr>
          <w:p>
            <w:pPr>
              <w:spacing w:after="20"/>
            </w:pPr>
            <w:r>
              <w:rPr>
                <w:color w:val="1C3A36"/>
                <w:sz w:val="16"/>
              </w:rPr>
              <w:t>Condensed interim financial statements, three months to 31-Mar-2026 (limited review)</w:t>
            </w:r>
          </w:p>
        </w:tc>
        <w:tc>
          <w:tcPr>
            <w:tcW w:type="dxa" w:w="1152"/>
          </w:tcPr>
          <w:p>
            <w:pPr>
              <w:spacing w:after="20"/>
            </w:pPr>
            <w:r>
              <w:rPr>
                <w:color w:val="1C3A36"/>
                <w:sz w:val="16"/>
              </w:rPr>
              <w:t>06-May-2026</w:t>
            </w:r>
          </w:p>
        </w:tc>
        <w:tc>
          <w:tcPr>
            <w:tcW w:type="dxa" w:w="3528"/>
          </w:tcPr>
          <w:p>
            <w:pPr>
              <w:spacing w:after="20"/>
            </w:pPr>
            <w:r>
              <w:rPr>
                <w:color w:val="1C3A36"/>
                <w:sz w:val="16"/>
              </w:rPr>
              <w:t>/media/ld0h1d2a/empower_fs_q1_e_06_05_2026.pdf</w:t>
            </w:r>
          </w:p>
        </w:tc>
        <w:tc>
          <w:tcPr>
            <w:tcW w:type="dxa" w:w="5904"/>
          </w:tcPr>
          <w:p>
            <w:pPr>
              <w:spacing w:after="20"/>
            </w:pPr>
            <w:r>
              <w:rPr>
                <w:color w:val="1C3A36"/>
                <w:sz w:val="16"/>
              </w:rPr>
              <w:t>The pre-shock study-year quarter (read by optical character recognition, cross-footed): Q1-2026 revenue, profit and comparatives</w:t>
            </w:r>
          </w:p>
        </w:tc>
      </w:tr>
      <w:tr>
        <w:tc>
          <w:tcPr>
            <w:tcW w:type="dxa" w:w="3528"/>
          </w:tcPr>
          <w:p>
            <w:pPr>
              <w:spacing w:after="20"/>
            </w:pPr>
            <w:r>
              <w:rPr>
                <w:color w:val="1C3A36"/>
                <w:sz w:val="16"/>
              </w:rPr>
              <w:t>Condensed interim financial statements, six months to 30-Jun-2026 (limited review)</w:t>
            </w:r>
          </w:p>
        </w:tc>
        <w:tc>
          <w:tcPr>
            <w:tcW w:type="dxa" w:w="1152"/>
          </w:tcPr>
          <w:p>
            <w:pPr>
              <w:spacing w:after="20"/>
            </w:pPr>
            <w:r>
              <w:rPr>
                <w:color w:val="1C3A36"/>
                <w:sz w:val="16"/>
              </w:rPr>
              <w:t>05-Aug-2026</w:t>
            </w:r>
          </w:p>
        </w:tc>
        <w:tc>
          <w:tcPr>
            <w:tcW w:type="dxa" w:w="3528"/>
          </w:tcPr>
          <w:p>
            <w:pPr>
              <w:spacing w:after="20"/>
            </w:pPr>
            <w:r>
              <w:rPr>
                <w:color w:val="1C3A36"/>
                <w:sz w:val="16"/>
              </w:rPr>
              <w:t>/media/emibya3p/empower_fs_q2_e_05_08_2026.pdf</w:t>
            </w:r>
          </w:p>
        </w:tc>
        <w:tc>
          <w:tcPr>
            <w:tcW w:type="dxa" w:w="5904"/>
          </w:tcPr>
          <w:p>
            <w:pPr>
              <w:spacing w:after="20"/>
            </w:pPr>
            <w:r>
              <w:rPr>
                <w:color w:val="1C3A36"/>
                <w:sz w:val="16"/>
              </w:rPr>
              <w:t>The shock quarter: Q2-2026 standalone and H1-2026 figures; the 30-Jun-2026 balance sheet the valuation bridge is struck on; the note tying the consumption fall partly to conflict impact on hospitality occupancy; the half-year cash-flow statement including the April dividend instalment</w:t>
            </w:r>
          </w:p>
        </w:tc>
      </w:tr>
      <w:tr>
        <w:tc>
          <w:tcPr>
            <w:tcW w:type="dxa" w:w="3528"/>
          </w:tcPr>
          <w:p>
            <w:pPr>
              <w:spacing w:after="20"/>
            </w:pPr>
            <w:r>
              <w:rPr>
                <w:color w:val="1C3A36"/>
                <w:sz w:val="16"/>
              </w:rPr>
              <w:t>H1-2026 earnings presentation (24 pages)</w:t>
            </w:r>
          </w:p>
        </w:tc>
        <w:tc>
          <w:tcPr>
            <w:tcW w:type="dxa" w:w="1152"/>
          </w:tcPr>
          <w:p>
            <w:pPr>
              <w:spacing w:after="20"/>
            </w:pPr>
            <w:r>
              <w:rPr>
                <w:color w:val="1C3A36"/>
                <w:sz w:val="16"/>
              </w:rPr>
              <w:t>05-Aug-2026</w:t>
            </w:r>
          </w:p>
        </w:tc>
        <w:tc>
          <w:tcPr>
            <w:tcW w:type="dxa" w:w="3528"/>
          </w:tcPr>
          <w:p>
            <w:pPr>
              <w:spacing w:after="20"/>
            </w:pPr>
            <w:r>
              <w:rPr>
                <w:color w:val="1C3A36"/>
                <w:sz w:val="16"/>
              </w:rPr>
              <w:t>/media/z1djkwz3/earnings-presentation-h1-2026.pdf</w:t>
            </w:r>
          </w:p>
        </w:tc>
        <w:tc>
          <w:tcPr>
            <w:tcW w:type="dxa" w:w="5904"/>
          </w:tcPr>
          <w:p>
            <w:pPr>
              <w:spacing w:after="20"/>
            </w:pPr>
            <w:r>
              <w:rPr>
                <w:color w:val="1C3A36"/>
                <w:sz w:val="16"/>
              </w:rPr>
              <w:t>Connected capacity (1,707k RT) and contracted capacity (2,018k RT); the 100–110k RT 2026 connection guidance; equivalent full-load hours; quarterly EBITDA margins; net debt as the company presents it; the AED 875m dividend commitment for 2025 and 2026; the demand/consumption/others revenue mix — the ONLY source for that mix, flagged wherever it is used</w:t>
            </w:r>
          </w:p>
        </w:tc>
      </w:tr>
      <w:tr>
        <w:tc>
          <w:tcPr>
            <w:tcW w:type="dxa" w:w="3528"/>
          </w:tcPr>
          <w:p>
            <w:pPr>
              <w:spacing w:after="20"/>
            </w:pPr>
            <w:r>
              <w:rPr>
                <w:color w:val="1C3A36"/>
                <w:sz w:val="16"/>
              </w:rPr>
              <w:t>Investor-relations filing archive (index page)</w:t>
            </w:r>
          </w:p>
        </w:tc>
        <w:tc>
          <w:tcPr>
            <w:tcW w:type="dxa" w:w="1152"/>
          </w:tcPr>
          <w:p>
            <w:pPr>
              <w:spacing w:after="20"/>
            </w:pPr>
            <w:r>
              <w:rPr>
                <w:color w:val="1C3A36"/>
                <w:sz w:val="16"/>
              </w:rPr>
              <w:t>09-Aug-2026</w:t>
            </w:r>
          </w:p>
        </w:tc>
        <w:tc>
          <w:tcPr>
            <w:tcW w:type="dxa" w:w="3528"/>
          </w:tcPr>
          <w:p>
            <w:pPr>
              <w:spacing w:after="20"/>
            </w:pPr>
            <w:r>
              <w:rPr>
                <w:color w:val="1C3A36"/>
                <w:sz w:val="16"/>
              </w:rPr>
              <w:t>/investor-relations/financial/financial-statements/</w:t>
            </w:r>
          </w:p>
        </w:tc>
        <w:tc>
          <w:tcPr>
            <w:tcW w:type="dxa" w:w="5904"/>
          </w:tcPr>
          <w:p>
            <w:pPr>
              <w:spacing w:after="20"/>
            </w:pPr>
            <w:r>
              <w:rPr>
                <w:color w:val="1C3A36"/>
                <w:sz w:val="16"/>
              </w:rPr>
              <w:t>The document index itself; the main investor-relations landing page refuses non-browser clients and that refusal is recorded rather than worked around</w:t>
            </w:r>
          </w:p>
        </w:tc>
      </w:tr>
    </w:tbl>
    <w:p>
      <w:pPr>
        <w:spacing w:after="40"/>
      </w:pPr>
    </w:p>
    <w:p>
      <w:r>
        <w:br w:type="page"/>
      </w:r>
    </w:p>
    <w:p>
      <w:pPr>
        <w:spacing w:after="100" w:before="240"/>
      </w:pPr>
      <w:r>
        <w:rPr>
          <w:b/>
          <w:i w:val="0"/>
          <w:color w:val="1C3A36"/>
          <w:sz w:val="28"/>
        </w:rPr>
        <w:t>2  The full input register — every figure in the model</w:t>
      </w:r>
    </w:p>
    <w:p>
      <w:pPr>
        <w:spacing w:after="100" w:before="0"/>
      </w:pPr>
      <w:r>
        <w:rPr>
          <w:b w:val="0"/>
          <w:i w:val="0"/>
          <w:color w:val="6E7B77"/>
          <w:sz w:val="19"/>
        </w:rPr>
        <w:t>Values are shown as the model holds them: AED millions for financial-statement lines (thousands of refrigeration tons for capacity), decimals for rates and ratios. The layer is the research layer defined on the first page. Where a value is a construction rather than a quotation, the construction is stated in the source column itself.</w:t>
      </w:r>
    </w:p>
    <w:tbl>
      <w:tblPr>
        <w:tblW w:type="auto" w:w="0"/>
        <w:jc w:val="cente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CellMar>
          <w:top w:w="40" w:type="dxa"/>
          <w:left w:w="80" w:type="dxa"/>
          <w:bottom w:w="40" w:type="dxa"/>
          <w:right w:w="80" w:type="dxa"/>
        </w:tblCellMar>
        <w:tblLook w:firstColumn="1" w:firstRow="1" w:lastColumn="0" w:lastRow="0" w:noHBand="0" w:noVBand="1" w:val="04A0"/>
      </w:tblPr>
      <w:tblGrid>
        <w:gridCol w:w="1872"/>
        <w:gridCol w:w="2304"/>
        <w:gridCol w:w="893"/>
        <w:gridCol w:w="1123"/>
        <w:gridCol w:w="7920"/>
      </w:tblGrid>
      <w:tr>
        <w:tc>
          <w:tcPr>
            <w:tcW w:type="dxa" w:w="1872"/>
            <w:shd w:val="clear" w:color="auto" w:fill="EAF0EE"/>
          </w:tcPr>
          <w:p>
            <w:pPr>
              <w:spacing w:after="20"/>
            </w:pPr>
            <w:r>
              <w:rPr>
                <w:b/>
                <w:color w:val="1C3A36"/>
                <w:sz w:val="15"/>
              </w:rPr>
              <w:t>Input</w:t>
            </w:r>
          </w:p>
        </w:tc>
        <w:tc>
          <w:tcPr>
            <w:tcW w:type="dxa" w:w="2304"/>
            <w:shd w:val="clear" w:color="auto" w:fill="EAF0EE"/>
          </w:tcPr>
          <w:p>
            <w:pPr>
              <w:spacing w:after="20"/>
            </w:pPr>
            <w:r>
              <w:rPr>
                <w:b/>
                <w:color w:val="1C3A36"/>
                <w:sz w:val="15"/>
              </w:rPr>
              <w:t>Value</w:t>
            </w:r>
          </w:p>
        </w:tc>
        <w:tc>
          <w:tcPr>
            <w:tcW w:type="dxa" w:w="893"/>
            <w:shd w:val="clear" w:color="auto" w:fill="EAF0EE"/>
          </w:tcPr>
          <w:p>
            <w:pPr>
              <w:spacing w:after="20"/>
            </w:pPr>
            <w:r>
              <w:rPr>
                <w:b/>
                <w:color w:val="1C3A36"/>
                <w:sz w:val="15"/>
              </w:rPr>
              <w:t>Layer</w:t>
            </w:r>
          </w:p>
        </w:tc>
        <w:tc>
          <w:tcPr>
            <w:tcW w:type="dxa" w:w="1123"/>
            <w:shd w:val="clear" w:color="auto" w:fill="EAF0EE"/>
          </w:tcPr>
          <w:p>
            <w:pPr>
              <w:spacing w:after="20"/>
            </w:pPr>
            <w:r>
              <w:rPr>
                <w:b/>
                <w:color w:val="1C3A36"/>
                <w:sz w:val="15"/>
              </w:rPr>
              <w:t>Date</w:t>
            </w:r>
          </w:p>
        </w:tc>
        <w:tc>
          <w:tcPr>
            <w:tcW w:type="dxa" w:w="7920"/>
            <w:shd w:val="clear" w:color="auto" w:fill="EAF0EE"/>
          </w:tcPr>
          <w:p>
            <w:pPr>
              <w:spacing w:after="20"/>
            </w:pPr>
            <w:r>
              <w:rPr>
                <w:b/>
                <w:color w:val="1C3A36"/>
                <w:sz w:val="15"/>
              </w:rPr>
              <w:t>Source and construction</w:t>
            </w:r>
          </w:p>
        </w:tc>
      </w:tr>
      <w:tr>
        <w:tc>
          <w:tcPr>
            <w:tcW w:type="dxa" w:w="1872"/>
          </w:tcPr>
          <w:p>
            <w:pPr>
              <w:spacing w:after="20"/>
            </w:pPr>
            <w:r>
              <w:rPr>
                <w:color w:val="1C3A36"/>
                <w:sz w:val="15"/>
              </w:rPr>
              <w:t>spot</w:t>
            </w:r>
          </w:p>
        </w:tc>
        <w:tc>
          <w:tcPr>
            <w:tcW w:type="dxa" w:w="2304"/>
          </w:tcPr>
          <w:p>
            <w:pPr>
              <w:spacing w:after="20"/>
            </w:pPr>
            <w:r>
              <w:rPr>
                <w:color w:val="1C3A36"/>
                <w:sz w:val="15"/>
              </w:rPr>
              <w:t>1.5</w:t>
            </w:r>
          </w:p>
        </w:tc>
        <w:tc>
          <w:tcPr>
            <w:tcW w:type="dxa" w:w="893"/>
          </w:tcPr>
          <w:p>
            <w:pPr>
              <w:spacing w:after="20"/>
            </w:pPr>
            <w:r>
              <w:rPr>
                <w:color w:val="1C3A36"/>
                <w:sz w:val="15"/>
              </w:rPr>
              <w:t>Market</w:t>
            </w:r>
          </w:p>
        </w:tc>
        <w:tc>
          <w:tcPr>
            <w:tcW w:type="dxa" w:w="1123"/>
          </w:tcPr>
          <w:p>
            <w:pPr>
              <w:spacing w:after="20"/>
            </w:pPr>
            <w:r>
              <w:rPr>
                <w:color w:val="1C3A36"/>
                <w:sz w:val="15"/>
              </w:rPr>
              <w:t>2026-08-07</w:t>
            </w:r>
          </w:p>
        </w:tc>
        <w:tc>
          <w:tcPr>
            <w:tcW w:type="dxa" w:w="7920"/>
          </w:tcPr>
          <w:p>
            <w:pPr>
              <w:spacing w:after="20"/>
            </w:pPr>
            <w:r>
              <w:rPr>
                <w:color w:val="1C3A36"/>
                <w:sz w:val="15"/>
              </w:rPr>
              <w:t>Uploaded DFM daily price history, last close</w:t>
            </w:r>
          </w:p>
        </w:tc>
      </w:tr>
      <w:tr>
        <w:tc>
          <w:tcPr>
            <w:tcW w:type="dxa" w:w="1872"/>
          </w:tcPr>
          <w:p>
            <w:pPr>
              <w:spacing w:after="20"/>
            </w:pPr>
            <w:r>
              <w:rPr>
                <w:color w:val="1C3A36"/>
                <w:sz w:val="15"/>
              </w:rPr>
              <w:t>shares mn</w:t>
            </w:r>
          </w:p>
        </w:tc>
        <w:tc>
          <w:tcPr>
            <w:tcW w:type="dxa" w:w="2304"/>
          </w:tcPr>
          <w:p>
            <w:pPr>
              <w:spacing w:after="20"/>
            </w:pPr>
            <w:r>
              <w:rPr>
                <w:color w:val="1C3A36"/>
                <w:sz w:val="15"/>
              </w:rPr>
              <w:t>10,000.0</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Share capital note 16: AED 1,000,000k at AED 0.10 par = 10,000,000,000 shares, unchanged since the Nov-2022 IPO (EPS note 35 cross-check: 896,754k / 0.090 = 9,964mn wtd)</w:t>
            </w:r>
          </w:p>
        </w:tc>
      </w:tr>
      <w:tr>
        <w:tc>
          <w:tcPr>
            <w:tcW w:type="dxa" w:w="1872"/>
          </w:tcPr>
          <w:p>
            <w:pPr>
              <w:spacing w:after="20"/>
            </w:pPr>
            <w:r>
              <w:rPr>
                <w:color w:val="1C3A36"/>
                <w:sz w:val="15"/>
              </w:rPr>
              <w:t>tax ct</w:t>
            </w:r>
          </w:p>
        </w:tc>
        <w:tc>
          <w:tcPr>
            <w:tcW w:type="dxa" w:w="2304"/>
          </w:tcPr>
          <w:p>
            <w:pPr>
              <w:spacing w:after="20"/>
            </w:pPr>
            <w:r>
              <w:rPr>
                <w:color w:val="1C3A36"/>
                <w:sz w:val="15"/>
              </w:rPr>
              <w:t>0.09</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UAE federal corporate tax 9% (FY2025 audited effective rate exactly 9.0%: 99,226k tax on 1,103,161k PBT; note 28)</w:t>
            </w:r>
          </w:p>
        </w:tc>
      </w:tr>
      <w:tr>
        <w:tc>
          <w:tcPr>
            <w:tcW w:type="dxa" w:w="1872"/>
          </w:tcPr>
          <w:p>
            <w:pPr>
              <w:spacing w:after="20"/>
            </w:pPr>
            <w:r>
              <w:rPr>
                <w:color w:val="1C3A36"/>
                <w:sz w:val="15"/>
              </w:rPr>
              <w:t>rev fy23</w:t>
            </w:r>
          </w:p>
        </w:tc>
        <w:tc>
          <w:tcPr>
            <w:tcW w:type="dxa" w:w="2304"/>
          </w:tcPr>
          <w:p>
            <w:pPr>
              <w:spacing w:after="20"/>
            </w:pPr>
            <w:r>
              <w:rPr>
                <w:color w:val="1C3A36"/>
                <w:sz w:val="15"/>
              </w:rPr>
              <w:t>3,035.2</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Consolidated statement of comprehensive income, FY2023 audited FS (confirmed by FY2024 filing comparative)</w:t>
            </w:r>
          </w:p>
        </w:tc>
      </w:tr>
      <w:tr>
        <w:tc>
          <w:tcPr>
            <w:tcW w:type="dxa" w:w="1872"/>
          </w:tcPr>
          <w:p>
            <w:pPr>
              <w:spacing w:after="20"/>
            </w:pPr>
            <w:r>
              <w:rPr>
                <w:color w:val="1C3A36"/>
                <w:sz w:val="15"/>
              </w:rPr>
              <w:t>rev fy24</w:t>
            </w:r>
          </w:p>
        </w:tc>
        <w:tc>
          <w:tcPr>
            <w:tcW w:type="dxa" w:w="2304"/>
          </w:tcPr>
          <w:p>
            <w:pPr>
              <w:spacing w:after="20"/>
            </w:pPr>
            <w:r>
              <w:rPr>
                <w:color w:val="1C3A36"/>
                <w:sz w:val="15"/>
              </w:rPr>
              <w:t>3,260.5</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Consolidated statement of comprehensive income, FY2024 audited FS (confirmed by FY2025 filing comparative)</w:t>
            </w:r>
          </w:p>
        </w:tc>
      </w:tr>
      <w:tr>
        <w:tc>
          <w:tcPr>
            <w:tcW w:type="dxa" w:w="1872"/>
          </w:tcPr>
          <w:p>
            <w:pPr>
              <w:spacing w:after="20"/>
            </w:pPr>
            <w:r>
              <w:rPr>
                <w:color w:val="1C3A36"/>
                <w:sz w:val="15"/>
              </w:rPr>
              <w:t>rev fy25</w:t>
            </w:r>
          </w:p>
        </w:tc>
        <w:tc>
          <w:tcPr>
            <w:tcW w:type="dxa" w:w="2304"/>
          </w:tcPr>
          <w:p>
            <w:pPr>
              <w:spacing w:after="20"/>
            </w:pPr>
            <w:r>
              <w:rPr>
                <w:color w:val="1C3A36"/>
                <w:sz w:val="15"/>
              </w:rPr>
              <w:t>3,419.3</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Consolidated statement of comprehensive income, FY2025 audited FS</w:t>
            </w:r>
          </w:p>
        </w:tc>
      </w:tr>
      <w:tr>
        <w:tc>
          <w:tcPr>
            <w:tcW w:type="dxa" w:w="1872"/>
          </w:tcPr>
          <w:p>
            <w:pPr>
              <w:spacing w:after="20"/>
            </w:pPr>
            <w:r>
              <w:rPr>
                <w:color w:val="1C3A36"/>
                <w:sz w:val="15"/>
              </w:rPr>
              <w:t>intco fy23</w:t>
            </w:r>
          </w:p>
        </w:tc>
        <w:tc>
          <w:tcPr>
            <w:tcW w:type="dxa" w:w="2304"/>
          </w:tcPr>
          <w:p>
            <w:pPr>
              <w:spacing w:after="20"/>
            </w:pPr>
            <w:r>
              <w:rPr>
                <w:color w:val="1C3A36"/>
                <w:sz w:val="15"/>
              </w:rPr>
              <w:t>38.711</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Interest income on financial assets at amortised cost (airport concession receivable), presented INSIDE gross profit, FY2023 audited FS</w:t>
            </w:r>
          </w:p>
        </w:tc>
      </w:tr>
      <w:tr>
        <w:tc>
          <w:tcPr>
            <w:tcW w:type="dxa" w:w="1872"/>
          </w:tcPr>
          <w:p>
            <w:pPr>
              <w:spacing w:after="20"/>
            </w:pPr>
            <w:r>
              <w:rPr>
                <w:color w:val="1C3A36"/>
                <w:sz w:val="15"/>
              </w:rPr>
              <w:t>intco fy24</w:t>
            </w:r>
          </w:p>
        </w:tc>
        <w:tc>
          <w:tcPr>
            <w:tcW w:type="dxa" w:w="2304"/>
          </w:tcPr>
          <w:p>
            <w:pPr>
              <w:spacing w:after="20"/>
            </w:pPr>
            <w:r>
              <w:rPr>
                <w:color w:val="1C3A36"/>
                <w:sz w:val="15"/>
              </w:rPr>
              <w:t>59.151</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Interest income on financial assets at amortised cost, FY2024 audited FS</w:t>
            </w:r>
          </w:p>
        </w:tc>
      </w:tr>
      <w:tr>
        <w:tc>
          <w:tcPr>
            <w:tcW w:type="dxa" w:w="1872"/>
          </w:tcPr>
          <w:p>
            <w:pPr>
              <w:spacing w:after="20"/>
            </w:pPr>
            <w:r>
              <w:rPr>
                <w:color w:val="1C3A36"/>
                <w:sz w:val="15"/>
              </w:rPr>
              <w:t>intco fy25</w:t>
            </w:r>
          </w:p>
        </w:tc>
        <w:tc>
          <w:tcPr>
            <w:tcW w:type="dxa" w:w="2304"/>
          </w:tcPr>
          <w:p>
            <w:pPr>
              <w:spacing w:after="20"/>
            </w:pPr>
            <w:r>
              <w:rPr>
                <w:color w:val="1C3A36"/>
                <w:sz w:val="15"/>
              </w:rPr>
              <w:t>58.307</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Interest income on financial assets at amortised cost, FY2025 audited FS</w:t>
            </w:r>
          </w:p>
        </w:tc>
      </w:tr>
      <w:tr>
        <w:tc>
          <w:tcPr>
            <w:tcW w:type="dxa" w:w="1872"/>
          </w:tcPr>
          <w:p>
            <w:pPr>
              <w:spacing w:after="20"/>
            </w:pPr>
            <w:r>
              <w:rPr>
                <w:color w:val="1C3A36"/>
                <w:sz w:val="15"/>
              </w:rPr>
              <w:t>cos fy23</w:t>
            </w:r>
          </w:p>
        </w:tc>
        <w:tc>
          <w:tcPr>
            <w:tcW w:type="dxa" w:w="2304"/>
          </w:tcPr>
          <w:p>
            <w:pPr>
              <w:spacing w:after="20"/>
            </w:pPr>
            <w:r>
              <w:rPr>
                <w:color w:val="1C3A36"/>
                <w:sz w:val="15"/>
              </w:rPr>
              <w:t>1,740.9</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Cost of sales, FY2023 audited FS</w:t>
            </w:r>
          </w:p>
        </w:tc>
      </w:tr>
      <w:tr>
        <w:tc>
          <w:tcPr>
            <w:tcW w:type="dxa" w:w="1872"/>
          </w:tcPr>
          <w:p>
            <w:pPr>
              <w:spacing w:after="20"/>
            </w:pPr>
            <w:r>
              <w:rPr>
                <w:color w:val="1C3A36"/>
                <w:sz w:val="15"/>
              </w:rPr>
              <w:t>cos fy24</w:t>
            </w:r>
          </w:p>
        </w:tc>
        <w:tc>
          <w:tcPr>
            <w:tcW w:type="dxa" w:w="2304"/>
          </w:tcPr>
          <w:p>
            <w:pPr>
              <w:spacing w:after="20"/>
            </w:pPr>
            <w:r>
              <w:rPr>
                <w:color w:val="1C3A36"/>
                <w:sz w:val="15"/>
              </w:rPr>
              <w:t>1,917.5</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Cost of sales, FY2024 audited FS</w:t>
            </w:r>
          </w:p>
        </w:tc>
      </w:tr>
      <w:tr>
        <w:tc>
          <w:tcPr>
            <w:tcW w:type="dxa" w:w="1872"/>
          </w:tcPr>
          <w:p>
            <w:pPr>
              <w:spacing w:after="20"/>
            </w:pPr>
            <w:r>
              <w:rPr>
                <w:color w:val="1C3A36"/>
                <w:sz w:val="15"/>
              </w:rPr>
              <w:t>cos fy25</w:t>
            </w:r>
          </w:p>
        </w:tc>
        <w:tc>
          <w:tcPr>
            <w:tcW w:type="dxa" w:w="2304"/>
          </w:tcPr>
          <w:p>
            <w:pPr>
              <w:spacing w:after="20"/>
            </w:pPr>
            <w:r>
              <w:rPr>
                <w:color w:val="1C3A36"/>
                <w:sz w:val="15"/>
              </w:rPr>
              <w:t>1,989.3</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Cost of sales, FY2025 audited FS (gross-profit identity verified)</w:t>
            </w:r>
          </w:p>
        </w:tc>
      </w:tr>
      <w:tr>
        <w:tc>
          <w:tcPr>
            <w:tcW w:type="dxa" w:w="1872"/>
          </w:tcPr>
          <w:p>
            <w:pPr>
              <w:spacing w:after="20"/>
            </w:pPr>
            <w:r>
              <w:rPr>
                <w:color w:val="1C3A36"/>
                <w:sz w:val="15"/>
              </w:rPr>
              <w:t>gp fy23</w:t>
            </w:r>
          </w:p>
        </w:tc>
        <w:tc>
          <w:tcPr>
            <w:tcW w:type="dxa" w:w="2304"/>
          </w:tcPr>
          <w:p>
            <w:pPr>
              <w:spacing w:after="20"/>
            </w:pPr>
            <w:r>
              <w:rPr>
                <w:color w:val="1C3A36"/>
                <w:sz w:val="15"/>
              </w:rPr>
              <w:t>1,333.0</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Gross profit, FY2023 audited FS</w:t>
            </w:r>
          </w:p>
        </w:tc>
      </w:tr>
      <w:tr>
        <w:tc>
          <w:tcPr>
            <w:tcW w:type="dxa" w:w="1872"/>
          </w:tcPr>
          <w:p>
            <w:pPr>
              <w:spacing w:after="20"/>
            </w:pPr>
            <w:r>
              <w:rPr>
                <w:color w:val="1C3A36"/>
                <w:sz w:val="15"/>
              </w:rPr>
              <w:t>gp fy24</w:t>
            </w:r>
          </w:p>
        </w:tc>
        <w:tc>
          <w:tcPr>
            <w:tcW w:type="dxa" w:w="2304"/>
          </w:tcPr>
          <w:p>
            <w:pPr>
              <w:spacing w:after="20"/>
            </w:pPr>
            <w:r>
              <w:rPr>
                <w:color w:val="1C3A36"/>
                <w:sz w:val="15"/>
              </w:rPr>
              <w:t>1,402.1</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Gross profit, FY2024 audited FS</w:t>
            </w:r>
          </w:p>
        </w:tc>
      </w:tr>
      <w:tr>
        <w:tc>
          <w:tcPr>
            <w:tcW w:type="dxa" w:w="1872"/>
          </w:tcPr>
          <w:p>
            <w:pPr>
              <w:spacing w:after="20"/>
            </w:pPr>
            <w:r>
              <w:rPr>
                <w:color w:val="1C3A36"/>
                <w:sz w:val="15"/>
              </w:rPr>
              <w:t>gp fy25</w:t>
            </w:r>
          </w:p>
        </w:tc>
        <w:tc>
          <w:tcPr>
            <w:tcW w:type="dxa" w:w="2304"/>
          </w:tcPr>
          <w:p>
            <w:pPr>
              <w:spacing w:after="20"/>
            </w:pPr>
            <w:r>
              <w:rPr>
                <w:color w:val="1C3A36"/>
                <w:sz w:val="15"/>
              </w:rPr>
              <w:t>1,488.3</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Gross profit, FY2025 audited FS</w:t>
            </w:r>
          </w:p>
        </w:tc>
      </w:tr>
      <w:tr>
        <w:tc>
          <w:tcPr>
            <w:tcW w:type="dxa" w:w="1872"/>
          </w:tcPr>
          <w:p>
            <w:pPr>
              <w:spacing w:after="20"/>
            </w:pPr>
            <w:r>
              <w:rPr>
                <w:color w:val="1C3A36"/>
                <w:sz w:val="15"/>
              </w:rPr>
              <w:t>ga fy23</w:t>
            </w:r>
          </w:p>
        </w:tc>
        <w:tc>
          <w:tcPr>
            <w:tcW w:type="dxa" w:w="2304"/>
          </w:tcPr>
          <w:p>
            <w:pPr>
              <w:spacing w:after="20"/>
            </w:pPr>
            <w:r>
              <w:rPr>
                <w:color w:val="1C3A36"/>
                <w:sz w:val="15"/>
              </w:rPr>
              <w:t>220.3</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General &amp; administrative expenses, FY2023 audited FS</w:t>
            </w:r>
          </w:p>
        </w:tc>
      </w:tr>
      <w:tr>
        <w:tc>
          <w:tcPr>
            <w:tcW w:type="dxa" w:w="1872"/>
          </w:tcPr>
          <w:p>
            <w:pPr>
              <w:spacing w:after="20"/>
            </w:pPr>
            <w:r>
              <w:rPr>
                <w:color w:val="1C3A36"/>
                <w:sz w:val="15"/>
              </w:rPr>
              <w:t>ga fy24</w:t>
            </w:r>
          </w:p>
        </w:tc>
        <w:tc>
          <w:tcPr>
            <w:tcW w:type="dxa" w:w="2304"/>
          </w:tcPr>
          <w:p>
            <w:pPr>
              <w:spacing w:after="20"/>
            </w:pPr>
            <w:r>
              <w:rPr>
                <w:color w:val="1C3A36"/>
                <w:sz w:val="15"/>
              </w:rPr>
              <w:t>235.1</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General &amp; administrative expenses, FY2024 audited FS</w:t>
            </w:r>
          </w:p>
        </w:tc>
      </w:tr>
      <w:tr>
        <w:tc>
          <w:tcPr>
            <w:tcW w:type="dxa" w:w="1872"/>
          </w:tcPr>
          <w:p>
            <w:pPr>
              <w:spacing w:after="20"/>
            </w:pPr>
            <w:r>
              <w:rPr>
                <w:color w:val="1C3A36"/>
                <w:sz w:val="15"/>
              </w:rPr>
              <w:t>ga fy25</w:t>
            </w:r>
          </w:p>
        </w:tc>
        <w:tc>
          <w:tcPr>
            <w:tcW w:type="dxa" w:w="2304"/>
          </w:tcPr>
          <w:p>
            <w:pPr>
              <w:spacing w:after="20"/>
            </w:pPr>
            <w:r>
              <w:rPr>
                <w:color w:val="1C3A36"/>
                <w:sz w:val="15"/>
              </w:rPr>
              <w:t>246.6</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General &amp; administrative expenses, FY2025 audited FS</w:t>
            </w:r>
          </w:p>
        </w:tc>
      </w:tr>
      <w:tr>
        <w:tc>
          <w:tcPr>
            <w:tcW w:type="dxa" w:w="1872"/>
          </w:tcPr>
          <w:p>
            <w:pPr>
              <w:spacing w:after="20"/>
            </w:pPr>
            <w:r>
              <w:rPr>
                <w:color w:val="1C3A36"/>
                <w:sz w:val="15"/>
              </w:rPr>
              <w:t>ecl fy24</w:t>
            </w:r>
          </w:p>
        </w:tc>
        <w:tc>
          <w:tcPr>
            <w:tcW w:type="dxa" w:w="2304"/>
          </w:tcPr>
          <w:p>
            <w:pPr>
              <w:spacing w:after="20"/>
            </w:pPr>
            <w:r>
              <w:rPr>
                <w:color w:val="1C3A36"/>
                <w:sz w:val="15"/>
              </w:rPr>
              <w:t>17.482</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Reversal of expected credit losses, FY2024 audited FS</w:t>
            </w:r>
          </w:p>
        </w:tc>
      </w:tr>
      <w:tr>
        <w:tc>
          <w:tcPr>
            <w:tcW w:type="dxa" w:w="1872"/>
          </w:tcPr>
          <w:p>
            <w:pPr>
              <w:spacing w:after="20"/>
            </w:pPr>
            <w:r>
              <w:rPr>
                <w:color w:val="1C3A36"/>
                <w:sz w:val="15"/>
              </w:rPr>
              <w:t>ecl fy25</w:t>
            </w:r>
          </w:p>
        </w:tc>
        <w:tc>
          <w:tcPr>
            <w:tcW w:type="dxa" w:w="2304"/>
          </w:tcPr>
          <w:p>
            <w:pPr>
              <w:spacing w:after="20"/>
            </w:pPr>
            <w:r>
              <w:rPr>
                <w:color w:val="1C3A36"/>
                <w:sz w:val="15"/>
              </w:rPr>
              <w:t>16.137</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Reversal of expected credit losses, FY2025 audited FS</w:t>
            </w:r>
          </w:p>
        </w:tc>
      </w:tr>
      <w:tr>
        <w:tc>
          <w:tcPr>
            <w:tcW w:type="dxa" w:w="1872"/>
          </w:tcPr>
          <w:p>
            <w:pPr>
              <w:spacing w:after="20"/>
            </w:pPr>
            <w:r>
              <w:rPr>
                <w:color w:val="1C3A36"/>
                <w:sz w:val="15"/>
              </w:rPr>
              <w:t>oi fy23</w:t>
            </w:r>
          </w:p>
        </w:tc>
        <w:tc>
          <w:tcPr>
            <w:tcW w:type="dxa" w:w="2304"/>
          </w:tcPr>
          <w:p>
            <w:pPr>
              <w:spacing w:after="20"/>
            </w:pPr>
            <w:r>
              <w:rPr>
                <w:color w:val="1C3A36"/>
                <w:sz w:val="15"/>
              </w:rPr>
              <w:t>7.12</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Other income, FY2023 audited FS</w:t>
            </w:r>
          </w:p>
        </w:tc>
      </w:tr>
      <w:tr>
        <w:tc>
          <w:tcPr>
            <w:tcW w:type="dxa" w:w="1872"/>
          </w:tcPr>
          <w:p>
            <w:pPr>
              <w:spacing w:after="20"/>
            </w:pPr>
            <w:r>
              <w:rPr>
                <w:color w:val="1C3A36"/>
                <w:sz w:val="15"/>
              </w:rPr>
              <w:t>oi fy24</w:t>
            </w:r>
          </w:p>
        </w:tc>
        <w:tc>
          <w:tcPr>
            <w:tcW w:type="dxa" w:w="2304"/>
          </w:tcPr>
          <w:p>
            <w:pPr>
              <w:spacing w:after="20"/>
            </w:pPr>
            <w:r>
              <w:rPr>
                <w:color w:val="1C3A36"/>
                <w:sz w:val="15"/>
              </w:rPr>
              <w:t>7.938</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Other income, FY2024 audited FS</w:t>
            </w:r>
          </w:p>
        </w:tc>
      </w:tr>
      <w:tr>
        <w:tc>
          <w:tcPr>
            <w:tcW w:type="dxa" w:w="1872"/>
          </w:tcPr>
          <w:p>
            <w:pPr>
              <w:spacing w:after="20"/>
            </w:pPr>
            <w:r>
              <w:rPr>
                <w:color w:val="1C3A36"/>
                <w:sz w:val="15"/>
              </w:rPr>
              <w:t>oi fy25</w:t>
            </w:r>
          </w:p>
        </w:tc>
        <w:tc>
          <w:tcPr>
            <w:tcW w:type="dxa" w:w="2304"/>
          </w:tcPr>
          <w:p>
            <w:pPr>
              <w:spacing w:after="20"/>
            </w:pPr>
            <w:r>
              <w:rPr>
                <w:color w:val="1C3A36"/>
                <w:sz w:val="15"/>
              </w:rPr>
              <w:t>14.624</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Other income, FY2025 audited FS</w:t>
            </w:r>
          </w:p>
        </w:tc>
      </w:tr>
      <w:tr>
        <w:tc>
          <w:tcPr>
            <w:tcW w:type="dxa" w:w="1872"/>
          </w:tcPr>
          <w:p>
            <w:pPr>
              <w:spacing w:after="20"/>
            </w:pPr>
            <w:r>
              <w:rPr>
                <w:color w:val="1C3A36"/>
                <w:sz w:val="15"/>
              </w:rPr>
              <w:t>op fy23</w:t>
            </w:r>
          </w:p>
        </w:tc>
        <w:tc>
          <w:tcPr>
            <w:tcW w:type="dxa" w:w="2304"/>
          </w:tcPr>
          <w:p>
            <w:pPr>
              <w:spacing w:after="20"/>
            </w:pPr>
            <w:r>
              <w:rPr>
                <w:color w:val="1C3A36"/>
                <w:sz w:val="15"/>
              </w:rPr>
              <w:t>1,119.9</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Operating profit, FY2023 audited FS</w:t>
            </w:r>
          </w:p>
        </w:tc>
      </w:tr>
      <w:tr>
        <w:tc>
          <w:tcPr>
            <w:tcW w:type="dxa" w:w="1872"/>
          </w:tcPr>
          <w:p>
            <w:pPr>
              <w:spacing w:after="20"/>
            </w:pPr>
            <w:r>
              <w:rPr>
                <w:color w:val="1C3A36"/>
                <w:sz w:val="15"/>
              </w:rPr>
              <w:t>op fy24</w:t>
            </w:r>
          </w:p>
        </w:tc>
        <w:tc>
          <w:tcPr>
            <w:tcW w:type="dxa" w:w="2304"/>
          </w:tcPr>
          <w:p>
            <w:pPr>
              <w:spacing w:after="20"/>
            </w:pPr>
            <w:r>
              <w:rPr>
                <w:color w:val="1C3A36"/>
                <w:sz w:val="15"/>
              </w:rPr>
              <w:t>1,192.4</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Operating profit, FY2024 audited FS</w:t>
            </w:r>
          </w:p>
        </w:tc>
      </w:tr>
      <w:tr>
        <w:tc>
          <w:tcPr>
            <w:tcW w:type="dxa" w:w="1872"/>
          </w:tcPr>
          <w:p>
            <w:pPr>
              <w:spacing w:after="20"/>
            </w:pPr>
            <w:r>
              <w:rPr>
                <w:color w:val="1C3A36"/>
                <w:sz w:val="15"/>
              </w:rPr>
              <w:t>op fy25</w:t>
            </w:r>
          </w:p>
        </w:tc>
        <w:tc>
          <w:tcPr>
            <w:tcW w:type="dxa" w:w="2304"/>
          </w:tcPr>
          <w:p>
            <w:pPr>
              <w:spacing w:after="20"/>
            </w:pPr>
            <w:r>
              <w:rPr>
                <w:color w:val="1C3A36"/>
                <w:sz w:val="15"/>
              </w:rPr>
              <w:t>1,272.5</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Operating profit, FY2025 audited FS</w:t>
            </w:r>
          </w:p>
        </w:tc>
      </w:tr>
      <w:tr>
        <w:tc>
          <w:tcPr>
            <w:tcW w:type="dxa" w:w="1872"/>
          </w:tcPr>
          <w:p>
            <w:pPr>
              <w:spacing w:after="20"/>
            </w:pPr>
            <w:r>
              <w:rPr>
                <w:color w:val="1C3A36"/>
                <w:sz w:val="15"/>
              </w:rPr>
              <w:t>fin inc fy25</w:t>
            </w:r>
          </w:p>
        </w:tc>
        <w:tc>
          <w:tcPr>
            <w:tcW w:type="dxa" w:w="2304"/>
          </w:tcPr>
          <w:p>
            <w:pPr>
              <w:spacing w:after="20"/>
            </w:pPr>
            <w:r>
              <w:rPr>
                <w:color w:val="1C3A36"/>
                <w:sz w:val="15"/>
              </w:rPr>
              <w:t>55.347</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Finance income, FY2025 audited FS note 30</w:t>
            </w:r>
          </w:p>
        </w:tc>
      </w:tr>
      <w:tr>
        <w:tc>
          <w:tcPr>
            <w:tcW w:type="dxa" w:w="1872"/>
          </w:tcPr>
          <w:p>
            <w:pPr>
              <w:spacing w:after="20"/>
            </w:pPr>
            <w:r>
              <w:rPr>
                <w:color w:val="1C3A36"/>
                <w:sz w:val="15"/>
              </w:rPr>
              <w:t>fin cost fy25</w:t>
            </w:r>
          </w:p>
        </w:tc>
        <w:tc>
          <w:tcPr>
            <w:tcW w:type="dxa" w:w="2304"/>
          </w:tcPr>
          <w:p>
            <w:pPr>
              <w:spacing w:after="20"/>
            </w:pPr>
            <w:r>
              <w:rPr>
                <w:color w:val="1C3A36"/>
                <w:sz w:val="15"/>
              </w:rPr>
              <w:t>224.7</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Finance costs (net of 10.711 capitalised), FY2025 audited FS note 30</w:t>
            </w:r>
          </w:p>
        </w:tc>
      </w:tr>
      <w:tr>
        <w:tc>
          <w:tcPr>
            <w:tcW w:type="dxa" w:w="1872"/>
          </w:tcPr>
          <w:p>
            <w:pPr>
              <w:spacing w:after="20"/>
            </w:pPr>
            <w:r>
              <w:rPr>
                <w:color w:val="1C3A36"/>
                <w:sz w:val="15"/>
              </w:rPr>
              <w:t>pbt fy23</w:t>
            </w:r>
          </w:p>
        </w:tc>
        <w:tc>
          <w:tcPr>
            <w:tcW w:type="dxa" w:w="2304"/>
          </w:tcPr>
          <w:p>
            <w:pPr>
              <w:spacing w:after="20"/>
            </w:pPr>
            <w:r>
              <w:rPr>
                <w:color w:val="1C3A36"/>
                <w:sz w:val="15"/>
              </w:rPr>
              <w:t>942.6</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Profit before tax, FY2023 audited FS</w:t>
            </w:r>
          </w:p>
        </w:tc>
      </w:tr>
      <w:tr>
        <w:tc>
          <w:tcPr>
            <w:tcW w:type="dxa" w:w="1872"/>
          </w:tcPr>
          <w:p>
            <w:pPr>
              <w:spacing w:after="20"/>
            </w:pPr>
            <w:r>
              <w:rPr>
                <w:color w:val="1C3A36"/>
                <w:sz w:val="15"/>
              </w:rPr>
              <w:t>pbt fy24</w:t>
            </w:r>
          </w:p>
        </w:tc>
        <w:tc>
          <w:tcPr>
            <w:tcW w:type="dxa" w:w="2304"/>
          </w:tcPr>
          <w:p>
            <w:pPr>
              <w:spacing w:after="20"/>
            </w:pPr>
            <w:r>
              <w:rPr>
                <w:color w:val="1C3A36"/>
                <w:sz w:val="15"/>
              </w:rPr>
              <w:t>998.3</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Profit before tax, FY2024 audited FS</w:t>
            </w:r>
          </w:p>
        </w:tc>
      </w:tr>
      <w:tr>
        <w:tc>
          <w:tcPr>
            <w:tcW w:type="dxa" w:w="1872"/>
          </w:tcPr>
          <w:p>
            <w:pPr>
              <w:spacing w:after="20"/>
            </w:pPr>
            <w:r>
              <w:rPr>
                <w:color w:val="1C3A36"/>
                <w:sz w:val="15"/>
              </w:rPr>
              <w:t>pbt fy25</w:t>
            </w:r>
          </w:p>
        </w:tc>
        <w:tc>
          <w:tcPr>
            <w:tcW w:type="dxa" w:w="2304"/>
          </w:tcPr>
          <w:p>
            <w:pPr>
              <w:spacing w:after="20"/>
            </w:pPr>
            <w:r>
              <w:rPr>
                <w:color w:val="1C3A36"/>
                <w:sz w:val="15"/>
              </w:rPr>
              <w:t>1,103.2</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Profit before tax, FY2025 audited FS</w:t>
            </w:r>
          </w:p>
        </w:tc>
      </w:tr>
      <w:tr>
        <w:tc>
          <w:tcPr>
            <w:tcW w:type="dxa" w:w="1872"/>
          </w:tcPr>
          <w:p>
            <w:pPr>
              <w:spacing w:after="20"/>
            </w:pPr>
            <w:r>
              <w:rPr>
                <w:color w:val="1C3A36"/>
                <w:sz w:val="15"/>
              </w:rPr>
              <w:t>tax fy23</w:t>
            </w:r>
          </w:p>
        </w:tc>
        <w:tc>
          <w:tcPr>
            <w:tcW w:type="dxa" w:w="2304"/>
          </w:tcPr>
          <w:p>
            <w:pPr>
              <w:spacing w:after="20"/>
            </w:pPr>
            <w:r>
              <w:rPr>
                <w:color w:val="1C3A36"/>
                <w:sz w:val="15"/>
              </w:rPr>
              <w:t>17.454</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Income tax CREDIT (deferred tax asset first recognition ahead of UAE CT), FY2023 audited FS</w:t>
            </w:r>
          </w:p>
        </w:tc>
      </w:tr>
      <w:tr>
        <w:tc>
          <w:tcPr>
            <w:tcW w:type="dxa" w:w="1872"/>
          </w:tcPr>
          <w:p>
            <w:pPr>
              <w:spacing w:after="20"/>
            </w:pPr>
            <w:r>
              <w:rPr>
                <w:color w:val="1C3A36"/>
                <w:sz w:val="15"/>
              </w:rPr>
              <w:t>tax fy24</w:t>
            </w:r>
          </w:p>
        </w:tc>
        <w:tc>
          <w:tcPr>
            <w:tcW w:type="dxa" w:w="2304"/>
          </w:tcPr>
          <w:p>
            <w:pPr>
              <w:spacing w:after="20"/>
            </w:pPr>
            <w:r>
              <w:rPr>
                <w:color w:val="1C3A36"/>
                <w:sz w:val="15"/>
              </w:rPr>
              <w:t>-90.097</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Income tax expense, FY2024 audited FS</w:t>
            </w:r>
          </w:p>
        </w:tc>
      </w:tr>
      <w:tr>
        <w:tc>
          <w:tcPr>
            <w:tcW w:type="dxa" w:w="1872"/>
          </w:tcPr>
          <w:p>
            <w:pPr>
              <w:spacing w:after="20"/>
            </w:pPr>
            <w:r>
              <w:rPr>
                <w:color w:val="1C3A36"/>
                <w:sz w:val="15"/>
              </w:rPr>
              <w:t>tax fy25</w:t>
            </w:r>
          </w:p>
        </w:tc>
        <w:tc>
          <w:tcPr>
            <w:tcW w:type="dxa" w:w="2304"/>
          </w:tcPr>
          <w:p>
            <w:pPr>
              <w:spacing w:after="20"/>
            </w:pPr>
            <w:r>
              <w:rPr>
                <w:color w:val="1C3A36"/>
                <w:sz w:val="15"/>
              </w:rPr>
              <w:t>-99.226</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Income tax expense (current 98.082 + deferred 1.144), FY2025 audited FS note 28</w:t>
            </w:r>
          </w:p>
        </w:tc>
      </w:tr>
      <w:tr>
        <w:tc>
          <w:tcPr>
            <w:tcW w:type="dxa" w:w="1872"/>
          </w:tcPr>
          <w:p>
            <w:pPr>
              <w:spacing w:after="20"/>
            </w:pPr>
            <w:r>
              <w:rPr>
                <w:color w:val="1C3A36"/>
                <w:sz w:val="15"/>
              </w:rPr>
              <w:t>pat fy23</w:t>
            </w:r>
          </w:p>
        </w:tc>
        <w:tc>
          <w:tcPr>
            <w:tcW w:type="dxa" w:w="2304"/>
          </w:tcPr>
          <w:p>
            <w:pPr>
              <w:spacing w:after="20"/>
            </w:pPr>
            <w:r>
              <w:rPr>
                <w:color w:val="1C3A36"/>
                <w:sz w:val="15"/>
              </w:rPr>
              <w:t>960.1</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Profit after tax, FY2023 audited FS</w:t>
            </w:r>
          </w:p>
        </w:tc>
      </w:tr>
      <w:tr>
        <w:tc>
          <w:tcPr>
            <w:tcW w:type="dxa" w:w="1872"/>
          </w:tcPr>
          <w:p>
            <w:pPr>
              <w:spacing w:after="20"/>
            </w:pPr>
            <w:r>
              <w:rPr>
                <w:color w:val="1C3A36"/>
                <w:sz w:val="15"/>
              </w:rPr>
              <w:t>pat fy24</w:t>
            </w:r>
          </w:p>
        </w:tc>
        <w:tc>
          <w:tcPr>
            <w:tcW w:type="dxa" w:w="2304"/>
          </w:tcPr>
          <w:p>
            <w:pPr>
              <w:spacing w:after="20"/>
            </w:pPr>
            <w:r>
              <w:rPr>
                <w:color w:val="1C3A36"/>
                <w:sz w:val="15"/>
              </w:rPr>
              <w:t>908.2</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Profit after tax, FY2024 audited FS</w:t>
            </w:r>
          </w:p>
        </w:tc>
      </w:tr>
      <w:tr>
        <w:tc>
          <w:tcPr>
            <w:tcW w:type="dxa" w:w="1872"/>
          </w:tcPr>
          <w:p>
            <w:pPr>
              <w:spacing w:after="20"/>
            </w:pPr>
            <w:r>
              <w:rPr>
                <w:color w:val="1C3A36"/>
                <w:sz w:val="15"/>
              </w:rPr>
              <w:t>pat fy25</w:t>
            </w:r>
          </w:p>
        </w:tc>
        <w:tc>
          <w:tcPr>
            <w:tcW w:type="dxa" w:w="2304"/>
          </w:tcPr>
          <w:p>
            <w:pPr>
              <w:spacing w:after="20"/>
            </w:pPr>
            <w:r>
              <w:rPr>
                <w:color w:val="1C3A36"/>
                <w:sz w:val="15"/>
              </w:rPr>
              <w:t>1,003.9</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Profit after tax, FY2025 audited FS</w:t>
            </w:r>
          </w:p>
        </w:tc>
      </w:tr>
      <w:tr>
        <w:tc>
          <w:tcPr>
            <w:tcW w:type="dxa" w:w="1872"/>
          </w:tcPr>
          <w:p>
            <w:pPr>
              <w:spacing w:after="20"/>
            </w:pPr>
            <w:r>
              <w:rPr>
                <w:color w:val="1C3A36"/>
                <w:sz w:val="15"/>
              </w:rPr>
              <w:t>npa fy23</w:t>
            </w:r>
          </w:p>
        </w:tc>
        <w:tc>
          <w:tcPr>
            <w:tcW w:type="dxa" w:w="2304"/>
          </w:tcPr>
          <w:p>
            <w:pPr>
              <w:spacing w:after="20"/>
            </w:pPr>
            <w:r>
              <w:rPr>
                <w:color w:val="1C3A36"/>
                <w:sz w:val="15"/>
              </w:rPr>
              <w:t>952.9</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Profit attributable to equity holders, FY2023</w:t>
            </w:r>
          </w:p>
        </w:tc>
      </w:tr>
      <w:tr>
        <w:tc>
          <w:tcPr>
            <w:tcW w:type="dxa" w:w="1872"/>
          </w:tcPr>
          <w:p>
            <w:pPr>
              <w:spacing w:after="20"/>
            </w:pPr>
            <w:r>
              <w:rPr>
                <w:color w:val="1C3A36"/>
                <w:sz w:val="15"/>
              </w:rPr>
              <w:t>npa fy24</w:t>
            </w:r>
          </w:p>
        </w:tc>
        <w:tc>
          <w:tcPr>
            <w:tcW w:type="dxa" w:w="2304"/>
          </w:tcPr>
          <w:p>
            <w:pPr>
              <w:spacing w:after="20"/>
            </w:pPr>
            <w:r>
              <w:rPr>
                <w:color w:val="1C3A36"/>
                <w:sz w:val="15"/>
              </w:rPr>
              <w:t>896.8</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Profit attributable to equity holders, FY2024</w:t>
            </w:r>
          </w:p>
        </w:tc>
      </w:tr>
      <w:tr>
        <w:tc>
          <w:tcPr>
            <w:tcW w:type="dxa" w:w="1872"/>
          </w:tcPr>
          <w:p>
            <w:pPr>
              <w:spacing w:after="20"/>
            </w:pPr>
            <w:r>
              <w:rPr>
                <w:color w:val="1C3A36"/>
                <w:sz w:val="15"/>
              </w:rPr>
              <w:t>npa fy25</w:t>
            </w:r>
          </w:p>
        </w:tc>
        <w:tc>
          <w:tcPr>
            <w:tcW w:type="dxa" w:w="2304"/>
          </w:tcPr>
          <w:p>
            <w:pPr>
              <w:spacing w:after="20"/>
            </w:pPr>
            <w:r>
              <w:rPr>
                <w:color w:val="1C3A36"/>
                <w:sz w:val="15"/>
              </w:rPr>
              <w:t>993.3</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Profit attributable to equity holders, FY2025</w:t>
            </w:r>
          </w:p>
        </w:tc>
      </w:tr>
      <w:tr>
        <w:tc>
          <w:tcPr>
            <w:tcW w:type="dxa" w:w="1872"/>
          </w:tcPr>
          <w:p>
            <w:pPr>
              <w:spacing w:after="20"/>
            </w:pPr>
            <w:r>
              <w:rPr>
                <w:color w:val="1C3A36"/>
                <w:sz w:val="15"/>
              </w:rPr>
              <w:t>dna fy23</w:t>
            </w:r>
          </w:p>
        </w:tc>
        <w:tc>
          <w:tcPr>
            <w:tcW w:type="dxa" w:w="2304"/>
          </w:tcPr>
          <w:p>
            <w:pPr>
              <w:spacing w:after="20"/>
            </w:pPr>
            <w:r>
              <w:rPr>
                <w:color w:val="1C3A36"/>
                <w:sz w:val="15"/>
              </w:rPr>
              <w:t>348.2</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FY2023 CF: PPE dep 332.884 + RoU 3.158 + intangibles 12.157</w:t>
            </w:r>
          </w:p>
        </w:tc>
      </w:tr>
      <w:tr>
        <w:tc>
          <w:tcPr>
            <w:tcW w:type="dxa" w:w="1872"/>
          </w:tcPr>
          <w:p>
            <w:pPr>
              <w:spacing w:after="20"/>
            </w:pPr>
            <w:r>
              <w:rPr>
                <w:color w:val="1C3A36"/>
                <w:sz w:val="15"/>
              </w:rPr>
              <w:t>dna fy24</w:t>
            </w:r>
          </w:p>
        </w:tc>
        <w:tc>
          <w:tcPr>
            <w:tcW w:type="dxa" w:w="2304"/>
          </w:tcPr>
          <w:p>
            <w:pPr>
              <w:spacing w:after="20"/>
            </w:pPr>
            <w:r>
              <w:rPr>
                <w:color w:val="1C3A36"/>
                <w:sz w:val="15"/>
              </w:rPr>
              <w:t>359.1</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FY2024 CF: PPE dep 342.332 + RoU 4.592 + intangibles 12.157</w:t>
            </w:r>
          </w:p>
        </w:tc>
      </w:tr>
      <w:tr>
        <w:tc>
          <w:tcPr>
            <w:tcW w:type="dxa" w:w="1872"/>
          </w:tcPr>
          <w:p>
            <w:pPr>
              <w:spacing w:after="20"/>
            </w:pPr>
            <w:r>
              <w:rPr>
                <w:color w:val="1C3A36"/>
                <w:sz w:val="15"/>
              </w:rPr>
              <w:t>dna fy25</w:t>
            </w:r>
          </w:p>
        </w:tc>
        <w:tc>
          <w:tcPr>
            <w:tcW w:type="dxa" w:w="2304"/>
          </w:tcPr>
          <w:p>
            <w:pPr>
              <w:spacing w:after="20"/>
            </w:pPr>
            <w:r>
              <w:rPr>
                <w:color w:val="1C3A36"/>
                <w:sz w:val="15"/>
              </w:rPr>
              <w:t>369.7</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FY2025 CF: PPE dep 352.199 + RoU 5.361 + intangibles 12.157 (investment-property dep 6.317 excluded — investment properties are a non-operating side pocket in the bridge)</w:t>
            </w:r>
          </w:p>
        </w:tc>
      </w:tr>
      <w:tr>
        <w:tc>
          <w:tcPr>
            <w:tcW w:type="dxa" w:w="1872"/>
          </w:tcPr>
          <w:p>
            <w:pPr>
              <w:spacing w:after="20"/>
            </w:pPr>
            <w:r>
              <w:rPr>
                <w:color w:val="1C3A36"/>
                <w:sz w:val="15"/>
              </w:rPr>
              <w:t>capex fy23</w:t>
            </w:r>
          </w:p>
        </w:tc>
        <w:tc>
          <w:tcPr>
            <w:tcW w:type="dxa" w:w="2304"/>
          </w:tcPr>
          <w:p>
            <w:pPr>
              <w:spacing w:after="20"/>
            </w:pPr>
            <w:r>
              <w:rPr>
                <w:color w:val="1C3A36"/>
                <w:sz w:val="15"/>
              </w:rPr>
              <w:t>320.1</w:t>
            </w:r>
          </w:p>
        </w:tc>
        <w:tc>
          <w:tcPr>
            <w:tcW w:type="dxa" w:w="893"/>
          </w:tcPr>
          <w:p>
            <w:pPr>
              <w:spacing w:after="20"/>
            </w:pPr>
            <w:r>
              <w:rPr>
                <w:color w:val="1C3A36"/>
                <w:sz w:val="15"/>
              </w:rPr>
              <w:t>Company</w:t>
            </w:r>
          </w:p>
        </w:tc>
        <w:tc>
          <w:tcPr>
            <w:tcW w:type="dxa" w:w="1123"/>
          </w:tcPr>
          <w:p>
            <w:pPr>
              <w:spacing w:after="20"/>
            </w:pPr>
            <w:r>
              <w:rPr>
                <w:color w:val="1C3A36"/>
                <w:sz w:val="15"/>
              </w:rPr>
              <w:t>2024-02-14</w:t>
            </w:r>
          </w:p>
        </w:tc>
        <w:tc>
          <w:tcPr>
            <w:tcW w:type="dxa" w:w="7920"/>
          </w:tcPr>
          <w:p>
            <w:pPr>
              <w:spacing w:after="20"/>
            </w:pPr>
            <w:r>
              <w:rPr>
                <w:color w:val="1C3A36"/>
                <w:sz w:val="15"/>
              </w:rPr>
              <w:t>FY2023 CF: additions to PPE</w:t>
            </w:r>
          </w:p>
        </w:tc>
      </w:tr>
      <w:tr>
        <w:tc>
          <w:tcPr>
            <w:tcW w:type="dxa" w:w="1872"/>
          </w:tcPr>
          <w:p>
            <w:pPr>
              <w:spacing w:after="20"/>
            </w:pPr>
            <w:r>
              <w:rPr>
                <w:color w:val="1C3A36"/>
                <w:sz w:val="15"/>
              </w:rPr>
              <w:t>capex fy24</w:t>
            </w:r>
          </w:p>
        </w:tc>
        <w:tc>
          <w:tcPr>
            <w:tcW w:type="dxa" w:w="2304"/>
          </w:tcPr>
          <w:p>
            <w:pPr>
              <w:spacing w:after="20"/>
            </w:pPr>
            <w:r>
              <w:rPr>
                <w:color w:val="1C3A36"/>
                <w:sz w:val="15"/>
              </w:rPr>
              <w:t>306.8</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FY2024 CF: additions to PPE</w:t>
            </w:r>
          </w:p>
        </w:tc>
      </w:tr>
      <w:tr>
        <w:tc>
          <w:tcPr>
            <w:tcW w:type="dxa" w:w="1872"/>
          </w:tcPr>
          <w:p>
            <w:pPr>
              <w:spacing w:after="20"/>
            </w:pPr>
            <w:r>
              <w:rPr>
                <w:color w:val="1C3A36"/>
                <w:sz w:val="15"/>
              </w:rPr>
              <w:t>capex fy25</w:t>
            </w:r>
          </w:p>
        </w:tc>
        <w:tc>
          <w:tcPr>
            <w:tcW w:type="dxa" w:w="2304"/>
          </w:tcPr>
          <w:p>
            <w:pPr>
              <w:spacing w:after="20"/>
            </w:pPr>
            <w:r>
              <w:rPr>
                <w:color w:val="1C3A36"/>
                <w:sz w:val="15"/>
              </w:rPr>
              <w:t>440.0</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FY2025 CF: capital expenditure net of project-cost accruals (a further 171.085 was non-cash accrual movement, note 36)</w:t>
            </w:r>
          </w:p>
        </w:tc>
      </w:tr>
      <w:tr>
        <w:tc>
          <w:tcPr>
            <w:tcW w:type="dxa" w:w="1872"/>
          </w:tcPr>
          <w:p>
            <w:pPr>
              <w:spacing w:after="20"/>
            </w:pPr>
            <w:r>
              <w:rPr>
                <w:color w:val="1C3A36"/>
                <w:sz w:val="15"/>
              </w:rPr>
              <w:t>rt conn</w:t>
            </w:r>
          </w:p>
        </w:tc>
        <w:tc>
          <w:tcPr>
            <w:tcW w:type="dxa" w:w="2304"/>
          </w:tcPr>
          <w:p>
            <w:pPr>
              <w:spacing w:after="20"/>
            </w:pPr>
            <w:r>
              <w:rPr>
                <w:color w:val="1C3A36"/>
                <w:sz w:val="15"/>
              </w:rPr>
              <w:t>2021: 1,368.0; 2022: 1,405.0; 2024: 1,566.0; 2025: 1,656.0; H1_2026: 1,707.0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Connected capacity history, k RT, H1-2026 earnings deck p13 (2023 not charted; interpolation never used — growth is computed 2024-&gt;2025)</w:t>
            </w:r>
          </w:p>
        </w:tc>
      </w:tr>
      <w:tr>
        <w:tc>
          <w:tcPr>
            <w:tcW w:type="dxa" w:w="1872"/>
          </w:tcPr>
          <w:p>
            <w:pPr>
              <w:spacing w:after="20"/>
            </w:pPr>
            <w:r>
              <w:rPr>
                <w:color w:val="1C3A36"/>
                <w:sz w:val="15"/>
              </w:rPr>
              <w:t>rt contracted</w:t>
            </w:r>
          </w:p>
        </w:tc>
        <w:tc>
          <w:tcPr>
            <w:tcW w:type="dxa" w:w="2304"/>
          </w:tcPr>
          <w:p>
            <w:pPr>
              <w:spacing w:after="20"/>
            </w:pPr>
            <w:r>
              <w:rPr>
                <w:color w:val="1C3A36"/>
                <w:sz w:val="15"/>
              </w:rPr>
              <w:t>2,018.0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Contracted capacity 30-Jun-2026, k RT, deck pp3-4,10</w:t>
            </w:r>
          </w:p>
        </w:tc>
      </w:tr>
      <w:tr>
        <w:tc>
          <w:tcPr>
            <w:tcW w:type="dxa" w:w="1872"/>
          </w:tcPr>
          <w:p>
            <w:pPr>
              <w:spacing w:after="20"/>
            </w:pPr>
            <w:r>
              <w:rPr>
                <w:color w:val="1C3A36"/>
                <w:sz w:val="15"/>
              </w:rPr>
              <w:t>rt guid 2026</w:t>
            </w:r>
          </w:p>
        </w:tc>
        <w:tc>
          <w:tcPr>
            <w:tcW w:type="dxa" w:w="2304"/>
          </w:tcPr>
          <w:p>
            <w:pPr>
              <w:spacing w:after="20"/>
            </w:pPr>
            <w:r>
              <w:rPr>
                <w:color w:val="1C3A36"/>
                <w:sz w:val="15"/>
              </w:rPr>
              <w:t>100.0, 110.0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FY2026 new-connections guidance, k RT, deck p13</w:t>
            </w:r>
          </w:p>
        </w:tc>
      </w:tr>
      <w:tr>
        <w:tc>
          <w:tcPr>
            <w:tcW w:type="dxa" w:w="1872"/>
          </w:tcPr>
          <w:p>
            <w:pPr>
              <w:spacing w:after="20"/>
            </w:pPr>
            <w:r>
              <w:rPr>
                <w:color w:val="1C3A36"/>
                <w:sz w:val="15"/>
              </w:rPr>
              <w:t>cons rev</w:t>
            </w:r>
          </w:p>
        </w:tc>
        <w:tc>
          <w:tcPr>
            <w:tcW w:type="dxa" w:w="2304"/>
          </w:tcPr>
          <w:p>
            <w:pPr>
              <w:spacing w:after="20"/>
            </w:pPr>
            <w:r>
              <w:rPr>
                <w:color w:val="1C3A36"/>
                <w:sz w:val="15"/>
              </w:rPr>
              <w:t>2022: 1,463.0; 2023: 1,719.6; 2024: 1,895.3; 2025: 1,923.9</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Consumption revenue, auditor's key-audit-matter section of each audited FS FY2022-FY2025 (the only disclosed AED split of the revenue streams)</w:t>
            </w:r>
          </w:p>
        </w:tc>
      </w:tr>
      <w:tr>
        <w:tc>
          <w:tcPr>
            <w:tcW w:type="dxa" w:w="1872"/>
          </w:tcPr>
          <w:p>
            <w:pPr>
              <w:spacing w:after="20"/>
            </w:pPr>
            <w:r>
              <w:rPr>
                <w:color w:val="1C3A36"/>
                <w:sz w:val="15"/>
              </w:rPr>
              <w:t>pipes rev fy25</w:t>
            </w:r>
          </w:p>
        </w:tc>
        <w:tc>
          <w:tcPr>
            <w:tcW w:type="dxa" w:w="2304"/>
          </w:tcPr>
          <w:p>
            <w:pPr>
              <w:spacing w:after="20"/>
            </w:pPr>
            <w:r>
              <w:rPr>
                <w:color w:val="1C3A36"/>
                <w:sz w:val="15"/>
              </w:rPr>
              <w:t>17.214</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Sale of pre-insulated pipes (Logstor), revenue note 23, FY2025 audited FS</w:t>
            </w:r>
          </w:p>
        </w:tc>
      </w:tr>
      <w:tr>
        <w:tc>
          <w:tcPr>
            <w:tcW w:type="dxa" w:w="1872"/>
          </w:tcPr>
          <w:p>
            <w:pPr>
              <w:spacing w:after="20"/>
            </w:pPr>
            <w:r>
              <w:rPr>
                <w:color w:val="1C3A36"/>
                <w:sz w:val="15"/>
              </w:rPr>
              <w:t>eflh h1</w:t>
            </w:r>
          </w:p>
        </w:tc>
        <w:tc>
          <w:tcPr>
            <w:tcW w:type="dxa" w:w="2304"/>
          </w:tcPr>
          <w:p>
            <w:pPr>
              <w:spacing w:after="20"/>
            </w:pPr>
            <w:r>
              <w:rPr>
                <w:color w:val="1C3A36"/>
                <w:sz w:val="15"/>
              </w:rPr>
              <w:t>-0.09</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Equivalent full-load hours H1-2026: 698 hrs, -9.0% y/y (consumption -42m RTh), deck p4; interim note 30 ties the fall partly to conflict impact on hospitality occupancy</w:t>
            </w:r>
          </w:p>
        </w:tc>
      </w:tr>
      <w:tr>
        <w:tc>
          <w:tcPr>
            <w:tcW w:type="dxa" w:w="1872"/>
          </w:tcPr>
          <w:p>
            <w:pPr>
              <w:spacing w:after="20"/>
            </w:pPr>
            <w:r>
              <w:rPr>
                <w:color w:val="1C3A36"/>
                <w:sz w:val="15"/>
              </w:rPr>
              <w:t>ew cost fy25</w:t>
            </w:r>
          </w:p>
        </w:tc>
        <w:tc>
          <w:tcPr>
            <w:tcW w:type="dxa" w:w="2304"/>
          </w:tcPr>
          <w:p>
            <w:pPr>
              <w:spacing w:after="20"/>
            </w:pPr>
            <w:r>
              <w:rPr>
                <w:color w:val="1C3A36"/>
                <w:sz w:val="15"/>
              </w:rPr>
              <w:t>1,467.7</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Electricity &amp; water purchased from DEWA (related-party note 12), FY2025 audited FS</w:t>
            </w:r>
          </w:p>
        </w:tc>
      </w:tr>
      <w:tr>
        <w:tc>
          <w:tcPr>
            <w:tcW w:type="dxa" w:w="1872"/>
          </w:tcPr>
          <w:p>
            <w:pPr>
              <w:spacing w:after="20"/>
            </w:pPr>
            <w:r>
              <w:rPr>
                <w:color w:val="1C3A36"/>
                <w:sz w:val="15"/>
              </w:rPr>
              <w:t>ew cost fy24</w:t>
            </w:r>
          </w:p>
        </w:tc>
        <w:tc>
          <w:tcPr>
            <w:tcW w:type="dxa" w:w="2304"/>
          </w:tcPr>
          <w:p>
            <w:pPr>
              <w:spacing w:after="20"/>
            </w:pPr>
            <w:r>
              <w:rPr>
                <w:color w:val="1C3A36"/>
                <w:sz w:val="15"/>
              </w:rPr>
              <w:t>1,373.2</w:t>
            </w:r>
          </w:p>
        </w:tc>
        <w:tc>
          <w:tcPr>
            <w:tcW w:type="dxa" w:w="893"/>
          </w:tcPr>
          <w:p>
            <w:pPr>
              <w:spacing w:after="20"/>
            </w:pPr>
            <w:r>
              <w:rPr>
                <w:color w:val="1C3A36"/>
                <w:sz w:val="15"/>
              </w:rPr>
              <w:t>Company</w:t>
            </w:r>
          </w:p>
        </w:tc>
        <w:tc>
          <w:tcPr>
            <w:tcW w:type="dxa" w:w="1123"/>
          </w:tcPr>
          <w:p>
            <w:pPr>
              <w:spacing w:after="20"/>
            </w:pPr>
            <w:r>
              <w:rPr>
                <w:color w:val="1C3A36"/>
                <w:sz w:val="15"/>
              </w:rPr>
              <w:t>2025-02-14</w:t>
            </w:r>
          </w:p>
        </w:tc>
        <w:tc>
          <w:tcPr>
            <w:tcW w:type="dxa" w:w="7920"/>
          </w:tcPr>
          <w:p>
            <w:pPr>
              <w:spacing w:after="20"/>
            </w:pPr>
            <w:r>
              <w:rPr>
                <w:color w:val="1C3A36"/>
                <w:sz w:val="15"/>
              </w:rPr>
              <w:t>Electricity &amp; water purchased from DEWA (related-party note 12), FY2024 audited FS</w:t>
            </w:r>
          </w:p>
        </w:tc>
      </w:tr>
      <w:tr>
        <w:tc>
          <w:tcPr>
            <w:tcW w:type="dxa" w:w="1872"/>
          </w:tcPr>
          <w:p>
            <w:pPr>
              <w:spacing w:after="20"/>
            </w:pPr>
            <w:r>
              <w:rPr>
                <w:color w:val="1C3A36"/>
                <w:sz w:val="15"/>
              </w:rPr>
              <w:t>borrow jun26</w:t>
            </w:r>
          </w:p>
        </w:tc>
        <w:tc>
          <w:tcPr>
            <w:tcW w:type="dxa" w:w="2304"/>
          </w:tcPr>
          <w:p>
            <w:pPr>
              <w:spacing w:after="20"/>
            </w:pPr>
            <w:r>
              <w:rPr>
                <w:color w:val="1C3A36"/>
                <w:sz w:val="15"/>
              </w:rPr>
              <w:t>5,502.8</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Bank borrowings 30-Jun-2026: current 2.845 + non-current 5,500.000, reviewed interim BS</w:t>
            </w:r>
          </w:p>
        </w:tc>
      </w:tr>
      <w:tr>
        <w:tc>
          <w:tcPr>
            <w:tcW w:type="dxa" w:w="1872"/>
          </w:tcPr>
          <w:p>
            <w:pPr>
              <w:spacing w:after="20"/>
            </w:pPr>
            <w:r>
              <w:rPr>
                <w:color w:val="1C3A36"/>
                <w:sz w:val="15"/>
              </w:rPr>
              <w:t>lease jun26</w:t>
            </w:r>
          </w:p>
        </w:tc>
        <w:tc>
          <w:tcPr>
            <w:tcW w:type="dxa" w:w="2304"/>
          </w:tcPr>
          <w:p>
            <w:pPr>
              <w:spacing w:after="20"/>
            </w:pPr>
            <w:r>
              <w:rPr>
                <w:color w:val="1C3A36"/>
                <w:sz w:val="15"/>
              </w:rPr>
              <w:t>0.872</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Lease liabilities 30-Jun-2026</w:t>
            </w:r>
          </w:p>
        </w:tc>
      </w:tr>
      <w:tr>
        <w:tc>
          <w:tcPr>
            <w:tcW w:type="dxa" w:w="1872"/>
          </w:tcPr>
          <w:p>
            <w:pPr>
              <w:spacing w:after="20"/>
            </w:pPr>
            <w:r>
              <w:rPr>
                <w:color w:val="1C3A36"/>
                <w:sz w:val="15"/>
              </w:rPr>
              <w:t>cash jun26</w:t>
            </w:r>
          </w:p>
        </w:tc>
        <w:tc>
          <w:tcPr>
            <w:tcW w:type="dxa" w:w="2304"/>
          </w:tcPr>
          <w:p>
            <w:pPr>
              <w:spacing w:after="20"/>
            </w:pPr>
            <w:r>
              <w:rPr>
                <w:color w:val="1C3A36"/>
                <w:sz w:val="15"/>
              </w:rPr>
              <w:t>2,472.0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Cash and cash equivalents 30-Jun-2026</w:t>
            </w:r>
          </w:p>
        </w:tc>
      </w:tr>
      <w:tr>
        <w:tc>
          <w:tcPr>
            <w:tcW w:type="dxa" w:w="1872"/>
          </w:tcPr>
          <w:p>
            <w:pPr>
              <w:spacing w:after="20"/>
            </w:pPr>
            <w:r>
              <w:rPr>
                <w:color w:val="1C3A36"/>
                <w:sz w:val="15"/>
              </w:rPr>
              <w:t>deposits jun26</w:t>
            </w:r>
          </w:p>
        </w:tc>
        <w:tc>
          <w:tcPr>
            <w:tcW w:type="dxa" w:w="2304"/>
          </w:tcPr>
          <w:p>
            <w:pPr>
              <w:spacing w:after="20"/>
            </w:pPr>
            <w:r>
              <w:rPr>
                <w:color w:val="1C3A36"/>
                <w:sz w:val="15"/>
              </w:rPr>
              <w:t>40.212</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Term deposits (&gt;3m) 30-Jun-2026</w:t>
            </w:r>
          </w:p>
        </w:tc>
      </w:tr>
      <w:tr>
        <w:tc>
          <w:tcPr>
            <w:tcW w:type="dxa" w:w="1872"/>
          </w:tcPr>
          <w:p>
            <w:pPr>
              <w:spacing w:after="20"/>
            </w:pPr>
            <w:r>
              <w:rPr>
                <w:color w:val="1C3A36"/>
                <w:sz w:val="15"/>
              </w:rPr>
              <w:t>nci book jun26</w:t>
            </w:r>
          </w:p>
        </w:tc>
        <w:tc>
          <w:tcPr>
            <w:tcW w:type="dxa" w:w="2304"/>
          </w:tcPr>
          <w:p>
            <w:pPr>
              <w:spacing w:after="20"/>
            </w:pPr>
            <w:r>
              <w:rPr>
                <w:color w:val="1C3A36"/>
                <w:sz w:val="15"/>
              </w:rPr>
              <w:t>190.7</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Non-controlling interests (30% of DXB CoolCo et al.), 30-Jun-2026 reviewed BS</w:t>
            </w:r>
          </w:p>
        </w:tc>
      </w:tr>
      <w:tr>
        <w:tc>
          <w:tcPr>
            <w:tcW w:type="dxa" w:w="1872"/>
          </w:tcPr>
          <w:p>
            <w:pPr>
              <w:spacing w:after="20"/>
            </w:pPr>
            <w:r>
              <w:rPr>
                <w:color w:val="1C3A36"/>
                <w:sz w:val="15"/>
              </w:rPr>
              <w:t>invprop jun26</w:t>
            </w:r>
          </w:p>
        </w:tc>
        <w:tc>
          <w:tcPr>
            <w:tcW w:type="dxa" w:w="2304"/>
          </w:tcPr>
          <w:p>
            <w:pPr>
              <w:spacing w:after="20"/>
            </w:pPr>
            <w:r>
              <w:rPr>
                <w:color w:val="1C3A36"/>
                <w:sz w:val="15"/>
              </w:rPr>
              <w:t>168.7</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Investment properties 30-Jun-2026 (non-operating side pocket, added in the bridge at book)</w:t>
            </w:r>
          </w:p>
        </w:tc>
      </w:tr>
      <w:tr>
        <w:tc>
          <w:tcPr>
            <w:tcW w:type="dxa" w:w="1872"/>
          </w:tcPr>
          <w:p>
            <w:pPr>
              <w:spacing w:after="20"/>
            </w:pPr>
            <w:r>
              <w:rPr>
                <w:color w:val="1C3A36"/>
                <w:sz w:val="15"/>
              </w:rPr>
              <w:t>fvtpl jun26</w:t>
            </w:r>
          </w:p>
        </w:tc>
        <w:tc>
          <w:tcPr>
            <w:tcW w:type="dxa" w:w="2304"/>
          </w:tcPr>
          <w:p>
            <w:pPr>
              <w:spacing w:after="20"/>
            </w:pPr>
            <w:r>
              <w:rPr>
                <w:color w:val="1C3A36"/>
                <w:sz w:val="15"/>
              </w:rPr>
              <w:t>53.411</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Financial assets at FVTPL 30-Jun-2026 (cash-like, added in the bridge)</w:t>
            </w:r>
          </w:p>
        </w:tc>
      </w:tr>
      <w:tr>
        <w:tc>
          <w:tcPr>
            <w:tcW w:type="dxa" w:w="1872"/>
          </w:tcPr>
          <w:p>
            <w:pPr>
              <w:spacing w:after="20"/>
            </w:pPr>
            <w:r>
              <w:rPr>
                <w:color w:val="1C3A36"/>
                <w:sz w:val="15"/>
              </w:rPr>
              <w:t>fvoci jun26</w:t>
            </w:r>
          </w:p>
        </w:tc>
        <w:tc>
          <w:tcPr>
            <w:tcW w:type="dxa" w:w="2304"/>
          </w:tcPr>
          <w:p>
            <w:pPr>
              <w:spacing w:after="20"/>
            </w:pPr>
            <w:r>
              <w:rPr>
                <w:color w:val="1C3A36"/>
                <w:sz w:val="15"/>
              </w:rPr>
              <w:t>74.564</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Financial assets at FVOCI 30-Jun-2026 (added at book)</w:t>
            </w:r>
          </w:p>
        </w:tc>
      </w:tr>
      <w:tr>
        <w:tc>
          <w:tcPr>
            <w:tcW w:type="dxa" w:w="1872"/>
          </w:tcPr>
          <w:p>
            <w:pPr>
              <w:spacing w:after="20"/>
            </w:pPr>
            <w:r>
              <w:rPr>
                <w:color w:val="1C3A36"/>
                <w:sz w:val="15"/>
              </w:rPr>
              <w:t>eq attr fy25</w:t>
            </w:r>
          </w:p>
        </w:tc>
        <w:tc>
          <w:tcPr>
            <w:tcW w:type="dxa" w:w="2304"/>
          </w:tcPr>
          <w:p>
            <w:pPr>
              <w:spacing w:after="20"/>
            </w:pPr>
            <w:r>
              <w:rPr>
                <w:color w:val="1C3A36"/>
                <w:sz w:val="15"/>
              </w:rPr>
              <w:t>3,310.9</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Equity attributable to holders, 31-Dec-2025 audited BS</w:t>
            </w:r>
          </w:p>
        </w:tc>
      </w:tr>
      <w:tr>
        <w:tc>
          <w:tcPr>
            <w:tcW w:type="dxa" w:w="1872"/>
          </w:tcPr>
          <w:p>
            <w:pPr>
              <w:spacing w:after="20"/>
            </w:pPr>
            <w:r>
              <w:rPr>
                <w:color w:val="1C3A36"/>
                <w:sz w:val="15"/>
              </w:rPr>
              <w:t>eq attr jun26</w:t>
            </w:r>
          </w:p>
        </w:tc>
        <w:tc>
          <w:tcPr>
            <w:tcW w:type="dxa" w:w="2304"/>
          </w:tcPr>
          <w:p>
            <w:pPr>
              <w:spacing w:after="20"/>
            </w:pPr>
            <w:r>
              <w:rPr>
                <w:color w:val="1C3A36"/>
                <w:sz w:val="15"/>
              </w:rPr>
              <w:t>3,337.6</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Equity attributable to holders, 30-Jun-2026 reviewed BS</w:t>
            </w:r>
          </w:p>
        </w:tc>
      </w:tr>
      <w:tr>
        <w:tc>
          <w:tcPr>
            <w:tcW w:type="dxa" w:w="1872"/>
          </w:tcPr>
          <w:p>
            <w:pPr>
              <w:spacing w:after="20"/>
            </w:pPr>
            <w:r>
              <w:rPr>
                <w:color w:val="1C3A36"/>
                <w:sz w:val="15"/>
              </w:rPr>
              <w:t>nci pat fy25</w:t>
            </w:r>
          </w:p>
        </w:tc>
        <w:tc>
          <w:tcPr>
            <w:tcW w:type="dxa" w:w="2304"/>
          </w:tcPr>
          <w:p>
            <w:pPr>
              <w:spacing w:after="20"/>
            </w:pPr>
            <w:r>
              <w:rPr>
                <w:color w:val="1C3A36"/>
                <w:sz w:val="15"/>
              </w:rPr>
              <w:t>10.633</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Profit attributable to NCI, FY2025 audited FS</w:t>
            </w:r>
          </w:p>
        </w:tc>
      </w:tr>
      <w:tr>
        <w:tc>
          <w:tcPr>
            <w:tcW w:type="dxa" w:w="1872"/>
          </w:tcPr>
          <w:p>
            <w:pPr>
              <w:spacing w:after="20"/>
            </w:pPr>
            <w:r>
              <w:rPr>
                <w:color w:val="1C3A36"/>
                <w:sz w:val="15"/>
              </w:rPr>
              <w:t>rev h1 26</w:t>
            </w:r>
          </w:p>
        </w:tc>
        <w:tc>
          <w:tcPr>
            <w:tcW w:type="dxa" w:w="2304"/>
          </w:tcPr>
          <w:p>
            <w:pPr>
              <w:spacing w:after="20"/>
            </w:pPr>
            <w:r>
              <w:rPr>
                <w:color w:val="1C3A36"/>
                <w:sz w:val="15"/>
              </w:rPr>
              <w:t>1,519.4</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Revenue, H1-2026 reviewed interim FS</w:t>
            </w:r>
          </w:p>
        </w:tc>
      </w:tr>
      <w:tr>
        <w:tc>
          <w:tcPr>
            <w:tcW w:type="dxa" w:w="1872"/>
          </w:tcPr>
          <w:p>
            <w:pPr>
              <w:spacing w:after="20"/>
            </w:pPr>
            <w:r>
              <w:rPr>
                <w:color w:val="1C3A36"/>
                <w:sz w:val="15"/>
              </w:rPr>
              <w:t>rev h1 25</w:t>
            </w:r>
          </w:p>
        </w:tc>
        <w:tc>
          <w:tcPr>
            <w:tcW w:type="dxa" w:w="2304"/>
          </w:tcPr>
          <w:p>
            <w:pPr>
              <w:spacing w:after="20"/>
            </w:pPr>
            <w:r>
              <w:rPr>
                <w:color w:val="1C3A36"/>
                <w:sz w:val="15"/>
              </w:rPr>
              <w:t>1,453.4</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Revenue, H1-2025 comparative</w:t>
            </w:r>
          </w:p>
        </w:tc>
      </w:tr>
      <w:tr>
        <w:tc>
          <w:tcPr>
            <w:tcW w:type="dxa" w:w="1872"/>
          </w:tcPr>
          <w:p>
            <w:pPr>
              <w:spacing w:after="20"/>
            </w:pPr>
            <w:r>
              <w:rPr>
                <w:color w:val="1C3A36"/>
                <w:sz w:val="15"/>
              </w:rPr>
              <w:t>pat h1 26</w:t>
            </w:r>
          </w:p>
        </w:tc>
        <w:tc>
          <w:tcPr>
            <w:tcW w:type="dxa" w:w="2304"/>
          </w:tcPr>
          <w:p>
            <w:pPr>
              <w:spacing w:after="20"/>
            </w:pPr>
            <w:r>
              <w:rPr>
                <w:color w:val="1C3A36"/>
                <w:sz w:val="15"/>
              </w:rPr>
              <w:t>467.9</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Profit after tax, H1-2026 reviewed interim FS</w:t>
            </w:r>
          </w:p>
        </w:tc>
      </w:tr>
      <w:tr>
        <w:tc>
          <w:tcPr>
            <w:tcW w:type="dxa" w:w="1872"/>
          </w:tcPr>
          <w:p>
            <w:pPr>
              <w:spacing w:after="20"/>
            </w:pPr>
            <w:r>
              <w:rPr>
                <w:color w:val="1C3A36"/>
                <w:sz w:val="15"/>
              </w:rPr>
              <w:t>ebitda h1 26</w:t>
            </w:r>
          </w:p>
        </w:tc>
        <w:tc>
          <w:tcPr>
            <w:tcW w:type="dxa" w:w="2304"/>
          </w:tcPr>
          <w:p>
            <w:pPr>
              <w:spacing w:after="20"/>
            </w:pPr>
            <w:r>
              <w:rPr>
                <w:color w:val="1C3A36"/>
                <w:sz w:val="15"/>
              </w:rPr>
              <w:t>773.0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EBITDA H1-2026 as presented, earnings deck p4 (Q1 margin 56.8%, Q2 46.7%)</w:t>
            </w:r>
          </w:p>
        </w:tc>
      </w:tr>
      <w:tr>
        <w:tc>
          <w:tcPr>
            <w:tcW w:type="dxa" w:w="1872"/>
          </w:tcPr>
          <w:p>
            <w:pPr>
              <w:spacing w:after="20"/>
            </w:pPr>
            <w:r>
              <w:rPr>
                <w:color w:val="1C3A36"/>
                <w:sz w:val="15"/>
              </w:rPr>
              <w:t>netdebt jun26 co</w:t>
            </w:r>
          </w:p>
        </w:tc>
        <w:tc>
          <w:tcPr>
            <w:tcW w:type="dxa" w:w="2304"/>
          </w:tcPr>
          <w:p>
            <w:pPr>
              <w:spacing w:after="20"/>
            </w:pPr>
            <w:r>
              <w:rPr>
                <w:color w:val="1C3A36"/>
                <w:sz w:val="15"/>
              </w:rPr>
              <w:t>2,991.0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Net debt 30-Jun-2026 as the company presents it, deck p11 (1.8x LTM EBITDA) — reproduced exactly by borrowings + leases - cash - term deposits, verified by cross-check</w:t>
            </w:r>
          </w:p>
        </w:tc>
      </w:tr>
      <w:tr>
        <w:tc>
          <w:tcPr>
            <w:tcW w:type="dxa" w:w="1872"/>
          </w:tcPr>
          <w:p>
            <w:pPr>
              <w:spacing w:after="20"/>
            </w:pPr>
            <w:r>
              <w:rPr>
                <w:color w:val="1C3A36"/>
                <w:sz w:val="15"/>
              </w:rPr>
              <w:t>div policy</w:t>
            </w:r>
          </w:p>
        </w:tc>
        <w:tc>
          <w:tcPr>
            <w:tcW w:type="dxa" w:w="2304"/>
          </w:tcPr>
          <w:p>
            <w:pPr>
              <w:spacing w:after="20"/>
            </w:pPr>
            <w:r>
              <w:rPr>
                <w:color w:val="1C3A36"/>
                <w:sz w:val="15"/>
              </w:rPr>
              <w:t>875.0</w:t>
            </w:r>
          </w:p>
        </w:tc>
        <w:tc>
          <w:tcPr>
            <w:tcW w:type="dxa" w:w="893"/>
          </w:tcPr>
          <w:p>
            <w:pPr>
              <w:spacing w:after="20"/>
            </w:pPr>
            <w:r>
              <w:rPr>
                <w:color w:val="1C3A36"/>
                <w:sz w:val="15"/>
              </w:rPr>
              <w:t>Company</w:t>
            </w:r>
          </w:p>
        </w:tc>
        <w:tc>
          <w:tcPr>
            <w:tcW w:type="dxa" w:w="1123"/>
          </w:tcPr>
          <w:p>
            <w:pPr>
              <w:spacing w:after="20"/>
            </w:pPr>
            <w:r>
              <w:rPr>
                <w:color w:val="1C3A36"/>
                <w:sz w:val="15"/>
              </w:rPr>
              <w:t>2026-08-05</w:t>
            </w:r>
          </w:p>
        </w:tc>
        <w:tc>
          <w:tcPr>
            <w:tcW w:type="dxa" w:w="7920"/>
          </w:tcPr>
          <w:p>
            <w:pPr>
              <w:spacing w:after="20"/>
            </w:pPr>
            <w:r>
              <w:rPr>
                <w:color w:val="1C3A36"/>
                <w:sz w:val="15"/>
              </w:rPr>
              <w:t>Dividend AED 875m/yr committed for 2025 AND 2026 (2 x 437.5m, Oct/Apr), deck p12; FY2025 FS note 39: 875.0 paid in 2025</w:t>
            </w:r>
          </w:p>
        </w:tc>
      </w:tr>
      <w:tr>
        <w:tc>
          <w:tcPr>
            <w:tcW w:type="dxa" w:w="1872"/>
          </w:tcPr>
          <w:p>
            <w:pPr>
              <w:spacing w:after="20"/>
            </w:pPr>
            <w:r>
              <w:rPr>
                <w:color w:val="1C3A36"/>
                <w:sz w:val="15"/>
              </w:rPr>
              <w:t>beta</w:t>
            </w:r>
          </w:p>
        </w:tc>
        <w:tc>
          <w:tcPr>
            <w:tcW w:type="dxa" w:w="2304"/>
          </w:tcPr>
          <w:p>
            <w:pPr>
              <w:spacing w:after="20"/>
            </w:pPr>
            <w:r>
              <w:rPr>
                <w:color w:val="1C3A36"/>
                <w:sz w:val="15"/>
              </w:rPr>
              <w:t>0.652</w:t>
            </w:r>
          </w:p>
        </w:tc>
        <w:tc>
          <w:tcPr>
            <w:tcW w:type="dxa" w:w="893"/>
          </w:tcPr>
          <w:p>
            <w:pPr>
              <w:spacing w:after="20"/>
            </w:pPr>
            <w:r>
              <w:rPr>
                <w:color w:val="1C3A36"/>
                <w:sz w:val="15"/>
              </w:rPr>
              <w:t>Company</w:t>
            </w:r>
          </w:p>
        </w:tc>
        <w:tc>
          <w:tcPr>
            <w:tcW w:type="dxa" w:w="1123"/>
          </w:tcPr>
          <w:p>
            <w:pPr>
              <w:spacing w:after="20"/>
            </w:pPr>
            <w:r>
              <w:rPr>
                <w:color w:val="1C3A36"/>
                <w:sz w:val="15"/>
              </w:rPr>
              <w:t>2026-08-09</w:t>
            </w:r>
          </w:p>
        </w:tc>
        <w:tc>
          <w:tcPr>
            <w:tcW w:type="dxa" w:w="7920"/>
          </w:tcPr>
          <w:p>
            <w:pPr>
              <w:spacing w:after="20"/>
            </w:pPr>
            <w:r>
              <w:rPr>
                <w:color w:val="1C3A36"/>
                <w:sz w:val="15"/>
              </w:rPr>
              <w:t>Own-stock weekly regression vs DFM General Index, full listing window 25-Nov-2022..17-Jul-2026 (3.64y, inside the 2-5y band): beta 0.652, R2 0.157, n 190, SE 0.110, CI90 [0.47, 0.83] — meets the study’s minimum statistical-usability standard</w:t>
            </w:r>
          </w:p>
        </w:tc>
      </w:tr>
      <w:tr>
        <w:tc>
          <w:tcPr>
            <w:tcW w:type="dxa" w:w="1872"/>
          </w:tcPr>
          <w:p>
            <w:pPr>
              <w:spacing w:after="20"/>
            </w:pPr>
            <w:r>
              <w:rPr>
                <w:color w:val="1C3A36"/>
                <w:sz w:val="15"/>
              </w:rPr>
              <w:t>kd marg</w:t>
            </w:r>
          </w:p>
        </w:tc>
        <w:tc>
          <w:tcPr>
            <w:tcW w:type="dxa" w:w="2304"/>
          </w:tcPr>
          <w:p>
            <w:pPr>
              <w:spacing w:after="20"/>
            </w:pPr>
            <w:r>
              <w:rPr>
                <w:color w:val="1C3A36"/>
                <w:sz w:val="15"/>
              </w:rPr>
              <w:t>0.0492</w:t>
            </w:r>
          </w:p>
        </w:tc>
        <w:tc>
          <w:tcPr>
            <w:tcW w:type="dxa" w:w="893"/>
          </w:tcPr>
          <w:p>
            <w:pPr>
              <w:spacing w:after="20"/>
            </w:pPr>
            <w:r>
              <w:rPr>
                <w:color w:val="1C3A36"/>
                <w:sz w:val="15"/>
              </w:rPr>
              <w:t>Company</w:t>
            </w:r>
          </w:p>
        </w:tc>
        <w:tc>
          <w:tcPr>
            <w:tcW w:type="dxa" w:w="1123"/>
          </w:tcPr>
          <w:p>
            <w:pPr>
              <w:spacing w:after="20"/>
            </w:pPr>
            <w:r>
              <w:rPr>
                <w:color w:val="1C3A36"/>
                <w:sz w:val="15"/>
              </w:rPr>
              <w:t>2026-02-09</w:t>
            </w:r>
          </w:p>
        </w:tc>
        <w:tc>
          <w:tcPr>
            <w:tcW w:type="dxa" w:w="7920"/>
          </w:tcPr>
          <w:p>
            <w:pPr>
              <w:spacing w:after="20"/>
            </w:pPr>
            <w:r>
              <w:rPr>
                <w:color w:val="1C3A36"/>
                <w:sz w:val="15"/>
              </w:rPr>
              <w:t>Marginal cost of debt = the company's OWN FY2025 borrowing-cost capitalisation rate (note 30), struck on the 2025 full refinance of both AED 2.75bn RCFs at EIBOR + a REDUCED margin; sits above the 4.48% AED sovereign as a same-currency corporate must (2024 comparison: 5.993%; spot 3M EIBOR 3.66% + implied margin ~0.9-1.3%)</w:t>
            </w:r>
          </w:p>
        </w:tc>
      </w:tr>
      <w:tr>
        <w:tc>
          <w:tcPr>
            <w:tcW w:type="dxa" w:w="1872"/>
          </w:tcPr>
          <w:p>
            <w:pPr>
              <w:spacing w:after="20"/>
            </w:pPr>
            <w:r>
              <w:rPr>
                <w:color w:val="1C3A36"/>
                <w:sz w:val="15"/>
              </w:rPr>
              <w:t>tax dmtt</w:t>
            </w:r>
          </w:p>
        </w:tc>
        <w:tc>
          <w:tcPr>
            <w:tcW w:type="dxa" w:w="2304"/>
          </w:tcPr>
          <w:p>
            <w:pPr>
              <w:spacing w:after="20"/>
            </w:pPr>
            <w:r>
              <w:rPr>
                <w:color w:val="1C3A36"/>
                <w:sz w:val="15"/>
              </w:rPr>
              <w:t>0.15</w:t>
            </w:r>
          </w:p>
        </w:tc>
        <w:tc>
          <w:tcPr>
            <w:tcW w:type="dxa" w:w="893"/>
          </w:tcPr>
          <w:p>
            <w:pPr>
              <w:spacing w:after="20"/>
            </w:pPr>
            <w:r>
              <w:rPr>
                <w:color w:val="1C3A36"/>
                <w:sz w:val="15"/>
              </w:rPr>
              <w:t>Country</w:t>
            </w:r>
          </w:p>
        </w:tc>
        <w:tc>
          <w:tcPr>
            <w:tcW w:type="dxa" w:w="1123"/>
          </w:tcPr>
          <w:p>
            <w:pPr>
              <w:spacing w:after="20"/>
            </w:pPr>
            <w:r>
              <w:rPr>
                <w:color w:val="1C3A36"/>
                <w:sz w:val="15"/>
              </w:rPr>
              <w:t>2026-08-09</w:t>
            </w:r>
          </w:p>
        </w:tc>
        <w:tc>
          <w:tcPr>
            <w:tcW w:type="dxa" w:w="7920"/>
          </w:tcPr>
          <w:p>
            <w:pPr>
              <w:spacing w:after="20"/>
            </w:pPr>
            <w:r>
              <w:rPr>
                <w:color w:val="1C3A36"/>
                <w:sz w:val="15"/>
              </w:rPr>
              <w:t>OECD Pillar-Two UAE domestic minimum top-up tax 15% for groups &gt;= EUR 750m revenue — whether DEWA-level (80%) consolidation sweeps Empower in is CONTESTED; computed as the full alternative framing</w:t>
            </w:r>
          </w:p>
        </w:tc>
      </w:tr>
      <w:tr>
        <w:tc>
          <w:tcPr>
            <w:tcW w:type="dxa" w:w="1872"/>
          </w:tcPr>
          <w:p>
            <w:pPr>
              <w:spacing w:after="20"/>
            </w:pPr>
            <w:r>
              <w:rPr>
                <w:color w:val="1C3A36"/>
                <w:sz w:val="15"/>
              </w:rPr>
              <w:t>rf aed</w:t>
            </w:r>
          </w:p>
        </w:tc>
        <w:tc>
          <w:tcPr>
            <w:tcW w:type="dxa" w:w="2304"/>
          </w:tcPr>
          <w:p>
            <w:pPr>
              <w:spacing w:after="20"/>
            </w:pPr>
            <w:r>
              <w:rPr>
                <w:color w:val="1C3A36"/>
                <w:sz w:val="15"/>
              </w:rPr>
              <w:t>0.0448</w:t>
            </w:r>
          </w:p>
        </w:tc>
        <w:tc>
          <w:tcPr>
            <w:tcW w:type="dxa" w:w="893"/>
          </w:tcPr>
          <w:p>
            <w:pPr>
              <w:spacing w:after="20"/>
            </w:pPr>
            <w:r>
              <w:rPr>
                <w:color w:val="1C3A36"/>
                <w:sz w:val="15"/>
              </w:rPr>
              <w:t>Country</w:t>
            </w:r>
          </w:p>
        </w:tc>
        <w:tc>
          <w:tcPr>
            <w:tcW w:type="dxa" w:w="1123"/>
          </w:tcPr>
          <w:p>
            <w:pPr>
              <w:spacing w:after="20"/>
            </w:pPr>
            <w:r>
              <w:rPr>
                <w:color w:val="1C3A36"/>
                <w:sz w:val="15"/>
              </w:rPr>
              <w:t>2026-07-30</w:t>
            </w:r>
          </w:p>
        </w:tc>
        <w:tc>
          <w:tcPr>
            <w:tcW w:type="dxa" w:w="7920"/>
          </w:tcPr>
          <w:p>
            <w:pPr>
              <w:spacing w:after="20"/>
            </w:pPr>
            <w:r>
              <w:rPr>
                <w:color w:val="1C3A36"/>
                <w:sz w:val="15"/>
              </w:rPr>
              <w:t>UAE dirham T-Bond, Jan-2031 tranche, auction YTM 30-Jul-2026 — the longest AED sovereign print (4.4y tenor; the 5y+ tenor gap vs the cash-flow horizon is flagged, spread over UST was ~4bp at issue)</w:t>
            </w:r>
          </w:p>
        </w:tc>
      </w:tr>
      <w:tr>
        <w:tc>
          <w:tcPr>
            <w:tcW w:type="dxa" w:w="1872"/>
          </w:tcPr>
          <w:p>
            <w:pPr>
              <w:spacing w:after="20"/>
            </w:pPr>
            <w:r>
              <w:rPr>
                <w:color w:val="1C3A36"/>
                <w:sz w:val="15"/>
              </w:rPr>
              <w:t>ds rating</w:t>
            </w:r>
          </w:p>
        </w:tc>
        <w:tc>
          <w:tcPr>
            <w:tcW w:type="dxa" w:w="2304"/>
          </w:tcPr>
          <w:p>
            <w:pPr>
              <w:spacing w:after="20"/>
            </w:pPr>
            <w:r>
              <w:rPr>
                <w:color w:val="1C3A36"/>
                <w:sz w:val="15"/>
              </w:rPr>
              <w:t>0.0039</w:t>
            </w:r>
          </w:p>
        </w:tc>
        <w:tc>
          <w:tcPr>
            <w:tcW w:type="dxa" w:w="893"/>
          </w:tcPr>
          <w:p>
            <w:pPr>
              <w:spacing w:after="20"/>
            </w:pPr>
            <w:r>
              <w:rPr>
                <w:color w:val="1C3A36"/>
                <w:sz w:val="15"/>
              </w:rPr>
              <w:t>Country</w:t>
            </w:r>
          </w:p>
        </w:tc>
        <w:tc>
          <w:tcPr>
            <w:tcW w:type="dxa" w:w="1123"/>
          </w:tcPr>
          <w:p>
            <w:pPr>
              <w:spacing w:after="20"/>
            </w:pPr>
            <w:r>
              <w:rPr>
                <w:color w:val="1C3A36"/>
                <w:sz w:val="15"/>
              </w:rPr>
              <w:t>2026-07-01</w:t>
            </w:r>
          </w:p>
        </w:tc>
        <w:tc>
          <w:tcPr>
            <w:tcW w:type="dxa" w:w="7920"/>
          </w:tcPr>
          <w:p>
            <w:pPr>
              <w:spacing w:after="20"/>
            </w:pPr>
            <w:r>
              <w:rPr>
                <w:color w:val="1C3A36"/>
                <w:sz w:val="15"/>
              </w:rPr>
              <w:t>UAE adjusted default spread, rating basis (Aa2), Damodaran ctryprem July-2026 edition (data 30-Jun-2026)</w:t>
            </w:r>
          </w:p>
        </w:tc>
      </w:tr>
      <w:tr>
        <w:tc>
          <w:tcPr>
            <w:tcW w:type="dxa" w:w="1872"/>
          </w:tcPr>
          <w:p>
            <w:pPr>
              <w:spacing w:after="20"/>
            </w:pPr>
            <w:r>
              <w:rPr>
                <w:color w:val="1C3A36"/>
                <w:sz w:val="15"/>
              </w:rPr>
              <w:t>ds cds</w:t>
            </w:r>
          </w:p>
        </w:tc>
        <w:tc>
          <w:tcPr>
            <w:tcW w:type="dxa" w:w="2304"/>
          </w:tcPr>
          <w:p>
            <w:pPr>
              <w:spacing w:after="20"/>
            </w:pPr>
            <w:r>
              <w:rPr>
                <w:color w:val="1C3A36"/>
                <w:sz w:val="15"/>
              </w:rPr>
              <w:t>0.0052</w:t>
            </w:r>
          </w:p>
        </w:tc>
        <w:tc>
          <w:tcPr>
            <w:tcW w:type="dxa" w:w="893"/>
          </w:tcPr>
          <w:p>
            <w:pPr>
              <w:spacing w:after="20"/>
            </w:pPr>
            <w:r>
              <w:rPr>
                <w:color w:val="1C3A36"/>
                <w:sz w:val="15"/>
              </w:rPr>
              <w:t>Country</w:t>
            </w:r>
          </w:p>
        </w:tc>
        <w:tc>
          <w:tcPr>
            <w:tcW w:type="dxa" w:w="1123"/>
          </w:tcPr>
          <w:p>
            <w:pPr>
              <w:spacing w:after="20"/>
            </w:pPr>
            <w:r>
              <w:rPr>
                <w:color w:val="1C3A36"/>
                <w:sz w:val="15"/>
              </w:rPr>
              <w:t>2026-07-01</w:t>
            </w:r>
          </w:p>
        </w:tc>
        <w:tc>
          <w:tcPr>
            <w:tcW w:type="dxa" w:w="7920"/>
          </w:tcPr>
          <w:p>
            <w:pPr>
              <w:spacing w:after="20"/>
            </w:pPr>
            <w:r>
              <w:rPr>
                <w:color w:val="1C3A36"/>
                <w:sz w:val="15"/>
              </w:rPr>
              <w:t>Abu Dhabi 10y sovereign CDS adj. for Switzerland, 30-Jun-2026, Damodaran July-2026 (the UAE federal CDS row is n/a; Abu Dhabi is the quoted UAE sovereign CDS — proxy flagged)</w:t>
            </w:r>
          </w:p>
        </w:tc>
      </w:tr>
      <w:tr>
        <w:tc>
          <w:tcPr>
            <w:tcW w:type="dxa" w:w="1872"/>
          </w:tcPr>
          <w:p>
            <w:pPr>
              <w:spacing w:after="20"/>
            </w:pPr>
            <w:r>
              <w:rPr>
                <w:color w:val="1C3A36"/>
                <w:sz w:val="15"/>
              </w:rPr>
              <w:t>erp rating</w:t>
            </w:r>
          </w:p>
        </w:tc>
        <w:tc>
          <w:tcPr>
            <w:tcW w:type="dxa" w:w="2304"/>
          </w:tcPr>
          <w:p>
            <w:pPr>
              <w:spacing w:after="20"/>
            </w:pPr>
            <w:r>
              <w:rPr>
                <w:color w:val="1C3A36"/>
                <w:sz w:val="15"/>
              </w:rPr>
              <w:t>0.0481</w:t>
            </w:r>
          </w:p>
        </w:tc>
        <w:tc>
          <w:tcPr>
            <w:tcW w:type="dxa" w:w="893"/>
          </w:tcPr>
          <w:p>
            <w:pPr>
              <w:spacing w:after="20"/>
            </w:pPr>
            <w:r>
              <w:rPr>
                <w:color w:val="1C3A36"/>
                <w:sz w:val="15"/>
              </w:rPr>
              <w:t>Country</w:t>
            </w:r>
          </w:p>
        </w:tc>
        <w:tc>
          <w:tcPr>
            <w:tcW w:type="dxa" w:w="1123"/>
          </w:tcPr>
          <w:p>
            <w:pPr>
              <w:spacing w:after="20"/>
            </w:pPr>
            <w:r>
              <w:rPr>
                <w:color w:val="1C3A36"/>
                <w:sz w:val="15"/>
              </w:rPr>
              <w:t>2026-07-01</w:t>
            </w:r>
          </w:p>
        </w:tc>
        <w:tc>
          <w:tcPr>
            <w:tcW w:type="dxa" w:w="7920"/>
          </w:tcPr>
          <w:p>
            <w:pPr>
              <w:spacing w:after="20"/>
            </w:pPr>
            <w:r>
              <w:rPr>
                <w:color w:val="1C3A36"/>
                <w:sz w:val="15"/>
              </w:rPr>
              <w:t>UAE total equity risk premium, rating basis, Damodaran July-2026</w:t>
            </w:r>
          </w:p>
        </w:tc>
      </w:tr>
      <w:tr>
        <w:tc>
          <w:tcPr>
            <w:tcW w:type="dxa" w:w="1872"/>
          </w:tcPr>
          <w:p>
            <w:pPr>
              <w:spacing w:after="20"/>
            </w:pPr>
            <w:r>
              <w:rPr>
                <w:color w:val="1C3A36"/>
                <w:sz w:val="15"/>
              </w:rPr>
              <w:t>erp cds</w:t>
            </w:r>
          </w:p>
        </w:tc>
        <w:tc>
          <w:tcPr>
            <w:tcW w:type="dxa" w:w="2304"/>
          </w:tcPr>
          <w:p>
            <w:pPr>
              <w:spacing w:after="20"/>
            </w:pPr>
            <w:r>
              <w:rPr>
                <w:color w:val="1C3A36"/>
                <w:sz w:val="15"/>
              </w:rPr>
              <w:t>0.0501</w:t>
            </w:r>
          </w:p>
        </w:tc>
        <w:tc>
          <w:tcPr>
            <w:tcW w:type="dxa" w:w="893"/>
          </w:tcPr>
          <w:p>
            <w:pPr>
              <w:spacing w:after="20"/>
            </w:pPr>
            <w:r>
              <w:rPr>
                <w:color w:val="1C3A36"/>
                <w:sz w:val="15"/>
              </w:rPr>
              <w:t>Country</w:t>
            </w:r>
          </w:p>
        </w:tc>
        <w:tc>
          <w:tcPr>
            <w:tcW w:type="dxa" w:w="1123"/>
          </w:tcPr>
          <w:p>
            <w:pPr>
              <w:spacing w:after="20"/>
            </w:pPr>
            <w:r>
              <w:rPr>
                <w:color w:val="1C3A36"/>
                <w:sz w:val="15"/>
              </w:rPr>
              <w:t>2026-07-01</w:t>
            </w:r>
          </w:p>
        </w:tc>
        <w:tc>
          <w:tcPr>
            <w:tcW w:type="dxa" w:w="7920"/>
          </w:tcPr>
          <w:p>
            <w:pPr>
              <w:spacing w:after="20"/>
            </w:pPr>
            <w:r>
              <w:rPr>
                <w:color w:val="1C3A36"/>
                <w:sz w:val="15"/>
              </w:rPr>
              <w:t>UAE total ERP, sovereign-CDS basis (via Abu Dhabi CDS), Damodaran July-2026</w:t>
            </w:r>
          </w:p>
        </w:tc>
      </w:tr>
      <w:tr>
        <w:tc>
          <w:tcPr>
            <w:tcW w:type="dxa" w:w="1872"/>
          </w:tcPr>
          <w:p>
            <w:pPr>
              <w:spacing w:after="20"/>
            </w:pPr>
            <w:r>
              <w:rPr>
                <w:color w:val="1C3A36"/>
                <w:sz w:val="15"/>
              </w:rPr>
              <w:t>g term</w:t>
            </w:r>
          </w:p>
        </w:tc>
        <w:tc>
          <w:tcPr>
            <w:tcW w:type="dxa" w:w="2304"/>
          </w:tcPr>
          <w:p>
            <w:pPr>
              <w:spacing w:after="20"/>
            </w:pPr>
            <w:r>
              <w:rPr>
                <w:color w:val="1C3A36"/>
                <w:sz w:val="15"/>
              </w:rPr>
              <w:t>0.025</w:t>
            </w:r>
          </w:p>
        </w:tc>
        <w:tc>
          <w:tcPr>
            <w:tcW w:type="dxa" w:w="893"/>
          </w:tcPr>
          <w:p>
            <w:pPr>
              <w:spacing w:after="20"/>
            </w:pPr>
            <w:r>
              <w:rPr>
                <w:color w:val="1C3A36"/>
                <w:sz w:val="15"/>
              </w:rPr>
              <w:t>House</w:t>
            </w:r>
          </w:p>
        </w:tc>
        <w:tc>
          <w:tcPr>
            <w:tcW w:type="dxa" w:w="1123"/>
          </w:tcPr>
          <w:p>
            <w:pPr>
              <w:spacing w:after="20"/>
            </w:pPr>
            <w:r>
              <w:rPr>
                <w:color w:val="1C3A36"/>
                <w:sz w:val="15"/>
              </w:rPr>
              <w:t>2026-08-09</w:t>
            </w:r>
          </w:p>
        </w:tc>
        <w:tc>
          <w:tcPr>
            <w:tcW w:type="dxa" w:w="7920"/>
          </w:tcPr>
          <w:p>
            <w:pPr>
              <w:spacing w:after="20"/>
            </w:pPr>
            <w:r>
              <w:rPr>
                <w:color w:val="1C3A36"/>
                <w:sz w:val="15"/>
              </w:rPr>
              <w:t>Terminal growth: long-run UAE nominal-GDP-consistent 2.5% under a flat regulated tariff — bounded by Dubai build-out saturation (connected 1.7m of ~2.0m RT contracted; sensitised 1.5-3.5%)</w:t>
            </w:r>
          </w:p>
        </w:tc>
      </w:tr>
    </w:tbl>
    <w:p>
      <w:pPr>
        <w:spacing w:after="40"/>
      </w:pPr>
    </w:p>
    <w:p>
      <w:r>
        <w:br w:type="page"/>
      </w:r>
    </w:p>
    <w:p>
      <w:pPr>
        <w:spacing w:after="100" w:before="240"/>
      </w:pPr>
      <w:r>
        <w:rPr>
          <w:b/>
          <w:i w:val="0"/>
          <w:color w:val="1C3A36"/>
          <w:sz w:val="28"/>
        </w:rPr>
        <w:t>3  The judgements, stated separately — and what would overturn each</w:t>
      </w:r>
    </w:p>
    <w:p>
      <w:pPr>
        <w:spacing w:after="100" w:before="0"/>
      </w:pPr>
      <w:r>
        <w:rPr>
          <w:b w:val="0"/>
          <w:i w:val="0"/>
          <w:color w:val="1C3A36"/>
          <w:sz w:val="19"/>
        </w:rPr>
        <w:t>These are the places where the analyst chose rather than observed. Each carries its reasoning and the observable evidence that would overturn it; a reader is free to disagree and re-run the model, which is built so that changing any of these reprices everything downstream.</w:t>
      </w:r>
    </w:p>
    <w:tbl>
      <w:tblPr>
        <w:tblW w:type="auto" w:w="0"/>
        <w:jc w:val="cente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CellMar>
          <w:top w:w="40" w:type="dxa"/>
          <w:left w:w="80" w:type="dxa"/>
          <w:bottom w:w="40" w:type="dxa"/>
          <w:right w:w="80" w:type="dxa"/>
        </w:tblCellMar>
        <w:tblLook w:firstColumn="1" w:firstRow="1" w:lastColumn="0" w:lastRow="0" w:noHBand="0" w:noVBand="1" w:val="04A0"/>
      </w:tblPr>
      <w:tblGrid>
        <w:gridCol w:w="2160"/>
        <w:gridCol w:w="4176"/>
        <w:gridCol w:w="3960"/>
        <w:gridCol w:w="3816"/>
      </w:tblGrid>
      <w:tr>
        <w:tc>
          <w:tcPr>
            <w:tcW w:type="dxa" w:w="2160"/>
            <w:shd w:val="clear" w:color="auto" w:fill="EAF0EE"/>
          </w:tcPr>
          <w:p>
            <w:pPr>
              <w:spacing w:after="20"/>
            </w:pPr>
            <w:r>
              <w:rPr>
                <w:b/>
                <w:color w:val="1C3A36"/>
                <w:sz w:val="15"/>
              </w:rPr>
              <w:t>Judgement</w:t>
            </w:r>
          </w:p>
        </w:tc>
        <w:tc>
          <w:tcPr>
            <w:tcW w:type="dxa" w:w="4176"/>
            <w:shd w:val="clear" w:color="auto" w:fill="EAF0EE"/>
          </w:tcPr>
          <w:p>
            <w:pPr>
              <w:spacing w:after="20"/>
            </w:pPr>
            <w:r>
              <w:rPr>
                <w:b/>
                <w:color w:val="1C3A36"/>
                <w:sz w:val="15"/>
              </w:rPr>
              <w:t>What was chosen</w:t>
            </w:r>
          </w:p>
        </w:tc>
        <w:tc>
          <w:tcPr>
            <w:tcW w:type="dxa" w:w="3960"/>
            <w:shd w:val="clear" w:color="auto" w:fill="EAF0EE"/>
          </w:tcPr>
          <w:p>
            <w:pPr>
              <w:spacing w:after="20"/>
            </w:pPr>
            <w:r>
              <w:rPr>
                <w:b/>
                <w:color w:val="1C3A36"/>
                <w:sz w:val="15"/>
              </w:rPr>
              <w:t>Why</w:t>
            </w:r>
          </w:p>
        </w:tc>
        <w:tc>
          <w:tcPr>
            <w:tcW w:type="dxa" w:w="3816"/>
            <w:shd w:val="clear" w:color="auto" w:fill="EAF0EE"/>
          </w:tcPr>
          <w:p>
            <w:pPr>
              <w:spacing w:after="20"/>
            </w:pPr>
            <w:r>
              <w:rPr>
                <w:b/>
                <w:color w:val="1C3A36"/>
                <w:sz w:val="15"/>
              </w:rPr>
              <w:t>What would overturn it</w:t>
            </w:r>
          </w:p>
        </w:tc>
      </w:tr>
      <w:tr>
        <w:tc>
          <w:tcPr>
            <w:tcW w:type="dxa" w:w="2160"/>
          </w:tcPr>
          <w:p>
            <w:pPr>
              <w:spacing w:after="20"/>
            </w:pPr>
            <w:r>
              <w:rPr>
                <w:color w:val="1C3A36"/>
                <w:sz w:val="15"/>
              </w:rPr>
              <w:t>The consumption recovery (the crux)</w:t>
            </w:r>
          </w:p>
        </w:tc>
        <w:tc>
          <w:tcPr>
            <w:tcW w:type="dxa" w:w="4176"/>
          </w:tcPr>
          <w:p>
            <w:pPr>
              <w:spacing w:after="20"/>
            </w:pPr>
            <w:r>
              <w:rPr>
                <w:color w:val="1C3A36"/>
                <w:sz w:val="15"/>
              </w:rPr>
              <w:t>Usage per connected ton carries a 6% shock in 2026 and recovers to the 2025 level through 2027; the never-recovers case is computed as a full alternative model (2.594 against 2.664 per share) and published beside it</w:t>
            </w:r>
          </w:p>
        </w:tc>
        <w:tc>
          <w:tcPr>
            <w:tcW w:type="dxa" w:w="3960"/>
          </w:tcPr>
          <w:p>
            <w:pPr>
              <w:spacing w:after="20"/>
            </w:pPr>
            <w:r>
              <w:rPr>
                <w:color w:val="1C3A36"/>
                <w:sz w:val="15"/>
              </w:rPr>
              <w:t>The interim notes tie the usage fall partly to conflict-hit hospitality occupancy; capacity connections kept growing through the same half, so the loss reads as demand-cyclical, not structural</w:t>
            </w:r>
          </w:p>
        </w:tc>
        <w:tc>
          <w:tcPr>
            <w:tcW w:type="dxa" w:w="3816"/>
          </w:tcPr>
          <w:p>
            <w:pPr>
              <w:spacing w:after="20"/>
            </w:pPr>
            <w:r>
              <w:rPr>
                <w:color w:val="1C3A36"/>
                <w:sz w:val="15"/>
              </w:rPr>
              <w:t>Two consecutive half-years with equivalent full-load hours below the 2026 trough — then the never-recovers column becomes the base</w:t>
            </w:r>
          </w:p>
        </w:tc>
      </w:tr>
      <w:tr>
        <w:tc>
          <w:tcPr>
            <w:tcW w:type="dxa" w:w="2160"/>
          </w:tcPr>
          <w:p>
            <w:pPr>
              <w:spacing w:after="20"/>
            </w:pPr>
            <w:r>
              <w:rPr>
                <w:color w:val="1C3A36"/>
                <w:sz w:val="15"/>
              </w:rPr>
              <w:t>The tax framing (dual-framed throughout)</w:t>
            </w:r>
          </w:p>
        </w:tc>
        <w:tc>
          <w:tcPr>
            <w:tcW w:type="dxa" w:w="4176"/>
          </w:tcPr>
          <w:p>
            <w:pPr>
              <w:spacing w:after="20"/>
            </w:pPr>
            <w:r>
              <w:rPr>
                <w:color w:val="1C3A36"/>
                <w:sz w:val="15"/>
              </w:rPr>
              <w:t>The audited 9% effective rate is the base; the 15% domestic minimum top-up rate is computed as a full second column (2.483 against 2.664) — published side by side, never averaged</w:t>
            </w:r>
          </w:p>
        </w:tc>
        <w:tc>
          <w:tcPr>
            <w:tcW w:type="dxa" w:w="3960"/>
          </w:tcPr>
          <w:p>
            <w:pPr>
              <w:spacing w:after="20"/>
            </w:pPr>
            <w:r>
              <w:rPr>
                <w:color w:val="1C3A36"/>
                <w:sz w:val="15"/>
              </w:rPr>
              <w:t>Whether consolidation into the DEWA group (revenue far above the EUR 750m threshold) sweeps a listed 80%-held subsidiary into the minimum-tax regime is genuinely unresolved in the guidance read for this study</w:t>
            </w:r>
          </w:p>
        </w:tc>
        <w:tc>
          <w:tcPr>
            <w:tcW w:type="dxa" w:w="3816"/>
          </w:tcPr>
          <w:p>
            <w:pPr>
              <w:spacing w:after="20"/>
            </w:pPr>
            <w:r>
              <w:rPr>
                <w:color w:val="1C3A36"/>
                <w:sz w:val="15"/>
              </w:rPr>
              <w:t>A Ministry of Finance clarification or the tax note of the FY2026 filing — either way, the corresponding published column simply takes over</w:t>
            </w:r>
          </w:p>
        </w:tc>
      </w:tr>
      <w:tr>
        <w:tc>
          <w:tcPr>
            <w:tcW w:type="dxa" w:w="2160"/>
          </w:tcPr>
          <w:p>
            <w:pPr>
              <w:spacing w:after="20"/>
            </w:pPr>
            <w:r>
              <w:rPr>
                <w:color w:val="1C3A36"/>
                <w:sz w:val="15"/>
              </w:rPr>
              <w:t>Terminal growth</w:t>
            </w:r>
          </w:p>
        </w:tc>
        <w:tc>
          <w:tcPr>
            <w:tcW w:type="dxa" w:w="4176"/>
          </w:tcPr>
          <w:p>
            <w:pPr>
              <w:spacing w:after="20"/>
            </w:pPr>
            <w:r>
              <w:rPr>
                <w:color w:val="1C3A36"/>
                <w:sz w:val="15"/>
              </w:rPr>
              <w:t>2.5% in nominal dirhams, sensitised 1.5%–3.5%</w:t>
            </w:r>
          </w:p>
        </w:tc>
        <w:tc>
          <w:tcPr>
            <w:tcW w:type="dxa" w:w="3960"/>
          </w:tcPr>
          <w:p>
            <w:pPr>
              <w:spacing w:after="20"/>
            </w:pPr>
            <w:r>
              <w:rPr>
                <w:color w:val="1C3A36"/>
                <w:sz w:val="15"/>
              </w:rPr>
              <w:t>Bounded by the flat regulated tariff and Dubai build-out saturation: connected capacity already covers most of the contracted pipeline, so perpetual growth above nominal GDP would require expansion the company has not announced</w:t>
            </w:r>
          </w:p>
        </w:tc>
        <w:tc>
          <w:tcPr>
            <w:tcW w:type="dxa" w:w="3816"/>
          </w:tcPr>
          <w:p>
            <w:pPr>
              <w:spacing w:after="20"/>
            </w:pPr>
            <w:r>
              <w:rPr>
                <w:color w:val="1C3A36"/>
                <w:sz w:val="15"/>
              </w:rPr>
              <w:t>A new-emirate or acquisition-led expansion commitment, or a tariff regime with real escalation</w:t>
            </w:r>
          </w:p>
        </w:tc>
      </w:tr>
      <w:tr>
        <w:tc>
          <w:tcPr>
            <w:tcW w:type="dxa" w:w="2160"/>
          </w:tcPr>
          <w:p>
            <w:pPr>
              <w:spacing w:after="20"/>
            </w:pPr>
            <w:r>
              <w:rPr>
                <w:color w:val="1C3A36"/>
                <w:sz w:val="15"/>
              </w:rPr>
              <w:t>Capital expenditure per new refrigeration ton</w:t>
            </w:r>
          </w:p>
        </w:tc>
        <w:tc>
          <w:tcPr>
            <w:tcW w:type="dxa" w:w="4176"/>
          </w:tcPr>
          <w:p>
            <w:pPr>
              <w:spacing w:after="20"/>
            </w:pPr>
            <w:r>
              <w:rPr>
                <w:color w:val="1C3A36"/>
                <w:sz w:val="15"/>
              </w:rPr>
              <w:t>AED 4,889 per RT added (derived: 2025 cash capital expenditure over the year's added tons), plus a 0.8% maintenance allowance on net plant</w:t>
            </w:r>
          </w:p>
        </w:tc>
        <w:tc>
          <w:tcPr>
            <w:tcW w:type="dxa" w:w="3960"/>
          </w:tcPr>
          <w:p>
            <w:pPr>
              <w:spacing w:after="20"/>
            </w:pPr>
            <w:r>
              <w:rPr>
                <w:color w:val="1C3A36"/>
                <w:sz w:val="15"/>
              </w:rPr>
              <w:t>No AED capital-expenditure guidance is disclosed anywhere (a recorded negative search); cost-per-ton on the audited cash figure is the finest sourced level available</w:t>
            </w:r>
          </w:p>
        </w:tc>
        <w:tc>
          <w:tcPr>
            <w:tcW w:type="dxa" w:w="3816"/>
          </w:tcPr>
          <w:p>
            <w:pPr>
              <w:spacing w:after="20"/>
            </w:pPr>
            <w:r>
              <w:rPr>
                <w:color w:val="1C3A36"/>
                <w:sz w:val="15"/>
              </w:rPr>
              <w:t>Company capital-expenditure guidance, or two years of cash figures diverging materially from the per-ton construction</w:t>
            </w:r>
          </w:p>
        </w:tc>
      </w:tr>
      <w:tr>
        <w:tc>
          <w:tcPr>
            <w:tcW w:type="dxa" w:w="2160"/>
          </w:tcPr>
          <w:p>
            <w:pPr>
              <w:spacing w:after="20"/>
            </w:pPr>
            <w:r>
              <w:rPr>
                <w:color w:val="1C3A36"/>
                <w:sz w:val="15"/>
              </w:rPr>
              <w:t>Electricity-and-water pass-through ratio</w:t>
            </w:r>
          </w:p>
        </w:tc>
        <w:tc>
          <w:tcPr>
            <w:tcW w:type="dxa" w:w="4176"/>
          </w:tcPr>
          <w:p>
            <w:pPr>
              <w:spacing w:after="20"/>
            </w:pPr>
            <w:r>
              <w:rPr>
                <w:color w:val="1C3A36"/>
                <w:sz w:val="15"/>
              </w:rPr>
              <w:t>Purchased electricity and water held at 76.3% of consumption revenue (the audited 2025 print; 2024 was 72.5%)</w:t>
            </w:r>
          </w:p>
        </w:tc>
        <w:tc>
          <w:tcPr>
            <w:tcW w:type="dxa" w:w="3960"/>
          </w:tcPr>
          <w:p>
            <w:pPr>
              <w:spacing w:after="20"/>
            </w:pPr>
            <w:r>
              <w:rPr>
                <w:color w:val="1C3A36"/>
                <w:sz w:val="15"/>
              </w:rPr>
              <w:t>The cost is tied to its own physical driver — the consumption leg — on the related-party purchase disclosure, never to a blended inflation index; the DEWA slab tariff is flat and the fuel surcharge floats monthly</w:t>
            </w:r>
          </w:p>
        </w:tc>
        <w:tc>
          <w:tcPr>
            <w:tcW w:type="dxa" w:w="3816"/>
          </w:tcPr>
          <w:p>
            <w:pPr>
              <w:spacing w:after="20"/>
            </w:pPr>
            <w:r>
              <w:rPr>
                <w:color w:val="1C3A36"/>
                <w:sz w:val="15"/>
              </w:rPr>
              <w:t>A DEWA tariff revision, or the ratio moving by more than two points in a full-year print</w:t>
            </w:r>
          </w:p>
        </w:tc>
      </w:tr>
      <w:tr>
        <w:tc>
          <w:tcPr>
            <w:tcW w:type="dxa" w:w="2160"/>
          </w:tcPr>
          <w:p>
            <w:pPr>
              <w:spacing w:after="20"/>
            </w:pPr>
            <w:r>
              <w:rPr>
                <w:color w:val="1C3A36"/>
                <w:sz w:val="15"/>
              </w:rPr>
              <w:t>Working capital</w:t>
            </w:r>
          </w:p>
        </w:tc>
        <w:tc>
          <w:tcPr>
            <w:tcW w:type="dxa" w:w="4176"/>
          </w:tcPr>
          <w:p>
            <w:pPr>
              <w:spacing w:after="20"/>
            </w:pPr>
            <w:r>
              <w:rPr>
                <w:color w:val="1C3A36"/>
                <w:sz w:val="15"/>
              </w:rPr>
              <w:t>Net working capital held at -51.4% of revenue (negative — customer deposits and payables fund the cycle), from the audited 2025 balance sheet with capital-expenditure accruals stripped out</w:t>
            </w:r>
          </w:p>
        </w:tc>
        <w:tc>
          <w:tcPr>
            <w:tcW w:type="dxa" w:w="3960"/>
          </w:tcPr>
          <w:p>
            <w:pPr>
              <w:spacing w:after="20"/>
            </w:pPr>
            <w:r>
              <w:rPr>
                <w:color w:val="1C3A36"/>
                <w:sz w:val="15"/>
              </w:rPr>
              <w:t>The ratio is structural: deposits are contractual and the dominant payable is to the related-party supplier</w:t>
            </w:r>
          </w:p>
        </w:tc>
        <w:tc>
          <w:tcPr>
            <w:tcW w:type="dxa" w:w="3816"/>
          </w:tcPr>
          <w:p>
            <w:pPr>
              <w:spacing w:after="20"/>
            </w:pPr>
            <w:r>
              <w:rPr>
                <w:color w:val="1C3A36"/>
                <w:sz w:val="15"/>
              </w:rPr>
              <w:t>Receivable days lengthening materially (the collection cycle stood near a month at FY2025) or a change in deposit terms</w:t>
            </w:r>
          </w:p>
        </w:tc>
      </w:tr>
      <w:tr>
        <w:tc>
          <w:tcPr>
            <w:tcW w:type="dxa" w:w="2160"/>
          </w:tcPr>
          <w:p>
            <w:pPr>
              <w:spacing w:after="20"/>
            </w:pPr>
            <w:r>
              <w:rPr>
                <w:color w:val="1C3A36"/>
                <w:sz w:val="15"/>
              </w:rPr>
              <w:t>The connected-capacity path</w:t>
            </w:r>
          </w:p>
        </w:tc>
        <w:tc>
          <w:tcPr>
            <w:tcW w:type="dxa" w:w="4176"/>
          </w:tcPr>
          <w:p>
            <w:pPr>
              <w:spacing w:after="20"/>
            </w:pPr>
            <w:r>
              <w:rPr>
                <w:color w:val="1C3A36"/>
                <w:sz w:val="15"/>
              </w:rPr>
              <w:t>The 2026 guidance midpoint, then additions funded by the contracted backlog, tapering as the build-out matures</w:t>
            </w:r>
          </w:p>
        </w:tc>
        <w:tc>
          <w:tcPr>
            <w:tcW w:type="dxa" w:w="3960"/>
          </w:tcPr>
          <w:p>
            <w:pPr>
              <w:spacing w:after="20"/>
            </w:pPr>
            <w:r>
              <w:rPr>
                <w:color w:val="1C3A36"/>
                <w:sz w:val="15"/>
              </w:rPr>
              <w:t>The company's own guidance and its signed but not-yet-connected backlog are the finest sourced volume drivers available; no market-growth assumption is used</w:t>
            </w:r>
          </w:p>
        </w:tc>
        <w:tc>
          <w:tcPr>
            <w:tcW w:type="dxa" w:w="3816"/>
          </w:tcPr>
          <w:p>
            <w:pPr>
              <w:spacing w:after="20"/>
            </w:pPr>
            <w:r>
              <w:rPr>
                <w:color w:val="1C3A36"/>
                <w:sz w:val="15"/>
              </w:rPr>
              <w:t>Connections printing outside the guidance band, or the contracted backlog shrinking two decks running</w:t>
            </w:r>
          </w:p>
        </w:tc>
      </w:tr>
      <w:tr>
        <w:tc>
          <w:tcPr>
            <w:tcW w:type="dxa" w:w="2160"/>
          </w:tcPr>
          <w:p>
            <w:pPr>
              <w:spacing w:after="20"/>
            </w:pPr>
            <w:r>
              <w:rPr>
                <w:color w:val="1C3A36"/>
                <w:sz w:val="15"/>
              </w:rPr>
              <w:t>The cost of equity construction</w:t>
            </w:r>
          </w:p>
        </w:tc>
        <w:tc>
          <w:tcPr>
            <w:tcW w:type="dxa" w:w="4176"/>
          </w:tcPr>
          <w:p>
            <w:pPr>
              <w:spacing w:after="20"/>
            </w:pPr>
            <w:r>
              <w:rPr>
                <w:color w:val="1C3A36"/>
                <w:sz w:val="15"/>
              </w:rPr>
              <w:t>Risk-free = the longest dirham sovereign print less the UAE's own default spread; beta 0.652 from the stock's own weekly history against the DFM General Index; the published UAE equity risk premium; both spread bases computed (they converge: 7.22% against 7.23%)</w:t>
            </w:r>
          </w:p>
        </w:tc>
        <w:tc>
          <w:tcPr>
            <w:tcW w:type="dxa" w:w="3960"/>
          </w:tcPr>
          <w:p>
            <w:pPr>
              <w:spacing w:after="20"/>
            </w:pPr>
            <w:r>
              <w:rPr>
                <w:color w:val="1C3A36"/>
                <w:sz w:val="15"/>
              </w:rPr>
              <w:t>Country risk must enter once — through the premium — not twice; the two published bases are both carried precisely because the choice between them is contested, and here it turns out to cost nothing</w:t>
            </w:r>
          </w:p>
        </w:tc>
        <w:tc>
          <w:tcPr>
            <w:tcW w:type="dxa" w:w="3816"/>
          </w:tcPr>
          <w:p>
            <w:pPr>
              <w:spacing w:after="20"/>
            </w:pPr>
            <w:r>
              <w:rPr>
                <w:color w:val="1C3A36"/>
                <w:sz w:val="15"/>
              </w:rPr>
              <w:t>A longer dirham sovereign issue (replacing the tenor-mismatched anchor) or the beta interval shifting as the listing history lengthens</w:t>
            </w:r>
          </w:p>
        </w:tc>
      </w:tr>
      <w:tr>
        <w:tc>
          <w:tcPr>
            <w:tcW w:type="dxa" w:w="2160"/>
          </w:tcPr>
          <w:p>
            <w:pPr>
              <w:spacing w:after="20"/>
            </w:pPr>
            <w:r>
              <w:rPr>
                <w:color w:val="1C3A36"/>
                <w:sz w:val="15"/>
              </w:rPr>
              <w:t>Minority interests at their profit share</w:t>
            </w:r>
          </w:p>
        </w:tc>
        <w:tc>
          <w:tcPr>
            <w:tcW w:type="dxa" w:w="4176"/>
          </w:tcPr>
          <w:p>
            <w:pPr>
              <w:spacing w:after="20"/>
            </w:pPr>
            <w:r>
              <w:rPr>
                <w:color w:val="1C3A36"/>
                <w:sz w:val="15"/>
              </w:rPr>
              <w:t>Minorities are charged 1.1% of equity value — their share of profits — rather than book value</w:t>
            </w:r>
          </w:p>
        </w:tc>
        <w:tc>
          <w:tcPr>
            <w:tcW w:type="dxa" w:w="3960"/>
          </w:tcPr>
          <w:p>
            <w:pPr>
              <w:spacing w:after="20"/>
            </w:pPr>
            <w:r>
              <w:rPr>
                <w:color w:val="1C3A36"/>
                <w:sz w:val="15"/>
              </w:rPr>
              <w:t>The study values the group above book, so valuing the minority claim at book while valuing everyone else's above it would apply two standards to the same subsidiaries</w:t>
            </w:r>
          </w:p>
        </w:tc>
        <w:tc>
          <w:tcPr>
            <w:tcW w:type="dxa" w:w="3816"/>
          </w:tcPr>
          <w:p>
            <w:pPr>
              <w:spacing w:after="20"/>
            </w:pPr>
            <w:r>
              <w:rPr>
                <w:color w:val="1C3A36"/>
                <w:sz w:val="15"/>
              </w:rPr>
              <w:t>A disclosed transaction in the minority stakes establishing a different value</w:t>
            </w:r>
          </w:p>
        </w:tc>
      </w:tr>
      <w:tr>
        <w:tc>
          <w:tcPr>
            <w:tcW w:type="dxa" w:w="2160"/>
          </w:tcPr>
          <w:p>
            <w:pPr>
              <w:spacing w:after="20"/>
            </w:pPr>
            <w:r>
              <w:rPr>
                <w:color w:val="1C3A36"/>
                <w:sz w:val="15"/>
              </w:rPr>
              <w:t>No accretion roll to the anchor date</w:t>
            </w:r>
          </w:p>
        </w:tc>
        <w:tc>
          <w:tcPr>
            <w:tcW w:type="dxa" w:w="4176"/>
          </w:tcPr>
          <w:p>
            <w:pPr>
              <w:spacing w:after="20"/>
            </w:pPr>
            <w:r>
              <w:rPr>
                <w:color w:val="1C3A36"/>
                <w:sz w:val="15"/>
              </w:rPr>
              <w:t>The valuation is struck on the 30-Jun-2026 reviewed balance sheet and compared directly with the 07-Aug-2026 closing price</w:t>
            </w:r>
          </w:p>
        </w:tc>
        <w:tc>
          <w:tcPr>
            <w:tcW w:type="dxa" w:w="3960"/>
          </w:tcPr>
          <w:p>
            <w:pPr>
              <w:spacing w:after="20"/>
            </w:pPr>
            <w:r>
              <w:rPr>
                <w:color w:val="1C3A36"/>
                <w:sz w:val="15"/>
              </w:rPr>
              <w:t>The window is five weeks with no dividend inside it; an accretion roll would move the comparison by well under one percent of value</w:t>
            </w:r>
          </w:p>
        </w:tc>
        <w:tc>
          <w:tcPr>
            <w:tcW w:type="dxa" w:w="3816"/>
          </w:tcPr>
          <w:p>
            <w:pPr>
              <w:spacing w:after="20"/>
            </w:pPr>
            <w:r>
              <w:rPr>
                <w:color w:val="1C3A36"/>
                <w:sz w:val="15"/>
              </w:rPr>
              <w:t>Nothing — stated so the reader knows the dating convention rather than to invite evidence</w:t>
            </w:r>
          </w:p>
        </w:tc>
      </w:tr>
    </w:tbl>
    <w:p>
      <w:pPr>
        <w:spacing w:after="40"/>
      </w:pPr>
    </w:p>
    <w:p>
      <w:r>
        <w:br w:type="page"/>
      </w:r>
    </w:p>
    <w:p>
      <w:pPr>
        <w:spacing w:after="100" w:before="240"/>
      </w:pPr>
      <w:r>
        <w:rPr>
          <w:b/>
          <w:i w:val="0"/>
          <w:color w:val="1C3A36"/>
          <w:sz w:val="28"/>
        </w:rPr>
        <w:t>4  Searches that returned nothing — recorded, not filled in</w:t>
      </w:r>
    </w:p>
    <w:p>
      <w:pPr>
        <w:spacing w:after="100" w:before="0"/>
      </w:pPr>
      <w:r>
        <w:rPr>
          <w:b w:val="0"/>
          <w:i w:val="0"/>
          <w:color w:val="1C3A36"/>
          <w:sz w:val="19"/>
        </w:rPr>
        <w:t>Each of these absences shaped the model. They are recorded with the scope of what was searched, so a reader knows the difference between "not disclosed" and "not found".</w:t>
      </w:r>
    </w:p>
    <w:tbl>
      <w:tblPr>
        <w:tblW w:type="auto" w:w="0"/>
        <w:jc w:val="cente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CellMar>
          <w:top w:w="40" w:type="dxa"/>
          <w:left w:w="80" w:type="dxa"/>
          <w:bottom w:w="40" w:type="dxa"/>
          <w:right w:w="80" w:type="dxa"/>
        </w:tblCellMar>
        <w:tblLook w:firstColumn="1" w:firstRow="1" w:lastColumn="0" w:lastRow="0" w:noHBand="0" w:noVBand="1" w:val="04A0"/>
      </w:tblPr>
      <w:tblGrid>
        <w:gridCol w:w="3528"/>
        <w:gridCol w:w="5400"/>
        <w:gridCol w:w="5184"/>
      </w:tblGrid>
      <w:tr>
        <w:tc>
          <w:tcPr>
            <w:tcW w:type="dxa" w:w="3528"/>
            <w:shd w:val="clear" w:color="auto" w:fill="EAF0EE"/>
          </w:tcPr>
          <w:p>
            <w:pPr>
              <w:spacing w:after="20"/>
            </w:pPr>
            <w:r>
              <w:rPr>
                <w:b/>
                <w:color w:val="1C3A36"/>
                <w:sz w:val="16"/>
              </w:rPr>
              <w:t>What was looked for</w:t>
            </w:r>
          </w:p>
        </w:tc>
        <w:tc>
          <w:tcPr>
            <w:tcW w:type="dxa" w:w="5400"/>
            <w:shd w:val="clear" w:color="auto" w:fill="EAF0EE"/>
          </w:tcPr>
          <w:p>
            <w:pPr>
              <w:spacing w:after="20"/>
            </w:pPr>
            <w:r>
              <w:rPr>
                <w:b/>
                <w:color w:val="1C3A36"/>
                <w:sz w:val="16"/>
              </w:rPr>
              <w:t>Where</w:t>
            </w:r>
          </w:p>
        </w:tc>
        <w:tc>
          <w:tcPr>
            <w:tcW w:type="dxa" w:w="5184"/>
            <w:shd w:val="clear" w:color="auto" w:fill="EAF0EE"/>
          </w:tcPr>
          <w:p>
            <w:pPr>
              <w:spacing w:after="20"/>
            </w:pPr>
            <w:r>
              <w:rPr>
                <w:b/>
                <w:color w:val="1C3A36"/>
                <w:sz w:val="16"/>
              </w:rPr>
              <w:t>Consequence for the model</w:t>
            </w:r>
          </w:p>
        </w:tc>
      </w:tr>
      <w:tr>
        <w:tc>
          <w:tcPr>
            <w:tcW w:type="dxa" w:w="3528"/>
          </w:tcPr>
          <w:p>
            <w:pPr>
              <w:spacing w:after="20"/>
            </w:pPr>
            <w:r>
              <w:rPr>
                <w:color w:val="1C3A36"/>
                <w:sz w:val="16"/>
              </w:rPr>
              <w:t>A per-ton tariff schedule — the AED level of the capacity (demand) charge</w:t>
            </w:r>
          </w:p>
        </w:tc>
        <w:tc>
          <w:tcPr>
            <w:tcW w:type="dxa" w:w="5400"/>
          </w:tcPr>
          <w:p>
            <w:pPr>
              <w:spacing w:after="20"/>
            </w:pPr>
            <w:r>
              <w:rPr>
                <w:color w:val="1C3A36"/>
                <w:sz w:val="16"/>
              </w:rPr>
              <w:t>The revenue notes of all four audited filings; the interim notes; the investor-relations presentations; a site-restricted web search of empower.ae. Only consumption revenue (in the auditor's key-audit-matter sections) and a first-half percentage mix (in the H1-2026 deck) are disclosed</w:t>
            </w:r>
          </w:p>
        </w:tc>
        <w:tc>
          <w:tcPr>
            <w:tcW w:type="dxa" w:w="5184"/>
          </w:tcPr>
          <w:p>
            <w:pPr>
              <w:spacing w:after="20"/>
            </w:pPr>
            <w:r>
              <w:rPr>
                <w:color w:val="1C3A36"/>
                <w:sz w:val="16"/>
              </w:rPr>
              <w:t>The capacity rate per connected ton is IMPLIED — solved from disclosed total revenue less disclosed consumption and pipes revenue — and flagged as implied wherever it appears; its growth is tied to connected tons at a flat regulated tariff</w:t>
            </w:r>
          </w:p>
        </w:tc>
      </w:tr>
      <w:tr>
        <w:tc>
          <w:tcPr>
            <w:tcW w:type="dxa" w:w="3528"/>
          </w:tcPr>
          <w:p>
            <w:pPr>
              <w:spacing w:after="20"/>
            </w:pPr>
            <w:r>
              <w:rPr>
                <w:color w:val="1C3A36"/>
                <w:sz w:val="16"/>
              </w:rPr>
              <w:t>AED capital-expenditure guidance</w:t>
            </w:r>
          </w:p>
        </w:tc>
        <w:tc>
          <w:tcPr>
            <w:tcW w:type="dxa" w:w="5400"/>
          </w:tcPr>
          <w:p>
            <w:pPr>
              <w:spacing w:after="20"/>
            </w:pPr>
            <w:r>
              <w:rPr>
                <w:color w:val="1C3A36"/>
                <w:sz w:val="16"/>
              </w:rPr>
              <w:t>All filings and both 2026 investor presentations: the deck carries refrigeration-ton guidance but no dirham capital budget</w:t>
            </w:r>
          </w:p>
        </w:tc>
        <w:tc>
          <w:tcPr>
            <w:tcW w:type="dxa" w:w="5184"/>
          </w:tcPr>
          <w:p>
            <w:pPr>
              <w:spacing w:after="20"/>
            </w:pPr>
            <w:r>
              <w:rPr>
                <w:color w:val="1C3A36"/>
                <w:sz w:val="16"/>
              </w:rPr>
              <w:t>Capital expenditure is modelled as cost per new ton derived from the audited 2025 cash figures plus a maintenance allowance — a construction, flagged as such in the judgements table above</w:t>
            </w:r>
          </w:p>
        </w:tc>
      </w:tr>
      <w:tr>
        <w:tc>
          <w:tcPr>
            <w:tcW w:type="dxa" w:w="3528"/>
          </w:tcPr>
          <w:p>
            <w:pPr>
              <w:spacing w:after="20"/>
            </w:pPr>
            <w:r>
              <w:rPr>
                <w:color w:val="1C3A36"/>
                <w:sz w:val="16"/>
              </w:rPr>
              <w:t>The contractual margin over EIBOR on the two revolving credit facilities</w:t>
            </w:r>
          </w:p>
        </w:tc>
        <w:tc>
          <w:tcPr>
            <w:tcW w:type="dxa" w:w="5400"/>
          </w:tcPr>
          <w:p>
            <w:pPr>
              <w:spacing w:after="20"/>
            </w:pPr>
            <w:r>
              <w:rPr>
                <w:color w:val="1C3A36"/>
                <w:sz w:val="16"/>
              </w:rPr>
              <w:t>The borrowings notes of the FY2024 and FY2025 filings say only "EIBOR plus a margin", and for 2025 "a reduction in interest margin"; the basis-point margin is nowhere disclosed</w:t>
            </w:r>
          </w:p>
        </w:tc>
        <w:tc>
          <w:tcPr>
            <w:tcW w:type="dxa" w:w="5184"/>
          </w:tcPr>
          <w:p>
            <w:pPr>
              <w:spacing w:after="20"/>
            </w:pPr>
            <w:r>
              <w:rPr>
                <w:color w:val="1C3A36"/>
                <w:sz w:val="16"/>
              </w:rPr>
              <w:t>The marginal cost of debt is anchored instead on the closest disclosed all-in figure — the company's own borrowing-cost capitalisation rate (4.92% in 2025, 5.993% in 2024) — checked above the dirham sovereign yield</w:t>
            </w:r>
          </w:p>
        </w:tc>
      </w:tr>
    </w:tbl>
    <w:p>
      <w:pPr>
        <w:spacing w:after="40"/>
      </w:pPr>
    </w:p>
    <w:p>
      <w:pPr>
        <w:spacing w:after="100" w:before="240"/>
      </w:pPr>
      <w:r>
        <w:rPr>
          <w:b/>
          <w:i w:val="0"/>
          <w:color w:val="1C3A36"/>
          <w:sz w:val="28"/>
        </w:rPr>
        <w:t>5  Aggregator and press data — discrepancies found and how they were handled</w:t>
      </w:r>
    </w:p>
    <w:tbl>
      <w:tblPr>
        <w:tblW w:type="auto" w:w="0"/>
        <w:jc w:val="cente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CellMar>
          <w:top w:w="40" w:type="dxa"/>
          <w:left w:w="80" w:type="dxa"/>
          <w:bottom w:w="40" w:type="dxa"/>
          <w:right w:w="80" w:type="dxa"/>
        </w:tblCellMar>
        <w:tblLook w:firstColumn="1" w:firstRow="1" w:lastColumn="0" w:lastRow="0" w:noHBand="0" w:noVBand="1" w:val="04A0"/>
      </w:tblPr>
      <w:tblGrid>
        <w:gridCol w:w="2736"/>
        <w:gridCol w:w="6048"/>
        <w:gridCol w:w="5328"/>
      </w:tblGrid>
      <w:tr>
        <w:tc>
          <w:tcPr>
            <w:tcW w:type="dxa" w:w="2736"/>
            <w:shd w:val="clear" w:color="auto" w:fill="EAF0EE"/>
          </w:tcPr>
          <w:p>
            <w:pPr>
              <w:spacing w:after="20"/>
            </w:pPr>
            <w:r>
              <w:rPr>
                <w:b/>
                <w:color w:val="1C3A36"/>
                <w:sz w:val="16"/>
              </w:rPr>
              <w:t>Item</w:t>
            </w:r>
          </w:p>
        </w:tc>
        <w:tc>
          <w:tcPr>
            <w:tcW w:type="dxa" w:w="6048"/>
            <w:shd w:val="clear" w:color="auto" w:fill="EAF0EE"/>
          </w:tcPr>
          <w:p>
            <w:pPr>
              <w:spacing w:after="20"/>
            </w:pPr>
            <w:r>
              <w:rPr>
                <w:b/>
                <w:color w:val="1C3A36"/>
                <w:sz w:val="16"/>
              </w:rPr>
              <w:t>What was found</w:t>
            </w:r>
          </w:p>
        </w:tc>
        <w:tc>
          <w:tcPr>
            <w:tcW w:type="dxa" w:w="5328"/>
            <w:shd w:val="clear" w:color="auto" w:fill="EAF0EE"/>
          </w:tcPr>
          <w:p>
            <w:pPr>
              <w:spacing w:after="20"/>
            </w:pPr>
            <w:r>
              <w:rPr>
                <w:b/>
                <w:color w:val="1C3A36"/>
                <w:sz w:val="16"/>
              </w:rPr>
              <w:t>Handling</w:t>
            </w:r>
          </w:p>
        </w:tc>
      </w:tr>
      <w:tr>
        <w:tc>
          <w:tcPr>
            <w:tcW w:type="dxa" w:w="2736"/>
          </w:tcPr>
          <w:p>
            <w:pPr>
              <w:spacing w:after="20"/>
            </w:pPr>
            <w:r>
              <w:rPr>
                <w:color w:val="1C3A36"/>
                <w:sz w:val="16"/>
              </w:rPr>
              <w:t>DFM General Index daily series (Yahoo Finance chart API)</w:t>
            </w:r>
          </w:p>
        </w:tc>
        <w:tc>
          <w:tcPr>
            <w:tcW w:type="dxa" w:w="6048"/>
          </w:tcPr>
          <w:p>
            <w:pPr>
              <w:spacing w:after="20"/>
            </w:pPr>
            <w:r>
              <w:rPr>
                <w:color w:val="1C3A36"/>
                <w:sz w:val="16"/>
              </w:rPr>
              <w:t>The retrieved index series is sparse — roughly a fifth of trading sessions are missing — and it ends at 16-Jul-2026, three weeks before the anchor date. A separately quoted "live" index level on an aggregator page matched the stale 16-Jul close exactly</w:t>
            </w:r>
          </w:p>
        </w:tc>
        <w:tc>
          <w:tcPr>
            <w:tcW w:type="dxa" w:w="5328"/>
          </w:tcPr>
          <w:p>
            <w:pPr>
              <w:spacing w:after="20"/>
            </w:pPr>
            <w:r>
              <w:rPr>
                <w:color w:val="1C3A36"/>
                <w:sz w:val="16"/>
              </w:rPr>
              <w:t>Used for ONE purpose only: the market side of the beta regression, where the weekly sampling (last observation of each week) absorbs the missing sessions; the sparsity and the stale endpoint are flagged in the study. Never used for Empower's own prices, which come from the supplied exchange history through 07-Aug-2026</w:t>
            </w:r>
          </w:p>
        </w:tc>
      </w:tr>
      <w:tr>
        <w:tc>
          <w:tcPr>
            <w:tcW w:type="dxa" w:w="2736"/>
          </w:tcPr>
          <w:p>
            <w:pPr>
              <w:spacing w:after="20"/>
            </w:pPr>
            <w:r>
              <w:rPr>
                <w:color w:val="1C3A36"/>
                <w:sz w:val="16"/>
              </w:rPr>
              <w:t>Conflict and ceasefire status, August 2026</w:t>
            </w:r>
          </w:p>
        </w:tc>
        <w:tc>
          <w:tcPr>
            <w:tcW w:type="dxa" w:w="6048"/>
          </w:tcPr>
          <w:p>
            <w:pPr>
              <w:spacing w:after="20"/>
            </w:pPr>
            <w:r>
              <w:rPr>
                <w:color w:val="1C3A36"/>
                <w:sz w:val="16"/>
              </w:rPr>
              <w:t>Reference and wire sources genuinely disagree: one widely used reference page records the ceasefire as holding since 8 April; another records it declared over on 8 July with low-intensity fighting after, following the June framework agreements</w:t>
            </w:r>
          </w:p>
        </w:tc>
        <w:tc>
          <w:tcPr>
            <w:tcW w:type="dxa" w:w="5328"/>
          </w:tcPr>
          <w:p>
            <w:pPr>
              <w:spacing w:after="20"/>
            </w:pPr>
            <w:r>
              <w:rPr>
                <w:color w:val="1C3A36"/>
                <w:sz w:val="16"/>
              </w:rPr>
              <w:t>BOTH readings are recorded and the status is treated as an unresolved, fragile truce; the bear scenario prices the re-escalation reading rather than averaging the two</w:t>
            </w:r>
          </w:p>
        </w:tc>
      </w:tr>
      <w:tr>
        <w:tc>
          <w:tcPr>
            <w:tcW w:type="dxa" w:w="2736"/>
          </w:tcPr>
          <w:p>
            <w:pPr>
              <w:spacing w:after="20"/>
            </w:pPr>
            <w:r>
              <w:rPr>
                <w:color w:val="1C3A36"/>
                <w:sz w:val="16"/>
              </w:rPr>
              <w:t>A peer's quarterly earnings figure</w:t>
            </w:r>
          </w:p>
        </w:tc>
        <w:tc>
          <w:tcPr>
            <w:tcW w:type="dxa" w:w="6048"/>
          </w:tcPr>
          <w:p>
            <w:pPr>
              <w:spacing w:after="20"/>
            </w:pPr>
            <w:r>
              <w:rPr>
                <w:color w:val="1C3A36"/>
                <w:sz w:val="16"/>
              </w:rPr>
              <w:t>One aggregator rendered Tabreed's quarterly EBITDA in dollars where the company release states dirhams — a transcription error in the aggregator</w:t>
            </w:r>
          </w:p>
        </w:tc>
        <w:tc>
          <w:tcPr>
            <w:tcW w:type="dxa" w:w="5328"/>
          </w:tcPr>
          <w:p>
            <w:pPr>
              <w:spacing w:after="20"/>
            </w:pPr>
            <w:r>
              <w:rPr>
                <w:color w:val="1C3A36"/>
                <w:sz w:val="16"/>
              </w:rPr>
              <w:t>The company release figure was kept; the incident is recorded here as a reminder of why peer figures are cross-checks only, never build sources</w:t>
            </w:r>
          </w:p>
        </w:tc>
      </w:tr>
      <w:tr>
        <w:tc>
          <w:tcPr>
            <w:tcW w:type="dxa" w:w="2736"/>
          </w:tcPr>
          <w:p>
            <w:pPr>
              <w:spacing w:after="20"/>
            </w:pPr>
            <w:r>
              <w:rPr>
                <w:color w:val="1C3A36"/>
                <w:sz w:val="16"/>
              </w:rPr>
              <w:t>Empower "next earnings date"</w:t>
            </w:r>
          </w:p>
        </w:tc>
        <w:tc>
          <w:tcPr>
            <w:tcW w:type="dxa" w:w="6048"/>
          </w:tcPr>
          <w:p>
            <w:pPr>
              <w:spacing w:after="20"/>
            </w:pPr>
            <w:r>
              <w:rPr>
                <w:color w:val="1C3A36"/>
                <w:sz w:val="16"/>
              </w:rPr>
              <w:t>An aggregator listed a mid-August earnings date after the half-year results had already been released on 5 August</w:t>
            </w:r>
          </w:p>
        </w:tc>
        <w:tc>
          <w:tcPr>
            <w:tcW w:type="dxa" w:w="5328"/>
          </w:tcPr>
          <w:p>
            <w:pPr>
              <w:spacing w:after="20"/>
            </w:pPr>
            <w:r>
              <w:rPr>
                <w:color w:val="1C3A36"/>
                <w:sz w:val="16"/>
              </w:rPr>
              <w:t>Ignored in favour of the company's own filing dates</w:t>
            </w:r>
          </w:p>
        </w:tc>
      </w:tr>
      <w:tr>
        <w:tc>
          <w:tcPr>
            <w:tcW w:type="dxa" w:w="2736"/>
          </w:tcPr>
          <w:p>
            <w:pPr>
              <w:spacing w:after="20"/>
            </w:pPr>
            <w:r>
              <w:rPr>
                <w:color w:val="1C3A36"/>
                <w:sz w:val="16"/>
              </w:rPr>
              <w:t>Consensus price targets</w:t>
            </w:r>
          </w:p>
        </w:tc>
        <w:tc>
          <w:tcPr>
            <w:tcW w:type="dxa" w:w="6048"/>
          </w:tcPr>
          <w:p>
            <w:pPr>
              <w:spacing w:after="20"/>
            </w:pPr>
            <w:r>
              <w:rPr>
                <w:color w:val="1C3A36"/>
                <w:sz w:val="16"/>
              </w:rPr>
              <w:t>Aggregator pages carry sell-side consensus figures for the shares</w:t>
            </w:r>
          </w:p>
        </w:tc>
        <w:tc>
          <w:tcPr>
            <w:tcW w:type="dxa" w:w="5328"/>
          </w:tcPr>
          <w:p>
            <w:pPr>
              <w:spacing w:after="20"/>
            </w:pPr>
            <w:r>
              <w:rPr>
                <w:color w:val="1C3A36"/>
                <w:sz w:val="16"/>
              </w:rPr>
              <w:t>Not used anywhere in the study: this research publishes fair-value ranges and distributions, never price targets, and imports nobody else's</w:t>
            </w:r>
          </w:p>
        </w:tc>
      </w:tr>
    </w:tbl>
    <w:p>
      <w:pPr>
        <w:spacing w:after="40"/>
      </w:pPr>
    </w:p>
    <w:p>
      <w:pPr>
        <w:spacing w:after="100" w:before="0"/>
      </w:pPr>
      <w:r>
        <w:rPr>
          <w:b w:val="0"/>
          <w:i w:val="0"/>
          <w:color w:val="1C3A36"/>
          <w:sz w:val="19"/>
        </w:rPr>
      </w:r>
    </w:p>
    <w:p>
      <w:pPr>
        <w:spacing w:after="100" w:before="240"/>
      </w:pPr>
      <w:r>
        <w:rPr>
          <w:b/>
          <w:i w:val="0"/>
          <w:color w:val="1C3A36"/>
          <w:sz w:val="28"/>
        </w:rPr>
        <w:t>Disclosure</w:t>
      </w:r>
    </w:p>
    <w:p>
      <w:pPr>
        <w:spacing w:after="100" w:before="0"/>
      </w:pPr>
      <w:r>
        <w:rPr>
          <w:b w:val="0"/>
          <w:i w:val="0"/>
          <w:color w:val="6E7B77"/>
          <w:sz w:val="18"/>
        </w:rPr>
        <w:t>This document accompanies an educational valuation study. For information only — not investment advice. It contains no recommendation, rating or price target. Sources are listed so that readers can verify the analysis independently; where a figure is derived, implied or estimated rather than disclosed, that is stated in the register itself.</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