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40" w:before="80"/>
      </w:pPr>
      <w:r>
        <w:rPr>
          <w:b/>
          <w:i w:val="0"/>
          <w:color w:val="1C3A36"/>
          <w:sz w:val="24"/>
        </w:rPr>
        <w:t>Independent Valuation Study — Educational Analysis</w:t>
      </w:r>
    </w:p>
    <w:p>
      <w:pPr>
        <w:spacing w:after="40" w:before="0"/>
      </w:pPr>
      <w:r>
        <w:rPr>
          <w:b/>
          <w:i w:val="0"/>
          <w:color w:val="1C3A36"/>
          <w:sz w:val="34"/>
        </w:rPr>
        <w:t>GB Corp S.A.E. (EGX: GBCO)</w:t>
      </w:r>
    </w:p>
    <w:p>
      <w:pPr>
        <w:spacing w:after="160" w:before="0"/>
      </w:pPr>
      <w:r>
        <w:rPr>
          <w:b w:val="0"/>
          <w:i/>
          <w:color w:val="6E7B77"/>
          <w:sz w:val="21"/>
        </w:rPr>
        <w:t>Fundamental analysis · Technical analysis · Monte Carlo simulation — one integrated read</w:t>
      </w:r>
    </w:p>
    <w:p>
      <w:pPr>
        <w:spacing w:after="200" w:before="0"/>
      </w:pPr>
      <w:r>
        <w:rPr>
          <w:b/>
          <w:i w:val="0"/>
          <w:color w:val="1C3A36"/>
          <w:sz w:val="19"/>
        </w:rPr>
        <w:t xml:space="preserve">Anchor: </w:t>
      </w:r>
      <w:r>
        <w:rPr>
          <w:b w:val="0"/>
          <w:i w:val="0"/>
          <w:color w:val="1C3A36"/>
          <w:sz w:val="19"/>
        </w:rPr>
        <w:t xml:space="preserve">EGP 31.25 (7 Jul 2026 close) · 1,085.5 mn shares · mkt cap ~EGP 33.9 bn · the continuing listed entity of the former GB Auto (Ghabbour), renamed GB Corp in 2023, housing </w:t>
      </w:r>
      <w:r>
        <w:rPr>
          <w:b/>
          <w:i w:val="0"/>
          <w:color w:val="1C3A36"/>
          <w:sz w:val="19"/>
        </w:rPr>
        <w:t>GB Auto</w:t>
      </w:r>
      <w:r>
        <w:rPr>
          <w:b w:val="0"/>
          <w:i w:val="0"/>
          <w:color w:val="1C3A36"/>
          <w:sz w:val="19"/>
        </w:rPr>
        <w:t xml:space="preserve"> (passenger cars, commercial vehicles &amp; construction equipment, tires &amp; trading, light mobility; Egypt · Iraq · Jordan), </w:t>
      </w:r>
      <w:r>
        <w:rPr>
          <w:b/>
          <w:i w:val="0"/>
          <w:color w:val="1C3A36"/>
          <w:sz w:val="19"/>
        </w:rPr>
        <w:t>GB Capital</w:t>
      </w:r>
      <w:r>
        <w:rPr>
          <w:b w:val="0"/>
          <w:i w:val="0"/>
          <w:color w:val="1C3A36"/>
          <w:sz w:val="19"/>
        </w:rPr>
        <w:t xml:space="preserve"> (leasing, factoring, consumer finance, SME lending) and associate stakes led by </w:t>
      </w:r>
      <w:r>
        <w:rPr>
          <w:b/>
          <w:i w:val="0"/>
          <w:color w:val="1C3A36"/>
          <w:sz w:val="19"/>
        </w:rPr>
        <w:t>MNT-Halan</w:t>
      </w:r>
      <w:r>
        <w:rPr>
          <w:b w:val="0"/>
          <w:i w:val="0"/>
          <w:color w:val="1C3A36"/>
          <w:sz w:val="19"/>
        </w:rPr>
        <w:t xml:space="preserve"> · prices and probabilities computed 7 Jul 2026 from the attached daily history · primary lens: split-the-legs sum-of-the-parts (operating company + captive lender, §3.5-F5) · Auto cash conversion and the Egyptian nominal-rate path are the swing factors.</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READ FIRST — what this document is, and is not.</w:t>
            </w:r>
            <w:r>
              <w:rPr>
                <w:color w:val="1C3A36"/>
                <w:sz w:val="19"/>
              </w:rPr>
            </w:r>
          </w:p>
          <w:p>
            <w:pPr>
              <w:spacing w:after="100"/>
            </w:pPr>
            <w:r>
              <w:rPr>
                <w:color w:val="1C3A36"/>
                <w:sz w:val="19"/>
              </w:rPr>
              <w:t>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holds no Egyptian (FRA) or other brokerage or advisory authorisation, provides no financial consultancy, manages no money, and accepts no fees, funds or clients. See the Disclosure &amp; Disclaimer at the end.</w:t>
            </w:r>
          </w:p>
          <w:p>
            <w:pPr>
              <w:spacing w:after="100"/>
            </w:pPr>
            <w:r>
              <w:rPr>
                <w:color w:val="1C3A36"/>
                <w:sz w:val="19"/>
              </w:rPr>
              <w:t>All values are model outputs presented as ranges and distributions because no single number should be relied on. Reported financials are the company’s own disclosure (FY23–FY25 earnings releases; 1Q26 release, 14 May 2026); forward-looking inputs — the marks on GB Capital and the MNT-Halan stake, the complexity discount, the multiples, the DCF and the Monte-Carlo factor probabilities — are the preparer’s judgments and are flagged throughout. A note on identity: GB Corp S.A.E. is the renamed GB Auto S.A.E. (Ghabbour Auto); the EGX ticker is GBCO (price history continues the former AUTO listing). Consult a licensed financial advisor before any investment decision.</w:t>
            </w:r>
          </w:p>
        </w:tc>
      </w:tr>
    </w:tbl>
    <w:p>
      <w:pPr>
        <w:spacing w:after="40"/>
      </w:pPr>
    </w:p>
    <w:p>
      <w:pPr>
        <w:spacing w:after="80" w:before="200"/>
      </w:pPr>
      <w:r>
        <w:rPr>
          <w:b/>
          <w:i w:val="0"/>
          <w:color w:val="1C3A36"/>
          <w:sz w:val="24"/>
        </w:rPr>
        <w:t>Headline</w:t>
      </w:r>
    </w:p>
    <w:p>
      <w:pPr>
        <w:spacing w:after="160" w:before="0"/>
      </w:pPr>
      <w:r>
        <w:rPr>
          <w:b/>
          <w:i w:val="0"/>
          <w:color w:val="1C3A36"/>
          <w:sz w:val="21"/>
        </w:rPr>
        <w:t xml:space="preserve">The model's read: roughly fairly valued — the price already pays for the recovery; what it does not yet pay for is the cash. </w:t>
      </w:r>
      <w:r>
        <w:rPr>
          <w:b w:val="0"/>
          <w:i w:val="0"/>
          <w:color w:val="1C3A36"/>
          <w:sz w:val="21"/>
        </w:rPr>
        <w:t>At EGP 31.25 the shares sit about 3% above our weighted central estimate of EGP 30.2. The four lenses cluster tightly: the split-the-legs sum-of-the-parts lands at 28.7 after a 10% complexity discount (pre-discount 31.9), a conservative relative read at 28.9, and a normalized mid-cycle read at 32.9 marks the ceiling. One structural fact belongs up front: the ~20% MNT-Halan stake alone is ≈EGP 11/share of that SOTP — about a third of the market price — marked to June’s USD 1.4 bn first close. The whole answer turns on the Auto leg's cash conversion: FY25 revenue grew 49% but working capital swallowed EGP 8.1 bn and Auto net debt rose to EGP 15.2 bn, so the DCF value of a business earning a 21% ROCE depends almost entirely on working-capital intensity gliding from 28.5% of revenue back toward its FY23–24 range — and on how fast Egyptian nominal rates (the 22% WACC against 11.5% terminal growth) come down. Technically the stock is the mirror image of a cheap chart: above all four moving averages, RSI in the low-60s, five months into a new all-time-high zone. Over three months the Monte Carlo — whose secular drift is the configuration that passed the Step 0 calibration gate — places the 5th–95th percentile band at roughly EGP 24–51 with a median near 35.</w:t>
      </w:r>
    </w:p>
    <w:p>
      <w:pPr>
        <w:spacing w:after="80" w:before="200"/>
      </w:pPr>
      <w:r>
        <w:rPr>
          <w:b/>
          <w:i w:val="0"/>
          <w:color w:val="1C3A36"/>
          <w:sz w:val="24"/>
        </w:rPr>
        <w:t>Valuation summary — every read at a glance</w:t>
      </w:r>
    </w:p>
    <w:p>
      <w:pPr>
        <w:spacing w:after="120" w:before="0"/>
      </w:pPr>
      <w:r>
        <w:rPr>
          <w:b w:val="0"/>
          <w:i w:val="0"/>
          <w:color w:val="1C3A36"/>
          <w:sz w:val="19"/>
        </w:rPr>
        <w:t>One table for the four reads that follow — what the business is worth (fundamental), what the tape is doing (technical), where price could travel over three months (Monte Carlo), and how three independent expert methods land. Every row is developed in the sections and appendices below.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096"/>
            <w:shd w:val="clear" w:color="auto" w:fill="EAF0EE"/>
          </w:tcPr>
          <w:p>
            <w:pPr>
              <w:spacing w:after="20"/>
            </w:pPr>
            <w:r>
              <w:rPr>
                <w:b/>
                <w:color w:val="1C3A36"/>
                <w:sz w:val="17"/>
              </w:rPr>
              <w:t>Lens / read</w:t>
            </w:r>
          </w:p>
        </w:tc>
        <w:tc>
          <w:tcPr>
            <w:tcW w:type="dxa" w:w="3384"/>
            <w:shd w:val="clear" w:color="auto" w:fill="EAF0EE"/>
          </w:tcPr>
          <w:p>
            <w:pPr>
              <w:spacing w:after="20"/>
            </w:pPr>
            <w:r>
              <w:rPr>
                <w:b/>
                <w:color w:val="1C3A36"/>
                <w:sz w:val="17"/>
              </w:rPr>
              <w:t>What it measures</w:t>
            </w:r>
          </w:p>
        </w:tc>
        <w:tc>
          <w:tcPr>
            <w:tcW w:type="dxa" w:w="2088"/>
            <w:shd w:val="clear" w:color="auto" w:fill="EAF0EE"/>
          </w:tcPr>
          <w:p>
            <w:pPr>
              <w:spacing w:after="20"/>
            </w:pPr>
            <w:r>
              <w:rPr>
                <w:b/>
                <w:color w:val="1C3A36"/>
                <w:sz w:val="17"/>
              </w:rPr>
              <w:t>Output</w:t>
            </w:r>
          </w:p>
        </w:tc>
        <w:tc>
          <w:tcPr>
            <w:tcW w:type="dxa" w:w="1656"/>
            <w:shd w:val="clear" w:color="auto" w:fill="EAF0EE"/>
          </w:tcPr>
          <w:p>
            <w:pPr>
              <w:spacing w:after="20"/>
            </w:pPr>
            <w:r>
              <w:rPr>
                <w:b/>
                <w:color w:val="1C3A36"/>
                <w:sz w:val="17"/>
              </w:rPr>
              <w:t>Takeaway</w:t>
            </w:r>
          </w:p>
        </w:tc>
      </w:tr>
      <w:tr>
        <w:tc>
          <w:tcPr>
            <w:tcW w:type="dxa" w:w="3096"/>
            <w:shd w:val="clear" w:color="auto" w:fill="F6F1E6"/>
          </w:tcPr>
          <w:p>
            <w:pPr>
              <w:spacing w:after="20"/>
            </w:pPr>
            <w:r>
              <w:rPr>
                <w:b/>
                <w:color w:val="1C3A36"/>
                <w:sz w:val="17"/>
              </w:rPr>
              <w:t>FUNDAMENTAL — what the business is worth (the anchor)</w:t>
            </w:r>
          </w:p>
        </w:tc>
        <w:tc>
          <w:tcPr>
            <w:tcW w:type="dxa" w:w="3384"/>
            <w:shd w:val="clear" w:color="auto" w:fill="F6F1E6"/>
          </w:tcPr>
          <w:p>
            <w:pPr>
              <w:spacing w:after="20"/>
              <w:jc w:val="right"/>
            </w:pPr>
            <w:r>
              <w:rPr>
                <w:b/>
                <w:color w:val="1C3A36"/>
                <w:sz w:val="17"/>
              </w:rPr>
            </w:r>
          </w:p>
        </w:tc>
        <w:tc>
          <w:tcPr>
            <w:tcW w:type="dxa" w:w="2088"/>
            <w:shd w:val="clear" w:color="auto" w:fill="F6F1E6"/>
          </w:tcPr>
          <w:p>
            <w:pPr>
              <w:spacing w:after="20"/>
              <w:jc w:val="right"/>
            </w:pPr>
            <w:r>
              <w:rPr>
                <w:b/>
                <w:color w:val="1C3A36"/>
                <w:sz w:val="17"/>
              </w:rPr>
            </w:r>
          </w:p>
        </w:tc>
        <w:tc>
          <w:tcPr>
            <w:tcW w:type="dxa" w:w="1656"/>
            <w:shd w:val="clear" w:color="auto" w:fill="F6F1E6"/>
          </w:tcPr>
          <w:p>
            <w:pPr>
              <w:spacing w:after="20"/>
              <w:jc w:val="right"/>
            </w:pPr>
            <w:r>
              <w:rPr>
                <w:b/>
                <w:color w:val="1C3A36"/>
                <w:sz w:val="17"/>
              </w:rPr>
            </w:r>
          </w:p>
        </w:tc>
      </w:tr>
      <w:tr>
        <w:tc>
          <w:tcPr>
            <w:tcW w:type="dxa" w:w="3096"/>
          </w:tcPr>
          <w:p>
            <w:pPr>
              <w:spacing w:after="20"/>
            </w:pPr>
            <w:r>
              <w:rPr>
                <w:color w:val="1C3A36"/>
                <w:sz w:val="17"/>
              </w:rPr>
              <w:t>Split-legs SOTP (primary)</w:t>
            </w:r>
          </w:p>
        </w:tc>
        <w:tc>
          <w:tcPr>
            <w:tcW w:type="dxa" w:w="3384"/>
          </w:tcPr>
          <w:p>
            <w:pPr>
              <w:spacing w:after="20"/>
              <w:jc w:val="right"/>
            </w:pPr>
            <w:r>
              <w:rPr>
                <w:color w:val="1C3A36"/>
                <w:sz w:val="17"/>
              </w:rPr>
              <w:t>Auto DCF + lender book + associate marks, less discount</w:t>
            </w:r>
          </w:p>
        </w:tc>
        <w:tc>
          <w:tcPr>
            <w:tcW w:type="dxa" w:w="2088"/>
          </w:tcPr>
          <w:p>
            <w:pPr>
              <w:spacing w:after="20"/>
              <w:jc w:val="right"/>
            </w:pPr>
            <w:r>
              <w:rPr>
                <w:color w:val="1C3A36"/>
                <w:sz w:val="17"/>
              </w:rPr>
              <w:t>EGP 28.7</w:t>
            </w:r>
          </w:p>
        </w:tc>
        <w:tc>
          <w:tcPr>
            <w:tcW w:type="dxa" w:w="1656"/>
          </w:tcPr>
          <w:p>
            <w:pPr>
              <w:spacing w:after="20"/>
              <w:jc w:val="right"/>
            </w:pPr>
            <w:r>
              <w:rPr>
                <w:color w:val="1C3A36"/>
                <w:sz w:val="17"/>
              </w:rPr>
              <w:t>−8% vs spot</w:t>
            </w:r>
          </w:p>
        </w:tc>
      </w:tr>
      <w:tr>
        <w:tc>
          <w:tcPr>
            <w:tcW w:type="dxa" w:w="3096"/>
          </w:tcPr>
          <w:p>
            <w:pPr>
              <w:spacing w:after="20"/>
            </w:pPr>
            <w:r>
              <w:rPr>
                <w:color w:val="1C3A36"/>
                <w:sz w:val="17"/>
              </w:rPr>
              <w:t>Pre-discount NAV</w:t>
            </w:r>
          </w:p>
        </w:tc>
        <w:tc>
          <w:tcPr>
            <w:tcW w:type="dxa" w:w="3384"/>
          </w:tcPr>
          <w:p>
            <w:pPr>
              <w:spacing w:after="20"/>
              <w:jc w:val="right"/>
            </w:pPr>
            <w:r>
              <w:rPr>
                <w:color w:val="1C3A36"/>
                <w:sz w:val="17"/>
              </w:rPr>
              <w:t>The same legs, no complexity discount</w:t>
            </w:r>
          </w:p>
        </w:tc>
        <w:tc>
          <w:tcPr>
            <w:tcW w:type="dxa" w:w="2088"/>
          </w:tcPr>
          <w:p>
            <w:pPr>
              <w:spacing w:after="20"/>
              <w:jc w:val="right"/>
            </w:pPr>
            <w:r>
              <w:rPr>
                <w:color w:val="1C3A36"/>
                <w:sz w:val="17"/>
              </w:rPr>
              <w:t>EGP 31.9</w:t>
            </w:r>
          </w:p>
        </w:tc>
        <w:tc>
          <w:tcPr>
            <w:tcW w:type="dxa" w:w="1656"/>
          </w:tcPr>
          <w:p>
            <w:pPr>
              <w:spacing w:after="20"/>
              <w:jc w:val="right"/>
            </w:pPr>
            <w:r>
              <w:rPr>
                <w:color w:val="1C3A36"/>
                <w:sz w:val="17"/>
              </w:rPr>
              <w:t>+2%</w:t>
            </w:r>
          </w:p>
        </w:tc>
      </w:tr>
      <w:tr>
        <w:tc>
          <w:tcPr>
            <w:tcW w:type="dxa" w:w="3096"/>
          </w:tcPr>
          <w:p>
            <w:pPr>
              <w:spacing w:after="20"/>
            </w:pPr>
            <w:r>
              <w:rPr>
                <w:color w:val="1C3A36"/>
                <w:sz w:val="17"/>
              </w:rPr>
              <w:t>Relative multiples</w:t>
            </w:r>
          </w:p>
        </w:tc>
        <w:tc>
          <w:tcPr>
            <w:tcW w:type="dxa" w:w="3384"/>
          </w:tcPr>
          <w:p>
            <w:pPr>
              <w:spacing w:after="20"/>
              <w:jc w:val="right"/>
            </w:pPr>
            <w:r>
              <w:rPr>
                <w:color w:val="1C3A36"/>
                <w:sz w:val="17"/>
              </w:rPr>
              <w:t>FY26E EPS × justified P/E</w:t>
            </w:r>
          </w:p>
        </w:tc>
        <w:tc>
          <w:tcPr>
            <w:tcW w:type="dxa" w:w="2088"/>
          </w:tcPr>
          <w:p>
            <w:pPr>
              <w:spacing w:after="20"/>
              <w:jc w:val="right"/>
            </w:pPr>
            <w:r>
              <w:rPr>
                <w:color w:val="1C3A36"/>
                <w:sz w:val="17"/>
              </w:rPr>
              <w:t>EGP 28.9</w:t>
            </w:r>
          </w:p>
        </w:tc>
        <w:tc>
          <w:tcPr>
            <w:tcW w:type="dxa" w:w="1656"/>
          </w:tcPr>
          <w:p>
            <w:pPr>
              <w:spacing w:after="20"/>
              <w:jc w:val="right"/>
            </w:pPr>
            <w:r>
              <w:rPr>
                <w:color w:val="1C3A36"/>
                <w:sz w:val="17"/>
              </w:rPr>
              <w:t>−8% · the floor</w:t>
            </w:r>
          </w:p>
        </w:tc>
      </w:tr>
      <w:tr>
        <w:tc>
          <w:tcPr>
            <w:tcW w:type="dxa" w:w="3096"/>
          </w:tcPr>
          <w:p>
            <w:pPr>
              <w:spacing w:after="20"/>
            </w:pPr>
            <w:r>
              <w:rPr>
                <w:color w:val="1C3A36"/>
                <w:sz w:val="17"/>
              </w:rPr>
              <w:t>Normalized earnings</w:t>
            </w:r>
          </w:p>
        </w:tc>
        <w:tc>
          <w:tcPr>
            <w:tcW w:type="dxa" w:w="3384"/>
          </w:tcPr>
          <w:p>
            <w:pPr>
              <w:spacing w:after="20"/>
              <w:jc w:val="right"/>
            </w:pPr>
            <w:r>
              <w:rPr>
                <w:color w:val="1C3A36"/>
                <w:sz w:val="17"/>
              </w:rPr>
              <w:t>Mid-cycle PAT × through-cycle P/E</w:t>
            </w:r>
          </w:p>
        </w:tc>
        <w:tc>
          <w:tcPr>
            <w:tcW w:type="dxa" w:w="2088"/>
          </w:tcPr>
          <w:p>
            <w:pPr>
              <w:spacing w:after="20"/>
              <w:jc w:val="right"/>
            </w:pPr>
            <w:r>
              <w:rPr>
                <w:color w:val="1C3A36"/>
                <w:sz w:val="17"/>
              </w:rPr>
              <w:t>EGP 32.9</w:t>
            </w:r>
          </w:p>
        </w:tc>
        <w:tc>
          <w:tcPr>
            <w:tcW w:type="dxa" w:w="1656"/>
          </w:tcPr>
          <w:p>
            <w:pPr>
              <w:spacing w:after="20"/>
              <w:jc w:val="right"/>
            </w:pPr>
            <w:r>
              <w:rPr>
                <w:color w:val="1C3A36"/>
                <w:sz w:val="17"/>
              </w:rPr>
              <w:t>+5% · the ceiling</w:t>
            </w:r>
          </w:p>
        </w:tc>
      </w:tr>
      <w:tr>
        <w:tc>
          <w:tcPr>
            <w:tcW w:type="dxa" w:w="3096"/>
          </w:tcPr>
          <w:p>
            <w:pPr>
              <w:spacing w:after="20"/>
            </w:pPr>
            <w:r>
              <w:rPr>
                <w:color w:val="1C3A36"/>
                <w:sz w:val="17"/>
              </w:rPr>
              <w:t>Weighted central</w:t>
            </w:r>
          </w:p>
        </w:tc>
        <w:tc>
          <w:tcPr>
            <w:tcW w:type="dxa" w:w="3384"/>
          </w:tcPr>
          <w:p>
            <w:pPr>
              <w:spacing w:after="20"/>
              <w:jc w:val="right"/>
            </w:pPr>
            <w:r>
              <w:rPr>
                <w:color w:val="1C3A36"/>
                <w:sz w:val="17"/>
              </w:rPr>
              <w:t>Blend 40 / 15 / 20 / 25</w:t>
            </w:r>
          </w:p>
        </w:tc>
        <w:tc>
          <w:tcPr>
            <w:tcW w:type="dxa" w:w="2088"/>
          </w:tcPr>
          <w:p>
            <w:pPr>
              <w:spacing w:after="20"/>
              <w:jc w:val="right"/>
            </w:pPr>
            <w:r>
              <w:rPr>
                <w:color w:val="1C3A36"/>
                <w:sz w:val="17"/>
              </w:rPr>
              <w:t>EGP 30.2</w:t>
            </w:r>
          </w:p>
        </w:tc>
        <w:tc>
          <w:tcPr>
            <w:tcW w:type="dxa" w:w="1656"/>
          </w:tcPr>
          <w:p>
            <w:pPr>
              <w:spacing w:after="20"/>
              <w:jc w:val="right"/>
            </w:pPr>
            <w:r>
              <w:rPr>
                <w:color w:val="1C3A36"/>
                <w:sz w:val="17"/>
              </w:rPr>
              <w:t>−3% vs EGP 31.25</w:t>
            </w:r>
          </w:p>
        </w:tc>
      </w:tr>
      <w:tr>
        <w:tc>
          <w:tcPr>
            <w:tcW w:type="dxa" w:w="3096"/>
            <w:shd w:val="clear" w:color="auto" w:fill="F6F1E6"/>
          </w:tcPr>
          <w:p>
            <w:pPr>
              <w:spacing w:after="20"/>
            </w:pPr>
            <w:r>
              <w:rPr>
                <w:b/>
                <w:color w:val="1C3A36"/>
                <w:sz w:val="17"/>
              </w:rPr>
              <w:t>TECHNICAL — what the tape is doing (timing, not value)</w:t>
            </w:r>
          </w:p>
        </w:tc>
        <w:tc>
          <w:tcPr>
            <w:tcW w:type="dxa" w:w="3384"/>
            <w:shd w:val="clear" w:color="auto" w:fill="F6F1E6"/>
          </w:tcPr>
          <w:p>
            <w:pPr>
              <w:spacing w:after="20"/>
              <w:jc w:val="right"/>
            </w:pPr>
            <w:r>
              <w:rPr>
                <w:b/>
                <w:color w:val="1C3A36"/>
                <w:sz w:val="17"/>
              </w:rPr>
            </w:r>
          </w:p>
        </w:tc>
        <w:tc>
          <w:tcPr>
            <w:tcW w:type="dxa" w:w="2088"/>
            <w:shd w:val="clear" w:color="auto" w:fill="F6F1E6"/>
          </w:tcPr>
          <w:p>
            <w:pPr>
              <w:spacing w:after="20"/>
              <w:jc w:val="right"/>
            </w:pPr>
            <w:r>
              <w:rPr>
                <w:b/>
                <w:color w:val="1C3A36"/>
                <w:sz w:val="17"/>
              </w:rPr>
            </w:r>
          </w:p>
        </w:tc>
        <w:tc>
          <w:tcPr>
            <w:tcW w:type="dxa" w:w="1656"/>
            <w:shd w:val="clear" w:color="auto" w:fill="F6F1E6"/>
          </w:tcPr>
          <w:p>
            <w:pPr>
              <w:spacing w:after="20"/>
              <w:jc w:val="right"/>
            </w:pPr>
            <w:r>
              <w:rPr>
                <w:b/>
                <w:color w:val="1C3A36"/>
                <w:sz w:val="17"/>
              </w:rPr>
            </w:r>
          </w:p>
        </w:tc>
      </w:tr>
      <w:tr>
        <w:tc>
          <w:tcPr>
            <w:tcW w:type="dxa" w:w="3096"/>
          </w:tcPr>
          <w:p>
            <w:pPr>
              <w:spacing w:after="20"/>
            </w:pPr>
            <w:r>
              <w:rPr>
                <w:color w:val="1C3A36"/>
                <w:sz w:val="17"/>
              </w:rPr>
              <w:t>Trend &amp; momentum</w:t>
            </w:r>
          </w:p>
        </w:tc>
        <w:tc>
          <w:tcPr>
            <w:tcW w:type="dxa" w:w="3384"/>
          </w:tcPr>
          <w:p>
            <w:pPr>
              <w:spacing w:after="20"/>
              <w:jc w:val="right"/>
            </w:pPr>
            <w:r>
              <w:rPr>
                <w:color w:val="1C3A36"/>
                <w:sz w:val="17"/>
              </w:rPr>
              <w:t>Price vs the 20/50/100/200-day averages</w:t>
            </w:r>
          </w:p>
        </w:tc>
        <w:tc>
          <w:tcPr>
            <w:tcW w:type="dxa" w:w="2088"/>
          </w:tcPr>
          <w:p>
            <w:pPr>
              <w:spacing w:after="20"/>
              <w:jc w:val="right"/>
            </w:pPr>
            <w:r>
              <w:rPr>
                <w:color w:val="1C3A36"/>
                <w:sz w:val="17"/>
              </w:rPr>
              <w:t>Above all four</w:t>
            </w:r>
          </w:p>
        </w:tc>
        <w:tc>
          <w:tcPr>
            <w:tcW w:type="dxa" w:w="1656"/>
          </w:tcPr>
          <w:p>
            <w:pPr>
              <w:spacing w:after="20"/>
              <w:jc w:val="right"/>
            </w:pPr>
            <w:r>
              <w:rPr>
                <w:color w:val="1C3A36"/>
                <w:sz w:val="17"/>
              </w:rPr>
              <w:t>Strong uptrend</w:t>
            </w:r>
          </w:p>
        </w:tc>
      </w:tr>
      <w:tr>
        <w:tc>
          <w:tcPr>
            <w:tcW w:type="dxa" w:w="3096"/>
          </w:tcPr>
          <w:p>
            <w:pPr>
              <w:spacing w:after="20"/>
            </w:pPr>
            <w:r>
              <w:rPr>
                <w:color w:val="1C3A36"/>
                <w:sz w:val="17"/>
              </w:rPr>
              <w:t>Momentum / range</w:t>
            </w:r>
          </w:p>
        </w:tc>
        <w:tc>
          <w:tcPr>
            <w:tcW w:type="dxa" w:w="3384"/>
          </w:tcPr>
          <w:p>
            <w:pPr>
              <w:spacing w:after="20"/>
              <w:jc w:val="right"/>
            </w:pPr>
            <w:r>
              <w:rPr>
                <w:color w:val="1C3A36"/>
                <w:sz w:val="17"/>
              </w:rPr>
              <w:t>RSI · MACD · 52-week range</w:t>
            </w:r>
          </w:p>
        </w:tc>
        <w:tc>
          <w:tcPr>
            <w:tcW w:type="dxa" w:w="2088"/>
          </w:tcPr>
          <w:p>
            <w:pPr>
              <w:spacing w:after="20"/>
              <w:jc w:val="right"/>
            </w:pPr>
            <w:r>
              <w:rPr>
                <w:color w:val="1C3A36"/>
                <w:sz w:val="17"/>
              </w:rPr>
              <w:t>RSI 63 · MACD +0.04 · 19.1–33.4</w:t>
            </w:r>
          </w:p>
        </w:tc>
        <w:tc>
          <w:tcPr>
            <w:tcW w:type="dxa" w:w="1656"/>
          </w:tcPr>
          <w:p>
            <w:pPr>
              <w:spacing w:after="20"/>
              <w:jc w:val="right"/>
            </w:pPr>
            <w:r>
              <w:rPr>
                <w:color w:val="1C3A36"/>
                <w:sz w:val="17"/>
              </w:rPr>
              <w:t>Extended, not euphoric</w:t>
            </w:r>
          </w:p>
        </w:tc>
      </w:tr>
      <w:tr>
        <w:tc>
          <w:tcPr>
            <w:tcW w:type="dxa" w:w="3096"/>
            <w:shd w:val="clear" w:color="auto" w:fill="F6F1E6"/>
          </w:tcPr>
          <w:p>
            <w:pPr>
              <w:spacing w:after="20"/>
            </w:pPr>
            <w:r>
              <w:rPr>
                <w:b/>
                <w:color w:val="1C3A36"/>
                <w:sz w:val="17"/>
              </w:rPr>
              <w:t>MONTE CARLO — where price could go in 3 months (paths from spot)</w:t>
            </w:r>
          </w:p>
        </w:tc>
        <w:tc>
          <w:tcPr>
            <w:tcW w:type="dxa" w:w="3384"/>
            <w:shd w:val="clear" w:color="auto" w:fill="F6F1E6"/>
          </w:tcPr>
          <w:p>
            <w:pPr>
              <w:spacing w:after="20"/>
              <w:jc w:val="right"/>
            </w:pPr>
            <w:r>
              <w:rPr>
                <w:b/>
                <w:color w:val="1C3A36"/>
                <w:sz w:val="17"/>
              </w:rPr>
            </w:r>
          </w:p>
        </w:tc>
        <w:tc>
          <w:tcPr>
            <w:tcW w:type="dxa" w:w="2088"/>
            <w:shd w:val="clear" w:color="auto" w:fill="F6F1E6"/>
          </w:tcPr>
          <w:p>
            <w:pPr>
              <w:spacing w:after="20"/>
              <w:jc w:val="right"/>
            </w:pPr>
            <w:r>
              <w:rPr>
                <w:b/>
                <w:color w:val="1C3A36"/>
                <w:sz w:val="17"/>
              </w:rPr>
            </w:r>
          </w:p>
        </w:tc>
        <w:tc>
          <w:tcPr>
            <w:tcW w:type="dxa" w:w="1656"/>
            <w:shd w:val="clear" w:color="auto" w:fill="F6F1E6"/>
          </w:tcPr>
          <w:p>
            <w:pPr>
              <w:spacing w:after="20"/>
              <w:jc w:val="right"/>
            </w:pPr>
            <w:r>
              <w:rPr>
                <w:b/>
                <w:color w:val="1C3A36"/>
                <w:sz w:val="17"/>
              </w:rPr>
            </w:r>
          </w:p>
        </w:tc>
      </w:tr>
      <w:tr>
        <w:tc>
          <w:tcPr>
            <w:tcW w:type="dxa" w:w="3096"/>
          </w:tcPr>
          <w:p>
            <w:pPr>
              <w:spacing w:after="20"/>
            </w:pPr>
            <w:r>
              <w:rPr>
                <w:color w:val="1C3A36"/>
                <w:sz w:val="17"/>
              </w:rPr>
              <w:t>T+20 sessions</w:t>
            </w:r>
          </w:p>
        </w:tc>
        <w:tc>
          <w:tcPr>
            <w:tcW w:type="dxa" w:w="3384"/>
          </w:tcPr>
          <w:p>
            <w:pPr>
              <w:spacing w:after="20"/>
              <w:jc w:val="right"/>
            </w:pPr>
            <w:r>
              <w:rPr>
                <w:color w:val="1C3A36"/>
                <w:sz w:val="17"/>
              </w:rPr>
              <w:t>50,000 paths · 16 factors</w:t>
            </w:r>
          </w:p>
        </w:tc>
        <w:tc>
          <w:tcPr>
            <w:tcW w:type="dxa" w:w="2088"/>
          </w:tcPr>
          <w:p>
            <w:pPr>
              <w:spacing w:after="20"/>
              <w:jc w:val="right"/>
            </w:pPr>
            <w:r>
              <w:rPr>
                <w:color w:val="1C3A36"/>
                <w:sz w:val="17"/>
              </w:rPr>
              <w:t>p5 26 · p50 32.5 · p95 40</w:t>
            </w:r>
          </w:p>
        </w:tc>
        <w:tc>
          <w:tcPr>
            <w:tcW w:type="dxa" w:w="1656"/>
          </w:tcPr>
          <w:p>
            <w:pPr>
              <w:spacing w:after="20"/>
              <w:jc w:val="right"/>
            </w:pPr>
            <w:r>
              <w:rPr>
                <w:color w:val="1C3A36"/>
                <w:sz w:val="17"/>
              </w:rPr>
              <w:t>Median above spot</w:t>
            </w:r>
          </w:p>
        </w:tc>
      </w:tr>
      <w:tr>
        <w:tc>
          <w:tcPr>
            <w:tcW w:type="dxa" w:w="3096"/>
          </w:tcPr>
          <w:p>
            <w:pPr>
              <w:spacing w:after="20"/>
            </w:pPr>
            <w:r>
              <w:rPr>
                <w:color w:val="1C3A36"/>
                <w:sz w:val="17"/>
              </w:rPr>
              <w:t>T+60 sessions</w:t>
            </w:r>
          </w:p>
        </w:tc>
        <w:tc>
          <w:tcPr>
            <w:tcW w:type="dxa" w:w="3384"/>
          </w:tcPr>
          <w:p>
            <w:pPr>
              <w:spacing w:after="20"/>
              <w:jc w:val="right"/>
            </w:pPr>
            <w:r>
              <w:rPr>
                <w:color w:val="1C3A36"/>
                <w:sz w:val="17"/>
              </w:rPr>
              <w:t>same engine, longer horizon</w:t>
            </w:r>
          </w:p>
        </w:tc>
        <w:tc>
          <w:tcPr>
            <w:tcW w:type="dxa" w:w="2088"/>
          </w:tcPr>
          <w:p>
            <w:pPr>
              <w:spacing w:after="20"/>
              <w:jc w:val="right"/>
            </w:pPr>
            <w:r>
              <w:rPr>
                <w:color w:val="1C3A36"/>
                <w:sz w:val="17"/>
              </w:rPr>
              <w:t>p5 24 · p50 35 · p95 51</w:t>
            </w:r>
          </w:p>
        </w:tc>
        <w:tc>
          <w:tcPr>
            <w:tcW w:type="dxa" w:w="1656"/>
          </w:tcPr>
          <w:p>
            <w:pPr>
              <w:spacing w:after="20"/>
              <w:jc w:val="right"/>
            </w:pPr>
            <w:r>
              <w:rPr>
                <w:color w:val="1C3A36"/>
                <w:sz w:val="17"/>
              </w:rPr>
              <w:t>Wide, right-skewed</w:t>
            </w:r>
          </w:p>
        </w:tc>
      </w:tr>
      <w:tr>
        <w:tc>
          <w:tcPr>
            <w:tcW w:type="dxa" w:w="3096"/>
            <w:shd w:val="clear" w:color="auto" w:fill="F6F1E6"/>
          </w:tcPr>
          <w:p>
            <w:pPr>
              <w:spacing w:after="20"/>
            </w:pPr>
            <w:r>
              <w:rPr>
                <w:b/>
                <w:color w:val="1C3A36"/>
                <w:sz w:val="17"/>
              </w:rPr>
              <w:t>EXPERT PANEL — three independent methods (Appendix D)</w:t>
            </w:r>
          </w:p>
        </w:tc>
        <w:tc>
          <w:tcPr>
            <w:tcW w:type="dxa" w:w="3384"/>
            <w:shd w:val="clear" w:color="auto" w:fill="F6F1E6"/>
          </w:tcPr>
          <w:p>
            <w:pPr>
              <w:spacing w:after="20"/>
              <w:jc w:val="right"/>
            </w:pPr>
            <w:r>
              <w:rPr>
                <w:b/>
                <w:color w:val="1C3A36"/>
                <w:sz w:val="17"/>
              </w:rPr>
            </w:r>
          </w:p>
        </w:tc>
        <w:tc>
          <w:tcPr>
            <w:tcW w:type="dxa" w:w="2088"/>
            <w:shd w:val="clear" w:color="auto" w:fill="F6F1E6"/>
          </w:tcPr>
          <w:p>
            <w:pPr>
              <w:spacing w:after="20"/>
              <w:jc w:val="right"/>
            </w:pPr>
            <w:r>
              <w:rPr>
                <w:b/>
                <w:color w:val="1C3A36"/>
                <w:sz w:val="17"/>
              </w:rPr>
            </w:r>
          </w:p>
        </w:tc>
        <w:tc>
          <w:tcPr>
            <w:tcW w:type="dxa" w:w="1656"/>
            <w:shd w:val="clear" w:color="auto" w:fill="F6F1E6"/>
          </w:tcPr>
          <w:p>
            <w:pPr>
              <w:spacing w:after="20"/>
              <w:jc w:val="right"/>
            </w:pPr>
            <w:r>
              <w:rPr>
                <w:b/>
                <w:color w:val="1C3A36"/>
                <w:sz w:val="17"/>
              </w:rPr>
            </w:r>
          </w:p>
        </w:tc>
      </w:tr>
      <w:tr>
        <w:tc>
          <w:tcPr>
            <w:tcW w:type="dxa" w:w="3096"/>
          </w:tcPr>
          <w:p>
            <w:pPr>
              <w:spacing w:after="20"/>
            </w:pPr>
            <w:r>
              <w:rPr>
                <w:color w:val="1C3A36"/>
                <w:sz w:val="17"/>
              </w:rPr>
              <w:t>Expert 1 — split-legs NAV</w:t>
            </w:r>
          </w:p>
        </w:tc>
        <w:tc>
          <w:tcPr>
            <w:tcW w:type="dxa" w:w="3384"/>
          </w:tcPr>
          <w:p>
            <w:pPr>
              <w:spacing w:after="20"/>
              <w:jc w:val="right"/>
            </w:pPr>
            <w:r>
              <w:rPr>
                <w:color w:val="1C3A36"/>
                <w:sz w:val="17"/>
              </w:rPr>
              <w:t>Marks each leg; fair discount</w:t>
            </w:r>
          </w:p>
        </w:tc>
        <w:tc>
          <w:tcPr>
            <w:tcW w:type="dxa" w:w="2088"/>
          </w:tcPr>
          <w:p>
            <w:pPr>
              <w:spacing w:after="20"/>
              <w:jc w:val="right"/>
            </w:pPr>
            <w:r>
              <w:rPr>
                <w:color w:val="1C3A36"/>
                <w:sz w:val="17"/>
              </w:rPr>
              <w:t>EGP 29.3</w:t>
            </w:r>
          </w:p>
        </w:tc>
        <w:tc>
          <w:tcPr>
            <w:tcW w:type="dxa" w:w="1656"/>
          </w:tcPr>
          <w:p>
            <w:pPr>
              <w:spacing w:after="20"/>
              <w:jc w:val="right"/>
            </w:pPr>
            <w:r>
              <w:rPr>
                <w:color w:val="1C3A36"/>
                <w:sz w:val="17"/>
              </w:rPr>
              <w:t>The anchor</w:t>
            </w:r>
          </w:p>
        </w:tc>
      </w:tr>
      <w:tr>
        <w:tc>
          <w:tcPr>
            <w:tcW w:type="dxa" w:w="3096"/>
          </w:tcPr>
          <w:p>
            <w:pPr>
              <w:spacing w:after="20"/>
            </w:pPr>
            <w:r>
              <w:rPr>
                <w:color w:val="1C3A36"/>
                <w:sz w:val="17"/>
              </w:rPr>
              <w:t>Expert 2 — normalized earnings power</w:t>
            </w:r>
          </w:p>
        </w:tc>
        <w:tc>
          <w:tcPr>
            <w:tcW w:type="dxa" w:w="3384"/>
          </w:tcPr>
          <w:p>
            <w:pPr>
              <w:spacing w:after="20"/>
              <w:jc w:val="right"/>
            </w:pPr>
            <w:r>
              <w:rPr>
                <w:color w:val="1C3A36"/>
                <w:sz w:val="17"/>
              </w:rPr>
              <w:t>Mid-cycle PAT × multiple</w:t>
            </w:r>
          </w:p>
        </w:tc>
        <w:tc>
          <w:tcPr>
            <w:tcW w:type="dxa" w:w="2088"/>
          </w:tcPr>
          <w:p>
            <w:pPr>
              <w:spacing w:after="20"/>
              <w:jc w:val="right"/>
            </w:pPr>
            <w:r>
              <w:rPr>
                <w:color w:val="1C3A36"/>
                <w:sz w:val="17"/>
              </w:rPr>
              <w:t>EGP 32.9</w:t>
            </w:r>
          </w:p>
        </w:tc>
        <w:tc>
          <w:tcPr>
            <w:tcW w:type="dxa" w:w="1656"/>
          </w:tcPr>
          <w:p>
            <w:pPr>
              <w:spacing w:after="20"/>
              <w:jc w:val="right"/>
            </w:pPr>
            <w:r>
              <w:rPr>
                <w:color w:val="1C3A36"/>
                <w:sz w:val="17"/>
              </w:rPr>
              <w:t>Most bullish</w:t>
            </w:r>
          </w:p>
        </w:tc>
      </w:tr>
      <w:tr>
        <w:tc>
          <w:tcPr>
            <w:tcW w:type="dxa" w:w="3096"/>
          </w:tcPr>
          <w:p>
            <w:pPr>
              <w:spacing w:after="20"/>
            </w:pPr>
            <w:r>
              <w:rPr>
                <w:color w:val="1C3A36"/>
                <w:sz w:val="17"/>
              </w:rPr>
              <w:t>Expert 3 — cash returns (ROCE vs WACC)</w:t>
            </w:r>
          </w:p>
        </w:tc>
        <w:tc>
          <w:tcPr>
            <w:tcW w:type="dxa" w:w="3384"/>
          </w:tcPr>
          <w:p>
            <w:pPr>
              <w:spacing w:after="20"/>
              <w:jc w:val="right"/>
            </w:pPr>
            <w:r>
              <w:rPr>
                <w:color w:val="1C3A36"/>
                <w:sz w:val="17"/>
              </w:rPr>
              <w:t>Economic profit on capital employed</w:t>
            </w:r>
          </w:p>
        </w:tc>
        <w:tc>
          <w:tcPr>
            <w:tcW w:type="dxa" w:w="2088"/>
          </w:tcPr>
          <w:p>
            <w:pPr>
              <w:spacing w:after="20"/>
              <w:jc w:val="right"/>
            </w:pPr>
            <w:r>
              <w:rPr>
                <w:color w:val="1C3A36"/>
                <w:sz w:val="17"/>
              </w:rPr>
              <w:t>EGP 27.5</w:t>
            </w:r>
          </w:p>
        </w:tc>
        <w:tc>
          <w:tcPr>
            <w:tcW w:type="dxa" w:w="1656"/>
          </w:tcPr>
          <w:p>
            <w:pPr>
              <w:spacing w:after="20"/>
              <w:jc w:val="right"/>
            </w:pPr>
            <w:r>
              <w:rPr>
                <w:color w:val="1C3A36"/>
                <w:sz w:val="17"/>
              </w:rPr>
              <w:t>Most conservative</w:t>
            </w:r>
          </w:p>
        </w:tc>
      </w:tr>
      <w:tr>
        <w:tc>
          <w:tcPr>
            <w:tcW w:type="dxa" w:w="3096"/>
          </w:tcPr>
          <w:p>
            <w:pPr>
              <w:spacing w:after="20"/>
            </w:pPr>
            <w:r>
              <w:rPr>
                <w:color w:val="1C3A36"/>
                <w:sz w:val="17"/>
              </w:rPr>
              <w:t>Panel range</w:t>
            </w:r>
          </w:p>
        </w:tc>
        <w:tc>
          <w:tcPr>
            <w:tcW w:type="dxa" w:w="3384"/>
          </w:tcPr>
          <w:p>
            <w:pPr>
              <w:spacing w:after="20"/>
              <w:jc w:val="right"/>
            </w:pPr>
            <w:r>
              <w:rPr>
                <w:color w:val="1C3A36"/>
                <w:sz w:val="17"/>
              </w:rPr>
              <w:t>Spread = the cash-conversion question</w:t>
            </w:r>
          </w:p>
        </w:tc>
        <w:tc>
          <w:tcPr>
            <w:tcW w:type="dxa" w:w="2088"/>
          </w:tcPr>
          <w:p>
            <w:pPr>
              <w:spacing w:after="20"/>
              <w:jc w:val="right"/>
            </w:pPr>
            <w:r>
              <w:rPr>
                <w:color w:val="1C3A36"/>
                <w:sz w:val="17"/>
              </w:rPr>
              <w:t>EGP 27.5–32.9</w:t>
            </w:r>
          </w:p>
        </w:tc>
        <w:tc>
          <w:tcPr>
            <w:tcW w:type="dxa" w:w="1656"/>
          </w:tcPr>
          <w:p>
            <w:pPr>
              <w:spacing w:after="20"/>
              <w:jc w:val="right"/>
            </w:pPr>
            <w:r>
              <w:rPr>
                <w:color w:val="1C3A36"/>
                <w:sz w:val="17"/>
              </w:rPr>
              <w:t>Centres ~EGP 30</w:t>
            </w:r>
          </w:p>
        </w:tc>
      </w:tr>
    </w:tbl>
    <w:p>
      <w:pPr>
        <w:spacing w:after="40"/>
      </w:pPr>
    </w:p>
    <w:p>
      <w:pPr>
        <w:spacing w:after="160" w:before="0"/>
      </w:pPr>
      <w:r>
        <w:rPr>
          <w:b/>
          <w:i w:val="0"/>
          <w:color w:val="1C3A36"/>
          <w:sz w:val="19"/>
        </w:rPr>
        <w:t xml:space="preserve">Bottom line. </w:t>
      </w:r>
      <w:r>
        <w:rPr>
          <w:b w:val="0"/>
          <w:i w:val="0"/>
          <w:color w:val="1C3A36"/>
          <w:sz w:val="19"/>
        </w:rPr>
        <w:t>Every read lands within a few pounds of the price, and each disagreement is the same disagreement: how much of GB Auto’s reported growth converts into distributable cash. The fundamental central sits near EGP 30 — about 3% below the EGP 31.25 spot — the three experts span 27.5–32.9, and the tape, unusually, is more bullish than the value work: price has led. The three-month distribution centres above spot only because the engine’s secular drift survived the calibration gate; Appendix B shows exactly how thin that margin is.</w:t>
      </w:r>
    </w:p>
    <w:p>
      <w:pPr>
        <w:spacing w:after="80" w:before="200"/>
      </w:pPr>
      <w:r>
        <w:rPr>
          <w:b/>
          <w:i w:val="0"/>
          <w:color w:val="1C3A36"/>
          <w:sz w:val="24"/>
        </w:rPr>
        <w:t>Company overview — GB Corp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2448"/>
            <w:shd w:val="clear" w:color="auto" w:fill="EAF0EE"/>
          </w:tcPr>
          <w:p>
            <w:pPr>
              <w:spacing w:after="20"/>
            </w:pPr>
            <w:r>
              <w:rPr>
                <w:b/>
                <w:color w:val="1C3A36"/>
                <w:sz w:val="18"/>
              </w:rPr>
              <w:t>Item</w:t>
            </w:r>
          </w:p>
        </w:tc>
        <w:tc>
          <w:tcPr>
            <w:tcW w:type="dxa" w:w="7776"/>
            <w:shd w:val="clear" w:color="auto" w:fill="EAF0EE"/>
          </w:tcPr>
          <w:p>
            <w:pPr>
              <w:spacing w:after="20"/>
            </w:pPr>
            <w:r>
              <w:rPr>
                <w:b/>
                <w:color w:val="1C3A36"/>
                <w:sz w:val="18"/>
              </w:rPr>
              <w:t>Value</w:t>
            </w:r>
          </w:p>
        </w:tc>
      </w:tr>
      <w:tr>
        <w:tc>
          <w:tcPr>
            <w:tcW w:type="dxa" w:w="2448"/>
          </w:tcPr>
          <w:p>
            <w:pPr>
              <w:spacing w:after="20"/>
            </w:pPr>
            <w:r>
              <w:rPr>
                <w:b/>
                <w:color w:val="1C3A36"/>
                <w:sz w:val="18"/>
              </w:rPr>
              <w:t>Listed entity</w:t>
            </w:r>
          </w:p>
        </w:tc>
        <w:tc>
          <w:tcPr>
            <w:tcW w:type="dxa" w:w="7776"/>
          </w:tcPr>
          <w:p>
            <w:pPr>
              <w:spacing w:after="20"/>
              <w:jc w:val="right"/>
            </w:pPr>
            <w:r>
              <w:rPr>
                <w:color w:val="1C3A36"/>
                <w:sz w:val="18"/>
              </w:rPr>
              <w:t>GB Corp S.A.E. (EGX: GBCO; formerly GB Auto / Ghabbour Auto, AUTO)</w:t>
            </w:r>
          </w:p>
        </w:tc>
      </w:tr>
      <w:tr>
        <w:tc>
          <w:tcPr>
            <w:tcW w:type="dxa" w:w="2448"/>
          </w:tcPr>
          <w:p>
            <w:pPr>
              <w:spacing w:after="20"/>
            </w:pPr>
            <w:r>
              <w:rPr>
                <w:b/>
                <w:color w:val="1C3A36"/>
                <w:sz w:val="18"/>
              </w:rPr>
              <w:t>What it owns</w:t>
            </w:r>
          </w:p>
        </w:tc>
        <w:tc>
          <w:tcPr>
            <w:tcW w:type="dxa" w:w="7776"/>
          </w:tcPr>
          <w:p>
            <w:pPr>
              <w:spacing w:after="20"/>
              <w:jc w:val="right"/>
            </w:pPr>
            <w:r>
              <w:rPr>
                <w:color w:val="1C3A36"/>
                <w:sz w:val="18"/>
              </w:rPr>
              <w:t>GB Auto (PC assembly &amp; distribution, CV&amp;CE, tires &amp; trading, light mobility) · GB Capital (Drive Finance, GB Lease &amp; Factoring, rentals, Kredit) · associates: MNT-Halan, Bedaya, Kaf</w:t>
            </w:r>
          </w:p>
        </w:tc>
      </w:tr>
      <w:tr>
        <w:tc>
          <w:tcPr>
            <w:tcW w:type="dxa" w:w="2448"/>
          </w:tcPr>
          <w:p>
            <w:pPr>
              <w:spacing w:after="20"/>
            </w:pPr>
            <w:r>
              <w:rPr>
                <w:b/>
                <w:color w:val="1C3A36"/>
                <w:sz w:val="18"/>
              </w:rPr>
              <w:t>Spot / date</w:t>
            </w:r>
          </w:p>
        </w:tc>
        <w:tc>
          <w:tcPr>
            <w:tcW w:type="dxa" w:w="7776"/>
          </w:tcPr>
          <w:p>
            <w:pPr>
              <w:spacing w:after="20"/>
              <w:jc w:val="right"/>
            </w:pPr>
            <w:r>
              <w:rPr>
                <w:color w:val="1C3A36"/>
                <w:sz w:val="18"/>
              </w:rPr>
              <w:t>EGP 31.25 · 7 Jul 2026 close</w:t>
            </w:r>
          </w:p>
        </w:tc>
      </w:tr>
      <w:tr>
        <w:tc>
          <w:tcPr>
            <w:tcW w:type="dxa" w:w="2448"/>
          </w:tcPr>
          <w:p>
            <w:pPr>
              <w:spacing w:after="20"/>
            </w:pPr>
            <w:r>
              <w:rPr>
                <w:b/>
                <w:color w:val="1C3A36"/>
                <w:sz w:val="18"/>
              </w:rPr>
              <w:t>Shares · market cap</w:t>
            </w:r>
          </w:p>
        </w:tc>
        <w:tc>
          <w:tcPr>
            <w:tcW w:type="dxa" w:w="7776"/>
          </w:tcPr>
          <w:p>
            <w:pPr>
              <w:spacing w:after="20"/>
              <w:jc w:val="right"/>
            </w:pPr>
            <w:r>
              <w:rPr>
                <w:color w:val="1C3A36"/>
                <w:sz w:val="18"/>
              </w:rPr>
              <w:t>1,085.5 mn · ~EGP 33.9 bn</w:t>
            </w:r>
          </w:p>
        </w:tc>
      </w:tr>
      <w:tr>
        <w:tc>
          <w:tcPr>
            <w:tcW w:type="dxa" w:w="2448"/>
          </w:tcPr>
          <w:p>
            <w:pPr>
              <w:spacing w:after="20"/>
            </w:pPr>
            <w:r>
              <w:rPr>
                <w:b/>
                <w:color w:val="1C3A36"/>
                <w:sz w:val="18"/>
              </w:rPr>
              <w:t>FY25 revenue / net profit</w:t>
            </w:r>
          </w:p>
        </w:tc>
        <w:tc>
          <w:tcPr>
            <w:tcW w:type="dxa" w:w="7776"/>
          </w:tcPr>
          <w:p>
            <w:pPr>
              <w:spacing w:after="20"/>
              <w:jc w:val="right"/>
            </w:pPr>
            <w:r>
              <w:rPr>
                <w:color w:val="1C3A36"/>
                <w:sz w:val="18"/>
              </w:rPr>
              <w:t>EGP 80,229.8 mn (+48.7% YoY) · EGP 2,880.0 mn (3.6% margin)</w:t>
            </w:r>
          </w:p>
        </w:tc>
      </w:tr>
      <w:tr>
        <w:tc>
          <w:tcPr>
            <w:tcW w:type="dxa" w:w="2448"/>
          </w:tcPr>
          <w:p>
            <w:pPr>
              <w:spacing w:after="20"/>
            </w:pPr>
            <w:r>
              <w:rPr>
                <w:b/>
                <w:color w:val="1C3A36"/>
                <w:sz w:val="18"/>
              </w:rPr>
              <w:t>1Q26 revenue / net profit</w:t>
            </w:r>
          </w:p>
        </w:tc>
        <w:tc>
          <w:tcPr>
            <w:tcW w:type="dxa" w:w="7776"/>
          </w:tcPr>
          <w:p>
            <w:pPr>
              <w:spacing w:after="20"/>
              <w:jc w:val="right"/>
            </w:pPr>
            <w:r>
              <w:rPr>
                <w:color w:val="1C3A36"/>
                <w:sz w:val="18"/>
              </w:rPr>
              <w:t>EGP 21,570.8 mn (+28.7%) · EGP 435.8 mn (−30.4%, regional drag + finance cost)</w:t>
            </w:r>
          </w:p>
        </w:tc>
      </w:tr>
      <w:tr>
        <w:tc>
          <w:tcPr>
            <w:tcW w:type="dxa" w:w="2448"/>
          </w:tcPr>
          <w:p>
            <w:pPr>
              <w:spacing w:after="20"/>
            </w:pPr>
            <w:r>
              <w:rPr>
                <w:b/>
                <w:color w:val="1C3A36"/>
                <w:sz w:val="18"/>
              </w:rPr>
              <w:t>Segment split (FY25, pre-elim.)</w:t>
            </w:r>
          </w:p>
        </w:tc>
        <w:tc>
          <w:tcPr>
            <w:tcW w:type="dxa" w:w="7776"/>
          </w:tcPr>
          <w:p>
            <w:pPr>
              <w:spacing w:after="20"/>
              <w:jc w:val="right"/>
            </w:pPr>
            <w:r>
              <w:rPr>
                <w:color w:val="1C3A36"/>
                <w:sz w:val="18"/>
              </w:rPr>
              <w:t>GB Auto EGP 66.4 bn (83%) · GB Capital EGP 14.7 bn (17%); Capital = ~47% of segment net profit</w:t>
            </w:r>
          </w:p>
        </w:tc>
      </w:tr>
      <w:tr>
        <w:tc>
          <w:tcPr>
            <w:tcW w:type="dxa" w:w="2448"/>
          </w:tcPr>
          <w:p>
            <w:pPr>
              <w:spacing w:after="20"/>
            </w:pPr>
            <w:r>
              <w:rPr>
                <w:b/>
                <w:color w:val="1C3A36"/>
                <w:sz w:val="18"/>
              </w:rPr>
              <w:t>Auto net debt / group equity</w:t>
            </w:r>
          </w:p>
        </w:tc>
        <w:tc>
          <w:tcPr>
            <w:tcW w:type="dxa" w:w="7776"/>
          </w:tcPr>
          <w:p>
            <w:pPr>
              <w:spacing w:after="20"/>
              <w:jc w:val="right"/>
            </w:pPr>
            <w:r>
              <w:rPr>
                <w:color w:val="1C3A36"/>
                <w:sz w:val="18"/>
              </w:rPr>
              <w:t>EGP 15.2 bn (2.39× Auto EBITDA; 2.14× at 1Q26) · attributable equity EGP 28.8 bn (BVPS 26.5)</w:t>
            </w:r>
          </w:p>
        </w:tc>
      </w:tr>
      <w:tr>
        <w:tc>
          <w:tcPr>
            <w:tcW w:type="dxa" w:w="2448"/>
          </w:tcPr>
          <w:p>
            <w:pPr>
              <w:spacing w:after="20"/>
            </w:pPr>
            <w:r>
              <w:rPr>
                <w:b/>
                <w:color w:val="1C3A36"/>
                <w:sz w:val="18"/>
              </w:rPr>
              <w:t>52-week range</w:t>
            </w:r>
          </w:p>
        </w:tc>
        <w:tc>
          <w:tcPr>
            <w:tcW w:type="dxa" w:w="7776"/>
          </w:tcPr>
          <w:p>
            <w:pPr>
              <w:spacing w:after="20"/>
              <w:jc w:val="right"/>
            </w:pPr>
            <w:r>
              <w:rPr>
                <w:color w:val="1C3A36"/>
                <w:sz w:val="18"/>
              </w:rPr>
              <w:t>EGP 19.10 – 33.40 (all-time high 3 Feb 2026)</w:t>
            </w:r>
          </w:p>
        </w:tc>
      </w:tr>
      <w:tr>
        <w:tc>
          <w:tcPr>
            <w:tcW w:type="dxa" w:w="2448"/>
          </w:tcPr>
          <w:p>
            <w:pPr>
              <w:spacing w:after="20"/>
            </w:pPr>
            <w:r>
              <w:rPr>
                <w:b/>
                <w:color w:val="1C3A36"/>
                <w:sz w:val="18"/>
              </w:rPr>
              <w:t>Ownership · leadership</w:t>
            </w:r>
          </w:p>
        </w:tc>
        <w:tc>
          <w:tcPr>
            <w:tcW w:type="dxa" w:w="7776"/>
          </w:tcPr>
          <w:p>
            <w:pPr>
              <w:spacing w:after="20"/>
              <w:jc w:val="right"/>
            </w:pPr>
            <w:r>
              <w:rPr>
                <w:color w:val="1C3A36"/>
                <w:sz w:val="18"/>
              </w:rPr>
              <w:t>Ghabbour family ~63.4% · free float ~36.6% · Group CEO Nader Ghabbour</w:t>
            </w:r>
          </w:p>
        </w:tc>
      </w:tr>
      <w:tr>
        <w:tc>
          <w:tcPr>
            <w:tcW w:type="dxa" w:w="2448"/>
          </w:tcPr>
          <w:p>
            <w:pPr>
              <w:spacing w:after="20"/>
            </w:pPr>
            <w:r>
              <w:rPr>
                <w:b/>
                <w:color w:val="1C3A36"/>
                <w:sz w:val="18"/>
              </w:rPr>
              <w:t>Corporate events</w:t>
            </w:r>
          </w:p>
        </w:tc>
        <w:tc>
          <w:tcPr>
            <w:tcW w:type="dxa" w:w="7776"/>
          </w:tcPr>
          <w:p>
            <w:pPr>
              <w:spacing w:after="20"/>
              <w:jc w:val="right"/>
            </w:pPr>
            <w:r>
              <w:rPr>
                <w:color w:val="1C3A36"/>
                <w:sz w:val="18"/>
              </w:rPr>
              <w:t>MNT-Halan first-close capital increase at USD 1.4 bn valuation (Jun 2026) · Sadat CKD facility inaugurated Jun 2026 · 2Q26 results due 11 Aug 2026</w:t>
            </w:r>
          </w:p>
        </w:tc>
      </w:tr>
    </w:tbl>
    <w:p>
      <w:pPr>
        <w:spacing w:after="40"/>
      </w:pPr>
    </w:p>
    <w:p>
      <w:pPr>
        <w:spacing w:after="200" w:before="0"/>
      </w:pPr>
      <w:r>
        <w:rPr>
          <w:b w:val="0"/>
          <w:i/>
          <w:color w:val="6E7B77"/>
          <w:sz w:val="17"/>
        </w:rPr>
        <w:t>Source: company 4Q23/4Q24/4Q25 and 1Q26 earnings releases, EGX data, MNT-Halan transaction press release (Jun 2026). Values rounded.</w:t>
      </w:r>
    </w:p>
    <w:p>
      <w:pPr>
        <w:spacing w:after="120" w:before="280"/>
      </w:pPr>
      <w:r>
        <w:rPr>
          <w:b/>
          <w:i w:val="0"/>
          <w:color w:val="1C3A36"/>
          <w:sz w:val="30"/>
        </w:rPr>
        <w:t>1  Fundamental valuation</w:t>
      </w:r>
    </w:p>
    <w:p>
      <w:pPr>
        <w:spacing w:after="120" w:before="0"/>
      </w:pPr>
      <w:r>
        <w:rPr>
          <w:b w:val="0"/>
          <w:i w:val="0"/>
          <w:color w:val="1C3A36"/>
          <w:sz w:val="21"/>
        </w:rPr>
        <w:t>We value GB Corp as an operating company with a captive finance arm and split the legs (§3.5-F5): blending an auto assembler-distributor, a leveraged lender and an unlisted fintech associate into one multiple would blur three different economics. The primary lens is therefore a split-legs sum-of-the-parts: the Auto operating leg on a free-cash-flow DCF; GB Capital on its adjusted operating book times a return-justified multiple; the MNT-Halan-led associate stakes at balance-sheet carrying value, cross-checked against the June-2026 funding round. A relative-multiple read and a normalized mid-cycle read complete the set. The weights and the football field are in §1.5; the swing factor — Auto cash conversion — is dissected in §1.7 and the sensitivity grids in §1.9.</w:t>
      </w:r>
    </w:p>
    <w:p>
      <w:pPr>
        <w:spacing w:after="80" w:before="200"/>
      </w:pPr>
      <w:r>
        <w:rPr>
          <w:b/>
          <w:i w:val="0"/>
          <w:color w:val="1C3A36"/>
          <w:sz w:val="24"/>
        </w:rPr>
        <w:t>1.1  Split-the-legs sum-of-the-parts — the primary lens</w:t>
      </w:r>
    </w:p>
    <w:p>
      <w:pPr>
        <w:spacing w:after="120" w:before="0"/>
      </w:pPr>
      <w:r>
        <w:rPr>
          <w:b w:val="0"/>
          <w:i w:val="0"/>
          <w:color w:val="1C3A36"/>
          <w:sz w:val="21"/>
        </w:rPr>
        <w:t>Each leg is marked on the basis that fits it. The Auto leg takes the §1.2 DCF value; GB Capital is marked on the company’s own adjusted-ROAE equity base (the disclosure that strips the MNT-Halan revaluation out of the equity denominator: NP EGP 1,366 mn / 15.1% adjusted ROAE ⇒ ~EGP 9.5 bn of operating book) at 1.0× — the return-justified multiple for a mid-teens-ROE lender whose margin is a beneficiary of the easing cycle; and the associates are held at their EGP 13.7 bn carrying value, which the June-2026 round independently corroborates (USD 1.4 bn × an estimated ~20% stake × EGP/USD ≈ 47.5 ⇒ ~EGP 13.3 bn — the stake percentage is not separately published and is flagged as an estimate). Within the associates line, MNT-Halan is essentially the whole story: ~EGP 13.3 bn of the EGP 13.7 bn carrying value (≈97%), with Bedaya and Kaf the ~EGP 0.4 bn residual — so the line is split below rather than lumped. From the sum we deduct a 10% complexity discount for the wrapper: an auto operator, an NBFI and an unlisted fintech in one listing will not trade at the clean sum of its parts.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3600"/>
            <w:shd w:val="clear" w:color="auto" w:fill="EAF0EE"/>
          </w:tcPr>
          <w:p>
            <w:pPr>
              <w:spacing w:after="20"/>
            </w:pPr>
            <w:r>
              <w:rPr>
                <w:b/>
                <w:color w:val="1C3A36"/>
                <w:sz w:val="18"/>
              </w:rPr>
              <w:t>Leg (base case)</w:t>
            </w:r>
          </w:p>
        </w:tc>
        <w:tc>
          <w:tcPr>
            <w:tcW w:type="dxa" w:w="4464"/>
            <w:shd w:val="clear" w:color="auto" w:fill="EAF0EE"/>
          </w:tcPr>
          <w:p>
            <w:pPr>
              <w:spacing w:after="20"/>
            </w:pPr>
            <w:r>
              <w:rPr>
                <w:b/>
                <w:color w:val="1C3A36"/>
                <w:sz w:val="18"/>
              </w:rPr>
              <w:t>Basis</w:t>
            </w:r>
          </w:p>
        </w:tc>
        <w:tc>
          <w:tcPr>
            <w:tcW w:type="dxa" w:w="2160"/>
            <w:shd w:val="clear" w:color="auto" w:fill="EAF0EE"/>
          </w:tcPr>
          <w:p>
            <w:pPr>
              <w:spacing w:after="20"/>
            </w:pPr>
            <w:r>
              <w:rPr>
                <w:b/>
                <w:color w:val="1C3A36"/>
                <w:sz w:val="18"/>
              </w:rPr>
              <w:t>Value (EGP mn)</w:t>
            </w:r>
          </w:p>
        </w:tc>
      </w:tr>
      <w:tr>
        <w:tc>
          <w:tcPr>
            <w:tcW w:type="dxa" w:w="3600"/>
          </w:tcPr>
          <w:p>
            <w:pPr>
              <w:spacing w:after="20"/>
            </w:pPr>
            <w:r>
              <w:rPr>
                <w:b/>
                <w:color w:val="1C3A36"/>
                <w:sz w:val="18"/>
              </w:rPr>
              <w:t>GB Auto operating leg</w:t>
            </w:r>
          </w:p>
        </w:tc>
        <w:tc>
          <w:tcPr>
            <w:tcW w:type="dxa" w:w="4464"/>
          </w:tcPr>
          <w:p>
            <w:pPr>
              <w:spacing w:after="20"/>
              <w:jc w:val="right"/>
            </w:pPr>
            <w:r>
              <w:rPr>
                <w:color w:val="1C3A36"/>
                <w:sz w:val="18"/>
              </w:rPr>
              <w:t>FCFF DCF (§1.2): EV 27,398 − net debt 15,210 − NCI 800</w:t>
            </w:r>
          </w:p>
        </w:tc>
        <w:tc>
          <w:tcPr>
            <w:tcW w:type="dxa" w:w="2160"/>
          </w:tcPr>
          <w:p>
            <w:pPr>
              <w:spacing w:after="20"/>
              <w:jc w:val="right"/>
            </w:pPr>
            <w:r>
              <w:rPr>
                <w:color w:val="1C3A36"/>
                <w:sz w:val="18"/>
              </w:rPr>
              <w:t>11,388</w:t>
            </w:r>
          </w:p>
        </w:tc>
      </w:tr>
      <w:tr>
        <w:tc>
          <w:tcPr>
            <w:tcW w:type="dxa" w:w="3600"/>
          </w:tcPr>
          <w:p>
            <w:pPr>
              <w:spacing w:after="20"/>
            </w:pPr>
            <w:r>
              <w:rPr>
                <w:b/>
                <w:color w:val="1C3A36"/>
                <w:sz w:val="18"/>
              </w:rPr>
              <w:t>GB Capital lending leg</w:t>
            </w:r>
          </w:p>
        </w:tc>
        <w:tc>
          <w:tcPr>
            <w:tcW w:type="dxa" w:w="4464"/>
          </w:tcPr>
          <w:p>
            <w:pPr>
              <w:spacing w:after="20"/>
              <w:jc w:val="right"/>
            </w:pPr>
            <w:r>
              <w:rPr>
                <w:color w:val="1C3A36"/>
                <w:sz w:val="18"/>
              </w:rPr>
              <w:t>Adjusted operating book 9,500 × 1.0×</w:t>
            </w:r>
          </w:p>
        </w:tc>
        <w:tc>
          <w:tcPr>
            <w:tcW w:type="dxa" w:w="2160"/>
          </w:tcPr>
          <w:p>
            <w:pPr>
              <w:spacing w:after="20"/>
              <w:jc w:val="right"/>
            </w:pPr>
            <w:r>
              <w:rPr>
                <w:color w:val="1C3A36"/>
                <w:sz w:val="18"/>
              </w:rPr>
              <w:t>9,500</w:t>
            </w:r>
          </w:p>
        </w:tc>
      </w:tr>
      <w:tr>
        <w:tc>
          <w:tcPr>
            <w:tcW w:type="dxa" w:w="3600"/>
          </w:tcPr>
          <w:p>
            <w:pPr>
              <w:spacing w:after="20"/>
            </w:pPr>
            <w:r>
              <w:rPr>
                <w:b/>
                <w:color w:val="1C3A36"/>
                <w:sz w:val="18"/>
              </w:rPr>
              <w:t>Associate — MNT-Halan (~20% est.)</w:t>
            </w:r>
          </w:p>
        </w:tc>
        <w:tc>
          <w:tcPr>
            <w:tcW w:type="dxa" w:w="4464"/>
          </w:tcPr>
          <w:p>
            <w:pPr>
              <w:spacing w:after="20"/>
              <w:jc w:val="right"/>
            </w:pPr>
            <w:r>
              <w:rPr>
                <w:color w:val="1C3A36"/>
                <w:sz w:val="18"/>
              </w:rPr>
              <w:t>USD 1.4 bn Jun-26 round × ~20% stake × 47.5 EGP/USD</w:t>
            </w:r>
          </w:p>
        </w:tc>
        <w:tc>
          <w:tcPr>
            <w:tcW w:type="dxa" w:w="2160"/>
          </w:tcPr>
          <w:p>
            <w:pPr>
              <w:spacing w:after="20"/>
              <w:jc w:val="right"/>
            </w:pPr>
            <w:r>
              <w:rPr>
                <w:color w:val="1C3A36"/>
                <w:sz w:val="18"/>
              </w:rPr>
              <w:t>13,300</w:t>
            </w:r>
          </w:p>
        </w:tc>
      </w:tr>
      <w:tr>
        <w:tc>
          <w:tcPr>
            <w:tcW w:type="dxa" w:w="3600"/>
          </w:tcPr>
          <w:p>
            <w:pPr>
              <w:spacing w:after="20"/>
            </w:pPr>
            <w:r>
              <w:rPr>
                <w:b/>
                <w:color w:val="1C3A36"/>
                <w:sz w:val="18"/>
              </w:rPr>
              <w:t>Other associates (Bedaya, Kaf)</w:t>
            </w:r>
          </w:p>
        </w:tc>
        <w:tc>
          <w:tcPr>
            <w:tcW w:type="dxa" w:w="4464"/>
          </w:tcPr>
          <w:p>
            <w:pPr>
              <w:spacing w:after="20"/>
              <w:jc w:val="right"/>
            </w:pPr>
            <w:r>
              <w:rPr>
                <w:color w:val="1C3A36"/>
                <w:sz w:val="18"/>
              </w:rPr>
              <w:t>Residual carrying value</w:t>
            </w:r>
          </w:p>
        </w:tc>
        <w:tc>
          <w:tcPr>
            <w:tcW w:type="dxa" w:w="2160"/>
          </w:tcPr>
          <w:p>
            <w:pPr>
              <w:spacing w:after="20"/>
              <w:jc w:val="right"/>
            </w:pPr>
            <w:r>
              <w:rPr>
                <w:color w:val="1C3A36"/>
                <w:sz w:val="18"/>
              </w:rPr>
              <w:t>390</w:t>
            </w:r>
          </w:p>
        </w:tc>
      </w:tr>
      <w:tr>
        <w:tc>
          <w:tcPr>
            <w:tcW w:type="dxa" w:w="3600"/>
          </w:tcPr>
          <w:p>
            <w:pPr>
              <w:spacing w:after="20"/>
            </w:pPr>
            <w:r>
              <w:rPr>
                <w:b/>
                <w:color w:val="1C3A36"/>
                <w:sz w:val="18"/>
              </w:rPr>
              <w:t>Σ Equity value (pre-discount)</w:t>
            </w:r>
          </w:p>
        </w:tc>
        <w:tc>
          <w:tcPr>
            <w:tcW w:type="dxa" w:w="4464"/>
          </w:tcPr>
          <w:p>
            <w:pPr>
              <w:spacing w:after="20"/>
              <w:jc w:val="right"/>
            </w:pPr>
            <w:r>
              <w:rPr>
                <w:color w:val="1C3A36"/>
                <w:sz w:val="18"/>
              </w:rPr>
              <w:t>= EGP 31.9 / share</w:t>
            </w:r>
          </w:p>
        </w:tc>
        <w:tc>
          <w:tcPr>
            <w:tcW w:type="dxa" w:w="2160"/>
          </w:tcPr>
          <w:p>
            <w:pPr>
              <w:spacing w:after="20"/>
              <w:jc w:val="right"/>
            </w:pPr>
            <w:r>
              <w:rPr>
                <w:color w:val="1C3A36"/>
                <w:sz w:val="18"/>
              </w:rPr>
              <w:t>34,577</w:t>
            </w:r>
          </w:p>
        </w:tc>
      </w:tr>
      <w:tr>
        <w:tc>
          <w:tcPr>
            <w:tcW w:type="dxa" w:w="3600"/>
          </w:tcPr>
          <w:p>
            <w:pPr>
              <w:spacing w:after="20"/>
            </w:pPr>
            <w:r>
              <w:rPr>
                <w:b/>
                <w:color w:val="1C3A36"/>
                <w:sz w:val="18"/>
              </w:rPr>
              <w:t>less: complexity / conglomerate discount</w:t>
            </w:r>
          </w:p>
        </w:tc>
        <w:tc>
          <w:tcPr>
            <w:tcW w:type="dxa" w:w="4464"/>
          </w:tcPr>
          <w:p>
            <w:pPr>
              <w:spacing w:after="20"/>
              <w:jc w:val="right"/>
            </w:pPr>
            <w:r>
              <w:rPr>
                <w:color w:val="1C3A36"/>
                <w:sz w:val="18"/>
              </w:rPr>
              <w:t>10%</w:t>
            </w:r>
          </w:p>
        </w:tc>
        <w:tc>
          <w:tcPr>
            <w:tcW w:type="dxa" w:w="2160"/>
          </w:tcPr>
          <w:p>
            <w:pPr>
              <w:spacing w:after="20"/>
              <w:jc w:val="right"/>
            </w:pPr>
            <w:r>
              <w:rPr>
                <w:color w:val="1C3A36"/>
                <w:sz w:val="18"/>
              </w:rPr>
              <w:t>(3,458)</w:t>
            </w:r>
          </w:p>
        </w:tc>
      </w:tr>
      <w:tr>
        <w:tc>
          <w:tcPr>
            <w:tcW w:type="dxa" w:w="3600"/>
          </w:tcPr>
          <w:p>
            <w:pPr>
              <w:spacing w:after="20"/>
            </w:pPr>
            <w:r>
              <w:rPr>
                <w:b/>
                <w:color w:val="1C3A36"/>
                <w:sz w:val="18"/>
              </w:rPr>
              <w:t>SOTP equity value</w:t>
            </w:r>
          </w:p>
        </w:tc>
        <w:tc>
          <w:tcPr>
            <w:tcW w:type="dxa" w:w="4464"/>
          </w:tcPr>
          <w:p>
            <w:pPr>
              <w:spacing w:after="20"/>
              <w:jc w:val="right"/>
            </w:pPr>
            <w:r>
              <w:rPr>
                <w:color w:val="1C3A36"/>
                <w:sz w:val="18"/>
              </w:rPr>
              <w:t>= EGP 28.7 / share</w:t>
            </w:r>
          </w:p>
        </w:tc>
        <w:tc>
          <w:tcPr>
            <w:tcW w:type="dxa" w:w="2160"/>
          </w:tcPr>
          <w:p>
            <w:pPr>
              <w:spacing w:after="20"/>
              <w:jc w:val="right"/>
            </w:pPr>
            <w:r>
              <w:rPr>
                <w:color w:val="1C3A36"/>
                <w:sz w:val="18"/>
              </w:rPr>
              <w:t>31,120</w:t>
            </w:r>
          </w:p>
        </w:tc>
      </w:tr>
    </w:tbl>
    <w:p>
      <w:pPr>
        <w:spacing w:after="40"/>
      </w:pPr>
    </w:p>
    <w:p>
      <w:pPr>
        <w:spacing w:after="120" w:before="0"/>
      </w:pPr>
      <w:r>
        <w:rPr>
          <w:b/>
          <w:i w:val="0"/>
          <w:color w:val="1C3A36"/>
          <w:sz w:val="21"/>
        </w:rPr>
        <w:t>SOTP base ≈ EGP 28.7/share</w:t>
      </w:r>
      <w:r>
        <w:rPr>
          <w:b w:val="0"/>
          <w:i w:val="0"/>
          <w:color w:val="1C3A36"/>
          <w:sz w:val="21"/>
        </w:rPr>
        <w:t>, with a bear–bull span of 13–50 driven mainly by the Auto margin and working-capital path, the discount, and the two financial marks (§1.9). The market-implied read is instructive: market cap less the lender and the associates leaves ~EGP 10.7 bn for the Auto leg — almost exactly our DCF’s 11.4 bn, or ~4.0× FY26E Auto EBITDA. The market is not mispricing the parts; it is pricing the wrapper at roughly our discount.</w:t>
      </w:r>
    </w:p>
    <w:p>
      <w:pPr>
        <w:spacing w:after="80" w:before="200"/>
      </w:pPr>
      <w:r>
        <w:rPr>
          <w:b/>
          <w:i w:val="0"/>
          <w:color w:val="1C3A36"/>
          <w:sz w:val="24"/>
        </w:rPr>
        <w:t>What the MNT-Halan stake is worth inside this valuation</w:t>
      </w:r>
    </w:p>
    <w:p>
      <w:pPr>
        <w:spacing w:after="80" w:before="0"/>
      </w:pPr>
      <w:r>
        <w:rPr>
          <w:b w:val="0"/>
          <w:i w:val="0"/>
          <w:color w:val="1C3A36"/>
          <w:sz w:val="19"/>
        </w:rPr>
        <w:t>Because a single unlisted mark this large deserves its own arithmetic, here is MNT-Halan’s exact footprint — every figure derived from the SOTP above: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3888"/>
            <w:shd w:val="clear" w:color="auto" w:fill="EAF0EE"/>
          </w:tcPr>
          <w:p>
            <w:pPr>
              <w:spacing w:after="20"/>
            </w:pPr>
            <w:r>
              <w:rPr>
                <w:b/>
                <w:color w:val="1C3A36"/>
                <w:sz w:val="18"/>
              </w:rPr>
              <w:t>MNT-Halan in the GBCO valuation</w:t>
            </w:r>
          </w:p>
        </w:tc>
        <w:tc>
          <w:tcPr>
            <w:tcW w:type="dxa" w:w="6336"/>
            <w:shd w:val="clear" w:color="auto" w:fill="EAF0EE"/>
          </w:tcPr>
          <w:p>
            <w:pPr>
              <w:spacing w:after="20"/>
            </w:pPr>
            <w:r>
              <w:rPr>
                <w:b/>
                <w:color w:val="1C3A36"/>
                <w:sz w:val="18"/>
              </w:rPr>
              <w:t>Value</w:t>
            </w:r>
          </w:p>
        </w:tc>
      </w:tr>
      <w:tr>
        <w:tc>
          <w:tcPr>
            <w:tcW w:type="dxa" w:w="3888"/>
          </w:tcPr>
          <w:p>
            <w:pPr>
              <w:spacing w:after="20"/>
            </w:pPr>
            <w:r>
              <w:rPr>
                <w:b/>
                <w:color w:val="1C3A36"/>
                <w:sz w:val="18"/>
              </w:rPr>
              <w:t>Implied value at the June-2026 round</w:t>
            </w:r>
          </w:p>
        </w:tc>
        <w:tc>
          <w:tcPr>
            <w:tcW w:type="dxa" w:w="6336"/>
          </w:tcPr>
          <w:p>
            <w:pPr>
              <w:spacing w:after="20"/>
              <w:jc w:val="right"/>
            </w:pPr>
            <w:r>
              <w:rPr>
                <w:color w:val="1C3A36"/>
                <w:sz w:val="18"/>
              </w:rPr>
              <w:t>USD 1.4 bn × ~20% est. stake × 47.5 = EGP 13,300 mn</w:t>
            </w:r>
          </w:p>
        </w:tc>
      </w:tr>
      <w:tr>
        <w:tc>
          <w:tcPr>
            <w:tcW w:type="dxa" w:w="3888"/>
          </w:tcPr>
          <w:p>
            <w:pPr>
              <w:spacing w:after="20"/>
            </w:pPr>
            <w:r>
              <w:rPr>
                <w:b/>
                <w:color w:val="1C3A36"/>
                <w:sz w:val="18"/>
              </w:rPr>
              <w:t>Per share, pre-discount</w:t>
            </w:r>
          </w:p>
        </w:tc>
        <w:tc>
          <w:tcPr>
            <w:tcW w:type="dxa" w:w="6336"/>
          </w:tcPr>
          <w:p>
            <w:pPr>
              <w:spacing w:after="20"/>
              <w:jc w:val="right"/>
            </w:pPr>
            <w:r>
              <w:rPr>
                <w:color w:val="1C3A36"/>
                <w:sz w:val="18"/>
              </w:rPr>
              <w:t>EGP 12.25 — 38% of the EGP 31.9 pre-discount NAV</w:t>
            </w:r>
          </w:p>
        </w:tc>
      </w:tr>
      <w:tr>
        <w:tc>
          <w:tcPr>
            <w:tcW w:type="dxa" w:w="3888"/>
          </w:tcPr>
          <w:p>
            <w:pPr>
              <w:spacing w:after="20"/>
            </w:pPr>
            <w:r>
              <w:rPr>
                <w:b/>
                <w:color w:val="1C3A36"/>
                <w:sz w:val="18"/>
              </w:rPr>
              <w:t>Per share, after the 10% discount</w:t>
            </w:r>
          </w:p>
        </w:tc>
        <w:tc>
          <w:tcPr>
            <w:tcW w:type="dxa" w:w="6336"/>
          </w:tcPr>
          <w:p>
            <w:pPr>
              <w:spacing w:after="20"/>
              <w:jc w:val="right"/>
            </w:pPr>
            <w:r>
              <w:rPr>
                <w:color w:val="1C3A36"/>
                <w:sz w:val="18"/>
              </w:rPr>
              <w:t>EGP 11.03 — 38% of the EGP 28.7 SOTP</w:t>
            </w:r>
          </w:p>
        </w:tc>
      </w:tr>
      <w:tr>
        <w:tc>
          <w:tcPr>
            <w:tcW w:type="dxa" w:w="3888"/>
          </w:tcPr>
          <w:p>
            <w:pPr>
              <w:spacing w:after="20"/>
            </w:pPr>
            <w:r>
              <w:rPr>
                <w:b/>
                <w:color w:val="1C3A36"/>
                <w:sz w:val="18"/>
              </w:rPr>
              <w:t>As a share of the market price (EGP 31.25)</w:t>
            </w:r>
          </w:p>
        </w:tc>
        <w:tc>
          <w:tcPr>
            <w:tcW w:type="dxa" w:w="6336"/>
          </w:tcPr>
          <w:p>
            <w:pPr>
              <w:spacing w:after="20"/>
              <w:jc w:val="right"/>
            </w:pPr>
            <w:r>
              <w:rPr>
                <w:color w:val="1C3A36"/>
                <w:sz w:val="18"/>
              </w:rPr>
              <w:t>≈35% — roughly a third of GB Corp’s market value</w:t>
            </w:r>
          </w:p>
        </w:tc>
      </w:tr>
      <w:tr>
        <w:tc>
          <w:tcPr>
            <w:tcW w:type="dxa" w:w="3888"/>
          </w:tcPr>
          <w:p>
            <w:pPr>
              <w:spacing w:after="20"/>
            </w:pPr>
            <w:r>
              <w:rPr>
                <w:b/>
                <w:color w:val="1C3A36"/>
                <w:sz w:val="18"/>
              </w:rPr>
              <w:t>Sensitivity to the mark</w:t>
            </w:r>
          </w:p>
        </w:tc>
        <w:tc>
          <w:tcPr>
            <w:tcW w:type="dxa" w:w="6336"/>
          </w:tcPr>
          <w:p>
            <w:pPr>
              <w:spacing w:after="20"/>
              <w:jc w:val="right"/>
            </w:pPr>
            <w:r>
              <w:rPr>
                <w:color w:val="1C3A36"/>
                <w:sz w:val="18"/>
              </w:rPr>
              <w:t>each ±0.2× on the mark = ∓EGP 2.2/share (0.8× → SOTP 26.6; 1.2× → 31.0)</w:t>
            </w:r>
          </w:p>
        </w:tc>
      </w:tr>
      <w:tr>
        <w:tc>
          <w:tcPr>
            <w:tcW w:type="dxa" w:w="3888"/>
          </w:tcPr>
          <w:p>
            <w:pPr>
              <w:spacing w:after="20"/>
            </w:pPr>
            <w:r>
              <w:rPr>
                <w:b/>
                <w:color w:val="1C3A36"/>
                <w:sz w:val="18"/>
              </w:rPr>
              <w:t>If the second closing prices at USD 2.0 bn</w:t>
            </w:r>
          </w:p>
        </w:tc>
        <w:tc>
          <w:tcPr>
            <w:tcW w:type="dxa" w:w="6336"/>
          </w:tcPr>
          <w:p>
            <w:pPr>
              <w:spacing w:after="20"/>
              <w:jc w:val="right"/>
            </w:pPr>
            <w:r>
              <w:rPr>
                <w:color w:val="1C3A36"/>
                <w:sz w:val="18"/>
              </w:rPr>
              <w:t>+EGP 4.7/share → SOTP ≈ 33.5</w:t>
            </w:r>
          </w:p>
        </w:tc>
      </w:tr>
    </w:tbl>
    <w:p>
      <w:pPr>
        <w:spacing w:after="40"/>
      </w:pPr>
    </w:p>
    <w:p>
      <w:pPr>
        <w:spacing w:after="120" w:before="0"/>
      </w:pPr>
      <w:r>
        <w:rPr>
          <w:b w:val="0"/>
          <w:i w:val="0"/>
          <w:color w:val="1C3A36"/>
          <w:sz w:val="19"/>
        </w:rPr>
        <w:t>In plain terms: roughly a third of GB Corp’s market value is a ~20% stake in an unlisted fintech, marked to a first-close price at which cash actually changed hands — the most objective mark available, but a private one. That is why the second closing is a top-three catalyst (§5), why the bear case carries the stake at 0.8× (§7), and why the stake percentage itself — estimated, not separately published — is flagged wherever it appears.</w:t>
      </w:r>
    </w:p>
    <w:p>
      <w:pPr>
        <w:spacing w:after="80" w:before="200"/>
      </w:pPr>
      <w:r>
        <w:rPr>
          <w:b/>
          <w:i w:val="0"/>
          <w:color w:val="1C3A36"/>
          <w:sz w:val="24"/>
        </w:rPr>
        <w:t>1.2  The Auto-leg DCF — the cash-flow engine of the SOTP</w:t>
      </w:r>
    </w:p>
    <w:p>
      <w:pPr>
        <w:spacing w:after="120" w:before="0"/>
      </w:pPr>
      <w:r>
        <w:rPr>
          <w:b w:val="0"/>
          <w:i w:val="0"/>
          <w:color w:val="1C3A36"/>
          <w:sz w:val="21"/>
        </w:rPr>
        <w:t>The Auto leg is built bottom-up on disclosed units × ASP per line of business (the data-discipline gate is cleared: volumes and revenue are published per LoB, so ASP is arithmetic, not guesswork — the driver table is in §1.6 and Appendix A). Gross margin glides from 13.8% (FY26E, absorbing the regional drag visible in 1Q26’s 12.4%) back to 14.5% — below FY24’s FX-windfall 19.2% by design; GS&amp;A holds ~7%; capex follows the EGP 3 bn 2026 guidance then normalizes; and the crux — net working capital — glides from 28.5% of revenue (FY25) to 21.5% by FY30E as the payables re-extension completes and the Sadat stock-build unwinds. WACC is built per the house rule (§1.8 table): Ke = 19% rf + 0.95 β × 7% ERP = 25.7%, blended with after-tax debt to 22.0%; terminal growth 11.5% nominal EGP.</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024"/>
            <w:shd w:val="clear" w:color="auto" w:fill="EAF0EE"/>
          </w:tcPr>
          <w:p>
            <w:pPr>
              <w:spacing w:after="20"/>
            </w:pPr>
            <w:r>
              <w:rPr>
                <w:b/>
                <w:color w:val="1C3A36"/>
                <w:sz w:val="17"/>
              </w:rPr>
              <w:t>EGP mn</w:t>
            </w:r>
          </w:p>
        </w:tc>
        <w:tc>
          <w:tcPr>
            <w:tcW w:type="dxa" w:w="1440"/>
            <w:shd w:val="clear" w:color="auto" w:fill="EAF0EE"/>
          </w:tcPr>
          <w:p>
            <w:pPr>
              <w:spacing w:after="20"/>
            </w:pPr>
            <w:r>
              <w:rPr>
                <w:b/>
                <w:color w:val="1C3A36"/>
                <w:sz w:val="17"/>
              </w:rPr>
              <w:t>FY26E</w:t>
            </w:r>
          </w:p>
        </w:tc>
        <w:tc>
          <w:tcPr>
            <w:tcW w:type="dxa" w:w="1440"/>
            <w:shd w:val="clear" w:color="auto" w:fill="EAF0EE"/>
          </w:tcPr>
          <w:p>
            <w:pPr>
              <w:spacing w:after="20"/>
            </w:pPr>
            <w:r>
              <w:rPr>
                <w:b/>
                <w:color w:val="1C3A36"/>
                <w:sz w:val="17"/>
              </w:rPr>
              <w:t>FY27E</w:t>
            </w:r>
          </w:p>
        </w:tc>
        <w:tc>
          <w:tcPr>
            <w:tcW w:type="dxa" w:w="1440"/>
            <w:shd w:val="clear" w:color="auto" w:fill="EAF0EE"/>
          </w:tcPr>
          <w:p>
            <w:pPr>
              <w:spacing w:after="20"/>
            </w:pPr>
            <w:r>
              <w:rPr>
                <w:b/>
                <w:color w:val="1C3A36"/>
                <w:sz w:val="17"/>
              </w:rPr>
              <w:t>FY28E</w:t>
            </w:r>
          </w:p>
        </w:tc>
        <w:tc>
          <w:tcPr>
            <w:tcW w:type="dxa" w:w="1440"/>
            <w:shd w:val="clear" w:color="auto" w:fill="EAF0EE"/>
          </w:tcPr>
          <w:p>
            <w:pPr>
              <w:spacing w:after="20"/>
            </w:pPr>
            <w:r>
              <w:rPr>
                <w:b/>
                <w:color w:val="1C3A36"/>
                <w:sz w:val="17"/>
              </w:rPr>
              <w:t>FY29E</w:t>
            </w:r>
          </w:p>
        </w:tc>
        <w:tc>
          <w:tcPr>
            <w:tcW w:type="dxa" w:w="1440"/>
            <w:shd w:val="clear" w:color="auto" w:fill="EAF0EE"/>
          </w:tcPr>
          <w:p>
            <w:pPr>
              <w:spacing w:after="20"/>
            </w:pPr>
            <w:r>
              <w:rPr>
                <w:b/>
                <w:color w:val="1C3A36"/>
                <w:sz w:val="17"/>
              </w:rPr>
              <w:t>FY30E</w:t>
            </w:r>
          </w:p>
        </w:tc>
      </w:tr>
      <w:tr>
        <w:tc>
          <w:tcPr>
            <w:tcW w:type="dxa" w:w="3024"/>
          </w:tcPr>
          <w:p>
            <w:pPr>
              <w:spacing w:after="20"/>
            </w:pPr>
            <w:r>
              <w:rPr>
                <w:b/>
                <w:color w:val="1C3A36"/>
                <w:sz w:val="17"/>
              </w:rPr>
              <w:t>Auto revenue</w:t>
            </w:r>
          </w:p>
        </w:tc>
        <w:tc>
          <w:tcPr>
            <w:tcW w:type="dxa" w:w="1440"/>
          </w:tcPr>
          <w:p>
            <w:pPr>
              <w:spacing w:after="20"/>
              <w:jc w:val="right"/>
            </w:pPr>
            <w:r>
              <w:rPr>
                <w:color w:val="1C3A36"/>
                <w:sz w:val="17"/>
              </w:rPr>
              <w:t>78,550</w:t>
            </w:r>
          </w:p>
        </w:tc>
        <w:tc>
          <w:tcPr>
            <w:tcW w:type="dxa" w:w="1440"/>
          </w:tcPr>
          <w:p>
            <w:pPr>
              <w:spacing w:after="20"/>
              <w:jc w:val="right"/>
            </w:pPr>
            <w:r>
              <w:rPr>
                <w:color w:val="1C3A36"/>
                <w:sz w:val="17"/>
              </w:rPr>
              <w:t>95,736</w:t>
            </w:r>
          </w:p>
        </w:tc>
        <w:tc>
          <w:tcPr>
            <w:tcW w:type="dxa" w:w="1440"/>
          </w:tcPr>
          <w:p>
            <w:pPr>
              <w:spacing w:after="20"/>
              <w:jc w:val="right"/>
            </w:pPr>
            <w:r>
              <w:rPr>
                <w:color w:val="1C3A36"/>
                <w:sz w:val="17"/>
              </w:rPr>
              <w:t>112,459</w:t>
            </w:r>
          </w:p>
        </w:tc>
        <w:tc>
          <w:tcPr>
            <w:tcW w:type="dxa" w:w="1440"/>
          </w:tcPr>
          <w:p>
            <w:pPr>
              <w:spacing w:after="20"/>
              <w:jc w:val="right"/>
            </w:pPr>
            <w:r>
              <w:rPr>
                <w:color w:val="1C3A36"/>
                <w:sz w:val="17"/>
              </w:rPr>
              <w:t>128,714</w:t>
            </w:r>
          </w:p>
        </w:tc>
        <w:tc>
          <w:tcPr>
            <w:tcW w:type="dxa" w:w="1440"/>
          </w:tcPr>
          <w:p>
            <w:pPr>
              <w:spacing w:after="20"/>
              <w:jc w:val="right"/>
            </w:pPr>
            <w:r>
              <w:rPr>
                <w:color w:val="1C3A36"/>
                <w:sz w:val="17"/>
              </w:rPr>
              <w:t>144,761</w:t>
            </w:r>
          </w:p>
        </w:tc>
      </w:tr>
      <w:tr>
        <w:tc>
          <w:tcPr>
            <w:tcW w:type="dxa" w:w="3024"/>
          </w:tcPr>
          <w:p>
            <w:pPr>
              <w:spacing w:after="20"/>
            </w:pPr>
            <w:r>
              <w:rPr>
                <w:b/>
                <w:color w:val="1C3A36"/>
                <w:sz w:val="17"/>
              </w:rPr>
              <w:t>EBITDA</w:t>
            </w:r>
          </w:p>
        </w:tc>
        <w:tc>
          <w:tcPr>
            <w:tcW w:type="dxa" w:w="1440"/>
          </w:tcPr>
          <w:p>
            <w:pPr>
              <w:spacing w:after="20"/>
              <w:jc w:val="right"/>
            </w:pPr>
            <w:r>
              <w:rPr>
                <w:color w:val="1C3A36"/>
                <w:sz w:val="17"/>
              </w:rPr>
              <w:t>6,677</w:t>
            </w:r>
          </w:p>
        </w:tc>
        <w:tc>
          <w:tcPr>
            <w:tcW w:type="dxa" w:w="1440"/>
          </w:tcPr>
          <w:p>
            <w:pPr>
              <w:spacing w:after="20"/>
              <w:jc w:val="right"/>
            </w:pPr>
            <w:r>
              <w:rPr>
                <w:color w:val="1C3A36"/>
                <w:sz w:val="17"/>
              </w:rPr>
              <w:t>8,616</w:t>
            </w:r>
          </w:p>
        </w:tc>
        <w:tc>
          <w:tcPr>
            <w:tcW w:type="dxa" w:w="1440"/>
          </w:tcPr>
          <w:p>
            <w:pPr>
              <w:spacing w:after="20"/>
              <w:jc w:val="right"/>
            </w:pPr>
            <w:r>
              <w:rPr>
                <w:color w:val="1C3A36"/>
                <w:sz w:val="17"/>
              </w:rPr>
              <w:t>10,571</w:t>
            </w:r>
          </w:p>
        </w:tc>
        <w:tc>
          <w:tcPr>
            <w:tcW w:type="dxa" w:w="1440"/>
          </w:tcPr>
          <w:p>
            <w:pPr>
              <w:spacing w:after="20"/>
              <w:jc w:val="right"/>
            </w:pPr>
            <w:r>
              <w:rPr>
                <w:color w:val="1C3A36"/>
                <w:sz w:val="17"/>
              </w:rPr>
              <w:t>12,228</w:t>
            </w:r>
          </w:p>
        </w:tc>
        <w:tc>
          <w:tcPr>
            <w:tcW w:type="dxa" w:w="1440"/>
          </w:tcPr>
          <w:p>
            <w:pPr>
              <w:spacing w:after="20"/>
              <w:jc w:val="right"/>
            </w:pPr>
            <w:r>
              <w:rPr>
                <w:color w:val="1C3A36"/>
                <w:sz w:val="17"/>
              </w:rPr>
              <w:t>13,752</w:t>
            </w:r>
          </w:p>
        </w:tc>
      </w:tr>
      <w:tr>
        <w:tc>
          <w:tcPr>
            <w:tcW w:type="dxa" w:w="3024"/>
          </w:tcPr>
          <w:p>
            <w:pPr>
              <w:spacing w:after="20"/>
            </w:pPr>
            <w:r>
              <w:rPr>
                <w:b/>
                <w:color w:val="1C3A36"/>
                <w:sz w:val="17"/>
              </w:rPr>
              <w:t>D&amp;A</w:t>
            </w:r>
          </w:p>
        </w:tc>
        <w:tc>
          <w:tcPr>
            <w:tcW w:type="dxa" w:w="1440"/>
          </w:tcPr>
          <w:p>
            <w:pPr>
              <w:spacing w:after="20"/>
              <w:jc w:val="right"/>
            </w:pPr>
            <w:r>
              <w:rPr>
                <w:color w:val="1C3A36"/>
                <w:sz w:val="17"/>
              </w:rPr>
              <w:t>(864)</w:t>
            </w:r>
          </w:p>
        </w:tc>
        <w:tc>
          <w:tcPr>
            <w:tcW w:type="dxa" w:w="1440"/>
          </w:tcPr>
          <w:p>
            <w:pPr>
              <w:spacing w:after="20"/>
              <w:jc w:val="right"/>
            </w:pPr>
            <w:r>
              <w:rPr>
                <w:color w:val="1C3A36"/>
                <w:sz w:val="17"/>
              </w:rPr>
              <w:t>(1,053)</w:t>
            </w:r>
          </w:p>
        </w:tc>
        <w:tc>
          <w:tcPr>
            <w:tcW w:type="dxa" w:w="1440"/>
          </w:tcPr>
          <w:p>
            <w:pPr>
              <w:spacing w:after="20"/>
              <w:jc w:val="right"/>
            </w:pPr>
            <w:r>
              <w:rPr>
                <w:color w:val="1C3A36"/>
                <w:sz w:val="17"/>
              </w:rPr>
              <w:t>(1,237)</w:t>
            </w:r>
          </w:p>
        </w:tc>
        <w:tc>
          <w:tcPr>
            <w:tcW w:type="dxa" w:w="1440"/>
          </w:tcPr>
          <w:p>
            <w:pPr>
              <w:spacing w:after="20"/>
              <w:jc w:val="right"/>
            </w:pPr>
            <w:r>
              <w:rPr>
                <w:color w:val="1C3A36"/>
                <w:sz w:val="17"/>
              </w:rPr>
              <w:t>(1,416)</w:t>
            </w:r>
          </w:p>
        </w:tc>
        <w:tc>
          <w:tcPr>
            <w:tcW w:type="dxa" w:w="1440"/>
          </w:tcPr>
          <w:p>
            <w:pPr>
              <w:spacing w:after="20"/>
              <w:jc w:val="right"/>
            </w:pPr>
            <w:r>
              <w:rPr>
                <w:color w:val="1C3A36"/>
                <w:sz w:val="17"/>
              </w:rPr>
              <w:t>(1,592)</w:t>
            </w:r>
          </w:p>
        </w:tc>
      </w:tr>
      <w:tr>
        <w:tc>
          <w:tcPr>
            <w:tcW w:type="dxa" w:w="3024"/>
          </w:tcPr>
          <w:p>
            <w:pPr>
              <w:spacing w:after="20"/>
            </w:pPr>
            <w:r>
              <w:rPr>
                <w:b/>
                <w:color w:val="1C3A36"/>
                <w:sz w:val="17"/>
              </w:rPr>
              <w:t>EBIT</w:t>
            </w:r>
          </w:p>
        </w:tc>
        <w:tc>
          <w:tcPr>
            <w:tcW w:type="dxa" w:w="1440"/>
          </w:tcPr>
          <w:p>
            <w:pPr>
              <w:spacing w:after="20"/>
              <w:jc w:val="right"/>
            </w:pPr>
            <w:r>
              <w:rPr>
                <w:color w:val="1C3A36"/>
                <w:sz w:val="17"/>
              </w:rPr>
              <w:t>5,813</w:t>
            </w:r>
          </w:p>
        </w:tc>
        <w:tc>
          <w:tcPr>
            <w:tcW w:type="dxa" w:w="1440"/>
          </w:tcPr>
          <w:p>
            <w:pPr>
              <w:spacing w:after="20"/>
              <w:jc w:val="right"/>
            </w:pPr>
            <w:r>
              <w:rPr>
                <w:color w:val="1C3A36"/>
                <w:sz w:val="17"/>
              </w:rPr>
              <w:t>7,563</w:t>
            </w:r>
          </w:p>
        </w:tc>
        <w:tc>
          <w:tcPr>
            <w:tcW w:type="dxa" w:w="1440"/>
          </w:tcPr>
          <w:p>
            <w:pPr>
              <w:spacing w:after="20"/>
              <w:jc w:val="right"/>
            </w:pPr>
            <w:r>
              <w:rPr>
                <w:color w:val="1C3A36"/>
                <w:sz w:val="17"/>
              </w:rPr>
              <w:t>9,334</w:t>
            </w:r>
          </w:p>
        </w:tc>
        <w:tc>
          <w:tcPr>
            <w:tcW w:type="dxa" w:w="1440"/>
          </w:tcPr>
          <w:p>
            <w:pPr>
              <w:spacing w:after="20"/>
              <w:jc w:val="right"/>
            </w:pPr>
            <w:r>
              <w:rPr>
                <w:color w:val="1C3A36"/>
                <w:sz w:val="17"/>
              </w:rPr>
              <w:t>10,812</w:t>
            </w:r>
          </w:p>
        </w:tc>
        <w:tc>
          <w:tcPr>
            <w:tcW w:type="dxa" w:w="1440"/>
          </w:tcPr>
          <w:p>
            <w:pPr>
              <w:spacing w:after="20"/>
              <w:jc w:val="right"/>
            </w:pPr>
            <w:r>
              <w:rPr>
                <w:color w:val="1C3A36"/>
                <w:sz w:val="17"/>
              </w:rPr>
              <w:t>12,160</w:t>
            </w:r>
          </w:p>
        </w:tc>
      </w:tr>
      <w:tr>
        <w:tc>
          <w:tcPr>
            <w:tcW w:type="dxa" w:w="3024"/>
          </w:tcPr>
          <w:p>
            <w:pPr>
              <w:spacing w:after="20"/>
            </w:pPr>
            <w:r>
              <w:rPr>
                <w:b/>
                <w:color w:val="1C3A36"/>
                <w:sz w:val="17"/>
              </w:rPr>
              <w:t>NOPAT = EBIT × (1 − 28%)</w:t>
            </w:r>
          </w:p>
        </w:tc>
        <w:tc>
          <w:tcPr>
            <w:tcW w:type="dxa" w:w="1440"/>
          </w:tcPr>
          <w:p>
            <w:pPr>
              <w:spacing w:after="20"/>
              <w:jc w:val="right"/>
            </w:pPr>
            <w:r>
              <w:rPr>
                <w:color w:val="1C3A36"/>
                <w:sz w:val="17"/>
              </w:rPr>
              <w:t>4,185</w:t>
            </w:r>
          </w:p>
        </w:tc>
        <w:tc>
          <w:tcPr>
            <w:tcW w:type="dxa" w:w="1440"/>
          </w:tcPr>
          <w:p>
            <w:pPr>
              <w:spacing w:after="20"/>
              <w:jc w:val="right"/>
            </w:pPr>
            <w:r>
              <w:rPr>
                <w:color w:val="1C3A36"/>
                <w:sz w:val="17"/>
              </w:rPr>
              <w:t>5,445</w:t>
            </w:r>
          </w:p>
        </w:tc>
        <w:tc>
          <w:tcPr>
            <w:tcW w:type="dxa" w:w="1440"/>
          </w:tcPr>
          <w:p>
            <w:pPr>
              <w:spacing w:after="20"/>
              <w:jc w:val="right"/>
            </w:pPr>
            <w:r>
              <w:rPr>
                <w:color w:val="1C3A36"/>
                <w:sz w:val="17"/>
              </w:rPr>
              <w:t>6,721</w:t>
            </w:r>
          </w:p>
        </w:tc>
        <w:tc>
          <w:tcPr>
            <w:tcW w:type="dxa" w:w="1440"/>
          </w:tcPr>
          <w:p>
            <w:pPr>
              <w:spacing w:after="20"/>
              <w:jc w:val="right"/>
            </w:pPr>
            <w:r>
              <w:rPr>
                <w:color w:val="1C3A36"/>
                <w:sz w:val="17"/>
              </w:rPr>
              <w:t>7,785</w:t>
            </w:r>
          </w:p>
        </w:tc>
        <w:tc>
          <w:tcPr>
            <w:tcW w:type="dxa" w:w="1440"/>
          </w:tcPr>
          <w:p>
            <w:pPr>
              <w:spacing w:after="20"/>
              <w:jc w:val="right"/>
            </w:pPr>
            <w:r>
              <w:rPr>
                <w:color w:val="1C3A36"/>
                <w:sz w:val="17"/>
              </w:rPr>
              <w:t>8,755</w:t>
            </w:r>
          </w:p>
        </w:tc>
      </w:tr>
      <w:tr>
        <w:tc>
          <w:tcPr>
            <w:tcW w:type="dxa" w:w="3024"/>
          </w:tcPr>
          <w:p>
            <w:pPr>
              <w:spacing w:after="20"/>
            </w:pPr>
            <w:r>
              <w:rPr>
                <w:b/>
                <w:color w:val="1C3A36"/>
                <w:sz w:val="17"/>
              </w:rPr>
              <w:t>+ D&amp;A</w:t>
            </w:r>
          </w:p>
        </w:tc>
        <w:tc>
          <w:tcPr>
            <w:tcW w:type="dxa" w:w="1440"/>
          </w:tcPr>
          <w:p>
            <w:pPr>
              <w:spacing w:after="20"/>
              <w:jc w:val="right"/>
            </w:pPr>
            <w:r>
              <w:rPr>
                <w:color w:val="1C3A36"/>
                <w:sz w:val="17"/>
              </w:rPr>
              <w:t>864</w:t>
            </w:r>
          </w:p>
        </w:tc>
        <w:tc>
          <w:tcPr>
            <w:tcW w:type="dxa" w:w="1440"/>
          </w:tcPr>
          <w:p>
            <w:pPr>
              <w:spacing w:after="20"/>
              <w:jc w:val="right"/>
            </w:pPr>
            <w:r>
              <w:rPr>
                <w:color w:val="1C3A36"/>
                <w:sz w:val="17"/>
              </w:rPr>
              <w:t>1,053</w:t>
            </w:r>
          </w:p>
        </w:tc>
        <w:tc>
          <w:tcPr>
            <w:tcW w:type="dxa" w:w="1440"/>
          </w:tcPr>
          <w:p>
            <w:pPr>
              <w:spacing w:after="20"/>
              <w:jc w:val="right"/>
            </w:pPr>
            <w:r>
              <w:rPr>
                <w:color w:val="1C3A36"/>
                <w:sz w:val="17"/>
              </w:rPr>
              <w:t>1,237</w:t>
            </w:r>
          </w:p>
        </w:tc>
        <w:tc>
          <w:tcPr>
            <w:tcW w:type="dxa" w:w="1440"/>
          </w:tcPr>
          <w:p>
            <w:pPr>
              <w:spacing w:after="20"/>
              <w:jc w:val="right"/>
            </w:pPr>
            <w:r>
              <w:rPr>
                <w:color w:val="1C3A36"/>
                <w:sz w:val="17"/>
              </w:rPr>
              <w:t>1,416</w:t>
            </w:r>
          </w:p>
        </w:tc>
        <w:tc>
          <w:tcPr>
            <w:tcW w:type="dxa" w:w="1440"/>
          </w:tcPr>
          <w:p>
            <w:pPr>
              <w:spacing w:after="20"/>
              <w:jc w:val="right"/>
            </w:pPr>
            <w:r>
              <w:rPr>
                <w:color w:val="1C3A36"/>
                <w:sz w:val="17"/>
              </w:rPr>
              <w:t>1,592</w:t>
            </w:r>
          </w:p>
        </w:tc>
      </w:tr>
      <w:tr>
        <w:tc>
          <w:tcPr>
            <w:tcW w:type="dxa" w:w="3024"/>
          </w:tcPr>
          <w:p>
            <w:pPr>
              <w:spacing w:after="20"/>
            </w:pPr>
            <w:r>
              <w:rPr>
                <w:b/>
                <w:color w:val="1C3A36"/>
                <w:sz w:val="17"/>
              </w:rPr>
              <w:t>− Capex</w:t>
            </w:r>
          </w:p>
        </w:tc>
        <w:tc>
          <w:tcPr>
            <w:tcW w:type="dxa" w:w="1440"/>
          </w:tcPr>
          <w:p>
            <w:pPr>
              <w:spacing w:after="20"/>
              <w:jc w:val="right"/>
            </w:pPr>
            <w:r>
              <w:rPr>
                <w:color w:val="1C3A36"/>
                <w:sz w:val="17"/>
              </w:rPr>
              <w:t>(3,000)</w:t>
            </w:r>
          </w:p>
        </w:tc>
        <w:tc>
          <w:tcPr>
            <w:tcW w:type="dxa" w:w="1440"/>
          </w:tcPr>
          <w:p>
            <w:pPr>
              <w:spacing w:after="20"/>
              <w:jc w:val="right"/>
            </w:pPr>
            <w:r>
              <w:rPr>
                <w:color w:val="1C3A36"/>
                <w:sz w:val="17"/>
              </w:rPr>
              <w:t>(2,400)</w:t>
            </w:r>
          </w:p>
        </w:tc>
        <w:tc>
          <w:tcPr>
            <w:tcW w:type="dxa" w:w="1440"/>
          </w:tcPr>
          <w:p>
            <w:pPr>
              <w:spacing w:after="20"/>
              <w:jc w:val="right"/>
            </w:pPr>
            <w:r>
              <w:rPr>
                <w:color w:val="1C3A36"/>
                <w:sz w:val="17"/>
              </w:rPr>
              <w:t>(2,500)</w:t>
            </w:r>
          </w:p>
        </w:tc>
        <w:tc>
          <w:tcPr>
            <w:tcW w:type="dxa" w:w="1440"/>
          </w:tcPr>
          <w:p>
            <w:pPr>
              <w:spacing w:after="20"/>
              <w:jc w:val="right"/>
            </w:pPr>
            <w:r>
              <w:rPr>
                <w:color w:val="1C3A36"/>
                <w:sz w:val="17"/>
              </w:rPr>
              <w:t>(2,600)</w:t>
            </w:r>
          </w:p>
        </w:tc>
        <w:tc>
          <w:tcPr>
            <w:tcW w:type="dxa" w:w="1440"/>
          </w:tcPr>
          <w:p>
            <w:pPr>
              <w:spacing w:after="20"/>
              <w:jc w:val="right"/>
            </w:pPr>
            <w:r>
              <w:rPr>
                <w:color w:val="1C3A36"/>
                <w:sz w:val="17"/>
              </w:rPr>
              <w:t>(2,800)</w:t>
            </w:r>
          </w:p>
        </w:tc>
      </w:tr>
      <w:tr>
        <w:tc>
          <w:tcPr>
            <w:tcW w:type="dxa" w:w="3024"/>
          </w:tcPr>
          <w:p>
            <w:pPr>
              <w:spacing w:after="20"/>
            </w:pPr>
            <w:r>
              <w:rPr>
                <w:b/>
                <w:color w:val="1C3A36"/>
                <w:sz w:val="17"/>
              </w:rPr>
              <w:t>− Δ working capital</w:t>
            </w:r>
          </w:p>
        </w:tc>
        <w:tc>
          <w:tcPr>
            <w:tcW w:type="dxa" w:w="1440"/>
          </w:tcPr>
          <w:p>
            <w:pPr>
              <w:spacing w:after="20"/>
              <w:jc w:val="right"/>
            </w:pPr>
            <w:r>
              <w:rPr>
                <w:color w:val="1C3A36"/>
                <w:sz w:val="17"/>
              </w:rPr>
              <w:t>(1,899)</w:t>
            </w:r>
          </w:p>
        </w:tc>
        <w:tc>
          <w:tcPr>
            <w:tcW w:type="dxa" w:w="1440"/>
          </w:tcPr>
          <w:p>
            <w:pPr>
              <w:spacing w:after="20"/>
              <w:jc w:val="right"/>
            </w:pPr>
            <w:r>
              <w:rPr>
                <w:color w:val="1C3A36"/>
                <w:sz w:val="17"/>
              </w:rPr>
              <w:t>(3,118)</w:t>
            </w:r>
          </w:p>
        </w:tc>
        <w:tc>
          <w:tcPr>
            <w:tcW w:type="dxa" w:w="1440"/>
          </w:tcPr>
          <w:p>
            <w:pPr>
              <w:spacing w:after="20"/>
              <w:jc w:val="right"/>
            </w:pPr>
            <w:r>
              <w:rPr>
                <w:color w:val="1C3A36"/>
                <w:sz w:val="17"/>
              </w:rPr>
              <w:t>(2,494)</w:t>
            </w:r>
          </w:p>
        </w:tc>
        <w:tc>
          <w:tcPr>
            <w:tcW w:type="dxa" w:w="1440"/>
          </w:tcPr>
          <w:p>
            <w:pPr>
              <w:spacing w:after="20"/>
              <w:jc w:val="right"/>
            </w:pPr>
            <w:r>
              <w:rPr>
                <w:color w:val="1C3A36"/>
                <w:sz w:val="17"/>
              </w:rPr>
              <w:t>(2,533)</w:t>
            </w:r>
          </w:p>
        </w:tc>
        <w:tc>
          <w:tcPr>
            <w:tcW w:type="dxa" w:w="1440"/>
          </w:tcPr>
          <w:p>
            <w:pPr>
              <w:spacing w:after="20"/>
              <w:jc w:val="right"/>
            </w:pPr>
            <w:r>
              <w:rPr>
                <w:color w:val="1C3A36"/>
                <w:sz w:val="17"/>
              </w:rPr>
              <w:t>(2,163)</w:t>
            </w:r>
          </w:p>
        </w:tc>
      </w:tr>
      <w:tr>
        <w:tc>
          <w:tcPr>
            <w:tcW w:type="dxa" w:w="3024"/>
          </w:tcPr>
          <w:p>
            <w:pPr>
              <w:spacing w:after="20"/>
            </w:pPr>
            <w:r>
              <w:rPr>
                <w:b/>
                <w:color w:val="1C3A36"/>
                <w:sz w:val="17"/>
              </w:rPr>
              <w:t>FCFF</w:t>
            </w:r>
          </w:p>
        </w:tc>
        <w:tc>
          <w:tcPr>
            <w:tcW w:type="dxa" w:w="1440"/>
          </w:tcPr>
          <w:p>
            <w:pPr>
              <w:spacing w:after="20"/>
              <w:jc w:val="right"/>
            </w:pPr>
            <w:r>
              <w:rPr>
                <w:color w:val="1C3A36"/>
                <w:sz w:val="17"/>
              </w:rPr>
              <w:t>151</w:t>
            </w:r>
          </w:p>
        </w:tc>
        <w:tc>
          <w:tcPr>
            <w:tcW w:type="dxa" w:w="1440"/>
          </w:tcPr>
          <w:p>
            <w:pPr>
              <w:spacing w:after="20"/>
              <w:jc w:val="right"/>
            </w:pPr>
            <w:r>
              <w:rPr>
                <w:color w:val="1C3A36"/>
                <w:sz w:val="17"/>
              </w:rPr>
              <w:t>980</w:t>
            </w:r>
          </w:p>
        </w:tc>
        <w:tc>
          <w:tcPr>
            <w:tcW w:type="dxa" w:w="1440"/>
          </w:tcPr>
          <w:p>
            <w:pPr>
              <w:spacing w:after="20"/>
              <w:jc w:val="right"/>
            </w:pPr>
            <w:r>
              <w:rPr>
                <w:color w:val="1C3A36"/>
                <w:sz w:val="17"/>
              </w:rPr>
              <w:t>2,964</w:t>
            </w:r>
          </w:p>
        </w:tc>
        <w:tc>
          <w:tcPr>
            <w:tcW w:type="dxa" w:w="1440"/>
          </w:tcPr>
          <w:p>
            <w:pPr>
              <w:spacing w:after="20"/>
              <w:jc w:val="right"/>
            </w:pPr>
            <w:r>
              <w:rPr>
                <w:color w:val="1C3A36"/>
                <w:sz w:val="17"/>
              </w:rPr>
              <w:t>4,068</w:t>
            </w:r>
          </w:p>
        </w:tc>
        <w:tc>
          <w:tcPr>
            <w:tcW w:type="dxa" w:w="1440"/>
          </w:tcPr>
          <w:p>
            <w:pPr>
              <w:spacing w:after="20"/>
              <w:jc w:val="right"/>
            </w:pPr>
            <w:r>
              <w:rPr>
                <w:color w:val="1C3A36"/>
                <w:sz w:val="17"/>
              </w:rPr>
              <w:t>5,384</w:t>
            </w:r>
          </w:p>
        </w:tc>
      </w:tr>
      <w:tr>
        <w:tc>
          <w:tcPr>
            <w:tcW w:type="dxa" w:w="3024"/>
          </w:tcPr>
          <w:p>
            <w:pPr>
              <w:spacing w:after="20"/>
            </w:pPr>
            <w:r>
              <w:rPr>
                <w:b/>
                <w:color w:val="1C3A36"/>
                <w:sz w:val="17"/>
              </w:rPr>
              <w:t>Discount factor</w:t>
            </w:r>
          </w:p>
        </w:tc>
        <w:tc>
          <w:tcPr>
            <w:tcW w:type="dxa" w:w="1440"/>
          </w:tcPr>
          <w:p>
            <w:pPr>
              <w:spacing w:after="20"/>
              <w:jc w:val="right"/>
            </w:pPr>
            <w:r>
              <w:rPr>
                <w:color w:val="1C3A36"/>
                <w:sz w:val="17"/>
              </w:rPr>
              <w:t>0.820</w:t>
            </w:r>
          </w:p>
        </w:tc>
        <w:tc>
          <w:tcPr>
            <w:tcW w:type="dxa" w:w="1440"/>
          </w:tcPr>
          <w:p>
            <w:pPr>
              <w:spacing w:after="20"/>
              <w:jc w:val="right"/>
            </w:pPr>
            <w:r>
              <w:rPr>
                <w:color w:val="1C3A36"/>
                <w:sz w:val="17"/>
              </w:rPr>
              <w:t>0.672</w:t>
            </w:r>
          </w:p>
        </w:tc>
        <w:tc>
          <w:tcPr>
            <w:tcW w:type="dxa" w:w="1440"/>
          </w:tcPr>
          <w:p>
            <w:pPr>
              <w:spacing w:after="20"/>
              <w:jc w:val="right"/>
            </w:pPr>
            <w:r>
              <w:rPr>
                <w:color w:val="1C3A36"/>
                <w:sz w:val="17"/>
              </w:rPr>
              <w:t>0.551</w:t>
            </w:r>
          </w:p>
        </w:tc>
        <w:tc>
          <w:tcPr>
            <w:tcW w:type="dxa" w:w="1440"/>
          </w:tcPr>
          <w:p>
            <w:pPr>
              <w:spacing w:after="20"/>
              <w:jc w:val="right"/>
            </w:pPr>
            <w:r>
              <w:rPr>
                <w:color w:val="1C3A36"/>
                <w:sz w:val="17"/>
              </w:rPr>
              <w:t>0.451</w:t>
            </w:r>
          </w:p>
        </w:tc>
        <w:tc>
          <w:tcPr>
            <w:tcW w:type="dxa" w:w="1440"/>
          </w:tcPr>
          <w:p>
            <w:pPr>
              <w:spacing w:after="20"/>
              <w:jc w:val="right"/>
            </w:pPr>
            <w:r>
              <w:rPr>
                <w:color w:val="1C3A36"/>
                <w:sz w:val="17"/>
              </w:rPr>
              <w:t>0.370</w:t>
            </w:r>
          </w:p>
        </w:tc>
      </w:tr>
      <w:tr>
        <w:tc>
          <w:tcPr>
            <w:tcW w:type="dxa" w:w="3024"/>
          </w:tcPr>
          <w:p>
            <w:pPr>
              <w:spacing w:after="20"/>
            </w:pPr>
            <w:r>
              <w:rPr>
                <w:b/>
                <w:color w:val="1C3A36"/>
                <w:sz w:val="17"/>
              </w:rPr>
              <w:t>PV of FCFF</w:t>
            </w:r>
          </w:p>
        </w:tc>
        <w:tc>
          <w:tcPr>
            <w:tcW w:type="dxa" w:w="1440"/>
          </w:tcPr>
          <w:p>
            <w:pPr>
              <w:spacing w:after="20"/>
              <w:jc w:val="right"/>
            </w:pPr>
            <w:r>
              <w:rPr>
                <w:color w:val="1C3A36"/>
                <w:sz w:val="17"/>
              </w:rPr>
              <w:t>123</w:t>
            </w:r>
          </w:p>
        </w:tc>
        <w:tc>
          <w:tcPr>
            <w:tcW w:type="dxa" w:w="1440"/>
          </w:tcPr>
          <w:p>
            <w:pPr>
              <w:spacing w:after="20"/>
              <w:jc w:val="right"/>
            </w:pPr>
            <w:r>
              <w:rPr>
                <w:color w:val="1C3A36"/>
                <w:sz w:val="17"/>
              </w:rPr>
              <w:t>659</w:t>
            </w:r>
          </w:p>
        </w:tc>
        <w:tc>
          <w:tcPr>
            <w:tcW w:type="dxa" w:w="1440"/>
          </w:tcPr>
          <w:p>
            <w:pPr>
              <w:spacing w:after="20"/>
              <w:jc w:val="right"/>
            </w:pPr>
            <w:r>
              <w:rPr>
                <w:color w:val="1C3A36"/>
                <w:sz w:val="17"/>
              </w:rPr>
              <w:t>1,632</w:t>
            </w:r>
          </w:p>
        </w:tc>
        <w:tc>
          <w:tcPr>
            <w:tcW w:type="dxa" w:w="1440"/>
          </w:tcPr>
          <w:p>
            <w:pPr>
              <w:spacing w:after="20"/>
              <w:jc w:val="right"/>
            </w:pPr>
            <w:r>
              <w:rPr>
                <w:color w:val="1C3A36"/>
                <w:sz w:val="17"/>
              </w:rPr>
              <w:t>1,836</w:t>
            </w:r>
          </w:p>
        </w:tc>
        <w:tc>
          <w:tcPr>
            <w:tcW w:type="dxa" w:w="1440"/>
          </w:tcPr>
          <w:p>
            <w:pPr>
              <w:spacing w:after="20"/>
              <w:jc w:val="right"/>
            </w:pPr>
            <w:r>
              <w:rPr>
                <w:color w:val="1C3A36"/>
                <w:sz w:val="17"/>
              </w:rPr>
              <w:t>1,992</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5760"/>
            <w:shd w:val="clear" w:color="auto" w:fill="EAF0EE"/>
          </w:tcPr>
          <w:p>
            <w:pPr>
              <w:spacing w:after="20"/>
            </w:pPr>
            <w:r>
              <w:rPr>
                <w:b/>
                <w:color w:val="1C3A36"/>
                <w:sz w:val="18"/>
              </w:rPr>
              <w:t>DCF bridge</w:t>
            </w:r>
          </w:p>
        </w:tc>
        <w:tc>
          <w:tcPr>
            <w:tcW w:type="dxa" w:w="2304"/>
            <w:shd w:val="clear" w:color="auto" w:fill="EAF0EE"/>
          </w:tcPr>
          <w:p>
            <w:pPr>
              <w:spacing w:after="20"/>
            </w:pPr>
            <w:r>
              <w:rPr>
                <w:b/>
                <w:color w:val="1C3A36"/>
                <w:sz w:val="18"/>
              </w:rPr>
              <w:t>EGP mn</w:t>
            </w:r>
          </w:p>
        </w:tc>
      </w:tr>
      <w:tr>
        <w:tc>
          <w:tcPr>
            <w:tcW w:type="dxa" w:w="5760"/>
          </w:tcPr>
          <w:p>
            <w:pPr>
              <w:spacing w:after="20"/>
            </w:pPr>
            <w:r>
              <w:rPr>
                <w:b/>
                <w:color w:val="1C3A36"/>
                <w:sz w:val="18"/>
              </w:rPr>
              <w:t>Σ PV of explicit FCFF (FY26–30E)</w:t>
            </w:r>
          </w:p>
        </w:tc>
        <w:tc>
          <w:tcPr>
            <w:tcW w:type="dxa" w:w="2304"/>
          </w:tcPr>
          <w:p>
            <w:pPr>
              <w:spacing w:after="20"/>
              <w:jc w:val="right"/>
            </w:pPr>
            <w:r>
              <w:rPr>
                <w:color w:val="1C3A36"/>
                <w:sz w:val="18"/>
              </w:rPr>
              <w:t>6,243</w:t>
            </w:r>
          </w:p>
        </w:tc>
      </w:tr>
      <w:tr>
        <w:tc>
          <w:tcPr>
            <w:tcW w:type="dxa" w:w="5760"/>
          </w:tcPr>
          <w:p>
            <w:pPr>
              <w:spacing w:after="20"/>
            </w:pPr>
            <w:r>
              <w:rPr>
                <w:b/>
                <w:color w:val="1C3A36"/>
                <w:sz w:val="18"/>
              </w:rPr>
              <w:t>Terminal value (Gordon, g = 11.5%)</w:t>
            </w:r>
          </w:p>
        </w:tc>
        <w:tc>
          <w:tcPr>
            <w:tcW w:type="dxa" w:w="2304"/>
          </w:tcPr>
          <w:p>
            <w:pPr>
              <w:spacing w:after="20"/>
              <w:jc w:val="right"/>
            </w:pPr>
            <w:r>
              <w:rPr>
                <w:color w:val="1C3A36"/>
                <w:sz w:val="18"/>
              </w:rPr>
              <w:t>57,178</w:t>
            </w:r>
          </w:p>
        </w:tc>
      </w:tr>
      <w:tr>
        <w:tc>
          <w:tcPr>
            <w:tcW w:type="dxa" w:w="5760"/>
          </w:tcPr>
          <w:p>
            <w:pPr>
              <w:spacing w:after="20"/>
            </w:pPr>
            <w:r>
              <w:rPr>
                <w:b/>
                <w:color w:val="1C3A36"/>
                <w:sz w:val="18"/>
              </w:rPr>
              <w:t>PV of terminal value</w:t>
            </w:r>
          </w:p>
        </w:tc>
        <w:tc>
          <w:tcPr>
            <w:tcW w:type="dxa" w:w="2304"/>
          </w:tcPr>
          <w:p>
            <w:pPr>
              <w:spacing w:after="20"/>
              <w:jc w:val="right"/>
            </w:pPr>
            <w:r>
              <w:rPr>
                <w:color w:val="1C3A36"/>
                <w:sz w:val="18"/>
              </w:rPr>
              <w:t>21,156</w:t>
            </w:r>
          </w:p>
        </w:tc>
      </w:tr>
      <w:tr>
        <w:tc>
          <w:tcPr>
            <w:tcW w:type="dxa" w:w="5760"/>
          </w:tcPr>
          <w:p>
            <w:pPr>
              <w:spacing w:after="20"/>
            </w:pPr>
            <w:r>
              <w:rPr>
                <w:b/>
                <w:color w:val="1C3A36"/>
                <w:sz w:val="18"/>
              </w:rPr>
              <w:t>Enterprise value — Auto leg</w:t>
            </w:r>
          </w:p>
        </w:tc>
        <w:tc>
          <w:tcPr>
            <w:tcW w:type="dxa" w:w="2304"/>
          </w:tcPr>
          <w:p>
            <w:pPr>
              <w:spacing w:after="20"/>
              <w:jc w:val="right"/>
            </w:pPr>
            <w:r>
              <w:rPr>
                <w:color w:val="1C3A36"/>
                <w:sz w:val="18"/>
              </w:rPr>
              <w:t>27,398</w:t>
            </w:r>
          </w:p>
        </w:tc>
      </w:tr>
      <w:tr>
        <w:tc>
          <w:tcPr>
            <w:tcW w:type="dxa" w:w="5760"/>
          </w:tcPr>
          <w:p>
            <w:pPr>
              <w:spacing w:after="20"/>
            </w:pPr>
            <w:r>
              <w:rPr>
                <w:b/>
                <w:color w:val="1C3A36"/>
                <w:sz w:val="18"/>
              </w:rPr>
              <w:t>Terminal value as % of EV (device A-7)</w:t>
            </w:r>
          </w:p>
        </w:tc>
        <w:tc>
          <w:tcPr>
            <w:tcW w:type="dxa" w:w="2304"/>
          </w:tcPr>
          <w:p>
            <w:pPr>
              <w:spacing w:after="20"/>
              <w:jc w:val="right"/>
            </w:pPr>
            <w:r>
              <w:rPr>
                <w:color w:val="1C3A36"/>
                <w:sz w:val="18"/>
              </w:rPr>
              <w:t>77%</w:t>
            </w:r>
          </w:p>
        </w:tc>
      </w:tr>
      <w:tr>
        <w:tc>
          <w:tcPr>
            <w:tcW w:type="dxa" w:w="5760"/>
          </w:tcPr>
          <w:p>
            <w:pPr>
              <w:spacing w:after="20"/>
            </w:pPr>
            <w:r>
              <w:rPr>
                <w:b/>
                <w:color w:val="1C3A36"/>
                <w:sz w:val="18"/>
              </w:rPr>
              <w:t>less: Auto net debt · Auto NCI</w:t>
            </w:r>
          </w:p>
        </w:tc>
        <w:tc>
          <w:tcPr>
            <w:tcW w:type="dxa" w:w="2304"/>
          </w:tcPr>
          <w:p>
            <w:pPr>
              <w:spacing w:after="20"/>
              <w:jc w:val="right"/>
            </w:pPr>
            <w:r>
              <w:rPr>
                <w:color w:val="1C3A36"/>
                <w:sz w:val="18"/>
              </w:rPr>
              <w:t>(15,210) · (800)</w:t>
            </w:r>
          </w:p>
        </w:tc>
      </w:tr>
      <w:tr>
        <w:tc>
          <w:tcPr>
            <w:tcW w:type="dxa" w:w="5760"/>
          </w:tcPr>
          <w:p>
            <w:pPr>
              <w:spacing w:after="20"/>
            </w:pPr>
            <w:r>
              <w:rPr>
                <w:b/>
                <w:color w:val="1C3A36"/>
                <w:sz w:val="18"/>
              </w:rPr>
              <w:t>Auto equity value</w:t>
            </w:r>
          </w:p>
        </w:tc>
        <w:tc>
          <w:tcPr>
            <w:tcW w:type="dxa" w:w="2304"/>
          </w:tcPr>
          <w:p>
            <w:pPr>
              <w:spacing w:after="20"/>
              <w:jc w:val="right"/>
            </w:pPr>
            <w:r>
              <w:rPr>
                <w:color w:val="1C3A36"/>
                <w:sz w:val="18"/>
              </w:rPr>
              <w:t>11,388</w:t>
            </w:r>
          </w:p>
        </w:tc>
      </w:tr>
    </w:tbl>
    <w:p>
      <w:pPr>
        <w:spacing w:after="40"/>
      </w:pPr>
    </w:p>
    <w:p>
      <w:pPr>
        <w:spacing w:after="120" w:before="0"/>
      </w:pPr>
      <w:r>
        <w:rPr>
          <w:b w:val="0"/>
          <w:i w:val="0"/>
          <w:color w:val="1C3A36"/>
          <w:sz w:val="21"/>
        </w:rPr>
        <w:t>Two honesty notes. First, 77% of the EV sits in the terminal value — this is a growth-and-rates bet dressed as a five-year model, which is why §1.9 sensitizes the WACC × terminal-g grid rather than hiding it. Second, the explicit-period FCFF is thin (EGP 0.2 bn in FY26E) precisely because growth consumes working capital; the value is in the steady state, not the ramp. Both are disclosed rather than blended away (device A-8).</w:t>
      </w:r>
    </w:p>
    <w:p>
      <w:pPr>
        <w:spacing w:after="80" w:before="200"/>
      </w:pPr>
      <w:r>
        <w:rPr>
          <w:b/>
          <w:i w:val="0"/>
          <w:color w:val="1C3A36"/>
          <w:sz w:val="24"/>
        </w:rPr>
        <w:t>1.3  Relative multiples</w:t>
      </w:r>
    </w:p>
    <w:p>
      <w:pPr>
        <w:spacing w:after="120" w:before="0"/>
      </w:pPr>
      <w:r>
        <w:rPr>
          <w:b w:val="0"/>
          <w:i w:val="0"/>
          <w:color w:val="1C3A36"/>
          <w:sz w:val="21"/>
        </w:rPr>
        <w:t>On FY25 earnings GB Corp trades at ~11.8× P/E and ~1.18× book. On the FY26E build (~EGP 3.3 bn attributable, EPS ~3.04) the forward P/E is ~10.3×. A justified multiple for the blend — an EM auto distributor (typically 8–12×) plus a mid-teens-ROE NBFI (6–10×) with an unlisted fintech kicker — sits around 8–11×. We mark the lens on the FY26E EPS.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744"/>
            <w:shd w:val="clear" w:color="auto" w:fill="EAF0EE"/>
          </w:tcPr>
          <w:p>
            <w:pPr>
              <w:spacing w:after="20"/>
            </w:pPr>
            <w:r>
              <w:rPr>
                <w:b/>
                <w:color w:val="1C3A36"/>
                <w:sz w:val="18"/>
              </w:rPr>
              <w:t>Relative basis</w:t>
            </w:r>
          </w:p>
        </w:tc>
        <w:tc>
          <w:tcPr>
            <w:tcW w:type="dxa" w:w="1872"/>
            <w:shd w:val="clear" w:color="auto" w:fill="EAF0EE"/>
          </w:tcPr>
          <w:p>
            <w:pPr>
              <w:spacing w:after="20"/>
            </w:pPr>
            <w:r>
              <w:rPr>
                <w:b/>
                <w:color w:val="1C3A36"/>
                <w:sz w:val="18"/>
              </w:rPr>
              <w:t>Bear</w:t>
            </w:r>
          </w:p>
        </w:tc>
        <w:tc>
          <w:tcPr>
            <w:tcW w:type="dxa" w:w="1872"/>
            <w:shd w:val="clear" w:color="auto" w:fill="EAF0EE"/>
          </w:tcPr>
          <w:p>
            <w:pPr>
              <w:spacing w:after="20"/>
            </w:pPr>
            <w:r>
              <w:rPr>
                <w:b/>
                <w:color w:val="1C3A36"/>
                <w:sz w:val="18"/>
              </w:rPr>
              <w:t>Base</w:t>
            </w:r>
          </w:p>
        </w:tc>
        <w:tc>
          <w:tcPr>
            <w:tcW w:type="dxa" w:w="1872"/>
            <w:shd w:val="clear" w:color="auto" w:fill="EAF0EE"/>
          </w:tcPr>
          <w:p>
            <w:pPr>
              <w:spacing w:after="20"/>
            </w:pPr>
            <w:r>
              <w:rPr>
                <w:b/>
                <w:color w:val="1C3A36"/>
                <w:sz w:val="18"/>
              </w:rPr>
              <w:t>Bull</w:t>
            </w:r>
          </w:p>
        </w:tc>
      </w:tr>
      <w:tr>
        <w:tc>
          <w:tcPr>
            <w:tcW w:type="dxa" w:w="3744"/>
          </w:tcPr>
          <w:p>
            <w:pPr>
              <w:spacing w:after="20"/>
            </w:pPr>
            <w:r>
              <w:rPr>
                <w:b/>
                <w:color w:val="1C3A36"/>
                <w:sz w:val="18"/>
              </w:rPr>
              <w:t>FY26E net profit (EGP mn)</w:t>
            </w:r>
          </w:p>
        </w:tc>
        <w:tc>
          <w:tcPr>
            <w:tcW w:type="dxa" w:w="1872"/>
          </w:tcPr>
          <w:p>
            <w:pPr>
              <w:spacing w:after="20"/>
              <w:jc w:val="right"/>
            </w:pPr>
            <w:r>
              <w:rPr>
                <w:color w:val="1C3A36"/>
                <w:sz w:val="18"/>
              </w:rPr>
              <w:t>3,300</w:t>
            </w:r>
          </w:p>
        </w:tc>
        <w:tc>
          <w:tcPr>
            <w:tcW w:type="dxa" w:w="1872"/>
          </w:tcPr>
          <w:p>
            <w:pPr>
              <w:spacing w:after="20"/>
              <w:jc w:val="right"/>
            </w:pPr>
            <w:r>
              <w:rPr>
                <w:color w:val="1C3A36"/>
                <w:sz w:val="18"/>
              </w:rPr>
              <w:t>3,300</w:t>
            </w:r>
          </w:p>
        </w:tc>
        <w:tc>
          <w:tcPr>
            <w:tcW w:type="dxa" w:w="1872"/>
          </w:tcPr>
          <w:p>
            <w:pPr>
              <w:spacing w:after="20"/>
              <w:jc w:val="right"/>
            </w:pPr>
            <w:r>
              <w:rPr>
                <w:color w:val="1C3A36"/>
                <w:sz w:val="18"/>
              </w:rPr>
              <w:t>3,300</w:t>
            </w:r>
          </w:p>
        </w:tc>
      </w:tr>
      <w:tr>
        <w:tc>
          <w:tcPr>
            <w:tcW w:type="dxa" w:w="3744"/>
          </w:tcPr>
          <w:p>
            <w:pPr>
              <w:spacing w:after="20"/>
            </w:pPr>
            <w:r>
              <w:rPr>
                <w:b/>
                <w:color w:val="1C3A36"/>
                <w:sz w:val="18"/>
              </w:rPr>
              <w:t>Justified P/E</w:t>
            </w:r>
          </w:p>
        </w:tc>
        <w:tc>
          <w:tcPr>
            <w:tcW w:type="dxa" w:w="1872"/>
          </w:tcPr>
          <w:p>
            <w:pPr>
              <w:spacing w:after="20"/>
              <w:jc w:val="right"/>
            </w:pPr>
            <w:r>
              <w:rPr>
                <w:color w:val="1C3A36"/>
                <w:sz w:val="18"/>
              </w:rPr>
              <w:t>8.0×</w:t>
            </w:r>
          </w:p>
        </w:tc>
        <w:tc>
          <w:tcPr>
            <w:tcW w:type="dxa" w:w="1872"/>
          </w:tcPr>
          <w:p>
            <w:pPr>
              <w:spacing w:after="20"/>
              <w:jc w:val="right"/>
            </w:pPr>
            <w:r>
              <w:rPr>
                <w:color w:val="1C3A36"/>
                <w:sz w:val="18"/>
              </w:rPr>
              <w:t>9.5×</w:t>
            </w:r>
          </w:p>
        </w:tc>
        <w:tc>
          <w:tcPr>
            <w:tcW w:type="dxa" w:w="1872"/>
          </w:tcPr>
          <w:p>
            <w:pPr>
              <w:spacing w:after="20"/>
              <w:jc w:val="right"/>
            </w:pPr>
            <w:r>
              <w:rPr>
                <w:color w:val="1C3A36"/>
                <w:sz w:val="18"/>
              </w:rPr>
              <w:t>11.0×</w:t>
            </w:r>
          </w:p>
        </w:tc>
      </w:tr>
      <w:tr>
        <w:tc>
          <w:tcPr>
            <w:tcW w:type="dxa" w:w="3744"/>
          </w:tcPr>
          <w:p>
            <w:pPr>
              <w:spacing w:after="20"/>
            </w:pPr>
            <w:r>
              <w:rPr>
                <w:b/>
                <w:color w:val="1C3A36"/>
                <w:sz w:val="18"/>
              </w:rPr>
              <w:t>Fair value (EGP/share)</w:t>
            </w:r>
          </w:p>
        </w:tc>
        <w:tc>
          <w:tcPr>
            <w:tcW w:type="dxa" w:w="1872"/>
          </w:tcPr>
          <w:p>
            <w:pPr>
              <w:spacing w:after="20"/>
              <w:jc w:val="right"/>
            </w:pPr>
            <w:r>
              <w:rPr>
                <w:color w:val="1C3A36"/>
                <w:sz w:val="18"/>
              </w:rPr>
              <w:t>24.3</w:t>
            </w:r>
          </w:p>
        </w:tc>
        <w:tc>
          <w:tcPr>
            <w:tcW w:type="dxa" w:w="1872"/>
          </w:tcPr>
          <w:p>
            <w:pPr>
              <w:spacing w:after="20"/>
              <w:jc w:val="right"/>
            </w:pPr>
            <w:r>
              <w:rPr>
                <w:color w:val="1C3A36"/>
                <w:sz w:val="18"/>
              </w:rPr>
              <w:t>28.9</w:t>
            </w:r>
          </w:p>
        </w:tc>
        <w:tc>
          <w:tcPr>
            <w:tcW w:type="dxa" w:w="1872"/>
          </w:tcPr>
          <w:p>
            <w:pPr>
              <w:spacing w:after="20"/>
              <w:jc w:val="right"/>
            </w:pPr>
            <w:r>
              <w:rPr>
                <w:color w:val="1C3A36"/>
                <w:sz w:val="18"/>
              </w:rPr>
              <w:t>33.4</w:t>
            </w:r>
          </w:p>
        </w:tc>
      </w:tr>
    </w:tbl>
    <w:p>
      <w:pPr>
        <w:spacing w:after="40"/>
      </w:pPr>
    </w:p>
    <w:p>
      <w:pPr>
        <w:spacing w:after="120" w:before="0"/>
      </w:pPr>
      <w:r>
        <w:rPr>
          <w:b/>
          <w:i w:val="0"/>
          <w:color w:val="1C3A36"/>
          <w:sz w:val="21"/>
        </w:rPr>
        <w:t>Relative base ≈ EGP 28.9</w:t>
      </w:r>
      <w:r>
        <w:rPr>
          <w:b w:val="0"/>
          <w:i w:val="0"/>
          <w:color w:val="1C3A36"/>
          <w:sz w:val="21"/>
        </w:rPr>
        <w:t xml:space="preserve"> — the most conservative lens and probably where a sceptic anchors: it pays for this year’s earnings and gives nothing for the working-capital release or the associate optionality.</w:t>
      </w:r>
    </w:p>
    <w:p>
      <w:pPr>
        <w:spacing w:after="80" w:before="200"/>
      </w:pPr>
      <w:r>
        <w:rPr>
          <w:b/>
          <w:i w:val="0"/>
          <w:color w:val="1C3A36"/>
          <w:sz w:val="24"/>
        </w:rPr>
        <w:t>1.4  Normalized earnings power — where this sits in the cycle</w:t>
      </w:r>
    </w:p>
    <w:p>
      <w:pPr>
        <w:spacing w:after="120" w:before="0"/>
      </w:pPr>
      <w:r>
        <w:rPr>
          <w:b w:val="0"/>
          <w:i w:val="0"/>
          <w:color w:val="1C3A36"/>
          <w:sz w:val="21"/>
        </w:rPr>
        <w:t>Cycle position first (device A-6): GB’s FY25 passenger-car volume of 56.5k units is roughly double the 2023 trough (27.0k) but still well short of the company’s mid-2010s run-rate, and the Egyptian market’s 210k registrations in 2025 — +40% y/y — remain below the pre-2016-devaluation peak; the recovery is mid-cycle, not late-cycle. Margins are past their peak, though: FY24’s 19.2% Auto gross margin carried an FX-scarcity windfall that is normalizing (14.8% FY25, 12.4% in 1Q26). Mid-cycle earnings power therefore blends recovering volumes with normalized margins: ~EGP 4.2 bn of group PAT (Auto ~2.2 bn at 14.5% GPM on FY27-scale revenue + Capital ~1.7 bn + associates), against FY25’s reported 2.9 bn.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744"/>
            <w:shd w:val="clear" w:color="auto" w:fill="EAF0EE"/>
          </w:tcPr>
          <w:p>
            <w:pPr>
              <w:spacing w:after="20"/>
            </w:pPr>
            <w:r>
              <w:rPr>
                <w:b/>
                <w:color w:val="1C3A36"/>
                <w:sz w:val="18"/>
              </w:rPr>
              <w:t>Normalized-earnings basis</w:t>
            </w:r>
          </w:p>
        </w:tc>
        <w:tc>
          <w:tcPr>
            <w:tcW w:type="dxa" w:w="1872"/>
            <w:shd w:val="clear" w:color="auto" w:fill="EAF0EE"/>
          </w:tcPr>
          <w:p>
            <w:pPr>
              <w:spacing w:after="20"/>
            </w:pPr>
            <w:r>
              <w:rPr>
                <w:b/>
                <w:color w:val="1C3A36"/>
                <w:sz w:val="18"/>
              </w:rPr>
              <w:t>Bear</w:t>
            </w:r>
          </w:p>
        </w:tc>
        <w:tc>
          <w:tcPr>
            <w:tcW w:type="dxa" w:w="1872"/>
            <w:shd w:val="clear" w:color="auto" w:fill="EAF0EE"/>
          </w:tcPr>
          <w:p>
            <w:pPr>
              <w:spacing w:after="20"/>
            </w:pPr>
            <w:r>
              <w:rPr>
                <w:b/>
                <w:color w:val="1C3A36"/>
                <w:sz w:val="18"/>
              </w:rPr>
              <w:t>Base</w:t>
            </w:r>
          </w:p>
        </w:tc>
        <w:tc>
          <w:tcPr>
            <w:tcW w:type="dxa" w:w="1872"/>
            <w:shd w:val="clear" w:color="auto" w:fill="EAF0EE"/>
          </w:tcPr>
          <w:p>
            <w:pPr>
              <w:spacing w:after="20"/>
            </w:pPr>
            <w:r>
              <w:rPr>
                <w:b/>
                <w:color w:val="1C3A36"/>
                <w:sz w:val="18"/>
              </w:rPr>
              <w:t>Bull</w:t>
            </w:r>
          </w:p>
        </w:tc>
      </w:tr>
      <w:tr>
        <w:tc>
          <w:tcPr>
            <w:tcW w:type="dxa" w:w="3744"/>
          </w:tcPr>
          <w:p>
            <w:pPr>
              <w:spacing w:after="20"/>
            </w:pPr>
            <w:r>
              <w:rPr>
                <w:b/>
                <w:color w:val="1C3A36"/>
                <w:sz w:val="18"/>
              </w:rPr>
              <w:t>Mid-cycle PAT (EGP mn)</w:t>
            </w:r>
          </w:p>
        </w:tc>
        <w:tc>
          <w:tcPr>
            <w:tcW w:type="dxa" w:w="1872"/>
          </w:tcPr>
          <w:p>
            <w:pPr>
              <w:spacing w:after="20"/>
              <w:jc w:val="right"/>
            </w:pPr>
            <w:r>
              <w:rPr>
                <w:color w:val="1C3A36"/>
                <w:sz w:val="18"/>
              </w:rPr>
              <w:t>3,600</w:t>
            </w:r>
          </w:p>
        </w:tc>
        <w:tc>
          <w:tcPr>
            <w:tcW w:type="dxa" w:w="1872"/>
          </w:tcPr>
          <w:p>
            <w:pPr>
              <w:spacing w:after="20"/>
              <w:jc w:val="right"/>
            </w:pPr>
            <w:r>
              <w:rPr>
                <w:color w:val="1C3A36"/>
                <w:sz w:val="18"/>
              </w:rPr>
              <w:t>4,200</w:t>
            </w:r>
          </w:p>
        </w:tc>
        <w:tc>
          <w:tcPr>
            <w:tcW w:type="dxa" w:w="1872"/>
          </w:tcPr>
          <w:p>
            <w:pPr>
              <w:spacing w:after="20"/>
              <w:jc w:val="right"/>
            </w:pPr>
            <w:r>
              <w:rPr>
                <w:color w:val="1C3A36"/>
                <w:sz w:val="18"/>
              </w:rPr>
              <w:t>4,800</w:t>
            </w:r>
          </w:p>
        </w:tc>
      </w:tr>
      <w:tr>
        <w:tc>
          <w:tcPr>
            <w:tcW w:type="dxa" w:w="3744"/>
          </w:tcPr>
          <w:p>
            <w:pPr>
              <w:spacing w:after="20"/>
            </w:pPr>
            <w:r>
              <w:rPr>
                <w:b/>
                <w:color w:val="1C3A36"/>
                <w:sz w:val="18"/>
              </w:rPr>
              <w:t>Justified P/E</w:t>
            </w:r>
          </w:p>
        </w:tc>
        <w:tc>
          <w:tcPr>
            <w:tcW w:type="dxa" w:w="1872"/>
          </w:tcPr>
          <w:p>
            <w:pPr>
              <w:spacing w:after="20"/>
              <w:jc w:val="right"/>
            </w:pPr>
            <w:r>
              <w:rPr>
                <w:color w:val="1C3A36"/>
                <w:sz w:val="18"/>
              </w:rPr>
              <w:t>7.5×</w:t>
            </w:r>
          </w:p>
        </w:tc>
        <w:tc>
          <w:tcPr>
            <w:tcW w:type="dxa" w:w="1872"/>
          </w:tcPr>
          <w:p>
            <w:pPr>
              <w:spacing w:after="20"/>
              <w:jc w:val="right"/>
            </w:pPr>
            <w:r>
              <w:rPr>
                <w:color w:val="1C3A36"/>
                <w:sz w:val="18"/>
              </w:rPr>
              <w:t>8.5×</w:t>
            </w:r>
          </w:p>
        </w:tc>
        <w:tc>
          <w:tcPr>
            <w:tcW w:type="dxa" w:w="1872"/>
          </w:tcPr>
          <w:p>
            <w:pPr>
              <w:spacing w:after="20"/>
              <w:jc w:val="right"/>
            </w:pPr>
            <w:r>
              <w:rPr>
                <w:color w:val="1C3A36"/>
                <w:sz w:val="18"/>
              </w:rPr>
              <w:t>9.5×</w:t>
            </w:r>
          </w:p>
        </w:tc>
      </w:tr>
      <w:tr>
        <w:tc>
          <w:tcPr>
            <w:tcW w:type="dxa" w:w="3744"/>
          </w:tcPr>
          <w:p>
            <w:pPr>
              <w:spacing w:after="20"/>
            </w:pPr>
            <w:r>
              <w:rPr>
                <w:b/>
                <w:color w:val="1C3A36"/>
                <w:sz w:val="18"/>
              </w:rPr>
              <w:t>Fair value (EGP/share)</w:t>
            </w:r>
          </w:p>
        </w:tc>
        <w:tc>
          <w:tcPr>
            <w:tcW w:type="dxa" w:w="1872"/>
          </w:tcPr>
          <w:p>
            <w:pPr>
              <w:spacing w:after="20"/>
              <w:jc w:val="right"/>
            </w:pPr>
            <w:r>
              <w:rPr>
                <w:color w:val="1C3A36"/>
                <w:sz w:val="18"/>
              </w:rPr>
              <w:t>24.9</w:t>
            </w:r>
          </w:p>
        </w:tc>
        <w:tc>
          <w:tcPr>
            <w:tcW w:type="dxa" w:w="1872"/>
          </w:tcPr>
          <w:p>
            <w:pPr>
              <w:spacing w:after="20"/>
              <w:jc w:val="right"/>
            </w:pPr>
            <w:r>
              <w:rPr>
                <w:color w:val="1C3A36"/>
                <w:sz w:val="18"/>
              </w:rPr>
              <w:t>32.9</w:t>
            </w:r>
          </w:p>
        </w:tc>
        <w:tc>
          <w:tcPr>
            <w:tcW w:type="dxa" w:w="1872"/>
          </w:tcPr>
          <w:p>
            <w:pPr>
              <w:spacing w:after="20"/>
              <w:jc w:val="right"/>
            </w:pPr>
            <w:r>
              <w:rPr>
                <w:color w:val="1C3A36"/>
                <w:sz w:val="18"/>
              </w:rPr>
              <w:t>42.0</w:t>
            </w:r>
          </w:p>
        </w:tc>
      </w:tr>
    </w:tbl>
    <w:p>
      <w:pPr>
        <w:spacing w:after="40"/>
      </w:pPr>
    </w:p>
    <w:p>
      <w:pPr>
        <w:spacing w:after="120" w:before="0"/>
      </w:pPr>
      <w:r>
        <w:rPr>
          <w:b/>
          <w:i w:val="0"/>
          <w:color w:val="1C3A36"/>
          <w:sz w:val="21"/>
        </w:rPr>
        <w:t>Normalized base ≈ EGP 32.9</w:t>
      </w:r>
      <w:r>
        <w:rPr>
          <w:b w:val="0"/>
          <w:i w:val="0"/>
          <w:color w:val="1C3A36"/>
          <w:sz w:val="21"/>
        </w:rPr>
        <w:t xml:space="preserve"> — the ceiling of the central case: in effect the bet that the volume recovery completes while margins hold the post-windfall floor.</w:t>
      </w:r>
    </w:p>
    <w:p>
      <w:pPr>
        <w:spacing w:after="80" w:before="200"/>
      </w:pPr>
      <w:r>
        <w:rPr>
          <w:b/>
          <w:i w:val="0"/>
          <w:color w:val="1C3A36"/>
          <w:sz w:val="24"/>
        </w:rPr>
        <w:t>1.5  Synthesis — four lenses</w:t>
      </w:r>
    </w:p>
    <w:p>
      <w:pPr>
        <w:spacing w:after="120" w:before="0"/>
      </w:pPr>
      <w:r>
        <w:rPr>
          <w:b w:val="0"/>
          <w:i w:val="0"/>
          <w:color w:val="1C3A36"/>
          <w:sz w:val="21"/>
        </w:rPr>
        <w:t>We weight the SOTP most heavily because it respects the differing economics of the legs; the pre-discount NAV carries the discount-narrowing case; the relative lens anchors the floor; normalized earnings carries the recovery thesis.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3456"/>
            <w:shd w:val="clear" w:color="auto" w:fill="EAF0EE"/>
          </w:tcPr>
          <w:p>
            <w:pPr>
              <w:spacing w:after="20"/>
            </w:pPr>
            <w:r>
              <w:rPr>
                <w:b/>
                <w:color w:val="1C3A36"/>
                <w:sz w:val="18"/>
              </w:rPr>
              <w:t>Lens</w:t>
            </w:r>
          </w:p>
        </w:tc>
        <w:tc>
          <w:tcPr>
            <w:tcW w:type="dxa" w:w="1296"/>
            <w:shd w:val="clear" w:color="auto" w:fill="EAF0EE"/>
          </w:tcPr>
          <w:p>
            <w:pPr>
              <w:spacing w:after="20"/>
            </w:pPr>
            <w:r>
              <w:rPr>
                <w:b/>
                <w:color w:val="1C3A36"/>
                <w:sz w:val="18"/>
              </w:rPr>
              <w:t>Weight</w:t>
            </w:r>
          </w:p>
        </w:tc>
        <w:tc>
          <w:tcPr>
            <w:tcW w:type="dxa" w:w="1584"/>
            <w:shd w:val="clear" w:color="auto" w:fill="EAF0EE"/>
          </w:tcPr>
          <w:p>
            <w:pPr>
              <w:spacing w:after="20"/>
            </w:pPr>
            <w:r>
              <w:rPr>
                <w:b/>
                <w:color w:val="1C3A36"/>
                <w:sz w:val="18"/>
              </w:rPr>
              <w:t>Bear</w:t>
            </w:r>
          </w:p>
        </w:tc>
        <w:tc>
          <w:tcPr>
            <w:tcW w:type="dxa" w:w="1584"/>
            <w:shd w:val="clear" w:color="auto" w:fill="EAF0EE"/>
          </w:tcPr>
          <w:p>
            <w:pPr>
              <w:spacing w:after="20"/>
            </w:pPr>
            <w:r>
              <w:rPr>
                <w:b/>
                <w:color w:val="1C3A36"/>
                <w:sz w:val="18"/>
              </w:rPr>
              <w:t>Base</w:t>
            </w:r>
          </w:p>
        </w:tc>
        <w:tc>
          <w:tcPr>
            <w:tcW w:type="dxa" w:w="1584"/>
            <w:shd w:val="clear" w:color="auto" w:fill="EAF0EE"/>
          </w:tcPr>
          <w:p>
            <w:pPr>
              <w:spacing w:after="20"/>
            </w:pPr>
            <w:r>
              <w:rPr>
                <w:b/>
                <w:color w:val="1C3A36"/>
                <w:sz w:val="18"/>
              </w:rPr>
              <w:t>Bull</w:t>
            </w:r>
          </w:p>
        </w:tc>
      </w:tr>
      <w:tr>
        <w:tc>
          <w:tcPr>
            <w:tcW w:type="dxa" w:w="3456"/>
          </w:tcPr>
          <w:p>
            <w:pPr>
              <w:spacing w:after="20"/>
            </w:pPr>
            <w:r>
              <w:rPr>
                <w:b/>
                <w:color w:val="1C3A36"/>
                <w:sz w:val="18"/>
              </w:rPr>
              <w:t>Split-legs SOTP</w:t>
            </w:r>
          </w:p>
        </w:tc>
        <w:tc>
          <w:tcPr>
            <w:tcW w:type="dxa" w:w="1296"/>
          </w:tcPr>
          <w:p>
            <w:pPr>
              <w:spacing w:after="20"/>
              <w:jc w:val="right"/>
            </w:pPr>
            <w:r>
              <w:rPr>
                <w:color w:val="1C3A36"/>
                <w:sz w:val="18"/>
              </w:rPr>
              <w:t>40%</w:t>
            </w:r>
          </w:p>
        </w:tc>
        <w:tc>
          <w:tcPr>
            <w:tcW w:type="dxa" w:w="1584"/>
          </w:tcPr>
          <w:p>
            <w:pPr>
              <w:spacing w:after="20"/>
              <w:jc w:val="right"/>
            </w:pPr>
            <w:r>
              <w:rPr>
                <w:color w:val="1C3A36"/>
                <w:sz w:val="18"/>
              </w:rPr>
              <w:t>13</w:t>
            </w:r>
          </w:p>
        </w:tc>
        <w:tc>
          <w:tcPr>
            <w:tcW w:type="dxa" w:w="1584"/>
          </w:tcPr>
          <w:p>
            <w:pPr>
              <w:spacing w:after="20"/>
              <w:jc w:val="right"/>
            </w:pPr>
            <w:r>
              <w:rPr>
                <w:color w:val="1C3A36"/>
                <w:sz w:val="18"/>
              </w:rPr>
              <w:t>28.7</w:t>
            </w:r>
          </w:p>
        </w:tc>
        <w:tc>
          <w:tcPr>
            <w:tcW w:type="dxa" w:w="1584"/>
          </w:tcPr>
          <w:p>
            <w:pPr>
              <w:spacing w:after="20"/>
              <w:jc w:val="right"/>
            </w:pPr>
            <w:r>
              <w:rPr>
                <w:color w:val="1C3A36"/>
                <w:sz w:val="18"/>
              </w:rPr>
              <w:t>50</w:t>
            </w:r>
          </w:p>
        </w:tc>
      </w:tr>
      <w:tr>
        <w:tc>
          <w:tcPr>
            <w:tcW w:type="dxa" w:w="3456"/>
          </w:tcPr>
          <w:p>
            <w:pPr>
              <w:spacing w:after="20"/>
            </w:pPr>
            <w:r>
              <w:rPr>
                <w:b/>
                <w:color w:val="1C3A36"/>
                <w:sz w:val="18"/>
              </w:rPr>
              <w:t>Pre-discount NAV</w:t>
            </w:r>
          </w:p>
        </w:tc>
        <w:tc>
          <w:tcPr>
            <w:tcW w:type="dxa" w:w="1296"/>
          </w:tcPr>
          <w:p>
            <w:pPr>
              <w:spacing w:after="20"/>
              <w:jc w:val="right"/>
            </w:pPr>
            <w:r>
              <w:rPr>
                <w:color w:val="1C3A36"/>
                <w:sz w:val="18"/>
              </w:rPr>
              <w:t>15%</w:t>
            </w:r>
          </w:p>
        </w:tc>
        <w:tc>
          <w:tcPr>
            <w:tcW w:type="dxa" w:w="1584"/>
          </w:tcPr>
          <w:p>
            <w:pPr>
              <w:spacing w:after="20"/>
              <w:jc w:val="right"/>
            </w:pPr>
            <w:r>
              <w:rPr>
                <w:color w:val="1C3A36"/>
                <w:sz w:val="18"/>
              </w:rPr>
              <w:t>16</w:t>
            </w:r>
          </w:p>
        </w:tc>
        <w:tc>
          <w:tcPr>
            <w:tcW w:type="dxa" w:w="1584"/>
          </w:tcPr>
          <w:p>
            <w:pPr>
              <w:spacing w:after="20"/>
              <w:jc w:val="right"/>
            </w:pPr>
            <w:r>
              <w:rPr>
                <w:color w:val="1C3A36"/>
                <w:sz w:val="18"/>
              </w:rPr>
              <w:t>31.9</w:t>
            </w:r>
          </w:p>
        </w:tc>
        <w:tc>
          <w:tcPr>
            <w:tcW w:type="dxa" w:w="1584"/>
          </w:tcPr>
          <w:p>
            <w:pPr>
              <w:spacing w:after="20"/>
              <w:jc w:val="right"/>
            </w:pPr>
            <w:r>
              <w:rPr>
                <w:color w:val="1C3A36"/>
                <w:sz w:val="18"/>
              </w:rPr>
              <w:t>52</w:t>
            </w:r>
          </w:p>
        </w:tc>
      </w:tr>
      <w:tr>
        <w:tc>
          <w:tcPr>
            <w:tcW w:type="dxa" w:w="3456"/>
          </w:tcPr>
          <w:p>
            <w:pPr>
              <w:spacing w:after="20"/>
            </w:pPr>
            <w:r>
              <w:rPr>
                <w:b/>
                <w:color w:val="1C3A36"/>
                <w:sz w:val="18"/>
              </w:rPr>
              <w:t>Relative multiples</w:t>
            </w:r>
          </w:p>
        </w:tc>
        <w:tc>
          <w:tcPr>
            <w:tcW w:type="dxa" w:w="1296"/>
          </w:tcPr>
          <w:p>
            <w:pPr>
              <w:spacing w:after="20"/>
              <w:jc w:val="right"/>
            </w:pPr>
            <w:r>
              <w:rPr>
                <w:color w:val="1C3A36"/>
                <w:sz w:val="18"/>
              </w:rPr>
              <w:t>20%</w:t>
            </w:r>
          </w:p>
        </w:tc>
        <w:tc>
          <w:tcPr>
            <w:tcW w:type="dxa" w:w="1584"/>
          </w:tcPr>
          <w:p>
            <w:pPr>
              <w:spacing w:after="20"/>
              <w:jc w:val="right"/>
            </w:pPr>
            <w:r>
              <w:rPr>
                <w:color w:val="1C3A36"/>
                <w:sz w:val="18"/>
              </w:rPr>
              <w:t>24</w:t>
            </w:r>
          </w:p>
        </w:tc>
        <w:tc>
          <w:tcPr>
            <w:tcW w:type="dxa" w:w="1584"/>
          </w:tcPr>
          <w:p>
            <w:pPr>
              <w:spacing w:after="20"/>
              <w:jc w:val="right"/>
            </w:pPr>
            <w:r>
              <w:rPr>
                <w:color w:val="1C3A36"/>
                <w:sz w:val="18"/>
              </w:rPr>
              <w:t>28.9</w:t>
            </w:r>
          </w:p>
        </w:tc>
        <w:tc>
          <w:tcPr>
            <w:tcW w:type="dxa" w:w="1584"/>
          </w:tcPr>
          <w:p>
            <w:pPr>
              <w:spacing w:after="20"/>
              <w:jc w:val="right"/>
            </w:pPr>
            <w:r>
              <w:rPr>
                <w:color w:val="1C3A36"/>
                <w:sz w:val="18"/>
              </w:rPr>
              <w:t>33</w:t>
            </w:r>
          </w:p>
        </w:tc>
      </w:tr>
      <w:tr>
        <w:tc>
          <w:tcPr>
            <w:tcW w:type="dxa" w:w="3456"/>
          </w:tcPr>
          <w:p>
            <w:pPr>
              <w:spacing w:after="20"/>
            </w:pPr>
            <w:r>
              <w:rPr>
                <w:b/>
                <w:color w:val="1C3A36"/>
                <w:sz w:val="18"/>
              </w:rPr>
              <w:t>Normalized earnings</w:t>
            </w:r>
          </w:p>
        </w:tc>
        <w:tc>
          <w:tcPr>
            <w:tcW w:type="dxa" w:w="1296"/>
          </w:tcPr>
          <w:p>
            <w:pPr>
              <w:spacing w:after="20"/>
              <w:jc w:val="right"/>
            </w:pPr>
            <w:r>
              <w:rPr>
                <w:color w:val="1C3A36"/>
                <w:sz w:val="18"/>
              </w:rPr>
              <w:t>25%</w:t>
            </w:r>
          </w:p>
        </w:tc>
        <w:tc>
          <w:tcPr>
            <w:tcW w:type="dxa" w:w="1584"/>
          </w:tcPr>
          <w:p>
            <w:pPr>
              <w:spacing w:after="20"/>
              <w:jc w:val="right"/>
            </w:pPr>
            <w:r>
              <w:rPr>
                <w:color w:val="1C3A36"/>
                <w:sz w:val="18"/>
              </w:rPr>
              <w:t>25</w:t>
            </w:r>
          </w:p>
        </w:tc>
        <w:tc>
          <w:tcPr>
            <w:tcW w:type="dxa" w:w="1584"/>
          </w:tcPr>
          <w:p>
            <w:pPr>
              <w:spacing w:after="20"/>
              <w:jc w:val="right"/>
            </w:pPr>
            <w:r>
              <w:rPr>
                <w:color w:val="1C3A36"/>
                <w:sz w:val="18"/>
              </w:rPr>
              <w:t>32.9</w:t>
            </w:r>
          </w:p>
        </w:tc>
        <w:tc>
          <w:tcPr>
            <w:tcW w:type="dxa" w:w="1584"/>
          </w:tcPr>
          <w:p>
            <w:pPr>
              <w:spacing w:after="20"/>
              <w:jc w:val="right"/>
            </w:pPr>
            <w:r>
              <w:rPr>
                <w:color w:val="1C3A36"/>
                <w:sz w:val="18"/>
              </w:rPr>
              <w:t>42</w:t>
            </w:r>
          </w:p>
        </w:tc>
      </w:tr>
      <w:tr>
        <w:tc>
          <w:tcPr>
            <w:tcW w:type="dxa" w:w="3456"/>
            <w:shd w:val="clear" w:color="auto" w:fill="F6F1E6"/>
          </w:tcPr>
          <w:p>
            <w:pPr>
              <w:spacing w:after="20"/>
            </w:pPr>
            <w:r>
              <w:rPr>
                <w:b/>
                <w:color w:val="1C3A36"/>
                <w:sz w:val="18"/>
              </w:rPr>
              <w:t>Weighted central</w:t>
            </w:r>
          </w:p>
        </w:tc>
        <w:tc>
          <w:tcPr>
            <w:tcW w:type="dxa" w:w="1296"/>
            <w:shd w:val="clear" w:color="auto" w:fill="F6F1E6"/>
          </w:tcPr>
          <w:p>
            <w:pPr>
              <w:spacing w:after="20"/>
              <w:jc w:val="right"/>
            </w:pPr>
            <w:r>
              <w:rPr>
                <w:b/>
                <w:color w:val="1C3A36"/>
                <w:sz w:val="18"/>
              </w:rPr>
            </w:r>
          </w:p>
        </w:tc>
        <w:tc>
          <w:tcPr>
            <w:tcW w:type="dxa" w:w="1584"/>
            <w:shd w:val="clear" w:color="auto" w:fill="F6F1E6"/>
          </w:tcPr>
          <w:p>
            <w:pPr>
              <w:spacing w:after="20"/>
              <w:jc w:val="right"/>
            </w:pPr>
            <w:r>
              <w:rPr>
                <w:b/>
                <w:color w:val="1C3A36"/>
                <w:sz w:val="18"/>
              </w:rPr>
              <w:t>18.8</w:t>
            </w:r>
          </w:p>
        </w:tc>
        <w:tc>
          <w:tcPr>
            <w:tcW w:type="dxa" w:w="1584"/>
            <w:shd w:val="clear" w:color="auto" w:fill="F6F1E6"/>
          </w:tcPr>
          <w:p>
            <w:pPr>
              <w:spacing w:after="20"/>
              <w:jc w:val="right"/>
            </w:pPr>
            <w:r>
              <w:rPr>
                <w:b/>
                <w:color w:val="1C3A36"/>
                <w:sz w:val="18"/>
              </w:rPr>
              <w:t>30.2</w:t>
            </w:r>
          </w:p>
        </w:tc>
        <w:tc>
          <w:tcPr>
            <w:tcW w:type="dxa" w:w="1584"/>
            <w:shd w:val="clear" w:color="auto" w:fill="F6F1E6"/>
          </w:tcPr>
          <w:p>
            <w:pPr>
              <w:spacing w:after="20"/>
              <w:jc w:val="right"/>
            </w:pPr>
            <w:r>
              <w:rPr>
                <w:b/>
                <w:color w:val="1C3A36"/>
                <w:sz w:val="18"/>
              </w:rPr>
              <w:t>45.1</w:t>
            </w:r>
          </w:p>
        </w:tc>
      </w:tr>
    </w:tbl>
    <w:p>
      <w:pPr>
        <w:spacing w:after="40"/>
      </w:pPr>
    </w:p>
    <w:p>
      <w:pPr>
        <w:spacing w:after="40"/>
        <w:jc w:val="center"/>
      </w:pPr>
      <w:r>
        <w:drawing>
          <wp:inline xmlns:a="http://schemas.openxmlformats.org/drawingml/2006/main" xmlns:pic="http://schemas.openxmlformats.org/drawingml/2006/picture">
            <wp:extent cx="5760720" cy="2429544"/>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5760720" cy="2429544"/>
                    </a:xfrm>
                    <a:prstGeom prst="rect"/>
                  </pic:spPr>
                </pic:pic>
              </a:graphicData>
            </a:graphic>
          </wp:inline>
        </w:drawing>
      </w:r>
    </w:p>
    <w:p>
      <w:pPr>
        <w:spacing w:after="200" w:before="0"/>
      </w:pPr>
      <w:r>
        <w:rPr>
          <w:b w:val="0"/>
          <w:i/>
          <w:color w:val="6E7B77"/>
          <w:sz w:val="17"/>
        </w:rPr>
        <w:t>Figure 1 — Valuation football field. Bars span bear–bull per lens; the brass tick is each base case; the gold band is the blended central range; the light line is spot.</w:t>
      </w:r>
    </w:p>
    <w:p>
      <w:pPr>
        <w:spacing w:after="120" w:before="0"/>
      </w:pPr>
      <w:r>
        <w:rPr>
          <w:b/>
          <w:i w:val="0"/>
          <w:color w:val="1C3A36"/>
          <w:sz w:val="21"/>
        </w:rPr>
        <w:t>Central fair value ≈ EGP 30.2/share</w:t>
      </w:r>
      <w:r>
        <w:rPr>
          <w:b w:val="0"/>
          <w:i w:val="0"/>
          <w:color w:val="1C3A36"/>
          <w:sz w:val="21"/>
        </w:rPr>
        <w:t>, about 3% below spot. The tightness of the bases (28.7 to 32.9) is itself the message: this is not a deep-value or a clearly-expensive name, but a fairly-priced operator whose next leg of value depends on cash conversion and the rate cycle rather than on the market discovering the story.</w:t>
      </w:r>
    </w:p>
    <w:p>
      <w:pPr>
        <w:spacing w:after="80" w:before="200"/>
      </w:pPr>
      <w:r>
        <w:rPr>
          <w:b/>
          <w:i w:val="0"/>
          <w:color w:val="1C3A36"/>
          <w:sz w:val="24"/>
        </w:rPr>
        <w:t>1.6  The legs — a deeper look, and the units × ASP driver table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2736"/>
            <w:shd w:val="clear" w:color="auto" w:fill="EAF0EE"/>
          </w:tcPr>
          <w:p>
            <w:pPr>
              <w:spacing w:after="20"/>
            </w:pPr>
            <w:r>
              <w:rPr>
                <w:b/>
                <w:color w:val="1C3A36"/>
                <w:sz w:val="17"/>
              </w:rPr>
              <w:t>Leg</w:t>
            </w:r>
          </w:p>
        </w:tc>
        <w:tc>
          <w:tcPr>
            <w:tcW w:type="dxa" w:w="1728"/>
            <w:shd w:val="clear" w:color="auto" w:fill="EAF0EE"/>
          </w:tcPr>
          <w:p>
            <w:pPr>
              <w:spacing w:after="20"/>
            </w:pPr>
            <w:r>
              <w:rPr>
                <w:b/>
                <w:color w:val="1C3A36"/>
                <w:sz w:val="17"/>
              </w:rPr>
              <w:t>Cyclicality</w:t>
            </w:r>
          </w:p>
        </w:tc>
        <w:tc>
          <w:tcPr>
            <w:tcW w:type="dxa" w:w="2736"/>
            <w:shd w:val="clear" w:color="auto" w:fill="EAF0EE"/>
          </w:tcPr>
          <w:p>
            <w:pPr>
              <w:spacing w:after="20"/>
            </w:pPr>
            <w:r>
              <w:rPr>
                <w:b/>
                <w:color w:val="1C3A36"/>
                <w:sz w:val="17"/>
              </w:rPr>
              <w:t>Margin / return trend</w:t>
            </w:r>
          </w:p>
        </w:tc>
        <w:tc>
          <w:tcPr>
            <w:tcW w:type="dxa" w:w="1944"/>
            <w:shd w:val="clear" w:color="auto" w:fill="EAF0EE"/>
          </w:tcPr>
          <w:p>
            <w:pPr>
              <w:spacing w:after="20"/>
            </w:pPr>
            <w:r>
              <w:rPr>
                <w:b/>
                <w:color w:val="1C3A36"/>
                <w:sz w:val="17"/>
              </w:rPr>
              <w:t>Capital intensity</w:t>
            </w:r>
          </w:p>
        </w:tc>
        <w:tc>
          <w:tcPr>
            <w:tcW w:type="dxa" w:w="1224"/>
            <w:shd w:val="clear" w:color="auto" w:fill="EAF0EE"/>
          </w:tcPr>
          <w:p>
            <w:pPr>
              <w:spacing w:after="20"/>
            </w:pPr>
            <w:r>
              <w:rPr>
                <w:b/>
                <w:color w:val="1C3A36"/>
                <w:sz w:val="17"/>
              </w:rPr>
              <w:t>Swing role</w:t>
            </w:r>
          </w:p>
        </w:tc>
      </w:tr>
      <w:tr>
        <w:tc>
          <w:tcPr>
            <w:tcW w:type="dxa" w:w="2736"/>
          </w:tcPr>
          <w:p>
            <w:pPr>
              <w:spacing w:after="20"/>
            </w:pPr>
            <w:r>
              <w:rPr>
                <w:b/>
                <w:color w:val="1C3A36"/>
                <w:sz w:val="17"/>
              </w:rPr>
              <w:t>GB Auto — PC (80% of Auto rev)</w:t>
            </w:r>
          </w:p>
        </w:tc>
        <w:tc>
          <w:tcPr>
            <w:tcW w:type="dxa" w:w="1728"/>
          </w:tcPr>
          <w:p>
            <w:pPr>
              <w:spacing w:after="20"/>
              <w:jc w:val="right"/>
            </w:pPr>
            <w:r>
              <w:rPr>
                <w:color w:val="1C3A36"/>
                <w:sz w:val="17"/>
              </w:rPr>
              <w:t>High (rates, FX, imports)</w:t>
            </w:r>
          </w:p>
        </w:tc>
        <w:tc>
          <w:tcPr>
            <w:tcW w:type="dxa" w:w="2736"/>
          </w:tcPr>
          <w:p>
            <w:pPr>
              <w:spacing w:after="20"/>
              <w:jc w:val="right"/>
            </w:pPr>
            <w:r>
              <w:rPr>
                <w:color w:val="1C3A36"/>
                <w:sz w:val="17"/>
              </w:rPr>
              <w:t>GPM normalizing 14.8% → ~14%</w:t>
            </w:r>
          </w:p>
        </w:tc>
        <w:tc>
          <w:tcPr>
            <w:tcW w:type="dxa" w:w="1944"/>
          </w:tcPr>
          <w:p>
            <w:pPr>
              <w:spacing w:after="20"/>
              <w:jc w:val="right"/>
            </w:pPr>
            <w:r>
              <w:rPr>
                <w:color w:val="1C3A36"/>
                <w:sz w:val="17"/>
              </w:rPr>
              <w:t>Very high (working capital)</w:t>
            </w:r>
          </w:p>
        </w:tc>
        <w:tc>
          <w:tcPr>
            <w:tcW w:type="dxa" w:w="1224"/>
          </w:tcPr>
          <w:p>
            <w:pPr>
              <w:spacing w:after="20"/>
              <w:jc w:val="right"/>
            </w:pPr>
            <w:r>
              <w:rPr>
                <w:color w:val="1C3A36"/>
                <w:sz w:val="17"/>
              </w:rPr>
              <w:t>Dominant</w:t>
            </w:r>
          </w:p>
        </w:tc>
      </w:tr>
      <w:tr>
        <w:tc>
          <w:tcPr>
            <w:tcW w:type="dxa" w:w="2736"/>
          </w:tcPr>
          <w:p>
            <w:pPr>
              <w:spacing w:after="20"/>
            </w:pPr>
            <w:r>
              <w:rPr>
                <w:b/>
                <w:color w:val="1C3A36"/>
                <w:sz w:val="17"/>
              </w:rPr>
              <w:t>GB Auto — CV&amp;CE, trading, mobility</w:t>
            </w:r>
          </w:p>
        </w:tc>
        <w:tc>
          <w:tcPr>
            <w:tcW w:type="dxa" w:w="1728"/>
          </w:tcPr>
          <w:p>
            <w:pPr>
              <w:spacing w:after="20"/>
              <w:jc w:val="right"/>
            </w:pPr>
            <w:r>
              <w:rPr>
                <w:color w:val="1C3A36"/>
                <w:sz w:val="17"/>
              </w:rPr>
              <w:t>Moderate</w:t>
            </w:r>
          </w:p>
        </w:tc>
        <w:tc>
          <w:tcPr>
            <w:tcW w:type="dxa" w:w="2736"/>
          </w:tcPr>
          <w:p>
            <w:pPr>
              <w:spacing w:after="20"/>
              <w:jc w:val="right"/>
            </w:pPr>
            <w:r>
              <w:rPr>
                <w:color w:val="1C3A36"/>
                <w:sz w:val="17"/>
              </w:rPr>
              <w:t>Bus exports scaling</w:t>
            </w:r>
          </w:p>
        </w:tc>
        <w:tc>
          <w:tcPr>
            <w:tcW w:type="dxa" w:w="1944"/>
          </w:tcPr>
          <w:p>
            <w:pPr>
              <w:spacing w:after="20"/>
              <w:jc w:val="right"/>
            </w:pPr>
            <w:r>
              <w:rPr>
                <w:color w:val="1C3A36"/>
                <w:sz w:val="17"/>
              </w:rPr>
              <w:t>Moderate</w:t>
            </w:r>
          </w:p>
        </w:tc>
        <w:tc>
          <w:tcPr>
            <w:tcW w:type="dxa" w:w="1224"/>
          </w:tcPr>
          <w:p>
            <w:pPr>
              <w:spacing w:after="20"/>
              <w:jc w:val="right"/>
            </w:pPr>
            <w:r>
              <w:rPr>
                <w:color w:val="1C3A36"/>
                <w:sz w:val="17"/>
              </w:rPr>
              <w:t>Diversifier</w:t>
            </w:r>
          </w:p>
        </w:tc>
      </w:tr>
      <w:tr>
        <w:tc>
          <w:tcPr>
            <w:tcW w:type="dxa" w:w="2736"/>
          </w:tcPr>
          <w:p>
            <w:pPr>
              <w:spacing w:after="20"/>
            </w:pPr>
            <w:r>
              <w:rPr>
                <w:b/>
                <w:color w:val="1C3A36"/>
                <w:sz w:val="17"/>
              </w:rPr>
              <w:t>GB Capital</w:t>
            </w:r>
          </w:p>
        </w:tc>
        <w:tc>
          <w:tcPr>
            <w:tcW w:type="dxa" w:w="1728"/>
          </w:tcPr>
          <w:p>
            <w:pPr>
              <w:spacing w:after="20"/>
              <w:jc w:val="right"/>
            </w:pPr>
            <w:r>
              <w:rPr>
                <w:color w:val="1C3A36"/>
                <w:sz w:val="17"/>
              </w:rPr>
              <w:t>Credit-cycle</w:t>
            </w:r>
          </w:p>
        </w:tc>
        <w:tc>
          <w:tcPr>
            <w:tcW w:type="dxa" w:w="2736"/>
          </w:tcPr>
          <w:p>
            <w:pPr>
              <w:spacing w:after="20"/>
              <w:jc w:val="right"/>
            </w:pPr>
            <w:r>
              <w:rPr>
                <w:color w:val="1C3A36"/>
                <w:sz w:val="17"/>
              </w:rPr>
              <w:t>Adj. ROAE 15.1%; NIM 5.0%; NPL 2.1–2.5%</w:t>
            </w:r>
          </w:p>
        </w:tc>
        <w:tc>
          <w:tcPr>
            <w:tcW w:type="dxa" w:w="1944"/>
          </w:tcPr>
          <w:p>
            <w:pPr>
              <w:spacing w:after="20"/>
              <w:jc w:val="right"/>
            </w:pPr>
            <w:r>
              <w:rPr>
                <w:color w:val="1C3A36"/>
                <w:sz w:val="17"/>
              </w:rPr>
              <w:t>Leverage 0.86× D/E</w:t>
            </w:r>
          </w:p>
        </w:tc>
        <w:tc>
          <w:tcPr>
            <w:tcW w:type="dxa" w:w="1224"/>
          </w:tcPr>
          <w:p>
            <w:pPr>
              <w:spacing w:after="20"/>
              <w:jc w:val="right"/>
            </w:pPr>
            <w:r>
              <w:rPr>
                <w:color w:val="1C3A36"/>
                <w:sz w:val="17"/>
              </w:rPr>
              <w:t>Compounder</w:t>
            </w:r>
          </w:p>
        </w:tc>
      </w:tr>
      <w:tr>
        <w:tc>
          <w:tcPr>
            <w:tcW w:type="dxa" w:w="2736"/>
          </w:tcPr>
          <w:p>
            <w:pPr>
              <w:spacing w:after="20"/>
            </w:pPr>
            <w:r>
              <w:rPr>
                <w:b/>
                <w:color w:val="1C3A36"/>
                <w:sz w:val="17"/>
              </w:rPr>
              <w:t>Associates (MNT-Halan et al.)</w:t>
            </w:r>
          </w:p>
        </w:tc>
        <w:tc>
          <w:tcPr>
            <w:tcW w:type="dxa" w:w="1728"/>
          </w:tcPr>
          <w:p>
            <w:pPr>
              <w:spacing w:after="20"/>
              <w:jc w:val="right"/>
            </w:pPr>
            <w:r>
              <w:rPr>
                <w:color w:val="1C3A36"/>
                <w:sz w:val="17"/>
              </w:rPr>
              <w:t>Venture-like</w:t>
            </w:r>
          </w:p>
        </w:tc>
        <w:tc>
          <w:tcPr>
            <w:tcW w:type="dxa" w:w="2736"/>
          </w:tcPr>
          <w:p>
            <w:pPr>
              <w:spacing w:after="20"/>
              <w:jc w:val="right"/>
            </w:pPr>
            <w:r>
              <w:rPr>
                <w:color w:val="1C3A36"/>
                <w:sz w:val="17"/>
              </w:rPr>
              <w:t>Revenue +50% (1Q26); loan book &gt; USD 1.7 bn</w:t>
            </w:r>
          </w:p>
        </w:tc>
        <w:tc>
          <w:tcPr>
            <w:tcW w:type="dxa" w:w="1944"/>
          </w:tcPr>
          <w:p>
            <w:pPr>
              <w:spacing w:after="20"/>
              <w:jc w:val="right"/>
            </w:pPr>
            <w:r>
              <w:rPr>
                <w:color w:val="1C3A36"/>
                <w:sz w:val="17"/>
              </w:rPr>
              <w:t>Off balance sheet</w:t>
            </w:r>
          </w:p>
        </w:tc>
        <w:tc>
          <w:tcPr>
            <w:tcW w:type="dxa" w:w="1224"/>
          </w:tcPr>
          <w:p>
            <w:pPr>
              <w:spacing w:after="20"/>
              <w:jc w:val="right"/>
            </w:pPr>
            <w:r>
              <w:rPr>
                <w:color w:val="1C3A36"/>
                <w:sz w:val="17"/>
              </w:rPr>
              <w:t>Optionality</w:t>
            </w:r>
          </w:p>
        </w:tc>
      </w:tr>
    </w:tbl>
    <w:p>
      <w:pPr>
        <w:spacing w:after="40"/>
      </w:pPr>
    </w:p>
    <w:p>
      <w:pPr>
        <w:spacing w:after="120" w:before="0"/>
      </w:pPr>
      <w:r>
        <w:rPr>
          <w:b w:val="0"/>
          <w:i w:val="0"/>
          <w:color w:val="1C3A36"/>
          <w:sz w:val="19"/>
        </w:rPr>
        <w:t>The bottom-up build (§3.5-B/C — gate cleared: every driver below is disclosed or arithmetic on disclosed figures):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168"/>
            <w:shd w:val="clear" w:color="auto" w:fill="EAF0EE"/>
          </w:tcPr>
          <w:p>
            <w:pPr>
              <w:spacing w:after="20"/>
            </w:pPr>
            <w:r>
              <w:rPr>
                <w:b/>
                <w:color w:val="1C3A36"/>
                <w:sz w:val="17"/>
              </w:rPr>
              <w:t>Driver (disclosed)</w:t>
            </w:r>
          </w:p>
        </w:tc>
        <w:tc>
          <w:tcPr>
            <w:tcW w:type="dxa" w:w="1368"/>
            <w:shd w:val="clear" w:color="auto" w:fill="EAF0EE"/>
          </w:tcPr>
          <w:p>
            <w:pPr>
              <w:spacing w:after="20"/>
            </w:pPr>
            <w:r>
              <w:rPr>
                <w:b/>
                <w:color w:val="1C3A36"/>
                <w:sz w:val="17"/>
              </w:rPr>
              <w:t>FY23</w:t>
            </w:r>
          </w:p>
        </w:tc>
        <w:tc>
          <w:tcPr>
            <w:tcW w:type="dxa" w:w="1368"/>
            <w:shd w:val="clear" w:color="auto" w:fill="EAF0EE"/>
          </w:tcPr>
          <w:p>
            <w:pPr>
              <w:spacing w:after="20"/>
            </w:pPr>
            <w:r>
              <w:rPr>
                <w:b/>
                <w:color w:val="1C3A36"/>
                <w:sz w:val="17"/>
              </w:rPr>
              <w:t>FY24</w:t>
            </w:r>
          </w:p>
        </w:tc>
        <w:tc>
          <w:tcPr>
            <w:tcW w:type="dxa" w:w="1368"/>
            <w:shd w:val="clear" w:color="auto" w:fill="EAF0EE"/>
          </w:tcPr>
          <w:p>
            <w:pPr>
              <w:spacing w:after="20"/>
            </w:pPr>
            <w:r>
              <w:rPr>
                <w:b/>
                <w:color w:val="1C3A36"/>
                <w:sz w:val="17"/>
              </w:rPr>
              <w:t>FY25</w:t>
            </w:r>
          </w:p>
        </w:tc>
        <w:tc>
          <w:tcPr>
            <w:tcW w:type="dxa" w:w="1440"/>
            <w:shd w:val="clear" w:color="auto" w:fill="EAF0EE"/>
          </w:tcPr>
          <w:p>
            <w:pPr>
              <w:spacing w:after="20"/>
            </w:pPr>
            <w:r>
              <w:rPr>
                <w:b/>
                <w:color w:val="1C3A36"/>
                <w:sz w:val="17"/>
              </w:rPr>
              <w:t>FY26E</w:t>
            </w:r>
          </w:p>
        </w:tc>
        <w:tc>
          <w:tcPr>
            <w:tcW w:type="dxa" w:w="1440"/>
            <w:shd w:val="clear" w:color="auto" w:fill="EAF0EE"/>
          </w:tcPr>
          <w:p>
            <w:pPr>
              <w:spacing w:after="20"/>
            </w:pPr>
            <w:r>
              <w:rPr>
                <w:b/>
                <w:color w:val="1C3A36"/>
                <w:sz w:val="17"/>
              </w:rPr>
              <w:t>FY30E</w:t>
            </w:r>
          </w:p>
        </w:tc>
      </w:tr>
      <w:tr>
        <w:tc>
          <w:tcPr>
            <w:tcW w:type="dxa" w:w="3168"/>
          </w:tcPr>
          <w:p>
            <w:pPr>
              <w:spacing w:after="20"/>
            </w:pPr>
            <w:r>
              <w:rPr>
                <w:b/>
                <w:color w:val="1C3A36"/>
                <w:sz w:val="17"/>
              </w:rPr>
              <w:t>PC volume (units)</w:t>
            </w:r>
          </w:p>
        </w:tc>
        <w:tc>
          <w:tcPr>
            <w:tcW w:type="dxa" w:w="1368"/>
          </w:tcPr>
          <w:p>
            <w:pPr>
              <w:spacing w:after="20"/>
              <w:jc w:val="right"/>
            </w:pPr>
            <w:r>
              <w:rPr>
                <w:color w:val="1C3A36"/>
                <w:sz w:val="17"/>
              </w:rPr>
              <w:t>26,994</w:t>
            </w:r>
          </w:p>
        </w:tc>
        <w:tc>
          <w:tcPr>
            <w:tcW w:type="dxa" w:w="1368"/>
          </w:tcPr>
          <w:p>
            <w:pPr>
              <w:spacing w:after="20"/>
              <w:jc w:val="right"/>
            </w:pPr>
            <w:r>
              <w:rPr>
                <w:color w:val="1C3A36"/>
                <w:sz w:val="17"/>
              </w:rPr>
              <w:t>42,043</w:t>
            </w:r>
          </w:p>
        </w:tc>
        <w:tc>
          <w:tcPr>
            <w:tcW w:type="dxa" w:w="1368"/>
          </w:tcPr>
          <w:p>
            <w:pPr>
              <w:spacing w:after="20"/>
              <w:jc w:val="right"/>
            </w:pPr>
            <w:r>
              <w:rPr>
                <w:color w:val="1C3A36"/>
                <w:sz w:val="17"/>
              </w:rPr>
              <w:t>56,548</w:t>
            </w:r>
          </w:p>
        </w:tc>
        <w:tc>
          <w:tcPr>
            <w:tcW w:type="dxa" w:w="1440"/>
          </w:tcPr>
          <w:p>
            <w:pPr>
              <w:spacing w:after="20"/>
              <w:jc w:val="right"/>
            </w:pPr>
            <w:r>
              <w:rPr>
                <w:color w:val="1C3A36"/>
                <w:sz w:val="17"/>
              </w:rPr>
              <w:t>63,334</w:t>
            </w:r>
          </w:p>
        </w:tc>
        <w:tc>
          <w:tcPr>
            <w:tcW w:type="dxa" w:w="1440"/>
          </w:tcPr>
          <w:p>
            <w:pPr>
              <w:spacing w:after="20"/>
              <w:jc w:val="right"/>
            </w:pPr>
            <w:r>
              <w:rPr>
                <w:color w:val="1C3A36"/>
                <w:sz w:val="17"/>
              </w:rPr>
              <w:t>90,921</w:t>
            </w:r>
          </w:p>
        </w:tc>
      </w:tr>
      <w:tr>
        <w:tc>
          <w:tcPr>
            <w:tcW w:type="dxa" w:w="3168"/>
          </w:tcPr>
          <w:p>
            <w:pPr>
              <w:spacing w:after="20"/>
            </w:pPr>
            <w:r>
              <w:rPr>
                <w:b/>
                <w:color w:val="1C3A36"/>
                <w:sz w:val="17"/>
              </w:rPr>
              <w:t>PC ASP (EGP mn/unit)</w:t>
            </w:r>
          </w:p>
        </w:tc>
        <w:tc>
          <w:tcPr>
            <w:tcW w:type="dxa" w:w="1368"/>
          </w:tcPr>
          <w:p>
            <w:pPr>
              <w:spacing w:after="20"/>
              <w:jc w:val="right"/>
            </w:pPr>
            <w:r>
              <w:rPr>
                <w:color w:val="1C3A36"/>
                <w:sz w:val="17"/>
              </w:rPr>
              <w:t>0.61</w:t>
            </w:r>
          </w:p>
        </w:tc>
        <w:tc>
          <w:tcPr>
            <w:tcW w:type="dxa" w:w="1368"/>
          </w:tcPr>
          <w:p>
            <w:pPr>
              <w:spacing w:after="20"/>
              <w:jc w:val="right"/>
            </w:pPr>
            <w:r>
              <w:rPr>
                <w:color w:val="1C3A36"/>
                <w:sz w:val="17"/>
              </w:rPr>
              <w:t>0.87</w:t>
            </w:r>
          </w:p>
        </w:tc>
        <w:tc>
          <w:tcPr>
            <w:tcW w:type="dxa" w:w="1368"/>
          </w:tcPr>
          <w:p>
            <w:pPr>
              <w:spacing w:after="20"/>
              <w:jc w:val="right"/>
            </w:pPr>
            <w:r>
              <w:rPr>
                <w:color w:val="1C3A36"/>
                <w:sz w:val="17"/>
              </w:rPr>
              <w:t>0.93</w:t>
            </w:r>
          </w:p>
        </w:tc>
        <w:tc>
          <w:tcPr>
            <w:tcW w:type="dxa" w:w="1440"/>
          </w:tcPr>
          <w:p>
            <w:pPr>
              <w:spacing w:after="20"/>
              <w:jc w:val="right"/>
            </w:pPr>
            <w:r>
              <w:rPr>
                <w:color w:val="1C3A36"/>
                <w:sz w:val="17"/>
              </w:rPr>
              <w:t>0.99</w:t>
            </w:r>
          </w:p>
        </w:tc>
        <w:tc>
          <w:tcPr>
            <w:tcW w:type="dxa" w:w="1440"/>
          </w:tcPr>
          <w:p>
            <w:pPr>
              <w:spacing w:after="20"/>
              <w:jc w:val="right"/>
            </w:pPr>
            <w:r>
              <w:rPr>
                <w:color w:val="1C3A36"/>
                <w:sz w:val="17"/>
              </w:rPr>
              <w:t>1.27</w:t>
            </w:r>
          </w:p>
        </w:tc>
      </w:tr>
      <w:tr>
        <w:tc>
          <w:tcPr>
            <w:tcW w:type="dxa" w:w="3168"/>
          </w:tcPr>
          <w:p>
            <w:pPr>
              <w:spacing w:after="20"/>
            </w:pPr>
            <w:r>
              <w:rPr>
                <w:b/>
                <w:color w:val="1C3A36"/>
                <w:sz w:val="17"/>
              </w:rPr>
              <w:t>PC revenue (EGP mn)</w:t>
            </w:r>
          </w:p>
        </w:tc>
        <w:tc>
          <w:tcPr>
            <w:tcW w:type="dxa" w:w="1368"/>
          </w:tcPr>
          <w:p>
            <w:pPr>
              <w:spacing w:after="20"/>
              <w:jc w:val="right"/>
            </w:pPr>
            <w:r>
              <w:rPr>
                <w:color w:val="1C3A36"/>
                <w:sz w:val="17"/>
              </w:rPr>
              <w:t>16,544</w:t>
            </w:r>
          </w:p>
        </w:tc>
        <w:tc>
          <w:tcPr>
            <w:tcW w:type="dxa" w:w="1368"/>
          </w:tcPr>
          <w:p>
            <w:pPr>
              <w:spacing w:after="20"/>
              <w:jc w:val="right"/>
            </w:pPr>
            <w:r>
              <w:rPr>
                <w:color w:val="1C3A36"/>
                <w:sz w:val="17"/>
              </w:rPr>
              <w:t>36,533</w:t>
            </w:r>
          </w:p>
        </w:tc>
        <w:tc>
          <w:tcPr>
            <w:tcW w:type="dxa" w:w="1368"/>
          </w:tcPr>
          <w:p>
            <w:pPr>
              <w:spacing w:after="20"/>
              <w:jc w:val="right"/>
            </w:pPr>
            <w:r>
              <w:rPr>
                <w:color w:val="1C3A36"/>
                <w:sz w:val="17"/>
              </w:rPr>
              <w:t>52,827</w:t>
            </w:r>
          </w:p>
        </w:tc>
        <w:tc>
          <w:tcPr>
            <w:tcW w:type="dxa" w:w="1440"/>
          </w:tcPr>
          <w:p>
            <w:pPr>
              <w:spacing w:after="20"/>
              <w:jc w:val="right"/>
            </w:pPr>
            <w:r>
              <w:rPr>
                <w:color w:val="1C3A36"/>
                <w:sz w:val="17"/>
              </w:rPr>
              <w:t>62,717</w:t>
            </w:r>
          </w:p>
        </w:tc>
        <w:tc>
          <w:tcPr>
            <w:tcW w:type="dxa" w:w="1440"/>
          </w:tcPr>
          <w:p>
            <w:pPr>
              <w:spacing w:after="20"/>
              <w:jc w:val="right"/>
            </w:pPr>
            <w:r>
              <w:rPr>
                <w:color w:val="1C3A36"/>
                <w:sz w:val="17"/>
              </w:rPr>
              <w:t>115,821</w:t>
            </w:r>
          </w:p>
        </w:tc>
      </w:tr>
      <w:tr>
        <w:tc>
          <w:tcPr>
            <w:tcW w:type="dxa" w:w="3168"/>
          </w:tcPr>
          <w:p>
            <w:pPr>
              <w:spacing w:after="20"/>
            </w:pPr>
            <w:r>
              <w:rPr>
                <w:b/>
                <w:color w:val="1C3A36"/>
                <w:sz w:val="17"/>
              </w:rPr>
              <w:t>CV&amp;CE revenue</w:t>
            </w:r>
          </w:p>
        </w:tc>
        <w:tc>
          <w:tcPr>
            <w:tcW w:type="dxa" w:w="1368"/>
          </w:tcPr>
          <w:p>
            <w:pPr>
              <w:spacing w:after="20"/>
              <w:jc w:val="right"/>
            </w:pPr>
            <w:r>
              <w:rPr>
                <w:color w:val="1C3A36"/>
                <w:sz w:val="17"/>
              </w:rPr>
              <w:t>2,323</w:t>
            </w:r>
          </w:p>
        </w:tc>
        <w:tc>
          <w:tcPr>
            <w:tcW w:type="dxa" w:w="1368"/>
          </w:tcPr>
          <w:p>
            <w:pPr>
              <w:spacing w:after="20"/>
              <w:jc w:val="right"/>
            </w:pPr>
            <w:r>
              <w:rPr>
                <w:color w:val="1C3A36"/>
                <w:sz w:val="17"/>
              </w:rPr>
              <w:t>3,985</w:t>
            </w:r>
          </w:p>
        </w:tc>
        <w:tc>
          <w:tcPr>
            <w:tcW w:type="dxa" w:w="1368"/>
          </w:tcPr>
          <w:p>
            <w:pPr>
              <w:spacing w:after="20"/>
              <w:jc w:val="right"/>
            </w:pPr>
            <w:r>
              <w:rPr>
                <w:color w:val="1C3A36"/>
                <w:sz w:val="17"/>
              </w:rPr>
              <w:t>5,957</w:t>
            </w:r>
          </w:p>
        </w:tc>
        <w:tc>
          <w:tcPr>
            <w:tcW w:type="dxa" w:w="1440"/>
          </w:tcPr>
          <w:p>
            <w:pPr>
              <w:spacing w:after="20"/>
              <w:jc w:val="right"/>
            </w:pPr>
            <w:r>
              <w:rPr>
                <w:color w:val="1C3A36"/>
                <w:sz w:val="17"/>
              </w:rPr>
              <w:t>7,818</w:t>
            </w:r>
          </w:p>
        </w:tc>
        <w:tc>
          <w:tcPr>
            <w:tcW w:type="dxa" w:w="1440"/>
          </w:tcPr>
          <w:p>
            <w:pPr>
              <w:spacing w:after="20"/>
              <w:jc w:val="right"/>
            </w:pPr>
            <w:r>
              <w:rPr>
                <w:color w:val="1C3A36"/>
                <w:sz w:val="17"/>
              </w:rPr>
              <w:t>14,921</w:t>
            </w:r>
          </w:p>
        </w:tc>
      </w:tr>
      <w:tr>
        <w:tc>
          <w:tcPr>
            <w:tcW w:type="dxa" w:w="3168"/>
          </w:tcPr>
          <w:p>
            <w:pPr>
              <w:spacing w:after="20"/>
            </w:pPr>
            <w:r>
              <w:rPr>
                <w:b/>
                <w:color w:val="1C3A36"/>
                <w:sz w:val="17"/>
              </w:rPr>
              <w:t>Light-Mobility revenue</w:t>
            </w:r>
          </w:p>
        </w:tc>
        <w:tc>
          <w:tcPr>
            <w:tcW w:type="dxa" w:w="1368"/>
          </w:tcPr>
          <w:p>
            <w:pPr>
              <w:spacing w:after="20"/>
              <w:jc w:val="right"/>
            </w:pPr>
            <w:r>
              <w:rPr>
                <w:color w:val="1C3A36"/>
                <w:sz w:val="17"/>
              </w:rPr>
              <w:t>854</w:t>
            </w:r>
          </w:p>
        </w:tc>
        <w:tc>
          <w:tcPr>
            <w:tcW w:type="dxa" w:w="1368"/>
          </w:tcPr>
          <w:p>
            <w:pPr>
              <w:spacing w:after="20"/>
              <w:jc w:val="right"/>
            </w:pPr>
            <w:r>
              <w:rPr>
                <w:color w:val="1C3A36"/>
                <w:sz w:val="17"/>
              </w:rPr>
              <w:t>1,378</w:t>
            </w:r>
          </w:p>
        </w:tc>
        <w:tc>
          <w:tcPr>
            <w:tcW w:type="dxa" w:w="1368"/>
          </w:tcPr>
          <w:p>
            <w:pPr>
              <w:spacing w:after="20"/>
              <w:jc w:val="right"/>
            </w:pPr>
            <w:r>
              <w:rPr>
                <w:color w:val="1C3A36"/>
                <w:sz w:val="17"/>
              </w:rPr>
              <w:t>2,204</w:t>
            </w:r>
          </w:p>
        </w:tc>
        <w:tc>
          <w:tcPr>
            <w:tcW w:type="dxa" w:w="1440"/>
          </w:tcPr>
          <w:p>
            <w:pPr>
              <w:spacing w:after="20"/>
              <w:jc w:val="right"/>
            </w:pPr>
            <w:r>
              <w:rPr>
                <w:color w:val="1C3A36"/>
                <w:sz w:val="17"/>
              </w:rPr>
              <w:t>3,008</w:t>
            </w:r>
          </w:p>
        </w:tc>
        <w:tc>
          <w:tcPr>
            <w:tcW w:type="dxa" w:w="1440"/>
          </w:tcPr>
          <w:p>
            <w:pPr>
              <w:spacing w:after="20"/>
              <w:jc w:val="right"/>
            </w:pPr>
            <w:r>
              <w:rPr>
                <w:color w:val="1C3A36"/>
                <w:sz w:val="17"/>
              </w:rPr>
              <w:t>6,217</w:t>
            </w:r>
          </w:p>
        </w:tc>
      </w:tr>
      <w:tr>
        <w:tc>
          <w:tcPr>
            <w:tcW w:type="dxa" w:w="3168"/>
          </w:tcPr>
          <w:p>
            <w:pPr>
              <w:spacing w:after="20"/>
            </w:pPr>
            <w:r>
              <w:rPr>
                <w:b/>
                <w:color w:val="1C3A36"/>
                <w:sz w:val="17"/>
              </w:rPr>
              <w:t>Trading (tires + parts)</w:t>
            </w:r>
          </w:p>
        </w:tc>
        <w:tc>
          <w:tcPr>
            <w:tcW w:type="dxa" w:w="1368"/>
          </w:tcPr>
          <w:p>
            <w:pPr>
              <w:spacing w:after="20"/>
              <w:jc w:val="right"/>
            </w:pPr>
            <w:r>
              <w:rPr>
                <w:color w:val="1C3A36"/>
                <w:sz w:val="17"/>
              </w:rPr>
              <w:t>2,507</w:t>
            </w:r>
          </w:p>
        </w:tc>
        <w:tc>
          <w:tcPr>
            <w:tcW w:type="dxa" w:w="1368"/>
          </w:tcPr>
          <w:p>
            <w:pPr>
              <w:spacing w:after="20"/>
              <w:jc w:val="right"/>
            </w:pPr>
            <w:r>
              <w:rPr>
                <w:color w:val="1C3A36"/>
                <w:sz w:val="17"/>
              </w:rPr>
              <w:t>3,816</w:t>
            </w:r>
          </w:p>
        </w:tc>
        <w:tc>
          <w:tcPr>
            <w:tcW w:type="dxa" w:w="1368"/>
          </w:tcPr>
          <w:p>
            <w:pPr>
              <w:spacing w:after="20"/>
              <w:jc w:val="right"/>
            </w:pPr>
            <w:r>
              <w:rPr>
                <w:color w:val="1C3A36"/>
                <w:sz w:val="17"/>
              </w:rPr>
              <w:t>4,243</w:t>
            </w:r>
          </w:p>
        </w:tc>
        <w:tc>
          <w:tcPr>
            <w:tcW w:type="dxa" w:w="1440"/>
          </w:tcPr>
          <w:p>
            <w:pPr>
              <w:spacing w:after="20"/>
              <w:jc w:val="right"/>
            </w:pPr>
            <w:r>
              <w:rPr>
                <w:color w:val="1C3A36"/>
                <w:sz w:val="17"/>
              </w:rPr>
              <w:t>5,007</w:t>
            </w:r>
          </w:p>
        </w:tc>
        <w:tc>
          <w:tcPr>
            <w:tcW w:type="dxa" w:w="1440"/>
          </w:tcPr>
          <w:p>
            <w:pPr>
              <w:spacing w:after="20"/>
              <w:jc w:val="right"/>
            </w:pPr>
            <w:r>
              <w:rPr>
                <w:color w:val="1C3A36"/>
                <w:sz w:val="17"/>
              </w:rPr>
              <w:t>7,803</w:t>
            </w:r>
          </w:p>
        </w:tc>
      </w:tr>
      <w:tr>
        <w:tc>
          <w:tcPr>
            <w:tcW w:type="dxa" w:w="3168"/>
          </w:tcPr>
          <w:p>
            <w:pPr>
              <w:spacing w:after="20"/>
            </w:pPr>
            <w:r>
              <w:rPr>
                <w:b/>
                <w:color w:val="1C3A36"/>
                <w:sz w:val="17"/>
              </w:rPr>
              <w:t>GB Auto total revenue</w:t>
            </w:r>
          </w:p>
        </w:tc>
        <w:tc>
          <w:tcPr>
            <w:tcW w:type="dxa" w:w="1368"/>
          </w:tcPr>
          <w:p>
            <w:pPr>
              <w:spacing w:after="20"/>
              <w:jc w:val="right"/>
            </w:pPr>
            <w:r>
              <w:rPr>
                <w:color w:val="1C3A36"/>
                <w:sz w:val="17"/>
              </w:rPr>
              <w:t>23,854</w:t>
            </w:r>
          </w:p>
        </w:tc>
        <w:tc>
          <w:tcPr>
            <w:tcW w:type="dxa" w:w="1368"/>
          </w:tcPr>
          <w:p>
            <w:pPr>
              <w:spacing w:after="20"/>
              <w:jc w:val="right"/>
            </w:pPr>
            <w:r>
              <w:rPr>
                <w:color w:val="1C3A36"/>
                <w:sz w:val="17"/>
              </w:rPr>
              <w:t>47,065</w:t>
            </w:r>
          </w:p>
        </w:tc>
        <w:tc>
          <w:tcPr>
            <w:tcW w:type="dxa" w:w="1368"/>
          </w:tcPr>
          <w:p>
            <w:pPr>
              <w:spacing w:after="20"/>
              <w:jc w:val="right"/>
            </w:pPr>
            <w:r>
              <w:rPr>
                <w:color w:val="1C3A36"/>
                <w:sz w:val="17"/>
              </w:rPr>
              <w:t>66,358</w:t>
            </w:r>
          </w:p>
        </w:tc>
        <w:tc>
          <w:tcPr>
            <w:tcW w:type="dxa" w:w="1440"/>
          </w:tcPr>
          <w:p>
            <w:pPr>
              <w:spacing w:after="20"/>
              <w:jc w:val="right"/>
            </w:pPr>
            <w:r>
              <w:rPr>
                <w:color w:val="1C3A36"/>
                <w:sz w:val="17"/>
              </w:rPr>
              <w:t>78,550</w:t>
            </w:r>
          </w:p>
        </w:tc>
        <w:tc>
          <w:tcPr>
            <w:tcW w:type="dxa" w:w="1440"/>
          </w:tcPr>
          <w:p>
            <w:pPr>
              <w:spacing w:after="20"/>
              <w:jc w:val="right"/>
            </w:pPr>
            <w:r>
              <w:rPr>
                <w:color w:val="1C3A36"/>
                <w:sz w:val="17"/>
              </w:rPr>
              <w:t>144,761</w:t>
            </w:r>
          </w:p>
        </w:tc>
      </w:tr>
    </w:tbl>
    <w:p>
      <w:pPr>
        <w:spacing w:after="40"/>
      </w:pPr>
    </w:p>
    <w:p>
      <w:pPr>
        <w:spacing w:after="200" w:before="0"/>
      </w:pPr>
      <w:r>
        <w:rPr>
          <w:b w:val="0"/>
          <w:i/>
          <w:color w:val="6E7B77"/>
          <w:sz w:val="17"/>
        </w:rPr>
        <w:t>FY25 PC mix: 31,349 CKD / 25,199 CBU; Egypt 80.5% of PC revenue, Iraq/Jordan 19.5%. Sources: 4Q23/4Q24/4Q25 releases, Tables 2–7. Forecast drivers are the house’s own flagged view.</w:t>
      </w:r>
    </w:p>
    <w:p>
      <w:pPr>
        <w:spacing w:after="80" w:before="200"/>
      </w:pPr>
      <w:r>
        <w:rPr>
          <w:b/>
          <w:i w:val="0"/>
          <w:color w:val="1C3A36"/>
          <w:sz w:val="24"/>
        </w:rPr>
        <w:t>1.7  Cash conversion and the rate path — the crux</w:t>
      </w:r>
    </w:p>
    <w:p>
      <w:pPr>
        <w:spacing w:after="120" w:before="0"/>
      </w:pPr>
      <w:r>
        <w:rPr>
          <w:b w:val="0"/>
          <w:i w:val="0"/>
          <w:color w:val="1C3A36"/>
          <w:sz w:val="21"/>
        </w:rPr>
        <w:t>Two judgments drive the valuation more than any other. First, where working-capital intensity settles (the observable, disclosed unit: net Auto working capital as % of Auto revenue — device A-1). It ran 18.7% in FY23, 22.9% in FY24 and 28.5% in FY25 as import-restriction payables normalized and inventory was pre-built for Sadat; we glide it to 21.5% by FY30E. Each percentage point of steady-state intensity is worth roughly EGP 4–5/share of SOTP value — a bigger lever than a half-turn of the P/E. Second, the Egyptian nominal-rate path: the 22.0% WACC against 11.5% terminal growth is a 10.5-pt real spread struck off a 19% blended risk-free; every 100 bp the CBE easing cycle takes out of that spread adds ~EGP 3/share (§1.9 grid). A third, binary-style exposure (§3.5-E device 6, applied cross-class): roughly a fifth of PC revenue is Iraq/Jordan, where the regional conflict cut 1Q26 volumes — a full-year regional freeze would take ~EGP 1.5–2 bn off Auto gross profit, worth ~EGP 2–3/share.</w:t>
      </w:r>
    </w:p>
    <w:p>
      <w:pPr>
        <w:spacing w:after="80" w:before="200"/>
      </w:pPr>
      <w:r>
        <w:rPr>
          <w:b/>
          <w:i w:val="0"/>
          <w:color w:val="1C3A36"/>
          <w:sz w:val="24"/>
        </w:rPr>
        <w:t>1.8  Macro and country — rates, the pound, imports and the region</w:t>
      </w:r>
    </w:p>
    <w:p>
      <w:pPr>
        <w:spacing w:after="120" w:before="0"/>
      </w:pPr>
      <w:r>
        <w:rPr>
          <w:b w:val="0"/>
          <w:i w:val="0"/>
          <w:color w:val="1C3A36"/>
          <w:sz w:val="21"/>
        </w:rPr>
        <w:t>GB Corp is a leveraged play on Egyptian nominal normalization. The CBE has cut 825 bp since April 2025 and held its deposit rate at 19.00% through the April and May 2026 meetings with inflation ~14.6%; every cut lowers GB Capital’s funding cost on a fixed-rate-lending book, lowers the Auto customer’s instalment, and compresses the discount rate this study applies. The EGP (~47–48/USD, firmer y/y) sets CKD input costs and the EGP value of the MNT-Halan mark — a step-devaluation is the single nastiest macro scenario for both margin and multiple. Import policy and Chinese entrants (BYD’s Egypt entry; grey imports into Iraq) set the competitive ceiling on ASPs; localization (Sadat, 46%+ local content on core CKD lines) is the structural answer. The cost-of-equity build these translate into (house rule §3.5-G):</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048"/>
            <w:shd w:val="clear" w:color="auto" w:fill="EAF0EE"/>
          </w:tcPr>
          <w:p>
            <w:pPr>
              <w:spacing w:after="20"/>
            </w:pPr>
            <w:r>
              <w:rPr>
                <w:b/>
                <w:color w:val="1C3A36"/>
                <w:sz w:val="18"/>
              </w:rPr>
              <w:t>Cost-of-capital build</w:t>
            </w:r>
          </w:p>
        </w:tc>
        <w:tc>
          <w:tcPr>
            <w:tcW w:type="dxa" w:w="2016"/>
            <w:shd w:val="clear" w:color="auto" w:fill="EAF0EE"/>
          </w:tcPr>
          <w:p>
            <w:pPr>
              <w:spacing w:after="20"/>
            </w:pPr>
            <w:r>
              <w:rPr>
                <w:b/>
                <w:color w:val="1C3A36"/>
                <w:sz w:val="18"/>
              </w:rPr>
              <w:t>Value</w:t>
            </w:r>
          </w:p>
        </w:tc>
      </w:tr>
      <w:tr>
        <w:tc>
          <w:tcPr>
            <w:tcW w:type="dxa" w:w="6048"/>
          </w:tcPr>
          <w:p>
            <w:pPr>
              <w:spacing w:after="20"/>
            </w:pPr>
            <w:r>
              <w:rPr>
                <w:b/>
                <w:color w:val="1C3A36"/>
                <w:sz w:val="18"/>
              </w:rPr>
              <w:t>Risk-free rate (blended 5-yr EGP view)</w:t>
            </w:r>
          </w:p>
        </w:tc>
        <w:tc>
          <w:tcPr>
            <w:tcW w:type="dxa" w:w="2016"/>
          </w:tcPr>
          <w:p>
            <w:pPr>
              <w:spacing w:after="20"/>
              <w:jc w:val="right"/>
            </w:pPr>
            <w:r>
              <w:rPr>
                <w:color w:val="1C3A36"/>
                <w:sz w:val="18"/>
              </w:rPr>
              <w:t>19.0%</w:t>
            </w:r>
          </w:p>
        </w:tc>
      </w:tr>
      <w:tr>
        <w:tc>
          <w:tcPr>
            <w:tcW w:type="dxa" w:w="6048"/>
          </w:tcPr>
          <w:p>
            <w:pPr>
              <w:spacing w:after="20"/>
            </w:pPr>
            <w:r>
              <w:rPr>
                <w:b/>
                <w:color w:val="1C3A36"/>
                <w:sz w:val="18"/>
              </w:rPr>
              <w:t>Equity beta (band 0.8–1.3)</w:t>
            </w:r>
          </w:p>
        </w:tc>
        <w:tc>
          <w:tcPr>
            <w:tcW w:type="dxa" w:w="2016"/>
          </w:tcPr>
          <w:p>
            <w:pPr>
              <w:spacing w:after="20"/>
              <w:jc w:val="right"/>
            </w:pPr>
            <w:r>
              <w:rPr>
                <w:color w:val="1C3A36"/>
                <w:sz w:val="18"/>
              </w:rPr>
              <w:t>0.95</w:t>
            </w:r>
          </w:p>
        </w:tc>
      </w:tr>
      <w:tr>
        <w:tc>
          <w:tcPr>
            <w:tcW w:type="dxa" w:w="6048"/>
          </w:tcPr>
          <w:p>
            <w:pPr>
              <w:spacing w:after="20"/>
            </w:pPr>
            <w:r>
              <w:rPr>
                <w:b/>
                <w:color w:val="1C3A36"/>
                <w:sz w:val="18"/>
              </w:rPr>
              <w:t>Equity risk premium (Egypt)</w:t>
            </w:r>
          </w:p>
        </w:tc>
        <w:tc>
          <w:tcPr>
            <w:tcW w:type="dxa" w:w="2016"/>
          </w:tcPr>
          <w:p>
            <w:pPr>
              <w:spacing w:after="20"/>
              <w:jc w:val="right"/>
            </w:pPr>
            <w:r>
              <w:rPr>
                <w:color w:val="1C3A36"/>
                <w:sz w:val="18"/>
              </w:rPr>
              <w:t>7.0%</w:t>
            </w:r>
          </w:p>
        </w:tc>
      </w:tr>
      <w:tr>
        <w:tc>
          <w:tcPr>
            <w:tcW w:type="dxa" w:w="6048"/>
          </w:tcPr>
          <w:p>
            <w:pPr>
              <w:spacing w:after="20"/>
            </w:pPr>
            <w:r>
              <w:rPr>
                <w:b/>
                <w:color w:val="1C3A36"/>
                <w:sz w:val="18"/>
              </w:rPr>
              <w:t>Cost of equity Ke = rf + β × ERP</w:t>
            </w:r>
          </w:p>
        </w:tc>
        <w:tc>
          <w:tcPr>
            <w:tcW w:type="dxa" w:w="2016"/>
          </w:tcPr>
          <w:p>
            <w:pPr>
              <w:spacing w:after="20"/>
              <w:jc w:val="right"/>
            </w:pPr>
            <w:r>
              <w:rPr>
                <w:color w:val="1C3A36"/>
                <w:sz w:val="18"/>
              </w:rPr>
              <w:t>25.7%</w:t>
            </w:r>
          </w:p>
        </w:tc>
      </w:tr>
      <w:tr>
        <w:tc>
          <w:tcPr>
            <w:tcW w:type="dxa" w:w="6048"/>
          </w:tcPr>
          <w:p>
            <w:pPr>
              <w:spacing w:after="20"/>
            </w:pPr>
            <w:r>
              <w:rPr>
                <w:b/>
                <w:color w:val="1C3A36"/>
                <w:sz w:val="18"/>
              </w:rPr>
              <w:t>After-tax cost of debt (21% pre-tax, 28% tax)</w:t>
            </w:r>
          </w:p>
        </w:tc>
        <w:tc>
          <w:tcPr>
            <w:tcW w:type="dxa" w:w="2016"/>
          </w:tcPr>
          <w:p>
            <w:pPr>
              <w:spacing w:after="20"/>
              <w:jc w:val="right"/>
            </w:pPr>
            <w:r>
              <w:rPr>
                <w:color w:val="1C3A36"/>
                <w:sz w:val="18"/>
              </w:rPr>
              <w:t>15.1%</w:t>
            </w:r>
          </w:p>
        </w:tc>
      </w:tr>
      <w:tr>
        <w:tc>
          <w:tcPr>
            <w:tcW w:type="dxa" w:w="6048"/>
          </w:tcPr>
          <w:p>
            <w:pPr>
              <w:spacing w:after="20"/>
            </w:pPr>
            <w:r>
              <w:rPr>
                <w:b/>
                <w:color w:val="1C3A36"/>
                <w:sz w:val="18"/>
              </w:rPr>
              <w:t>WACC (65% equity / 35% debt)</w:t>
            </w:r>
          </w:p>
        </w:tc>
        <w:tc>
          <w:tcPr>
            <w:tcW w:type="dxa" w:w="2016"/>
          </w:tcPr>
          <w:p>
            <w:pPr>
              <w:spacing w:after="20"/>
              <w:jc w:val="right"/>
            </w:pPr>
            <w:r>
              <w:rPr>
                <w:color w:val="1C3A36"/>
                <w:sz w:val="18"/>
              </w:rPr>
              <w:t>22.0%</w:t>
            </w:r>
          </w:p>
        </w:tc>
      </w:tr>
      <w:tr>
        <w:tc>
          <w:tcPr>
            <w:tcW w:type="dxa" w:w="6048"/>
          </w:tcPr>
          <w:p>
            <w:pPr>
              <w:spacing w:after="20"/>
            </w:pPr>
            <w:r>
              <w:rPr>
                <w:b/>
                <w:color w:val="1C3A36"/>
                <w:sz w:val="18"/>
              </w:rPr>
              <w:t>Terminal growth (nominal EGP)</w:t>
            </w:r>
          </w:p>
        </w:tc>
        <w:tc>
          <w:tcPr>
            <w:tcW w:type="dxa" w:w="2016"/>
          </w:tcPr>
          <w:p>
            <w:pPr>
              <w:spacing w:after="20"/>
              <w:jc w:val="right"/>
            </w:pPr>
            <w:r>
              <w:rPr>
                <w:color w:val="1C3A36"/>
                <w:sz w:val="18"/>
              </w:rPr>
              <w:t>11.5%</w:t>
            </w:r>
          </w:p>
        </w:tc>
      </w:tr>
    </w:tbl>
    <w:p>
      <w:pPr>
        <w:spacing w:after="40"/>
      </w:pPr>
    </w:p>
    <w:p>
      <w:pPr>
        <w:spacing w:after="80" w:before="200"/>
      </w:pPr>
      <w:r>
        <w:rPr>
          <w:b/>
          <w:i w:val="0"/>
          <w:color w:val="1C3A36"/>
          <w:sz w:val="24"/>
        </w:rPr>
        <w:t>1.9  Sensitivity — the margin, the discount, and the rate spread</w:t>
      </w:r>
    </w:p>
    <w:p>
      <w:pPr>
        <w:spacing w:after="120" w:before="0"/>
      </w:pPr>
      <w:r>
        <w:rPr>
          <w:b w:val="0"/>
          <w:i w:val="0"/>
          <w:color w:val="1C3A36"/>
          <w:sz w:val="21"/>
        </w:rPr>
        <w:t>Holding the lender and associate marks at base, the first grid re-prices the SOTP across the Auto gross-margin path and the complexity discount; the second across the WACC × terminal-growth spread (the rate-cycle bet made explicit, device A-7).</w:t>
      </w:r>
    </w:p>
    <w:p>
      <w:pPr>
        <w:spacing w:after="40"/>
        <w:jc w:val="center"/>
      </w:pPr>
      <w:r>
        <w:drawing>
          <wp:inline xmlns:a="http://schemas.openxmlformats.org/drawingml/2006/main" xmlns:pic="http://schemas.openxmlformats.org/drawingml/2006/picture">
            <wp:extent cx="5120640" cy="2492943"/>
            <wp:docPr id="2" name="Picture 2"/>
            <wp:cNvGraphicFramePr>
              <a:graphicFrameLocks noChangeAspect="1"/>
            </wp:cNvGraphicFramePr>
            <a:graphic>
              <a:graphicData uri="http://schemas.openxmlformats.org/drawingml/2006/picture">
                <pic:pic>
                  <pic:nvPicPr>
                    <pic:cNvPr id="0" name="fig2_sens.png"/>
                    <pic:cNvPicPr/>
                  </pic:nvPicPr>
                  <pic:blipFill>
                    <a:blip r:embed="rId10"/>
                    <a:stretch>
                      <a:fillRect/>
                    </a:stretch>
                  </pic:blipFill>
                  <pic:spPr>
                    <a:xfrm>
                      <a:off x="0" y="0"/>
                      <a:ext cx="5120640" cy="2492943"/>
                    </a:xfrm>
                    <a:prstGeom prst="rect"/>
                  </pic:spPr>
                </pic:pic>
              </a:graphicData>
            </a:graphic>
          </wp:inline>
        </w:drawing>
      </w:r>
    </w:p>
    <w:p>
      <w:pPr>
        <w:spacing w:after="200" w:before="0"/>
      </w:pPr>
      <w:r>
        <w:rPr>
          <w:b w:val="0"/>
          <w:i/>
          <w:color w:val="6E7B77"/>
          <w:sz w:val="17"/>
        </w:rPr>
        <w:t>Figure 2 — SOTP fair value (EGP/share) across the Auto GPM shift and the complexity discount. Bold cells sit nearest spot (EGP 31.25).</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2160"/>
            <w:shd w:val="clear" w:color="auto" w:fill="EAF0EE"/>
          </w:tcPr>
          <w:p>
            <w:pPr>
              <w:spacing w:after="20"/>
            </w:pPr>
            <w:r>
              <w:rPr>
                <w:b/>
                <w:color w:val="1C3A36"/>
                <w:sz w:val="18"/>
              </w:rPr>
              <w:t>WACC \ terminal g</w:t>
            </w:r>
          </w:p>
        </w:tc>
        <w:tc>
          <w:tcPr>
            <w:tcW w:type="dxa" w:w="1440"/>
            <w:shd w:val="clear" w:color="auto" w:fill="EAF0EE"/>
          </w:tcPr>
          <w:p>
            <w:pPr>
              <w:spacing w:after="20"/>
            </w:pPr>
            <w:r>
              <w:rPr>
                <w:b/>
                <w:color w:val="1C3A36"/>
                <w:sz w:val="18"/>
              </w:rPr>
              <w:t>9.5%</w:t>
            </w:r>
          </w:p>
        </w:tc>
        <w:tc>
          <w:tcPr>
            <w:tcW w:type="dxa" w:w="1440"/>
            <w:shd w:val="clear" w:color="auto" w:fill="EAF0EE"/>
          </w:tcPr>
          <w:p>
            <w:pPr>
              <w:spacing w:after="20"/>
            </w:pPr>
            <w:r>
              <w:rPr>
                <w:b/>
                <w:color w:val="1C3A36"/>
                <w:sz w:val="18"/>
              </w:rPr>
              <w:t>10.5%</w:t>
            </w:r>
          </w:p>
        </w:tc>
        <w:tc>
          <w:tcPr>
            <w:tcW w:type="dxa" w:w="1440"/>
            <w:shd w:val="clear" w:color="auto" w:fill="EAF0EE"/>
          </w:tcPr>
          <w:p>
            <w:pPr>
              <w:spacing w:after="20"/>
            </w:pPr>
            <w:r>
              <w:rPr>
                <w:b/>
                <w:color w:val="1C3A36"/>
                <w:sz w:val="18"/>
              </w:rPr>
              <w:t>11.5%</w:t>
            </w:r>
          </w:p>
        </w:tc>
        <w:tc>
          <w:tcPr>
            <w:tcW w:type="dxa" w:w="1440"/>
            <w:shd w:val="clear" w:color="auto" w:fill="EAF0EE"/>
          </w:tcPr>
          <w:p>
            <w:pPr>
              <w:spacing w:after="20"/>
            </w:pPr>
            <w:r>
              <w:rPr>
                <w:b/>
                <w:color w:val="1C3A36"/>
                <w:sz w:val="18"/>
              </w:rPr>
              <w:t>12.5%</w:t>
            </w:r>
          </w:p>
        </w:tc>
        <w:tc>
          <w:tcPr>
            <w:tcW w:type="dxa" w:w="1440"/>
            <w:shd w:val="clear" w:color="auto" w:fill="EAF0EE"/>
          </w:tcPr>
          <w:p>
            <w:pPr>
              <w:spacing w:after="20"/>
            </w:pPr>
            <w:r>
              <w:rPr>
                <w:b/>
                <w:color w:val="1C3A36"/>
                <w:sz w:val="18"/>
              </w:rPr>
              <w:t>13.5%</w:t>
            </w:r>
          </w:p>
        </w:tc>
      </w:tr>
      <w:tr>
        <w:tc>
          <w:tcPr>
            <w:tcW w:type="dxa" w:w="2160"/>
          </w:tcPr>
          <w:p>
            <w:pPr>
              <w:spacing w:after="20"/>
            </w:pPr>
            <w:r>
              <w:rPr>
                <w:b/>
                <w:color w:val="1C3A36"/>
                <w:sz w:val="18"/>
              </w:rPr>
              <w:t>20%</w:t>
            </w:r>
          </w:p>
        </w:tc>
        <w:tc>
          <w:tcPr>
            <w:tcW w:type="dxa" w:w="1440"/>
          </w:tcPr>
          <w:p>
            <w:pPr>
              <w:spacing w:after="20"/>
              <w:jc w:val="right"/>
            </w:pPr>
            <w:r>
              <w:rPr>
                <w:color w:val="1C3A36"/>
                <w:sz w:val="18"/>
              </w:rPr>
              <w:t>30.2</w:t>
            </w:r>
          </w:p>
        </w:tc>
        <w:tc>
          <w:tcPr>
            <w:tcW w:type="dxa" w:w="1440"/>
          </w:tcPr>
          <w:p>
            <w:pPr>
              <w:spacing w:after="20"/>
              <w:jc w:val="right"/>
            </w:pPr>
            <w:r>
              <w:rPr>
                <w:color w:val="1C3A36"/>
                <w:sz w:val="18"/>
              </w:rPr>
              <w:t>32.3</w:t>
            </w:r>
          </w:p>
        </w:tc>
        <w:tc>
          <w:tcPr>
            <w:tcW w:type="dxa" w:w="1440"/>
          </w:tcPr>
          <w:p>
            <w:pPr>
              <w:spacing w:after="20"/>
              <w:jc w:val="right"/>
            </w:pPr>
            <w:r>
              <w:rPr>
                <w:color w:val="1C3A36"/>
                <w:sz w:val="18"/>
              </w:rPr>
              <w:t>35.0</w:t>
            </w:r>
          </w:p>
        </w:tc>
        <w:tc>
          <w:tcPr>
            <w:tcW w:type="dxa" w:w="1440"/>
          </w:tcPr>
          <w:p>
            <w:pPr>
              <w:spacing w:after="20"/>
              <w:jc w:val="right"/>
            </w:pPr>
            <w:r>
              <w:rPr>
                <w:color w:val="1C3A36"/>
                <w:sz w:val="18"/>
              </w:rPr>
              <w:t>38.4</w:t>
            </w:r>
          </w:p>
        </w:tc>
        <w:tc>
          <w:tcPr>
            <w:tcW w:type="dxa" w:w="1440"/>
          </w:tcPr>
          <w:p>
            <w:pPr>
              <w:spacing w:after="20"/>
              <w:jc w:val="right"/>
            </w:pPr>
            <w:r>
              <w:rPr>
                <w:color w:val="1C3A36"/>
                <w:sz w:val="18"/>
              </w:rPr>
              <w:t>42.8</w:t>
            </w:r>
          </w:p>
        </w:tc>
      </w:tr>
      <w:tr>
        <w:tc>
          <w:tcPr>
            <w:tcW w:type="dxa" w:w="2160"/>
          </w:tcPr>
          <w:p>
            <w:pPr>
              <w:spacing w:after="20"/>
            </w:pPr>
            <w:r>
              <w:rPr>
                <w:b/>
                <w:color w:val="1C3A36"/>
                <w:sz w:val="18"/>
              </w:rPr>
              <w:t>21%</w:t>
            </w:r>
          </w:p>
        </w:tc>
        <w:tc>
          <w:tcPr>
            <w:tcW w:type="dxa" w:w="1440"/>
          </w:tcPr>
          <w:p>
            <w:pPr>
              <w:spacing w:after="20"/>
              <w:jc w:val="right"/>
            </w:pPr>
            <w:r>
              <w:rPr>
                <w:color w:val="1C3A36"/>
                <w:sz w:val="18"/>
              </w:rPr>
              <w:t>27.7</w:t>
            </w:r>
          </w:p>
        </w:tc>
        <w:tc>
          <w:tcPr>
            <w:tcW w:type="dxa" w:w="1440"/>
          </w:tcPr>
          <w:p>
            <w:pPr>
              <w:spacing w:after="20"/>
              <w:jc w:val="right"/>
            </w:pPr>
            <w:r>
              <w:rPr>
                <w:color w:val="1C3A36"/>
                <w:sz w:val="18"/>
              </w:rPr>
              <w:t>29.4</w:t>
            </w:r>
          </w:p>
        </w:tc>
        <w:tc>
          <w:tcPr>
            <w:tcW w:type="dxa" w:w="1440"/>
          </w:tcPr>
          <w:p>
            <w:pPr>
              <w:spacing w:after="20"/>
              <w:jc w:val="right"/>
            </w:pPr>
            <w:r>
              <w:rPr>
                <w:color w:val="1C3A36"/>
                <w:sz w:val="18"/>
              </w:rPr>
              <w:t>31.5</w:t>
            </w:r>
          </w:p>
        </w:tc>
        <w:tc>
          <w:tcPr>
            <w:tcW w:type="dxa" w:w="1440"/>
          </w:tcPr>
          <w:p>
            <w:pPr>
              <w:spacing w:after="20"/>
              <w:jc w:val="right"/>
            </w:pPr>
            <w:r>
              <w:rPr>
                <w:color w:val="1C3A36"/>
                <w:sz w:val="18"/>
              </w:rPr>
              <w:t>34.1</w:t>
            </w:r>
          </w:p>
        </w:tc>
        <w:tc>
          <w:tcPr>
            <w:tcW w:type="dxa" w:w="1440"/>
          </w:tcPr>
          <w:p>
            <w:pPr>
              <w:spacing w:after="20"/>
              <w:jc w:val="right"/>
            </w:pPr>
            <w:r>
              <w:rPr>
                <w:color w:val="1C3A36"/>
                <w:sz w:val="18"/>
              </w:rPr>
              <w:t>37.3</w:t>
            </w:r>
          </w:p>
        </w:tc>
      </w:tr>
      <w:tr>
        <w:tc>
          <w:tcPr>
            <w:tcW w:type="dxa" w:w="2160"/>
          </w:tcPr>
          <w:p>
            <w:pPr>
              <w:spacing w:after="20"/>
            </w:pPr>
            <w:r>
              <w:rPr>
                <w:b/>
                <w:color w:val="1C3A36"/>
                <w:sz w:val="18"/>
              </w:rPr>
              <w:t>22%</w:t>
            </w:r>
          </w:p>
        </w:tc>
        <w:tc>
          <w:tcPr>
            <w:tcW w:type="dxa" w:w="1440"/>
          </w:tcPr>
          <w:p>
            <w:pPr>
              <w:spacing w:after="20"/>
              <w:jc w:val="right"/>
            </w:pPr>
            <w:r>
              <w:rPr>
                <w:color w:val="1C3A36"/>
                <w:sz w:val="18"/>
              </w:rPr>
              <w:t>25.6</w:t>
            </w:r>
          </w:p>
        </w:tc>
        <w:tc>
          <w:tcPr>
            <w:tcW w:type="dxa" w:w="1440"/>
          </w:tcPr>
          <w:p>
            <w:pPr>
              <w:spacing w:after="20"/>
              <w:jc w:val="right"/>
            </w:pPr>
            <w:r>
              <w:rPr>
                <w:color w:val="1C3A36"/>
                <w:sz w:val="18"/>
              </w:rPr>
              <w:t>27.0</w:t>
            </w:r>
          </w:p>
        </w:tc>
        <w:tc>
          <w:tcPr>
            <w:tcW w:type="dxa" w:w="1440"/>
          </w:tcPr>
          <w:p>
            <w:pPr>
              <w:spacing w:after="20"/>
              <w:jc w:val="right"/>
            </w:pPr>
            <w:r>
              <w:rPr>
                <w:color w:val="1C3A36"/>
                <w:sz w:val="18"/>
              </w:rPr>
              <w:t>28.7</w:t>
            </w:r>
          </w:p>
        </w:tc>
        <w:tc>
          <w:tcPr>
            <w:tcW w:type="dxa" w:w="1440"/>
          </w:tcPr>
          <w:p>
            <w:pPr>
              <w:spacing w:after="20"/>
              <w:jc w:val="right"/>
            </w:pPr>
            <w:r>
              <w:rPr>
                <w:color w:val="1C3A36"/>
                <w:sz w:val="18"/>
              </w:rPr>
              <w:t>30.7</w:t>
            </w:r>
          </w:p>
        </w:tc>
        <w:tc>
          <w:tcPr>
            <w:tcW w:type="dxa" w:w="1440"/>
          </w:tcPr>
          <w:p>
            <w:pPr>
              <w:spacing w:after="20"/>
              <w:jc w:val="right"/>
            </w:pPr>
            <w:r>
              <w:rPr>
                <w:color w:val="1C3A36"/>
                <w:sz w:val="18"/>
              </w:rPr>
              <w:t>33.2</w:t>
            </w:r>
          </w:p>
        </w:tc>
      </w:tr>
      <w:tr>
        <w:tc>
          <w:tcPr>
            <w:tcW w:type="dxa" w:w="2160"/>
          </w:tcPr>
          <w:p>
            <w:pPr>
              <w:spacing w:after="20"/>
            </w:pPr>
            <w:r>
              <w:rPr>
                <w:b/>
                <w:color w:val="1C3A36"/>
                <w:sz w:val="18"/>
              </w:rPr>
              <w:t>23%</w:t>
            </w:r>
          </w:p>
        </w:tc>
        <w:tc>
          <w:tcPr>
            <w:tcW w:type="dxa" w:w="1440"/>
          </w:tcPr>
          <w:p>
            <w:pPr>
              <w:spacing w:after="20"/>
              <w:jc w:val="right"/>
            </w:pPr>
            <w:r>
              <w:rPr>
                <w:color w:val="1C3A36"/>
                <w:sz w:val="18"/>
              </w:rPr>
              <w:t>23.8</w:t>
            </w:r>
          </w:p>
        </w:tc>
        <w:tc>
          <w:tcPr>
            <w:tcW w:type="dxa" w:w="1440"/>
          </w:tcPr>
          <w:p>
            <w:pPr>
              <w:spacing w:after="20"/>
              <w:jc w:val="right"/>
            </w:pPr>
            <w:r>
              <w:rPr>
                <w:color w:val="1C3A36"/>
                <w:sz w:val="18"/>
              </w:rPr>
              <w:t>25.0</w:t>
            </w:r>
          </w:p>
        </w:tc>
        <w:tc>
          <w:tcPr>
            <w:tcW w:type="dxa" w:w="1440"/>
          </w:tcPr>
          <w:p>
            <w:pPr>
              <w:spacing w:after="20"/>
              <w:jc w:val="right"/>
            </w:pPr>
            <w:r>
              <w:rPr>
                <w:color w:val="1C3A36"/>
                <w:sz w:val="18"/>
              </w:rPr>
              <w:t>26.3</w:t>
            </w:r>
          </w:p>
        </w:tc>
        <w:tc>
          <w:tcPr>
            <w:tcW w:type="dxa" w:w="1440"/>
          </w:tcPr>
          <w:p>
            <w:pPr>
              <w:spacing w:after="20"/>
              <w:jc w:val="right"/>
            </w:pPr>
            <w:r>
              <w:rPr>
                <w:color w:val="1C3A36"/>
                <w:sz w:val="18"/>
              </w:rPr>
              <w:t>28.0</w:t>
            </w:r>
          </w:p>
        </w:tc>
        <w:tc>
          <w:tcPr>
            <w:tcW w:type="dxa" w:w="1440"/>
          </w:tcPr>
          <w:p>
            <w:pPr>
              <w:spacing w:after="20"/>
              <w:jc w:val="right"/>
            </w:pPr>
            <w:r>
              <w:rPr>
                <w:color w:val="1C3A36"/>
                <w:sz w:val="18"/>
              </w:rPr>
              <w:t>29.9</w:t>
            </w:r>
          </w:p>
        </w:tc>
      </w:tr>
      <w:tr>
        <w:tc>
          <w:tcPr>
            <w:tcW w:type="dxa" w:w="2160"/>
          </w:tcPr>
          <w:p>
            <w:pPr>
              <w:spacing w:after="20"/>
            </w:pPr>
            <w:r>
              <w:rPr>
                <w:b/>
                <w:color w:val="1C3A36"/>
                <w:sz w:val="18"/>
              </w:rPr>
              <w:t>24%</w:t>
            </w:r>
          </w:p>
        </w:tc>
        <w:tc>
          <w:tcPr>
            <w:tcW w:type="dxa" w:w="1440"/>
          </w:tcPr>
          <w:p>
            <w:pPr>
              <w:spacing w:after="20"/>
              <w:jc w:val="right"/>
            </w:pPr>
            <w:r>
              <w:rPr>
                <w:color w:val="1C3A36"/>
                <w:sz w:val="18"/>
              </w:rPr>
              <w:t>22.3</w:t>
            </w:r>
          </w:p>
        </w:tc>
        <w:tc>
          <w:tcPr>
            <w:tcW w:type="dxa" w:w="1440"/>
          </w:tcPr>
          <w:p>
            <w:pPr>
              <w:spacing w:after="20"/>
              <w:jc w:val="right"/>
            </w:pPr>
            <w:r>
              <w:rPr>
                <w:color w:val="1C3A36"/>
                <w:sz w:val="18"/>
              </w:rPr>
              <w:t>23.3</w:t>
            </w:r>
          </w:p>
        </w:tc>
        <w:tc>
          <w:tcPr>
            <w:tcW w:type="dxa" w:w="1440"/>
          </w:tcPr>
          <w:p>
            <w:pPr>
              <w:spacing w:after="20"/>
              <w:jc w:val="right"/>
            </w:pPr>
            <w:r>
              <w:rPr>
                <w:color w:val="1C3A36"/>
                <w:sz w:val="18"/>
              </w:rPr>
              <w:t>24.4</w:t>
            </w:r>
          </w:p>
        </w:tc>
        <w:tc>
          <w:tcPr>
            <w:tcW w:type="dxa" w:w="1440"/>
          </w:tcPr>
          <w:p>
            <w:pPr>
              <w:spacing w:after="20"/>
              <w:jc w:val="right"/>
            </w:pPr>
            <w:r>
              <w:rPr>
                <w:color w:val="1C3A36"/>
                <w:sz w:val="18"/>
              </w:rPr>
              <w:t>25.7</w:t>
            </w:r>
          </w:p>
        </w:tc>
        <w:tc>
          <w:tcPr>
            <w:tcW w:type="dxa" w:w="1440"/>
          </w:tcPr>
          <w:p>
            <w:pPr>
              <w:spacing w:after="20"/>
              <w:jc w:val="right"/>
            </w:pPr>
            <w:r>
              <w:rPr>
                <w:color w:val="1C3A36"/>
                <w:sz w:val="18"/>
              </w:rPr>
              <w:t>27.3</w:t>
            </w:r>
          </w:p>
        </w:tc>
      </w:tr>
    </w:tbl>
    <w:p>
      <w:pPr>
        <w:spacing w:after="40"/>
      </w:pPr>
    </w:p>
    <w:p>
      <w:pPr>
        <w:spacing w:after="200" w:before="0"/>
      </w:pPr>
      <w:r>
        <w:rPr>
          <w:b w:val="0"/>
          <w:i/>
          <w:color w:val="6E7B77"/>
          <w:sz w:val="17"/>
        </w:rPr>
        <w:t>SOTP fair value (EGP/share, post-discount) across WACC × terminal growth. Base cell 22% × 11.5% = 28.7. Read it as the bet you are taking: spot is consistent with roughly a 9.5–10-pt nominal spread — i.e. two-to-three more CBE cutting cycles already partly in the price.</w:t>
      </w:r>
    </w:p>
    <w:p>
      <w:pPr>
        <w:spacing w:after="120" w:before="280"/>
      </w:pPr>
      <w:r>
        <w:rPr>
          <w:b/>
          <w:i w:val="0"/>
          <w:color w:val="1C3A36"/>
          <w:sz w:val="30"/>
        </w:rPr>
        <w:t>2  Technical and price structure</w:t>
      </w:r>
    </w:p>
    <w:p>
      <w:pPr>
        <w:spacing w:after="120" w:before="0"/>
      </w:pPr>
      <w:r>
        <w:rPr>
          <w:b w:val="0"/>
          <w:i w:val="0"/>
          <w:color w:val="1C3A36"/>
          <w:sz w:val="21"/>
        </w:rPr>
        <w:t>The tape is strong and extended. GBCO trades above all four major moving averages, the MACD histogram has just re-crossed positive, and RSI sits in the low-60s — firm, not yet euphoric. The structure is a stair-step advance: a February spike to the EGP 33.40 all-time high, a two-month consolidation into the April low near 24, and a renewed leg that has carried price back within ~6% of the high. The 52-week low at 19.10 is the deep floor; the 20-day average near 30 is the trend’s first support.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592"/>
            <w:shd w:val="clear" w:color="auto" w:fill="EAF0EE"/>
          </w:tcPr>
          <w:p>
            <w:pPr>
              <w:spacing w:after="20"/>
            </w:pPr>
            <w:r>
              <w:rPr>
                <w:b/>
                <w:color w:val="1C3A36"/>
                <w:sz w:val="18"/>
              </w:rPr>
              <w:t>Indicator</w:t>
            </w:r>
          </w:p>
        </w:tc>
        <w:tc>
          <w:tcPr>
            <w:tcW w:type="dxa" w:w="3744"/>
            <w:shd w:val="clear" w:color="auto" w:fill="EAF0EE"/>
          </w:tcPr>
          <w:p>
            <w:pPr>
              <w:spacing w:after="20"/>
            </w:pPr>
            <w:r>
              <w:rPr>
                <w:b/>
                <w:color w:val="1C3A36"/>
                <w:sz w:val="18"/>
              </w:rPr>
              <w:t>Reading</w:t>
            </w:r>
          </w:p>
        </w:tc>
        <w:tc>
          <w:tcPr>
            <w:tcW w:type="dxa" w:w="3600"/>
            <w:shd w:val="clear" w:color="auto" w:fill="EAF0EE"/>
          </w:tcPr>
          <w:p>
            <w:pPr>
              <w:spacing w:after="20"/>
            </w:pPr>
            <w:r>
              <w:rPr>
                <w:b/>
                <w:color w:val="1C3A36"/>
                <w:sz w:val="18"/>
              </w:rPr>
              <w:t>Signal</w:t>
            </w:r>
          </w:p>
        </w:tc>
      </w:tr>
      <w:tr>
        <w:tc>
          <w:tcPr>
            <w:tcW w:type="dxa" w:w="2592"/>
          </w:tcPr>
          <w:p>
            <w:pPr>
              <w:spacing w:after="20"/>
            </w:pPr>
            <w:r>
              <w:rPr>
                <w:b/>
                <w:color w:val="1C3A36"/>
                <w:sz w:val="18"/>
              </w:rPr>
              <w:t>Spot</w:t>
            </w:r>
          </w:p>
        </w:tc>
        <w:tc>
          <w:tcPr>
            <w:tcW w:type="dxa" w:w="3744"/>
          </w:tcPr>
          <w:p>
            <w:pPr>
              <w:spacing w:after="20"/>
              <w:jc w:val="right"/>
            </w:pPr>
            <w:r>
              <w:rPr>
                <w:color w:val="1C3A36"/>
                <w:sz w:val="18"/>
              </w:rPr>
              <w:t>EGP 31.25</w:t>
            </w:r>
          </w:p>
        </w:tc>
        <w:tc>
          <w:tcPr>
            <w:tcW w:type="dxa" w:w="3600"/>
          </w:tcPr>
          <w:p>
            <w:pPr>
              <w:spacing w:after="20"/>
              <w:jc w:val="right"/>
            </w:pPr>
            <w:r>
              <w:rPr>
                <w:color w:val="1C3A36"/>
                <w:sz w:val="18"/>
              </w:rPr>
              <w:t>—</w:t>
            </w:r>
          </w:p>
        </w:tc>
      </w:tr>
      <w:tr>
        <w:tc>
          <w:tcPr>
            <w:tcW w:type="dxa" w:w="2592"/>
          </w:tcPr>
          <w:p>
            <w:pPr>
              <w:spacing w:after="20"/>
            </w:pPr>
            <w:r>
              <w:rPr>
                <w:b/>
                <w:color w:val="1C3A36"/>
                <w:sz w:val="18"/>
              </w:rPr>
              <w:t>SMA 20 / 50</w:t>
            </w:r>
          </w:p>
        </w:tc>
        <w:tc>
          <w:tcPr>
            <w:tcW w:type="dxa" w:w="3744"/>
          </w:tcPr>
          <w:p>
            <w:pPr>
              <w:spacing w:after="20"/>
              <w:jc w:val="right"/>
            </w:pPr>
            <w:r>
              <w:rPr>
                <w:color w:val="1C3A36"/>
                <w:sz w:val="18"/>
              </w:rPr>
              <w:t>EGP 30.0 / 28.2</w:t>
            </w:r>
          </w:p>
        </w:tc>
        <w:tc>
          <w:tcPr>
            <w:tcW w:type="dxa" w:w="3600"/>
          </w:tcPr>
          <w:p>
            <w:pPr>
              <w:spacing w:after="20"/>
              <w:jc w:val="right"/>
            </w:pPr>
            <w:r>
              <w:rPr>
                <w:color w:val="1C3A36"/>
                <w:sz w:val="18"/>
              </w:rPr>
              <w:t>Above both — short-term up</w:t>
            </w:r>
          </w:p>
        </w:tc>
      </w:tr>
      <w:tr>
        <w:tc>
          <w:tcPr>
            <w:tcW w:type="dxa" w:w="2592"/>
          </w:tcPr>
          <w:p>
            <w:pPr>
              <w:spacing w:after="20"/>
            </w:pPr>
            <w:r>
              <w:rPr>
                <w:b/>
                <w:color w:val="1C3A36"/>
                <w:sz w:val="18"/>
              </w:rPr>
              <w:t>SMA 100 / 200</w:t>
            </w:r>
          </w:p>
        </w:tc>
        <w:tc>
          <w:tcPr>
            <w:tcW w:type="dxa" w:w="3744"/>
          </w:tcPr>
          <w:p>
            <w:pPr>
              <w:spacing w:after="20"/>
              <w:jc w:val="right"/>
            </w:pPr>
            <w:r>
              <w:rPr>
                <w:color w:val="1C3A36"/>
                <w:sz w:val="18"/>
              </w:rPr>
              <w:t>EGP 27.8 / 26.7</w:t>
            </w:r>
          </w:p>
        </w:tc>
        <w:tc>
          <w:tcPr>
            <w:tcW w:type="dxa" w:w="3600"/>
          </w:tcPr>
          <w:p>
            <w:pPr>
              <w:spacing w:after="20"/>
              <w:jc w:val="right"/>
            </w:pPr>
            <w:r>
              <w:rPr>
                <w:color w:val="1C3A36"/>
                <w:sz w:val="18"/>
              </w:rPr>
              <w:t>Above both — trend up</w:t>
            </w:r>
          </w:p>
        </w:tc>
      </w:tr>
      <w:tr>
        <w:tc>
          <w:tcPr>
            <w:tcW w:type="dxa" w:w="2592"/>
          </w:tcPr>
          <w:p>
            <w:pPr>
              <w:spacing w:after="20"/>
            </w:pPr>
            <w:r>
              <w:rPr>
                <w:b/>
                <w:color w:val="1C3A36"/>
                <w:sz w:val="18"/>
              </w:rPr>
              <w:t>RSI (14)</w:t>
            </w:r>
          </w:p>
        </w:tc>
        <w:tc>
          <w:tcPr>
            <w:tcW w:type="dxa" w:w="3744"/>
          </w:tcPr>
          <w:p>
            <w:pPr>
              <w:spacing w:after="20"/>
              <w:jc w:val="right"/>
            </w:pPr>
            <w:r>
              <w:rPr>
                <w:color w:val="1C3A36"/>
                <w:sz w:val="18"/>
              </w:rPr>
              <w:t>62.8</w:t>
            </w:r>
          </w:p>
        </w:tc>
        <w:tc>
          <w:tcPr>
            <w:tcW w:type="dxa" w:w="3600"/>
          </w:tcPr>
          <w:p>
            <w:pPr>
              <w:spacing w:after="20"/>
              <w:jc w:val="right"/>
            </w:pPr>
            <w:r>
              <w:rPr>
                <w:color w:val="1C3A36"/>
                <w:sz w:val="18"/>
              </w:rPr>
              <w:t>Firm; below overbought</w:t>
            </w:r>
          </w:p>
        </w:tc>
      </w:tr>
      <w:tr>
        <w:tc>
          <w:tcPr>
            <w:tcW w:type="dxa" w:w="2592"/>
          </w:tcPr>
          <w:p>
            <w:pPr>
              <w:spacing w:after="20"/>
            </w:pPr>
            <w:r>
              <w:rPr>
                <w:b/>
                <w:color w:val="1C3A36"/>
                <w:sz w:val="18"/>
              </w:rPr>
              <w:t>MACD (12,26,9)</w:t>
            </w:r>
          </w:p>
        </w:tc>
        <w:tc>
          <w:tcPr>
            <w:tcW w:type="dxa" w:w="3744"/>
          </w:tcPr>
          <w:p>
            <w:pPr>
              <w:spacing w:after="20"/>
              <w:jc w:val="right"/>
            </w:pPr>
            <w:r>
              <w:rPr>
                <w:color w:val="1C3A36"/>
                <w:sz w:val="18"/>
              </w:rPr>
              <w:t>+1.15 line / +1.11 signal / +0.04 hist</w:t>
            </w:r>
          </w:p>
        </w:tc>
        <w:tc>
          <w:tcPr>
            <w:tcW w:type="dxa" w:w="3600"/>
          </w:tcPr>
          <w:p>
            <w:pPr>
              <w:spacing w:after="20"/>
              <w:jc w:val="right"/>
            </w:pPr>
            <w:r>
              <w:rPr>
                <w:color w:val="1C3A36"/>
                <w:sz w:val="18"/>
              </w:rPr>
              <w:t>Bullish, momentum re-building</w:t>
            </w:r>
          </w:p>
        </w:tc>
      </w:tr>
      <w:tr>
        <w:tc>
          <w:tcPr>
            <w:tcW w:type="dxa" w:w="2592"/>
          </w:tcPr>
          <w:p>
            <w:pPr>
              <w:spacing w:after="20"/>
            </w:pPr>
            <w:r>
              <w:rPr>
                <w:b/>
                <w:color w:val="1C3A36"/>
                <w:sz w:val="18"/>
              </w:rPr>
              <w:t>52-week range</w:t>
            </w:r>
          </w:p>
        </w:tc>
        <w:tc>
          <w:tcPr>
            <w:tcW w:type="dxa" w:w="3744"/>
          </w:tcPr>
          <w:p>
            <w:pPr>
              <w:spacing w:after="20"/>
              <w:jc w:val="right"/>
            </w:pPr>
            <w:r>
              <w:rPr>
                <w:color w:val="1C3A36"/>
                <w:sz w:val="18"/>
              </w:rPr>
              <w:t>EGP 19.10 – 33.40</w:t>
            </w:r>
          </w:p>
        </w:tc>
        <w:tc>
          <w:tcPr>
            <w:tcW w:type="dxa" w:w="3600"/>
          </w:tcPr>
          <w:p>
            <w:pPr>
              <w:spacing w:after="20"/>
              <w:jc w:val="right"/>
            </w:pPr>
            <w:r>
              <w:rPr>
                <w:color w:val="1C3A36"/>
                <w:sz w:val="18"/>
              </w:rPr>
              <w:t>Upper tenth of range</w:t>
            </w:r>
          </w:p>
        </w:tc>
      </w:tr>
      <w:tr>
        <w:tc>
          <w:tcPr>
            <w:tcW w:type="dxa" w:w="2592"/>
          </w:tcPr>
          <w:p>
            <w:pPr>
              <w:spacing w:after="20"/>
            </w:pPr>
            <w:r>
              <w:rPr>
                <w:b/>
                <w:color w:val="1C3A36"/>
                <w:sz w:val="18"/>
              </w:rPr>
              <w:t>Realized vol (252d)</w:t>
            </w:r>
          </w:p>
        </w:tc>
        <w:tc>
          <w:tcPr>
            <w:tcW w:type="dxa" w:w="3744"/>
          </w:tcPr>
          <w:p>
            <w:pPr>
              <w:spacing w:after="20"/>
              <w:jc w:val="right"/>
            </w:pPr>
            <w:r>
              <w:rPr>
                <w:color w:val="1C3A36"/>
                <w:sz w:val="18"/>
              </w:rPr>
              <w:t>35.6%</w:t>
            </w:r>
          </w:p>
        </w:tc>
        <w:tc>
          <w:tcPr>
            <w:tcW w:type="dxa" w:w="3600"/>
          </w:tcPr>
          <w:p>
            <w:pPr>
              <w:spacing w:after="20"/>
              <w:jc w:val="right"/>
            </w:pPr>
            <w:r>
              <w:rPr>
                <w:color w:val="1C3A36"/>
                <w:sz w:val="18"/>
              </w:rPr>
              <w:t>Elevated but off crisis highs</w:t>
            </w:r>
          </w:p>
        </w:tc>
      </w:tr>
    </w:tbl>
    <w:p>
      <w:pPr>
        <w:spacing w:after="40"/>
      </w:pPr>
    </w:p>
    <w:p>
      <w:pPr>
        <w:spacing w:after="40"/>
        <w:jc w:val="center"/>
      </w:pPr>
      <w:r>
        <w:drawing>
          <wp:inline xmlns:a="http://schemas.openxmlformats.org/drawingml/2006/main" xmlns:pic="http://schemas.openxmlformats.org/drawingml/2006/picture">
            <wp:extent cx="5852160" cy="2280062"/>
            <wp:docPr id="3" name="Picture 3"/>
            <wp:cNvGraphicFramePr>
              <a:graphicFrameLocks noChangeAspect="1"/>
            </wp:cNvGraphicFramePr>
            <a:graphic>
              <a:graphicData uri="http://schemas.openxmlformats.org/drawingml/2006/picture">
                <pic:pic>
                  <pic:nvPicPr>
                    <pic:cNvPr id="0" name="fig3_ma.png"/>
                    <pic:cNvPicPr/>
                  </pic:nvPicPr>
                  <pic:blipFill>
                    <a:blip r:embed="rId11"/>
                    <a:stretch>
                      <a:fillRect/>
                    </a:stretch>
                  </pic:blipFill>
                  <pic:spPr>
                    <a:xfrm>
                      <a:off x="0" y="0"/>
                      <a:ext cx="5852160" cy="2280062"/>
                    </a:xfrm>
                    <a:prstGeom prst="rect"/>
                  </pic:spPr>
                </pic:pic>
              </a:graphicData>
            </a:graphic>
          </wp:inline>
        </w:drawing>
      </w:r>
    </w:p>
    <w:p>
      <w:pPr>
        <w:spacing w:after="200" w:before="0"/>
      </w:pPr>
      <w:r>
        <w:rPr>
          <w:b w:val="0"/>
          <w:i/>
          <w:color w:val="6E7B77"/>
          <w:sz w:val="17"/>
        </w:rPr>
        <w:t>Figure 3 — Price versus the moving-average stack, last 260 sessions.</w:t>
      </w:r>
    </w:p>
    <w:p>
      <w:pPr>
        <w:spacing w:after="120" w:before="0"/>
      </w:pPr>
      <w:r>
        <w:rPr>
          <w:b w:val="0"/>
          <w:i w:val="0"/>
          <w:color w:val="1C3A36"/>
          <w:sz w:val="21"/>
        </w:rPr>
        <w:t>For the probabilistic work this matters in one way: an above-trend, momentum-positive tape thickens the near-term upside tail even where the fundamental work says value has been reached. The technical and fundamental pictures genuinely disagree here — unusually, with the tape the more bullish — and §6 reads the resulting probability zones without forcing a reconciliation.</w:t>
      </w:r>
    </w:p>
    <w:p>
      <w:pPr>
        <w:spacing w:after="120" w:before="280"/>
      </w:pPr>
      <w:r>
        <w:rPr>
          <w:b/>
          <w:i w:val="0"/>
          <w:color w:val="1C3A36"/>
          <w:sz w:val="30"/>
        </w:rPr>
        <w:t>3  Monte Carlo — a probabilistic price map</w:t>
      </w:r>
    </w:p>
    <w:p>
      <w:pPr>
        <w:spacing w:after="80" w:before="0"/>
      </w:pPr>
      <w:r>
        <w:rPr>
          <w:b w:val="0"/>
          <w:i w:val="0"/>
          <w:color w:val="1C3A36"/>
          <w:sz w:val="19"/>
        </w:rPr>
        <w:t>The probability read below opens the section, per house presentation: computed from the same 50,000 paths as everything that follows, it is a summary of the distribution, not an input to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4752"/>
            <w:shd w:val="clear" w:color="auto" w:fill="F6F1E6"/>
          </w:tcPr>
          <w:p>
            <w:pPr>
              <w:spacing w:after="20"/>
            </w:pPr>
            <w:r>
              <w:rPr>
                <w:b/>
                <w:color w:val="1C3A36"/>
                <w:sz w:val="18"/>
              </w:rPr>
              <w:t>The probability read (T+60)</w:t>
            </w:r>
          </w:p>
        </w:tc>
        <w:tc>
          <w:tcPr>
            <w:tcW w:type="dxa" w:w="4752"/>
            <w:shd w:val="clear" w:color="auto" w:fill="F6F1E6"/>
          </w:tcPr>
          <w:p>
            <w:pPr>
              <w:spacing w:after="20"/>
            </w:pPr>
            <w:r>
              <w:rPr>
                <w:b/>
                <w:color w:val="1C3A36"/>
                <w:sz w:val="18"/>
              </w:rPr>
            </w:r>
          </w:p>
        </w:tc>
      </w:tr>
      <w:tr>
        <w:tc>
          <w:tcPr>
            <w:tcW w:type="dxa" w:w="4752"/>
          </w:tcPr>
          <w:p>
            <w:pPr>
              <w:spacing w:after="20"/>
            </w:pPr>
            <w:r>
              <w:rPr>
                <w:b/>
                <w:color w:val="1C3A36"/>
                <w:sz w:val="18"/>
              </w:rPr>
              <w:t>P(price above spot)</w:t>
            </w:r>
          </w:p>
        </w:tc>
        <w:tc>
          <w:tcPr>
            <w:tcW w:type="dxa" w:w="4752"/>
          </w:tcPr>
          <w:p>
            <w:pPr>
              <w:spacing w:after="20"/>
              <w:jc w:val="right"/>
            </w:pPr>
            <w:r>
              <w:rPr>
                <w:color w:val="1C3A36"/>
                <w:sz w:val="18"/>
              </w:rPr>
              <w:t>71%</w:t>
            </w:r>
          </w:p>
        </w:tc>
      </w:tr>
      <w:tr>
        <w:tc>
          <w:tcPr>
            <w:tcW w:type="dxa" w:w="4752"/>
          </w:tcPr>
          <w:p>
            <w:pPr>
              <w:spacing w:after="20"/>
            </w:pPr>
            <w:r>
              <w:rPr>
                <w:b/>
                <w:color w:val="1C3A36"/>
                <w:sz w:val="18"/>
              </w:rPr>
              <w:t>P(+10%) vs P(−10%) — the odds</w:t>
            </w:r>
          </w:p>
        </w:tc>
        <w:tc>
          <w:tcPr>
            <w:tcW w:type="dxa" w:w="4752"/>
          </w:tcPr>
          <w:p>
            <w:pPr>
              <w:spacing w:after="20"/>
              <w:jc w:val="right"/>
            </w:pPr>
            <w:r>
              <w:rPr>
                <w:color w:val="1C3A36"/>
                <w:sz w:val="18"/>
              </w:rPr>
              <w:t>54% vs 15%  ·  3.6 : 1</w:t>
            </w:r>
          </w:p>
        </w:tc>
      </w:tr>
      <w:tr>
        <w:tc>
          <w:tcPr>
            <w:tcW w:type="dxa" w:w="4752"/>
          </w:tcPr>
          <w:p>
            <w:pPr>
              <w:spacing w:after="20"/>
            </w:pPr>
            <w:r>
              <w:rPr>
                <w:b/>
                <w:color w:val="1C3A36"/>
                <w:sz w:val="18"/>
              </w:rPr>
              <w:t>Median level, and its move</w:t>
            </w:r>
          </w:p>
        </w:tc>
        <w:tc>
          <w:tcPr>
            <w:tcW w:type="dxa" w:w="4752"/>
          </w:tcPr>
          <w:p>
            <w:pPr>
              <w:spacing w:after="20"/>
              <w:jc w:val="right"/>
            </w:pPr>
            <w:r>
              <w:rPr>
                <w:color w:val="1C3A36"/>
                <w:sz w:val="18"/>
              </w:rPr>
              <w:t>EGP 34.98  (+11.9%)</w:t>
            </w:r>
          </w:p>
        </w:tc>
      </w:tr>
      <w:tr>
        <w:tc>
          <w:tcPr>
            <w:tcW w:type="dxa" w:w="4752"/>
          </w:tcPr>
          <w:p>
            <w:pPr>
              <w:spacing w:after="20"/>
            </w:pPr>
            <w:r>
              <w:rPr>
                <w:b/>
                <w:color w:val="1C3A36"/>
                <w:sz w:val="18"/>
              </w:rPr>
              <w:t>The 50% band (25th–75th)</w:t>
            </w:r>
          </w:p>
        </w:tc>
        <w:tc>
          <w:tcPr>
            <w:tcW w:type="dxa" w:w="4752"/>
          </w:tcPr>
          <w:p>
            <w:pPr>
              <w:spacing w:after="20"/>
              <w:jc w:val="right"/>
            </w:pPr>
            <w:r>
              <w:rPr>
                <w:color w:val="1C3A36"/>
                <w:sz w:val="18"/>
              </w:rPr>
              <w:t>EGP 30.6 – 40.1   (-2% / +28% of spot)</w:t>
            </w:r>
          </w:p>
        </w:tc>
      </w:tr>
      <w:tr>
        <w:tc>
          <w:tcPr>
            <w:tcW w:type="dxa" w:w="4752"/>
          </w:tcPr>
          <w:p>
            <w:pPr>
              <w:spacing w:after="20"/>
            </w:pPr>
            <w:r>
              <w:rPr>
                <w:b/>
                <w:color w:val="1C3A36"/>
                <w:sz w:val="18"/>
              </w:rPr>
              <w:t>Touch(+10%) / touch(−10%) at any point</w:t>
            </w:r>
          </w:p>
        </w:tc>
        <w:tc>
          <w:tcPr>
            <w:tcW w:type="dxa" w:w="4752"/>
          </w:tcPr>
          <w:p>
            <w:pPr>
              <w:spacing w:after="20"/>
              <w:jc w:val="right"/>
            </w:pPr>
            <w:r>
              <w:rPr>
                <w:color w:val="1C3A36"/>
                <w:sz w:val="18"/>
              </w:rPr>
              <w:t>76%  /  38%</w:t>
            </w:r>
          </w:p>
        </w:tc>
      </w:tr>
    </w:tbl>
    <w:p>
      <w:pPr>
        <w:spacing w:after="40"/>
      </w:pPr>
    </w:p>
    <w:p>
      <w:pPr>
        <w:spacing w:after="120" w:before="0"/>
      </w:pPr>
      <w:r>
        <w:rPr>
          <w:b w:val="0"/>
          <w:i w:val="0"/>
          <w:color w:val="1C3A36"/>
          <w:sz w:val="21"/>
        </w:rPr>
        <w:t>We simulate 50,000 three-month price paths (seed 42) with the house YZ-HAR v2 engine: width from a pooled log-HAR cascade (variance lags 1/5/22) on a gap-aware Yang-Zhang variance proxy, projecting the average daily variance over the next 60 sessions (annualized ≈ 49.6% at this origin — regime-conditional by construction, with no calibration multiplier: the retired KVOL floor is replaced by the HAR width itself); shape from unit-variance Student-t(5) innovations via a per-path chi-square mixture (tighter interquartile body, honest tails); and drift that is asset-class-conditional — here the secular expanding-window drift (+9.8% per quarter), because that is the configuration that passed the Step 0 gate on this name while zero drift failed it (Appendix B). A sixteen-factor stack layers on top: seven continuous macro/operating drivers contributing a small net forward drift and nine discrete events that each fire with a probability and an impact, together adding a modest +1.5% over the quarter.</w:t>
      </w:r>
    </w:p>
    <w:p>
      <w:pPr>
        <w:spacing w:after="120" w:before="0"/>
      </w:pPr>
      <w:r>
        <w:rPr>
          <w:b/>
          <w:i w:val="0"/>
          <w:color w:val="1C3A36"/>
          <w:sz w:val="21"/>
        </w:rPr>
        <w:t xml:space="preserve">By design the paths diffuse from spot as near-term price and deliberately do not embed the fundamental NAV — the value gap of §1 is kept out of the drift. </w:t>
      </w:r>
      <w:r>
        <w:rPr>
          <w:b w:val="0"/>
          <w:i w:val="0"/>
          <w:color w:val="1C3A36"/>
          <w:sz w:val="21"/>
        </w:rPr>
        <w:t>The fundamental gap lives in §1, not here; §3 maps where price could go from today, not where value sits. The upward median you see is the stock’s own measured secular behaviour surviving a calibration test — never a target, and never the §1 value gap smuggled in.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3096"/>
            <w:shd w:val="clear" w:color="auto" w:fill="EAF0EE"/>
          </w:tcPr>
          <w:p>
            <w:pPr>
              <w:spacing w:after="20"/>
            </w:pPr>
            <w:r>
              <w:rPr>
                <w:b/>
                <w:color w:val="1C3A36"/>
                <w:sz w:val="17"/>
              </w:rPr>
              <w:t>Continuous factor (7)</w:t>
            </w:r>
          </w:p>
        </w:tc>
        <w:tc>
          <w:tcPr>
            <w:tcW w:type="dxa" w:w="720"/>
            <w:shd w:val="clear" w:color="auto" w:fill="EAF0EE"/>
          </w:tcPr>
          <w:p>
            <w:pPr>
              <w:spacing w:after="20"/>
            </w:pPr>
            <w:r>
              <w:rPr>
                <w:b/>
                <w:color w:val="1C3A36"/>
                <w:sz w:val="17"/>
              </w:rPr>
              <w:t>Dir.</w:t>
            </w:r>
          </w:p>
        </w:tc>
        <w:tc>
          <w:tcPr>
            <w:tcW w:type="dxa" w:w="3168"/>
            <w:shd w:val="clear" w:color="auto" w:fill="EAF0EE"/>
          </w:tcPr>
          <w:p>
            <w:pPr>
              <w:spacing w:after="20"/>
            </w:pPr>
            <w:r>
              <w:rPr>
                <w:b/>
                <w:color w:val="1C3A36"/>
                <w:sz w:val="17"/>
              </w:rPr>
              <w:t>Discrete event (9)</w:t>
            </w:r>
          </w:p>
        </w:tc>
        <w:tc>
          <w:tcPr>
            <w:tcW w:type="dxa" w:w="1008"/>
            <w:shd w:val="clear" w:color="auto" w:fill="EAF0EE"/>
          </w:tcPr>
          <w:p>
            <w:pPr>
              <w:spacing w:after="20"/>
            </w:pPr>
            <w:r>
              <w:rPr>
                <w:b/>
                <w:color w:val="1C3A36"/>
                <w:sz w:val="17"/>
              </w:rPr>
              <w:t>Prob.</w:t>
            </w:r>
          </w:p>
        </w:tc>
        <w:tc>
          <w:tcPr>
            <w:tcW w:type="dxa" w:w="1368"/>
            <w:shd w:val="clear" w:color="auto" w:fill="EAF0EE"/>
          </w:tcPr>
          <w:p>
            <w:pPr>
              <w:spacing w:after="20"/>
            </w:pPr>
            <w:r>
              <w:rPr>
                <w:b/>
                <w:color w:val="1C3A36"/>
                <w:sz w:val="17"/>
              </w:rPr>
              <w:t>Mean impact</w:t>
            </w:r>
          </w:p>
        </w:tc>
      </w:tr>
      <w:tr>
        <w:tc>
          <w:tcPr>
            <w:tcW w:type="dxa" w:w="3096"/>
          </w:tcPr>
          <w:p>
            <w:pPr>
              <w:spacing w:after="20"/>
            </w:pPr>
            <w:r>
              <w:rPr>
                <w:color w:val="1C3A36"/>
                <w:sz w:val="17"/>
              </w:rPr>
              <w:t>Egypt PC demand / rate-cut cycle</w:t>
            </w:r>
          </w:p>
        </w:tc>
        <w:tc>
          <w:tcPr>
            <w:tcW w:type="dxa" w:w="720"/>
          </w:tcPr>
          <w:p>
            <w:pPr>
              <w:spacing w:after="20"/>
              <w:jc w:val="right"/>
            </w:pPr>
            <w:r>
              <w:rPr>
                <w:color w:val="1C3A36"/>
                <w:sz w:val="17"/>
              </w:rPr>
              <w:t>+</w:t>
            </w:r>
          </w:p>
        </w:tc>
        <w:tc>
          <w:tcPr>
            <w:tcW w:type="dxa" w:w="3168"/>
          </w:tcPr>
          <w:p>
            <w:pPr>
              <w:spacing w:after="20"/>
              <w:jc w:val="right"/>
            </w:pPr>
            <w:r>
              <w:rPr>
                <w:color w:val="1C3A36"/>
                <w:sz w:val="17"/>
              </w:rPr>
              <w:t>2Q26 results (11 Aug 2026)</w:t>
            </w:r>
          </w:p>
        </w:tc>
        <w:tc>
          <w:tcPr>
            <w:tcW w:type="dxa" w:w="1008"/>
          </w:tcPr>
          <w:p>
            <w:pPr>
              <w:spacing w:after="20"/>
              <w:jc w:val="right"/>
            </w:pPr>
            <w:r>
              <w:rPr>
                <w:color w:val="1C3A36"/>
                <w:sz w:val="17"/>
              </w:rPr>
              <w:t>90%</w:t>
            </w:r>
          </w:p>
        </w:tc>
        <w:tc>
          <w:tcPr>
            <w:tcW w:type="dxa" w:w="1368"/>
          </w:tcPr>
          <w:p>
            <w:pPr>
              <w:spacing w:after="20"/>
              <w:jc w:val="right"/>
            </w:pPr>
            <w:r>
              <w:rPr>
                <w:color w:val="1C3A36"/>
                <w:sz w:val="17"/>
              </w:rPr>
              <w:t>+0.5%</w:t>
            </w:r>
          </w:p>
        </w:tc>
      </w:tr>
      <w:tr>
        <w:tc>
          <w:tcPr>
            <w:tcW w:type="dxa" w:w="3096"/>
          </w:tcPr>
          <w:p>
            <w:pPr>
              <w:spacing w:after="20"/>
            </w:pPr>
            <w:r>
              <w:rPr>
                <w:color w:val="1C3A36"/>
                <w:sz w:val="17"/>
              </w:rPr>
              <w:t>EGP/USD drift (CKD import content)</w:t>
            </w:r>
          </w:p>
        </w:tc>
        <w:tc>
          <w:tcPr>
            <w:tcW w:type="dxa" w:w="720"/>
          </w:tcPr>
          <w:p>
            <w:pPr>
              <w:spacing w:after="20"/>
              <w:jc w:val="right"/>
            </w:pPr>
            <w:r>
              <w:rPr>
                <w:color w:val="1C3A36"/>
                <w:sz w:val="17"/>
              </w:rPr>
              <w:t>±</w:t>
            </w:r>
          </w:p>
        </w:tc>
        <w:tc>
          <w:tcPr>
            <w:tcW w:type="dxa" w:w="3168"/>
          </w:tcPr>
          <w:p>
            <w:pPr>
              <w:spacing w:after="20"/>
              <w:jc w:val="right"/>
            </w:pPr>
            <w:r>
              <w:rPr>
                <w:color w:val="1C3A36"/>
                <w:sz w:val="17"/>
              </w:rPr>
              <w:t>MNT-Halan second closing ≥ $1.4 bn</w:t>
            </w:r>
          </w:p>
        </w:tc>
        <w:tc>
          <w:tcPr>
            <w:tcW w:type="dxa" w:w="1008"/>
          </w:tcPr>
          <w:p>
            <w:pPr>
              <w:spacing w:after="20"/>
              <w:jc w:val="right"/>
            </w:pPr>
            <w:r>
              <w:rPr>
                <w:color w:val="1C3A36"/>
                <w:sz w:val="17"/>
              </w:rPr>
              <w:t>45%</w:t>
            </w:r>
          </w:p>
        </w:tc>
        <w:tc>
          <w:tcPr>
            <w:tcW w:type="dxa" w:w="1368"/>
          </w:tcPr>
          <w:p>
            <w:pPr>
              <w:spacing w:after="20"/>
              <w:jc w:val="right"/>
            </w:pPr>
            <w:r>
              <w:rPr>
                <w:color w:val="1C3A36"/>
                <w:sz w:val="17"/>
              </w:rPr>
              <w:t>+1.5%</w:t>
            </w:r>
          </w:p>
        </w:tc>
      </w:tr>
      <w:tr>
        <w:tc>
          <w:tcPr>
            <w:tcW w:type="dxa" w:w="3096"/>
          </w:tcPr>
          <w:p>
            <w:pPr>
              <w:spacing w:after="20"/>
            </w:pPr>
            <w:r>
              <w:rPr>
                <w:color w:val="1C3A36"/>
                <w:sz w:val="17"/>
              </w:rPr>
              <w:t>CBE easing (affordability + Capital NIM)</w:t>
            </w:r>
          </w:p>
        </w:tc>
        <w:tc>
          <w:tcPr>
            <w:tcW w:type="dxa" w:w="720"/>
          </w:tcPr>
          <w:p>
            <w:pPr>
              <w:spacing w:after="20"/>
              <w:jc w:val="right"/>
            </w:pPr>
            <w:r>
              <w:rPr>
                <w:color w:val="1C3A36"/>
                <w:sz w:val="17"/>
              </w:rPr>
              <w:t>+</w:t>
            </w:r>
          </w:p>
        </w:tc>
        <w:tc>
          <w:tcPr>
            <w:tcW w:type="dxa" w:w="3168"/>
          </w:tcPr>
          <w:p>
            <w:pPr>
              <w:spacing w:after="20"/>
              <w:jc w:val="right"/>
            </w:pPr>
            <w:r>
              <w:rPr>
                <w:color w:val="1C3A36"/>
                <w:sz w:val="17"/>
              </w:rPr>
              <w:t>CBE cut ≥ 100 bp (Aug/Oct MPC)</w:t>
            </w:r>
          </w:p>
        </w:tc>
        <w:tc>
          <w:tcPr>
            <w:tcW w:type="dxa" w:w="1008"/>
          </w:tcPr>
          <w:p>
            <w:pPr>
              <w:spacing w:after="20"/>
              <w:jc w:val="right"/>
            </w:pPr>
            <w:r>
              <w:rPr>
                <w:color w:val="1C3A36"/>
                <w:sz w:val="17"/>
              </w:rPr>
              <w:t>50%</w:t>
            </w:r>
          </w:p>
        </w:tc>
        <w:tc>
          <w:tcPr>
            <w:tcW w:type="dxa" w:w="1368"/>
          </w:tcPr>
          <w:p>
            <w:pPr>
              <w:spacing w:after="20"/>
              <w:jc w:val="right"/>
            </w:pPr>
            <w:r>
              <w:rPr>
                <w:color w:val="1C3A36"/>
                <w:sz w:val="17"/>
              </w:rPr>
              <w:t>+1.0%</w:t>
            </w:r>
          </w:p>
        </w:tc>
      </w:tr>
      <w:tr>
        <w:tc>
          <w:tcPr>
            <w:tcW w:type="dxa" w:w="3096"/>
          </w:tcPr>
          <w:p>
            <w:pPr>
              <w:spacing w:after="20"/>
            </w:pPr>
            <w:r>
              <w:rPr>
                <w:color w:val="1C3A36"/>
                <w:sz w:val="17"/>
              </w:rPr>
              <w:t>Iraq / Jordan regional-conflict drag</w:t>
            </w:r>
          </w:p>
        </w:tc>
        <w:tc>
          <w:tcPr>
            <w:tcW w:type="dxa" w:w="720"/>
          </w:tcPr>
          <w:p>
            <w:pPr>
              <w:spacing w:after="20"/>
              <w:jc w:val="right"/>
            </w:pPr>
            <w:r>
              <w:rPr>
                <w:color w:val="1C3A36"/>
                <w:sz w:val="17"/>
              </w:rPr>
              <w:t>−</w:t>
            </w:r>
          </w:p>
        </w:tc>
        <w:tc>
          <w:tcPr>
            <w:tcW w:type="dxa" w:w="3168"/>
          </w:tcPr>
          <w:p>
            <w:pPr>
              <w:spacing w:after="20"/>
              <w:jc w:val="right"/>
            </w:pPr>
            <w:r>
              <w:rPr>
                <w:color w:val="1C3A36"/>
                <w:sz w:val="17"/>
              </w:rPr>
              <w:t>Regional escalation spillover</w:t>
            </w:r>
          </w:p>
        </w:tc>
        <w:tc>
          <w:tcPr>
            <w:tcW w:type="dxa" w:w="1008"/>
          </w:tcPr>
          <w:p>
            <w:pPr>
              <w:spacing w:after="20"/>
              <w:jc w:val="right"/>
            </w:pPr>
            <w:r>
              <w:rPr>
                <w:color w:val="1C3A36"/>
                <w:sz w:val="17"/>
              </w:rPr>
              <w:t>25%</w:t>
            </w:r>
          </w:p>
        </w:tc>
        <w:tc>
          <w:tcPr>
            <w:tcW w:type="dxa" w:w="1368"/>
          </w:tcPr>
          <w:p>
            <w:pPr>
              <w:spacing w:after="20"/>
              <w:jc w:val="right"/>
            </w:pPr>
            <w:r>
              <w:rPr>
                <w:color w:val="1C3A36"/>
                <w:sz w:val="17"/>
              </w:rPr>
              <w:t>−2.5%</w:t>
            </w:r>
          </w:p>
        </w:tc>
      </w:tr>
      <w:tr>
        <w:tc>
          <w:tcPr>
            <w:tcW w:type="dxa" w:w="3096"/>
          </w:tcPr>
          <w:p>
            <w:pPr>
              <w:spacing w:after="20"/>
            </w:pPr>
            <w:r>
              <w:rPr>
                <w:color w:val="1C3A36"/>
                <w:sz w:val="17"/>
              </w:rPr>
              <w:t>Chinese grey-import competition</w:t>
            </w:r>
          </w:p>
        </w:tc>
        <w:tc>
          <w:tcPr>
            <w:tcW w:type="dxa" w:w="720"/>
          </w:tcPr>
          <w:p>
            <w:pPr>
              <w:spacing w:after="20"/>
              <w:jc w:val="right"/>
            </w:pPr>
            <w:r>
              <w:rPr>
                <w:color w:val="1C3A36"/>
                <w:sz w:val="17"/>
              </w:rPr>
              <w:t>−</w:t>
            </w:r>
          </w:p>
        </w:tc>
        <w:tc>
          <w:tcPr>
            <w:tcW w:type="dxa" w:w="3168"/>
          </w:tcPr>
          <w:p>
            <w:pPr>
              <w:spacing w:after="20"/>
              <w:jc w:val="right"/>
            </w:pPr>
            <w:r>
              <w:rPr>
                <w:color w:val="1C3A36"/>
                <w:sz w:val="17"/>
              </w:rPr>
              <w:t>BYD Egypt entry / price shock</w:t>
            </w:r>
          </w:p>
        </w:tc>
        <w:tc>
          <w:tcPr>
            <w:tcW w:type="dxa" w:w="1008"/>
          </w:tcPr>
          <w:p>
            <w:pPr>
              <w:spacing w:after="20"/>
              <w:jc w:val="right"/>
            </w:pPr>
            <w:r>
              <w:rPr>
                <w:color w:val="1C3A36"/>
                <w:sz w:val="17"/>
              </w:rPr>
              <w:t>35%</w:t>
            </w:r>
          </w:p>
        </w:tc>
        <w:tc>
          <w:tcPr>
            <w:tcW w:type="dxa" w:w="1368"/>
          </w:tcPr>
          <w:p>
            <w:pPr>
              <w:spacing w:after="20"/>
              <w:jc w:val="right"/>
            </w:pPr>
            <w:r>
              <w:rPr>
                <w:color w:val="1C3A36"/>
                <w:sz w:val="17"/>
              </w:rPr>
              <w:t>−1.0%</w:t>
            </w:r>
          </w:p>
        </w:tc>
      </w:tr>
      <w:tr>
        <w:tc>
          <w:tcPr>
            <w:tcW w:type="dxa" w:w="3096"/>
          </w:tcPr>
          <w:p>
            <w:pPr>
              <w:spacing w:after="20"/>
            </w:pPr>
            <w:r>
              <w:rPr>
                <w:color w:val="1C3A36"/>
                <w:sz w:val="17"/>
              </w:rPr>
              <w:t>Localization / CKD mix &amp; Sadat ramp</w:t>
            </w:r>
          </w:p>
        </w:tc>
        <w:tc>
          <w:tcPr>
            <w:tcW w:type="dxa" w:w="720"/>
          </w:tcPr>
          <w:p>
            <w:pPr>
              <w:spacing w:after="20"/>
              <w:jc w:val="right"/>
            </w:pPr>
            <w:r>
              <w:rPr>
                <w:color w:val="1C3A36"/>
                <w:sz w:val="17"/>
              </w:rPr>
              <w:t>+</w:t>
            </w:r>
          </w:p>
        </w:tc>
        <w:tc>
          <w:tcPr>
            <w:tcW w:type="dxa" w:w="3168"/>
          </w:tcPr>
          <w:p>
            <w:pPr>
              <w:spacing w:after="20"/>
              <w:jc w:val="right"/>
            </w:pPr>
            <w:r>
              <w:rPr>
                <w:color w:val="1C3A36"/>
                <w:sz w:val="17"/>
              </w:rPr>
              <w:t>Sadat ramp / new CKD model</w:t>
            </w:r>
          </w:p>
        </w:tc>
        <w:tc>
          <w:tcPr>
            <w:tcW w:type="dxa" w:w="1008"/>
          </w:tcPr>
          <w:p>
            <w:pPr>
              <w:spacing w:after="20"/>
              <w:jc w:val="right"/>
            </w:pPr>
            <w:r>
              <w:rPr>
                <w:color w:val="1C3A36"/>
                <w:sz w:val="17"/>
              </w:rPr>
              <w:t>55%</w:t>
            </w:r>
          </w:p>
        </w:tc>
        <w:tc>
          <w:tcPr>
            <w:tcW w:type="dxa" w:w="1368"/>
          </w:tcPr>
          <w:p>
            <w:pPr>
              <w:spacing w:after="20"/>
              <w:jc w:val="right"/>
            </w:pPr>
            <w:r>
              <w:rPr>
                <w:color w:val="1C3A36"/>
                <w:sz w:val="17"/>
              </w:rPr>
              <w:t>+0.6%</w:t>
            </w:r>
          </w:p>
        </w:tc>
      </w:tr>
      <w:tr>
        <w:tc>
          <w:tcPr>
            <w:tcW w:type="dxa" w:w="3096"/>
          </w:tcPr>
          <w:p>
            <w:pPr>
              <w:spacing w:after="20"/>
            </w:pPr>
            <w:r>
              <w:rPr>
                <w:color w:val="1C3A36"/>
                <w:sz w:val="17"/>
              </w:rPr>
              <w:t>Funding-cost &amp; provisioning cycle</w:t>
            </w:r>
          </w:p>
        </w:tc>
        <w:tc>
          <w:tcPr>
            <w:tcW w:type="dxa" w:w="720"/>
          </w:tcPr>
          <w:p>
            <w:pPr>
              <w:spacing w:after="20"/>
              <w:jc w:val="right"/>
            </w:pPr>
            <w:r>
              <w:rPr>
                <w:color w:val="1C3A36"/>
                <w:sz w:val="17"/>
              </w:rPr>
              <w:t>−</w:t>
            </w:r>
          </w:p>
        </w:tc>
        <w:tc>
          <w:tcPr>
            <w:tcW w:type="dxa" w:w="3168"/>
          </w:tcPr>
          <w:p>
            <w:pPr>
              <w:spacing w:after="20"/>
              <w:jc w:val="right"/>
            </w:pPr>
            <w:r>
              <w:rPr>
                <w:color w:val="1C3A36"/>
                <w:sz w:val="17"/>
              </w:rPr>
              <w:t>Dividend / capital-return surprise</w:t>
            </w:r>
          </w:p>
        </w:tc>
        <w:tc>
          <w:tcPr>
            <w:tcW w:type="dxa" w:w="1008"/>
          </w:tcPr>
          <w:p>
            <w:pPr>
              <w:spacing w:after="20"/>
              <w:jc w:val="right"/>
            </w:pPr>
            <w:r>
              <w:rPr>
                <w:color w:val="1C3A36"/>
                <w:sz w:val="17"/>
              </w:rPr>
              <w:t>15%</w:t>
            </w:r>
          </w:p>
        </w:tc>
        <w:tc>
          <w:tcPr>
            <w:tcW w:type="dxa" w:w="1368"/>
          </w:tcPr>
          <w:p>
            <w:pPr>
              <w:spacing w:after="20"/>
              <w:jc w:val="right"/>
            </w:pPr>
            <w:r>
              <w:rPr>
                <w:color w:val="1C3A36"/>
                <w:sz w:val="17"/>
              </w:rPr>
              <w:t>+0.8%</w:t>
            </w:r>
          </w:p>
        </w:tc>
      </w:tr>
      <w:tr>
        <w:tc>
          <w:tcPr>
            <w:tcW w:type="dxa" w:w="3096"/>
          </w:tcPr>
          <w:p>
            <w:pPr>
              <w:spacing w:after="20"/>
            </w:pPr>
            <w:r>
              <w:rPr>
                <w:color w:val="1C3A36"/>
                <w:sz w:val="17"/>
              </w:rPr>
            </w:r>
          </w:p>
        </w:tc>
        <w:tc>
          <w:tcPr>
            <w:tcW w:type="dxa" w:w="720"/>
          </w:tcPr>
          <w:p>
            <w:pPr>
              <w:spacing w:after="20"/>
              <w:jc w:val="right"/>
            </w:pPr>
            <w:r>
              <w:rPr>
                <w:color w:val="1C3A36"/>
                <w:sz w:val="17"/>
              </w:rPr>
            </w:r>
          </w:p>
        </w:tc>
        <w:tc>
          <w:tcPr>
            <w:tcW w:type="dxa" w:w="3168"/>
          </w:tcPr>
          <w:p>
            <w:pPr>
              <w:spacing w:after="20"/>
              <w:jc w:val="right"/>
            </w:pPr>
            <w:r>
              <w:rPr>
                <w:color w:val="1C3A36"/>
                <w:sz w:val="17"/>
              </w:rPr>
              <w:t>EGP step-devaluation</w:t>
            </w:r>
          </w:p>
        </w:tc>
        <w:tc>
          <w:tcPr>
            <w:tcW w:type="dxa" w:w="1008"/>
          </w:tcPr>
          <w:p>
            <w:pPr>
              <w:spacing w:after="20"/>
              <w:jc w:val="right"/>
            </w:pPr>
            <w:r>
              <w:rPr>
                <w:color w:val="1C3A36"/>
                <w:sz w:val="17"/>
              </w:rPr>
              <w:t>12%</w:t>
            </w:r>
          </w:p>
        </w:tc>
        <w:tc>
          <w:tcPr>
            <w:tcW w:type="dxa" w:w="1368"/>
          </w:tcPr>
          <w:p>
            <w:pPr>
              <w:spacing w:after="20"/>
              <w:jc w:val="right"/>
            </w:pPr>
            <w:r>
              <w:rPr>
                <w:color w:val="1C3A36"/>
                <w:sz w:val="17"/>
              </w:rPr>
              <w:t>−2.0%</w:t>
            </w:r>
          </w:p>
        </w:tc>
      </w:tr>
      <w:tr>
        <w:tc>
          <w:tcPr>
            <w:tcW w:type="dxa" w:w="3096"/>
          </w:tcPr>
          <w:p>
            <w:pPr>
              <w:spacing w:after="20"/>
            </w:pPr>
            <w:r>
              <w:rPr>
                <w:color w:val="1C3A36"/>
                <w:sz w:val="17"/>
              </w:rPr>
            </w:r>
          </w:p>
        </w:tc>
        <w:tc>
          <w:tcPr>
            <w:tcW w:type="dxa" w:w="720"/>
          </w:tcPr>
          <w:p>
            <w:pPr>
              <w:spacing w:after="20"/>
              <w:jc w:val="right"/>
            </w:pPr>
            <w:r>
              <w:rPr>
                <w:color w:val="1C3A36"/>
                <w:sz w:val="17"/>
              </w:rPr>
            </w:r>
          </w:p>
        </w:tc>
        <w:tc>
          <w:tcPr>
            <w:tcW w:type="dxa" w:w="3168"/>
          </w:tcPr>
          <w:p>
            <w:pPr>
              <w:spacing w:after="20"/>
              <w:jc w:val="right"/>
            </w:pPr>
            <w:r>
              <w:rPr>
                <w:color w:val="1C3A36"/>
                <w:sz w:val="17"/>
              </w:rPr>
              <w:t>EGX flows / index event</w:t>
            </w:r>
          </w:p>
        </w:tc>
        <w:tc>
          <w:tcPr>
            <w:tcW w:type="dxa" w:w="1008"/>
          </w:tcPr>
          <w:p>
            <w:pPr>
              <w:spacing w:after="20"/>
              <w:jc w:val="right"/>
            </w:pPr>
            <w:r>
              <w:rPr>
                <w:color w:val="1C3A36"/>
                <w:sz w:val="17"/>
              </w:rPr>
              <w:t>25%</w:t>
            </w:r>
          </w:p>
        </w:tc>
        <w:tc>
          <w:tcPr>
            <w:tcW w:type="dxa" w:w="1368"/>
          </w:tcPr>
          <w:p>
            <w:pPr>
              <w:spacing w:after="20"/>
              <w:jc w:val="right"/>
            </w:pPr>
            <w:r>
              <w:rPr>
                <w:color w:val="1C3A36"/>
                <w:sz w:val="17"/>
              </w:rPr>
              <w:t>+0.8%</w:t>
            </w:r>
          </w:p>
        </w:tc>
      </w:tr>
    </w:tbl>
    <w:p>
      <w:pPr>
        <w:spacing w:after="40"/>
      </w:pPr>
    </w:p>
    <w:p>
      <w:pPr>
        <w:spacing w:after="80" w:before="200"/>
      </w:pPr>
      <w:r>
        <w:rPr>
          <w:b/>
          <w:i w:val="0"/>
          <w:color w:val="1C3A36"/>
          <w:sz w:val="24"/>
        </w:rPr>
        <w:t>Percentile map (EGP/share)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2736"/>
            <w:shd w:val="clear" w:color="auto" w:fill="EAF0EE"/>
          </w:tcPr>
          <w:p>
            <w:pPr>
              <w:spacing w:after="20"/>
            </w:pPr>
            <w:r>
              <w:rPr>
                <w:b/>
                <w:color w:val="1C3A36"/>
                <w:sz w:val="18"/>
              </w:rPr>
              <w:t>Horizon</w:t>
            </w:r>
          </w:p>
        </w:tc>
        <w:tc>
          <w:tcPr>
            <w:tcW w:type="dxa" w:w="1440"/>
            <w:shd w:val="clear" w:color="auto" w:fill="EAF0EE"/>
          </w:tcPr>
          <w:p>
            <w:pPr>
              <w:spacing w:after="20"/>
            </w:pPr>
            <w:r>
              <w:rPr>
                <w:b/>
                <w:color w:val="1C3A36"/>
                <w:sz w:val="18"/>
              </w:rPr>
              <w:t>p5</w:t>
            </w:r>
          </w:p>
        </w:tc>
        <w:tc>
          <w:tcPr>
            <w:tcW w:type="dxa" w:w="1440"/>
            <w:shd w:val="clear" w:color="auto" w:fill="EAF0EE"/>
          </w:tcPr>
          <w:p>
            <w:pPr>
              <w:spacing w:after="20"/>
            </w:pPr>
            <w:r>
              <w:rPr>
                <w:b/>
                <w:color w:val="1C3A36"/>
                <w:sz w:val="18"/>
              </w:rPr>
              <w:t>p25</w:t>
            </w:r>
          </w:p>
        </w:tc>
        <w:tc>
          <w:tcPr>
            <w:tcW w:type="dxa" w:w="1440"/>
            <w:shd w:val="clear" w:color="auto" w:fill="EAF0EE"/>
          </w:tcPr>
          <w:p>
            <w:pPr>
              <w:spacing w:after="20"/>
            </w:pPr>
            <w:r>
              <w:rPr>
                <w:b/>
                <w:color w:val="1C3A36"/>
                <w:sz w:val="18"/>
              </w:rPr>
              <w:t>p50</w:t>
            </w:r>
          </w:p>
        </w:tc>
        <w:tc>
          <w:tcPr>
            <w:tcW w:type="dxa" w:w="1440"/>
            <w:shd w:val="clear" w:color="auto" w:fill="EAF0EE"/>
          </w:tcPr>
          <w:p>
            <w:pPr>
              <w:spacing w:after="20"/>
            </w:pPr>
            <w:r>
              <w:rPr>
                <w:b/>
                <w:color w:val="1C3A36"/>
                <w:sz w:val="18"/>
              </w:rPr>
              <w:t>p75</w:t>
            </w:r>
          </w:p>
        </w:tc>
        <w:tc>
          <w:tcPr>
            <w:tcW w:type="dxa" w:w="1440"/>
            <w:shd w:val="clear" w:color="auto" w:fill="EAF0EE"/>
          </w:tcPr>
          <w:p>
            <w:pPr>
              <w:spacing w:after="20"/>
            </w:pPr>
            <w:r>
              <w:rPr>
                <w:b/>
                <w:color w:val="1C3A36"/>
                <w:sz w:val="18"/>
              </w:rPr>
              <w:t>p95</w:t>
            </w:r>
          </w:p>
        </w:tc>
      </w:tr>
      <w:tr>
        <w:tc>
          <w:tcPr>
            <w:tcW w:type="dxa" w:w="2736"/>
          </w:tcPr>
          <w:p>
            <w:pPr>
              <w:spacing w:after="20"/>
            </w:pPr>
            <w:r>
              <w:rPr>
                <w:b/>
                <w:color w:val="1C3A36"/>
                <w:sz w:val="18"/>
              </w:rPr>
              <w:t>T+20 sessions</w:t>
            </w:r>
          </w:p>
        </w:tc>
        <w:tc>
          <w:tcPr>
            <w:tcW w:type="dxa" w:w="1440"/>
          </w:tcPr>
          <w:p>
            <w:pPr>
              <w:spacing w:after="20"/>
              <w:jc w:val="right"/>
            </w:pPr>
            <w:r>
              <w:rPr>
                <w:color w:val="1C3A36"/>
                <w:sz w:val="18"/>
              </w:rPr>
              <w:t>26.1</w:t>
            </w:r>
          </w:p>
        </w:tc>
        <w:tc>
          <w:tcPr>
            <w:tcW w:type="dxa" w:w="1440"/>
          </w:tcPr>
          <w:p>
            <w:pPr>
              <w:spacing w:after="20"/>
              <w:jc w:val="right"/>
            </w:pPr>
            <w:r>
              <w:rPr>
                <w:color w:val="1C3A36"/>
                <w:sz w:val="18"/>
              </w:rPr>
              <w:t>30.0</w:t>
            </w:r>
          </w:p>
        </w:tc>
        <w:tc>
          <w:tcPr>
            <w:tcW w:type="dxa" w:w="1440"/>
          </w:tcPr>
          <w:p>
            <w:pPr>
              <w:spacing w:after="20"/>
              <w:jc w:val="right"/>
            </w:pPr>
            <w:r>
              <w:rPr>
                <w:color w:val="1C3A36"/>
                <w:sz w:val="18"/>
              </w:rPr>
              <w:t>32.5</w:t>
            </w:r>
          </w:p>
        </w:tc>
        <w:tc>
          <w:tcPr>
            <w:tcW w:type="dxa" w:w="1440"/>
          </w:tcPr>
          <w:p>
            <w:pPr>
              <w:spacing w:after="20"/>
              <w:jc w:val="right"/>
            </w:pPr>
            <w:r>
              <w:rPr>
                <w:color w:val="1C3A36"/>
                <w:sz w:val="18"/>
              </w:rPr>
              <w:t>35.1</w:t>
            </w:r>
          </w:p>
        </w:tc>
        <w:tc>
          <w:tcPr>
            <w:tcW w:type="dxa" w:w="1440"/>
          </w:tcPr>
          <w:p>
            <w:pPr>
              <w:spacing w:after="20"/>
              <w:jc w:val="right"/>
            </w:pPr>
            <w:r>
              <w:rPr>
                <w:color w:val="1C3A36"/>
                <w:sz w:val="18"/>
              </w:rPr>
              <w:t>40.5</w:t>
            </w:r>
          </w:p>
        </w:tc>
      </w:tr>
      <w:tr>
        <w:tc>
          <w:tcPr>
            <w:tcW w:type="dxa" w:w="2736"/>
          </w:tcPr>
          <w:p>
            <w:pPr>
              <w:spacing w:after="20"/>
            </w:pPr>
            <w:r>
              <w:rPr>
                <w:b/>
                <w:color w:val="1C3A36"/>
                <w:sz w:val="18"/>
              </w:rPr>
              <w:t>T+60 sessions</w:t>
            </w:r>
          </w:p>
        </w:tc>
        <w:tc>
          <w:tcPr>
            <w:tcW w:type="dxa" w:w="1440"/>
          </w:tcPr>
          <w:p>
            <w:pPr>
              <w:spacing w:after="20"/>
              <w:jc w:val="right"/>
            </w:pPr>
            <w:r>
              <w:rPr>
                <w:color w:val="1C3A36"/>
                <w:sz w:val="18"/>
              </w:rPr>
              <w:t>24.0</w:t>
            </w:r>
          </w:p>
        </w:tc>
        <w:tc>
          <w:tcPr>
            <w:tcW w:type="dxa" w:w="1440"/>
          </w:tcPr>
          <w:p>
            <w:pPr>
              <w:spacing w:after="20"/>
              <w:jc w:val="right"/>
            </w:pPr>
            <w:r>
              <w:rPr>
                <w:color w:val="1C3A36"/>
                <w:sz w:val="18"/>
              </w:rPr>
              <w:t>30.6</w:t>
            </w:r>
          </w:p>
        </w:tc>
        <w:tc>
          <w:tcPr>
            <w:tcW w:type="dxa" w:w="1440"/>
          </w:tcPr>
          <w:p>
            <w:pPr>
              <w:spacing w:after="20"/>
              <w:jc w:val="right"/>
            </w:pPr>
            <w:r>
              <w:rPr>
                <w:color w:val="1C3A36"/>
                <w:sz w:val="18"/>
              </w:rPr>
              <w:t>35.0</w:t>
            </w:r>
          </w:p>
        </w:tc>
        <w:tc>
          <w:tcPr>
            <w:tcW w:type="dxa" w:w="1440"/>
          </w:tcPr>
          <w:p>
            <w:pPr>
              <w:spacing w:after="20"/>
              <w:jc w:val="right"/>
            </w:pPr>
            <w:r>
              <w:rPr>
                <w:color w:val="1C3A36"/>
                <w:sz w:val="18"/>
              </w:rPr>
              <w:t>40.1</w:t>
            </w:r>
          </w:p>
        </w:tc>
        <w:tc>
          <w:tcPr>
            <w:tcW w:type="dxa" w:w="1440"/>
          </w:tcPr>
          <w:p>
            <w:pPr>
              <w:spacing w:after="20"/>
              <w:jc w:val="right"/>
            </w:pPr>
            <w:r>
              <w:rPr>
                <w:color w:val="1C3A36"/>
                <w:sz w:val="18"/>
              </w:rPr>
              <w:t>51.1</w:t>
            </w:r>
          </w:p>
        </w:tc>
      </w:tr>
    </w:tbl>
    <w:p>
      <w:pPr>
        <w:spacing w:after="40"/>
      </w:pPr>
    </w:p>
    <w:p>
      <w:pPr>
        <w:spacing w:after="120" w:before="0"/>
      </w:pPr>
      <w:r>
        <w:rPr>
          <w:b w:val="0"/>
          <w:i w:val="0"/>
          <w:color w:val="1C3A36"/>
          <w:sz w:val="19"/>
        </w:rPr>
        <w:t>Lead with the 50% band, not the tails: a quarter ahead, half of all paths finish between roughly EGP 31 and 40; at one month the band is ~EGP 30–35 (width ≈ ÷√3). The 5–95% cone is context, not a forecast.</w:t>
      </w:r>
    </w:p>
    <w:p>
      <w:pPr>
        <w:spacing w:after="40"/>
        <w:jc w:val="center"/>
      </w:pPr>
      <w:r>
        <w:drawing>
          <wp:inline xmlns:a="http://schemas.openxmlformats.org/drawingml/2006/main" xmlns:pic="http://schemas.openxmlformats.org/drawingml/2006/picture">
            <wp:extent cx="5852160" cy="2508069"/>
            <wp:docPr id="4" name="Picture 4"/>
            <wp:cNvGraphicFramePr>
              <a:graphicFrameLocks noChangeAspect="1"/>
            </wp:cNvGraphicFramePr>
            <a:graphic>
              <a:graphicData uri="http://schemas.openxmlformats.org/drawingml/2006/picture">
                <pic:pic>
                  <pic:nvPicPr>
                    <pic:cNvPr id="0" name="fig4_fan.png"/>
                    <pic:cNvPicPr/>
                  </pic:nvPicPr>
                  <pic:blipFill>
                    <a:blip r:embed="rId12"/>
                    <a:stretch>
                      <a:fillRect/>
                    </a:stretch>
                  </pic:blipFill>
                  <pic:spPr>
                    <a:xfrm>
                      <a:off x="0" y="0"/>
                      <a:ext cx="5852160" cy="2508069"/>
                    </a:xfrm>
                    <a:prstGeom prst="rect"/>
                  </pic:spPr>
                </pic:pic>
              </a:graphicData>
            </a:graphic>
          </wp:inline>
        </w:drawing>
      </w:r>
    </w:p>
    <w:p>
      <w:pPr>
        <w:spacing w:after="200" w:before="0"/>
      </w:pPr>
      <w:r>
        <w:rPr>
          <w:b w:val="0"/>
          <w:i/>
          <w:color w:val="6E7B77"/>
          <w:sz w:val="17"/>
        </w:rPr>
        <w:t>Figure 4 — Forward price cone to T+60. The median drifts up with the calibrated secular term; the gold dashed line marks the EGP 30 fundamental central, deliberately below the median path.</w:t>
      </w:r>
    </w:p>
    <w:p>
      <w:pPr>
        <w:spacing w:after="40"/>
        <w:jc w:val="center"/>
      </w:pPr>
      <w:r>
        <w:drawing>
          <wp:inline xmlns:a="http://schemas.openxmlformats.org/drawingml/2006/main" xmlns:pic="http://schemas.openxmlformats.org/drawingml/2006/picture">
            <wp:extent cx="4754880" cy="2377440"/>
            <wp:docPr id="5" name="Picture 5"/>
            <wp:cNvGraphicFramePr>
              <a:graphicFrameLocks noChangeAspect="1"/>
            </wp:cNvGraphicFramePr>
            <a:graphic>
              <a:graphicData uri="http://schemas.openxmlformats.org/drawingml/2006/picture">
                <pic:pic>
                  <pic:nvPicPr>
                    <pic:cNvPr id="0" name="fig5_dist.png"/>
                    <pic:cNvPicPr/>
                  </pic:nvPicPr>
                  <pic:blipFill>
                    <a:blip r:embed="rId13"/>
                    <a:stretch>
                      <a:fillRect/>
                    </a:stretch>
                  </pic:blipFill>
                  <pic:spPr>
                    <a:xfrm>
                      <a:off x="0" y="0"/>
                      <a:ext cx="4754880" cy="2377440"/>
                    </a:xfrm>
                    <a:prstGeom prst="rect"/>
                  </pic:spPr>
                </pic:pic>
              </a:graphicData>
            </a:graphic>
          </wp:inline>
        </w:drawing>
      </w:r>
    </w:p>
    <w:p>
      <w:pPr>
        <w:spacing w:after="200" w:before="0"/>
      </w:pPr>
      <w:r>
        <w:rPr>
          <w:b w:val="0"/>
          <w:i/>
          <w:color w:val="6E7B77"/>
          <w:sz w:val="17"/>
        </w:rPr>
        <w:t>Figure 5 — Price distribution at T+20.</w:t>
      </w:r>
    </w:p>
    <w:p>
      <w:pPr>
        <w:spacing w:after="40"/>
        <w:jc w:val="center"/>
      </w:pPr>
      <w:r>
        <w:drawing>
          <wp:inline xmlns:a="http://schemas.openxmlformats.org/drawingml/2006/main" xmlns:pic="http://schemas.openxmlformats.org/drawingml/2006/picture">
            <wp:extent cx="4754880" cy="2377440"/>
            <wp:docPr id="6" name="Picture 6"/>
            <wp:cNvGraphicFramePr>
              <a:graphicFrameLocks noChangeAspect="1"/>
            </wp:cNvGraphicFramePr>
            <a:graphic>
              <a:graphicData uri="http://schemas.openxmlformats.org/drawingml/2006/picture">
                <pic:pic>
                  <pic:nvPicPr>
                    <pic:cNvPr id="0" name="fig6_dist.png"/>
                    <pic:cNvPicPr/>
                  </pic:nvPicPr>
                  <pic:blipFill>
                    <a:blip r:embed="rId14"/>
                    <a:stretch>
                      <a:fillRect/>
                    </a:stretch>
                  </pic:blipFill>
                  <pic:spPr>
                    <a:xfrm>
                      <a:off x="0" y="0"/>
                      <a:ext cx="4754880" cy="2377440"/>
                    </a:xfrm>
                    <a:prstGeom prst="rect"/>
                  </pic:spPr>
                </pic:pic>
              </a:graphicData>
            </a:graphic>
          </wp:inline>
        </w:drawing>
      </w:r>
    </w:p>
    <w:p>
      <w:pPr>
        <w:spacing w:after="200" w:before="0"/>
      </w:pPr>
      <w:r>
        <w:rPr>
          <w:b w:val="0"/>
          <w:i/>
          <w:color w:val="6E7B77"/>
          <w:sz w:val="17"/>
        </w:rPr>
        <w:t>Figure 6 — Price distribution at T+60.</w:t>
      </w:r>
    </w:p>
    <w:p>
      <w:pPr>
        <w:spacing w:after="80" w:before="200"/>
      </w:pPr>
      <w:r>
        <w:rPr>
          <w:b/>
          <w:i w:val="0"/>
          <w:color w:val="1C3A36"/>
          <w:sz w:val="24"/>
        </w:rPr>
        <w:t>Level-touch ladder</w:t>
      </w:r>
    </w:p>
    <w:p>
      <w:pPr>
        <w:spacing w:after="120" w:before="0"/>
      </w:pPr>
      <w:r>
        <w:rPr>
          <w:b w:val="0"/>
          <w:i w:val="0"/>
          <w:color w:val="1C3A36"/>
          <w:sz w:val="19"/>
        </w:rPr>
        <w:t>The probability that price touches a level at any point by the horizon (running max for upside, running min for downside):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1728"/>
            <w:shd w:val="clear" w:color="auto" w:fill="EAF0EE"/>
          </w:tcPr>
          <w:p>
            <w:pPr>
              <w:spacing w:after="20"/>
            </w:pPr>
            <w:r>
              <w:rPr>
                <w:b/>
                <w:color w:val="1C3A36"/>
                <w:sz w:val="18"/>
              </w:rPr>
              <w:t>Level (EGP)</w:t>
            </w:r>
          </w:p>
        </w:tc>
        <w:tc>
          <w:tcPr>
            <w:tcW w:type="dxa" w:w="1728"/>
            <w:shd w:val="clear" w:color="auto" w:fill="EAF0EE"/>
          </w:tcPr>
          <w:p>
            <w:pPr>
              <w:spacing w:after="20"/>
            </w:pPr>
            <w:r>
              <w:rPr>
                <w:b/>
                <w:color w:val="1C3A36"/>
                <w:sz w:val="18"/>
              </w:rPr>
              <w:t>T+20 touch</w:t>
            </w:r>
          </w:p>
        </w:tc>
        <w:tc>
          <w:tcPr>
            <w:tcW w:type="dxa" w:w="1728"/>
            <w:shd w:val="clear" w:color="auto" w:fill="EAF0EE"/>
          </w:tcPr>
          <w:p>
            <w:pPr>
              <w:spacing w:after="20"/>
            </w:pPr>
            <w:r>
              <w:rPr>
                <w:b/>
                <w:color w:val="1C3A36"/>
                <w:sz w:val="18"/>
              </w:rPr>
              <w:t>T+60 touch</w:t>
            </w:r>
          </w:p>
        </w:tc>
        <w:tc>
          <w:tcPr>
            <w:tcW w:type="dxa" w:w="4320"/>
            <w:shd w:val="clear" w:color="auto" w:fill="EAF0EE"/>
          </w:tcPr>
          <w:p>
            <w:pPr>
              <w:spacing w:after="20"/>
            </w:pPr>
            <w:r>
              <w:rPr>
                <w:b/>
                <w:color w:val="1C3A36"/>
                <w:sz w:val="18"/>
              </w:rPr>
              <w:t>Note</w:t>
            </w:r>
          </w:p>
        </w:tc>
      </w:tr>
      <w:tr>
        <w:tc>
          <w:tcPr>
            <w:tcW w:type="dxa" w:w="1728"/>
          </w:tcPr>
          <w:p>
            <w:pPr>
              <w:spacing w:after="20"/>
            </w:pPr>
            <w:r>
              <w:rPr>
                <w:b/>
                <w:color w:val="1C3A36"/>
                <w:sz w:val="18"/>
              </w:rPr>
              <w:t>40</w:t>
            </w:r>
          </w:p>
        </w:tc>
        <w:tc>
          <w:tcPr>
            <w:tcW w:type="dxa" w:w="1728"/>
          </w:tcPr>
          <w:p>
            <w:pPr>
              <w:spacing w:after="20"/>
              <w:jc w:val="right"/>
            </w:pPr>
            <w:r>
              <w:rPr>
                <w:color w:val="1C3A36"/>
                <w:sz w:val="18"/>
              </w:rPr>
              <w:t>8%</w:t>
            </w:r>
          </w:p>
        </w:tc>
        <w:tc>
          <w:tcPr>
            <w:tcW w:type="dxa" w:w="1728"/>
          </w:tcPr>
          <w:p>
            <w:pPr>
              <w:spacing w:after="20"/>
              <w:jc w:val="right"/>
            </w:pPr>
            <w:r>
              <w:rPr>
                <w:color w:val="1C3A36"/>
                <w:sz w:val="18"/>
              </w:rPr>
              <w:t>37%</w:t>
            </w:r>
          </w:p>
        </w:tc>
        <w:tc>
          <w:tcPr>
            <w:tcW w:type="dxa" w:w="4320"/>
          </w:tcPr>
          <w:p>
            <w:pPr>
              <w:spacing w:after="20"/>
              <w:jc w:val="right"/>
            </w:pPr>
            <w:r>
              <w:rPr>
                <w:color w:val="1C3A36"/>
                <w:sz w:val="18"/>
              </w:rPr>
              <w:t>Blue-sky; +28%</w:t>
            </w:r>
          </w:p>
        </w:tc>
      </w:tr>
      <w:tr>
        <w:tc>
          <w:tcPr>
            <w:tcW w:type="dxa" w:w="1728"/>
          </w:tcPr>
          <w:p>
            <w:pPr>
              <w:spacing w:after="20"/>
            </w:pPr>
            <w:r>
              <w:rPr>
                <w:b/>
                <w:color w:val="1C3A36"/>
                <w:sz w:val="18"/>
              </w:rPr>
              <w:t>38</w:t>
            </w:r>
          </w:p>
        </w:tc>
        <w:tc>
          <w:tcPr>
            <w:tcW w:type="dxa" w:w="1728"/>
          </w:tcPr>
          <w:p>
            <w:pPr>
              <w:spacing w:after="20"/>
              <w:jc w:val="right"/>
            </w:pPr>
            <w:r>
              <w:rPr>
                <w:color w:val="1C3A36"/>
                <w:sz w:val="18"/>
              </w:rPr>
              <w:t>15%</w:t>
            </w:r>
          </w:p>
        </w:tc>
        <w:tc>
          <w:tcPr>
            <w:tcW w:type="dxa" w:w="1728"/>
          </w:tcPr>
          <w:p>
            <w:pPr>
              <w:spacing w:after="20"/>
              <w:jc w:val="right"/>
            </w:pPr>
            <w:r>
              <w:rPr>
                <w:color w:val="1C3A36"/>
                <w:sz w:val="18"/>
              </w:rPr>
              <w:t>50%</w:t>
            </w:r>
          </w:p>
        </w:tc>
        <w:tc>
          <w:tcPr>
            <w:tcW w:type="dxa" w:w="4320"/>
          </w:tcPr>
          <w:p>
            <w:pPr>
              <w:spacing w:after="20"/>
              <w:jc w:val="right"/>
            </w:pPr>
            <w:r>
              <w:rPr>
                <w:color w:val="1C3A36"/>
                <w:sz w:val="18"/>
              </w:rPr>
              <w:t>Upper zone gateway</w:t>
            </w:r>
          </w:p>
        </w:tc>
      </w:tr>
      <w:tr>
        <w:tc>
          <w:tcPr>
            <w:tcW w:type="dxa" w:w="1728"/>
          </w:tcPr>
          <w:p>
            <w:pPr>
              <w:spacing w:after="20"/>
            </w:pPr>
            <w:r>
              <w:rPr>
                <w:b/>
                <w:color w:val="1C3A36"/>
                <w:sz w:val="18"/>
              </w:rPr>
              <w:t>36</w:t>
            </w:r>
          </w:p>
        </w:tc>
        <w:tc>
          <w:tcPr>
            <w:tcW w:type="dxa" w:w="1728"/>
          </w:tcPr>
          <w:p>
            <w:pPr>
              <w:spacing w:after="20"/>
              <w:jc w:val="right"/>
            </w:pPr>
            <w:r>
              <w:rPr>
                <w:color w:val="1C3A36"/>
                <w:sz w:val="18"/>
              </w:rPr>
              <w:t>29%</w:t>
            </w:r>
          </w:p>
        </w:tc>
        <w:tc>
          <w:tcPr>
            <w:tcW w:type="dxa" w:w="1728"/>
          </w:tcPr>
          <w:p>
            <w:pPr>
              <w:spacing w:after="20"/>
              <w:jc w:val="right"/>
            </w:pPr>
            <w:r>
              <w:rPr>
                <w:color w:val="1C3A36"/>
                <w:sz w:val="18"/>
              </w:rPr>
              <w:t>64%</w:t>
            </w:r>
          </w:p>
        </w:tc>
        <w:tc>
          <w:tcPr>
            <w:tcW w:type="dxa" w:w="4320"/>
          </w:tcPr>
          <w:p>
            <w:pPr>
              <w:spacing w:after="20"/>
              <w:jc w:val="right"/>
            </w:pPr>
            <w:r>
              <w:rPr>
                <w:color w:val="1C3A36"/>
                <w:sz w:val="18"/>
              </w:rPr>
              <w:t>Above the Feb high zone</w:t>
            </w:r>
          </w:p>
        </w:tc>
      </w:tr>
      <w:tr>
        <w:tc>
          <w:tcPr>
            <w:tcW w:type="dxa" w:w="1728"/>
          </w:tcPr>
          <w:p>
            <w:pPr>
              <w:spacing w:after="20"/>
            </w:pPr>
            <w:r>
              <w:rPr>
                <w:b/>
                <w:color w:val="1C3A36"/>
                <w:sz w:val="18"/>
              </w:rPr>
              <w:t>34</w:t>
            </w:r>
          </w:p>
        </w:tc>
        <w:tc>
          <w:tcPr>
            <w:tcW w:type="dxa" w:w="1728"/>
          </w:tcPr>
          <w:p>
            <w:pPr>
              <w:spacing w:after="20"/>
              <w:jc w:val="right"/>
            </w:pPr>
            <w:r>
              <w:rPr>
                <w:color w:val="1C3A36"/>
                <w:sz w:val="18"/>
              </w:rPr>
              <w:t>51%</w:t>
            </w:r>
          </w:p>
        </w:tc>
        <w:tc>
          <w:tcPr>
            <w:tcW w:type="dxa" w:w="1728"/>
          </w:tcPr>
          <w:p>
            <w:pPr>
              <w:spacing w:after="20"/>
              <w:jc w:val="right"/>
            </w:pPr>
            <w:r>
              <w:rPr>
                <w:color w:val="1C3A36"/>
                <w:sz w:val="18"/>
              </w:rPr>
              <w:t>79%</w:t>
            </w:r>
          </w:p>
        </w:tc>
        <w:tc>
          <w:tcPr>
            <w:tcW w:type="dxa" w:w="4320"/>
          </w:tcPr>
          <w:p>
            <w:pPr>
              <w:spacing w:after="20"/>
              <w:jc w:val="right"/>
            </w:pPr>
            <w:r>
              <w:rPr>
                <w:color w:val="1C3A36"/>
                <w:sz w:val="18"/>
              </w:rPr>
              <w:t>New-high territory</w:t>
            </w:r>
          </w:p>
        </w:tc>
      </w:tr>
      <w:tr>
        <w:tc>
          <w:tcPr>
            <w:tcW w:type="dxa" w:w="1728"/>
          </w:tcPr>
          <w:p>
            <w:pPr>
              <w:spacing w:after="20"/>
            </w:pPr>
            <w:r>
              <w:rPr>
                <w:b/>
                <w:color w:val="1C3A36"/>
                <w:sz w:val="18"/>
              </w:rPr>
              <w:t>32</w:t>
            </w:r>
          </w:p>
        </w:tc>
        <w:tc>
          <w:tcPr>
            <w:tcW w:type="dxa" w:w="1728"/>
          </w:tcPr>
          <w:p>
            <w:pPr>
              <w:spacing w:after="20"/>
              <w:jc w:val="right"/>
            </w:pPr>
            <w:r>
              <w:rPr>
                <w:color w:val="1C3A36"/>
                <w:sz w:val="18"/>
              </w:rPr>
              <w:t>82%</w:t>
            </w:r>
          </w:p>
        </w:tc>
        <w:tc>
          <w:tcPr>
            <w:tcW w:type="dxa" w:w="1728"/>
          </w:tcPr>
          <w:p>
            <w:pPr>
              <w:spacing w:after="20"/>
              <w:jc w:val="right"/>
            </w:pPr>
            <w:r>
              <w:rPr>
                <w:color w:val="1C3A36"/>
                <w:sz w:val="18"/>
              </w:rPr>
              <w:t>93%</w:t>
            </w:r>
          </w:p>
        </w:tc>
        <w:tc>
          <w:tcPr>
            <w:tcW w:type="dxa" w:w="4320"/>
          </w:tcPr>
          <w:p>
            <w:pPr>
              <w:spacing w:after="20"/>
              <w:jc w:val="right"/>
            </w:pPr>
            <w:r>
              <w:rPr>
                <w:color w:val="1C3A36"/>
                <w:sz w:val="18"/>
              </w:rPr>
              <w:t>Just above spot</w:t>
            </w:r>
          </w:p>
        </w:tc>
      </w:tr>
      <w:tr>
        <w:tc>
          <w:tcPr>
            <w:tcW w:type="dxa" w:w="1728"/>
          </w:tcPr>
          <w:p>
            <w:pPr>
              <w:spacing w:after="20"/>
            </w:pPr>
            <w:r>
              <w:rPr>
                <w:b/>
                <w:color w:val="1C3A36"/>
                <w:sz w:val="18"/>
              </w:rPr>
              <w:t>30</w:t>
            </w:r>
          </w:p>
        </w:tc>
        <w:tc>
          <w:tcPr>
            <w:tcW w:type="dxa" w:w="1728"/>
          </w:tcPr>
          <w:p>
            <w:pPr>
              <w:spacing w:after="20"/>
              <w:jc w:val="right"/>
            </w:pPr>
            <w:r>
              <w:rPr>
                <w:color w:val="1C3A36"/>
                <w:sz w:val="18"/>
              </w:rPr>
              <w:t>53%</w:t>
            </w:r>
          </w:p>
        </w:tc>
        <w:tc>
          <w:tcPr>
            <w:tcW w:type="dxa" w:w="1728"/>
          </w:tcPr>
          <w:p>
            <w:pPr>
              <w:spacing w:after="20"/>
              <w:jc w:val="right"/>
            </w:pPr>
            <w:r>
              <w:rPr>
                <w:color w:val="1C3A36"/>
                <w:sz w:val="18"/>
              </w:rPr>
              <w:t>64%</w:t>
            </w:r>
          </w:p>
        </w:tc>
        <w:tc>
          <w:tcPr>
            <w:tcW w:type="dxa" w:w="4320"/>
          </w:tcPr>
          <w:p>
            <w:pPr>
              <w:spacing w:after="20"/>
              <w:jc w:val="right"/>
            </w:pPr>
            <w:r>
              <w:rPr>
                <w:color w:val="1C3A36"/>
                <w:sz w:val="18"/>
              </w:rPr>
              <w:t>The 20-day / round number</w:t>
            </w:r>
          </w:p>
        </w:tc>
      </w:tr>
      <w:tr>
        <w:tc>
          <w:tcPr>
            <w:tcW w:type="dxa" w:w="1728"/>
          </w:tcPr>
          <w:p>
            <w:pPr>
              <w:spacing w:after="20"/>
            </w:pPr>
            <w:r>
              <w:rPr>
                <w:b/>
                <w:color w:val="1C3A36"/>
                <w:sz w:val="18"/>
              </w:rPr>
              <w:t>28</w:t>
            </w:r>
          </w:p>
        </w:tc>
        <w:tc>
          <w:tcPr>
            <w:tcW w:type="dxa" w:w="1728"/>
          </w:tcPr>
          <w:p>
            <w:pPr>
              <w:spacing w:after="20"/>
              <w:jc w:val="right"/>
            </w:pPr>
            <w:r>
              <w:rPr>
                <w:color w:val="1C3A36"/>
                <w:sz w:val="18"/>
              </w:rPr>
              <w:t>22%</w:t>
            </w:r>
          </w:p>
        </w:tc>
        <w:tc>
          <w:tcPr>
            <w:tcW w:type="dxa" w:w="1728"/>
          </w:tcPr>
          <w:p>
            <w:pPr>
              <w:spacing w:after="20"/>
              <w:jc w:val="right"/>
            </w:pPr>
            <w:r>
              <w:rPr>
                <w:color w:val="1C3A36"/>
                <w:sz w:val="18"/>
              </w:rPr>
              <w:t>37%</w:t>
            </w:r>
          </w:p>
        </w:tc>
        <w:tc>
          <w:tcPr>
            <w:tcW w:type="dxa" w:w="4320"/>
          </w:tcPr>
          <w:p>
            <w:pPr>
              <w:spacing w:after="20"/>
              <w:jc w:val="right"/>
            </w:pPr>
            <w:r>
              <w:rPr>
                <w:color w:val="1C3A36"/>
                <w:sz w:val="18"/>
              </w:rPr>
              <w:t>The 50/100-day shelf</w:t>
            </w:r>
          </w:p>
        </w:tc>
      </w:tr>
      <w:tr>
        <w:tc>
          <w:tcPr>
            <w:tcW w:type="dxa" w:w="1728"/>
          </w:tcPr>
          <w:p>
            <w:pPr>
              <w:spacing w:after="20"/>
            </w:pPr>
            <w:r>
              <w:rPr>
                <w:b/>
                <w:color w:val="1C3A36"/>
                <w:sz w:val="18"/>
              </w:rPr>
              <w:t>26</w:t>
            </w:r>
          </w:p>
        </w:tc>
        <w:tc>
          <w:tcPr>
            <w:tcW w:type="dxa" w:w="1728"/>
          </w:tcPr>
          <w:p>
            <w:pPr>
              <w:spacing w:after="20"/>
              <w:jc w:val="right"/>
            </w:pPr>
            <w:r>
              <w:rPr>
                <w:color w:val="1C3A36"/>
                <w:sz w:val="18"/>
              </w:rPr>
              <w:t>9%</w:t>
            </w:r>
          </w:p>
        </w:tc>
        <w:tc>
          <w:tcPr>
            <w:tcW w:type="dxa" w:w="1728"/>
          </w:tcPr>
          <w:p>
            <w:pPr>
              <w:spacing w:after="20"/>
              <w:jc w:val="right"/>
            </w:pPr>
            <w:r>
              <w:rPr>
                <w:color w:val="1C3A36"/>
                <w:sz w:val="18"/>
              </w:rPr>
              <w:t>20%</w:t>
            </w:r>
          </w:p>
        </w:tc>
        <w:tc>
          <w:tcPr>
            <w:tcW w:type="dxa" w:w="4320"/>
          </w:tcPr>
          <w:p>
            <w:pPr>
              <w:spacing w:after="20"/>
              <w:jc w:val="right"/>
            </w:pPr>
            <w:r>
              <w:rPr>
                <w:color w:val="1C3A36"/>
                <w:sz w:val="18"/>
              </w:rPr>
              <w:t>April-low zone</w:t>
            </w:r>
          </w:p>
        </w:tc>
      </w:tr>
    </w:tbl>
    <w:p>
      <w:pPr>
        <w:spacing w:after="40"/>
      </w:pPr>
    </w:p>
    <w:p>
      <w:pPr>
        <w:spacing w:after="120" w:before="280"/>
      </w:pPr>
      <w:r>
        <w:rPr>
          <w:b/>
          <w:i w:val="0"/>
          <w:color w:val="1C3A36"/>
          <w:sz w:val="30"/>
        </w:rPr>
        <w:t>4  Comparison of the lenses, and a verdict</w:t>
      </w:r>
    </w:p>
    <w:p>
      <w:pPr>
        <w:spacing w:after="120" w:before="0"/>
      </w:pPr>
      <w:r>
        <w:rPr>
          <w:b w:val="0"/>
          <w:i w:val="0"/>
          <w:color w:val="1C3A36"/>
          <w:sz w:val="21"/>
        </w:rPr>
        <w:t>Three readings sit side by side. The fundamental lenses cluster at 29–33 with a central 30.2 — a shade below spot, contingent on cash conversion. The technical picture is, unusually, the most bullish of the three: above every average, momentum positive, six percent from an all-time high. The probabilistic map splits the difference in an unfamiliar way: its median (35) sits above both spot and fair value, because the engine’s calibrated secular drift — the EGX repricing that has carried this stock thirteen-fold in five years — has not yet statistically died. That is a description of measured price behaviour, not a claim about value.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736"/>
            <w:shd w:val="clear" w:color="auto" w:fill="EAF0EE"/>
          </w:tcPr>
          <w:p>
            <w:pPr>
              <w:spacing w:after="20"/>
            </w:pPr>
            <w:r>
              <w:rPr>
                <w:b/>
                <w:color w:val="1C3A36"/>
                <w:sz w:val="18"/>
              </w:rPr>
              <w:t>Lens</w:t>
            </w:r>
          </w:p>
        </w:tc>
        <w:tc>
          <w:tcPr>
            <w:tcW w:type="dxa" w:w="2736"/>
            <w:shd w:val="clear" w:color="auto" w:fill="EAF0EE"/>
          </w:tcPr>
          <w:p>
            <w:pPr>
              <w:spacing w:after="20"/>
            </w:pPr>
            <w:r>
              <w:rPr>
                <w:b/>
                <w:color w:val="1C3A36"/>
                <w:sz w:val="18"/>
              </w:rPr>
              <w:t>Reads</w:t>
            </w:r>
          </w:p>
        </w:tc>
        <w:tc>
          <w:tcPr>
            <w:tcW w:type="dxa" w:w="4464"/>
            <w:shd w:val="clear" w:color="auto" w:fill="EAF0EE"/>
          </w:tcPr>
          <w:p>
            <w:pPr>
              <w:spacing w:after="20"/>
            </w:pPr>
            <w:r>
              <w:rPr>
                <w:b/>
                <w:color w:val="1C3A36"/>
                <w:sz w:val="18"/>
              </w:rPr>
              <w:t>Central / implication</w:t>
            </w:r>
          </w:p>
        </w:tc>
      </w:tr>
      <w:tr>
        <w:tc>
          <w:tcPr>
            <w:tcW w:type="dxa" w:w="2736"/>
          </w:tcPr>
          <w:p>
            <w:pPr>
              <w:spacing w:after="20"/>
            </w:pPr>
            <w:r>
              <w:rPr>
                <w:b/>
                <w:color w:val="1C3A36"/>
                <w:sz w:val="18"/>
              </w:rPr>
              <w:t>Fundamental (4-lens)</w:t>
            </w:r>
          </w:p>
        </w:tc>
        <w:tc>
          <w:tcPr>
            <w:tcW w:type="dxa" w:w="2736"/>
          </w:tcPr>
          <w:p>
            <w:pPr>
              <w:spacing w:after="20"/>
              <w:jc w:val="right"/>
            </w:pPr>
            <w:r>
              <w:rPr>
                <w:color w:val="1C3A36"/>
                <w:sz w:val="18"/>
              </w:rPr>
              <w:t>Fairly valued</w:t>
            </w:r>
          </w:p>
        </w:tc>
        <w:tc>
          <w:tcPr>
            <w:tcW w:type="dxa" w:w="4464"/>
          </w:tcPr>
          <w:p>
            <w:pPr>
              <w:spacing w:after="20"/>
              <w:jc w:val="right"/>
            </w:pPr>
            <w:r>
              <w:rPr>
                <w:color w:val="1C3A36"/>
                <w:sz w:val="18"/>
              </w:rPr>
              <w:t>EGP 30.2 (~−3%)</w:t>
            </w:r>
          </w:p>
        </w:tc>
      </w:tr>
      <w:tr>
        <w:tc>
          <w:tcPr>
            <w:tcW w:type="dxa" w:w="2736"/>
          </w:tcPr>
          <w:p>
            <w:pPr>
              <w:spacing w:after="20"/>
            </w:pPr>
            <w:r>
              <w:rPr>
                <w:b/>
                <w:color w:val="1C3A36"/>
                <w:sz w:val="18"/>
              </w:rPr>
              <w:t>Technical</w:t>
            </w:r>
          </w:p>
        </w:tc>
        <w:tc>
          <w:tcPr>
            <w:tcW w:type="dxa" w:w="2736"/>
          </w:tcPr>
          <w:p>
            <w:pPr>
              <w:spacing w:after="20"/>
              <w:jc w:val="right"/>
            </w:pPr>
            <w:r>
              <w:rPr>
                <w:color w:val="1C3A36"/>
                <w:sz w:val="18"/>
              </w:rPr>
              <w:t>Strong / extended</w:t>
            </w:r>
          </w:p>
        </w:tc>
        <w:tc>
          <w:tcPr>
            <w:tcW w:type="dxa" w:w="4464"/>
          </w:tcPr>
          <w:p>
            <w:pPr>
              <w:spacing w:after="20"/>
              <w:jc w:val="right"/>
            </w:pPr>
            <w:r>
              <w:rPr>
                <w:color w:val="1C3A36"/>
                <w:sz w:val="18"/>
              </w:rPr>
              <w:t>Support 30.0 / 28.2 (20d/50d); resistance 33.4 (ATH)</w:t>
            </w:r>
          </w:p>
        </w:tc>
      </w:tr>
      <w:tr>
        <w:tc>
          <w:tcPr>
            <w:tcW w:type="dxa" w:w="2736"/>
          </w:tcPr>
          <w:p>
            <w:pPr>
              <w:spacing w:after="20"/>
            </w:pPr>
            <w:r>
              <w:rPr>
                <w:b/>
                <w:color w:val="1C3A36"/>
                <w:sz w:val="18"/>
              </w:rPr>
              <w:t>Monte Carlo (3-month)</w:t>
            </w:r>
          </w:p>
        </w:tc>
        <w:tc>
          <w:tcPr>
            <w:tcW w:type="dxa" w:w="2736"/>
          </w:tcPr>
          <w:p>
            <w:pPr>
              <w:spacing w:after="20"/>
              <w:jc w:val="right"/>
            </w:pPr>
            <w:r>
              <w:rPr>
                <w:color w:val="1C3A36"/>
                <w:sz w:val="18"/>
              </w:rPr>
              <w:t>Drift-up, right-skewed</w:t>
            </w:r>
          </w:p>
        </w:tc>
        <w:tc>
          <w:tcPr>
            <w:tcW w:type="dxa" w:w="4464"/>
          </w:tcPr>
          <w:p>
            <w:pPr>
              <w:spacing w:after="20"/>
              <w:jc w:val="right"/>
            </w:pPr>
            <w:r>
              <w:rPr>
                <w:color w:val="1C3A36"/>
                <w:sz w:val="18"/>
              </w:rPr>
              <w:t>Median 35; p5–p95 24–51</w:t>
            </w:r>
          </w:p>
        </w:tc>
      </w:tr>
    </w:tbl>
    <w:p>
      <w:pPr>
        <w:spacing w:after="40"/>
      </w:pPr>
    </w:p>
    <w:p>
      <w:pPr>
        <w:spacing w:after="120" w:before="0"/>
      </w:pPr>
      <w:r>
        <w:rPr>
          <w:b/>
          <w:i w:val="0"/>
          <w:color w:val="1C3A36"/>
          <w:sz w:val="21"/>
        </w:rPr>
        <w:t xml:space="preserve">Verdict (a fair-value read, not a recommendation). </w:t>
      </w:r>
      <w:r>
        <w:rPr>
          <w:b w:val="0"/>
          <w:i w:val="0"/>
          <w:color w:val="1C3A36"/>
          <w:sz w:val="21"/>
        </w:rPr>
        <w:t>GBCO looks fairly valued on fundamentals with the recovery priced but the cash-conversion proof still pending: working capital, not demand, is now the income statement’s judge. The strong tape and the drift-up distribution argue the market is willing to pay ahead of that proof; the fundamental work argues the next EGP 5/share of value must be earned in the balance sheet (WC release, CBE cuts, an MNT-Halan second closing) rather than re-rated into existence. The honest summary is a value at price, a distribution centred modestly above it, and a bear–bull span (EGP 19–45) wide enough to demand humility. Readers should weigh the lenses themselves; we publish the distribution, not a target.</w:t>
      </w:r>
    </w:p>
    <w:p>
      <w:pPr>
        <w:spacing w:after="120" w:before="280"/>
      </w:pPr>
      <w:r>
        <w:rPr>
          <w:b/>
          <w:i w:val="0"/>
          <w:color w:val="1C3A36"/>
          <w:sz w:val="30"/>
        </w:rPr>
        <w:t>5  Catalysts to watch</w:t>
      </w:r>
    </w:p>
    <w:p>
      <w:pPr>
        <w:pStyle w:val="ListBullet"/>
        <w:spacing w:after="60"/>
      </w:pPr>
      <w:r>
        <w:rPr>
          <w:b/>
          <w:color w:val="1C3A36"/>
          <w:sz w:val="21"/>
        </w:rPr>
        <w:t xml:space="preserve">2Q26 results (11 Aug 2026). </w:t>
      </w:r>
      <w:r>
        <w:rPr>
          <w:color w:val="1C3A36"/>
          <w:sz w:val="21"/>
        </w:rPr>
        <w:t>First read on whether the 1Q26 margin dip (12.4% Auto GPM) was the regional-drag trough; watch Egypt PC volumes vs the +42% 1Q pace and the finance-cost line as CBE cuts feed through.</w:t>
      </w:r>
    </w:p>
    <w:p>
      <w:pPr>
        <w:pStyle w:val="ListBullet"/>
        <w:spacing w:after="60"/>
      </w:pPr>
      <w:r>
        <w:rPr>
          <w:b/>
          <w:color w:val="1C3A36"/>
          <w:sz w:val="21"/>
        </w:rPr>
        <w:t xml:space="preserve">CBE MPC meetings (Aug / Oct 2026). </w:t>
      </w:r>
      <w:r>
        <w:rPr>
          <w:color w:val="1C3A36"/>
          <w:sz w:val="21"/>
        </w:rPr>
        <w:t>Each 100 bp cut lowers GB Capital funding costs, customer instalments and this study’s discount rate — the single most mechanical catalyst.</w:t>
      </w:r>
    </w:p>
    <w:p>
      <w:pPr>
        <w:pStyle w:val="ListBullet"/>
        <w:spacing w:after="60"/>
      </w:pPr>
      <w:r>
        <w:rPr>
          <w:b/>
          <w:color w:val="1C3A36"/>
          <w:sz w:val="21"/>
        </w:rPr>
        <w:t xml:space="preserve">MNT-Halan second closing. </w:t>
      </w:r>
      <w:r>
        <w:rPr>
          <w:color w:val="1C3A36"/>
          <w:sz w:val="21"/>
        </w:rPr>
        <w:t>The June first close priced USD 1.4 bn; a completed round at or above it hardens ~40% of the SOTP’s financial-asset value; a re-price below would cut it directly.</w:t>
      </w:r>
    </w:p>
    <w:p>
      <w:pPr>
        <w:pStyle w:val="ListBullet"/>
        <w:spacing w:after="60"/>
      </w:pPr>
      <w:r>
        <w:rPr>
          <w:b/>
          <w:color w:val="1C3A36"/>
          <w:sz w:val="21"/>
        </w:rPr>
        <w:t xml:space="preserve">Sadat ramp and new CKD models. </w:t>
      </w:r>
      <w:r>
        <w:rPr>
          <w:color w:val="1C3A36"/>
          <w:sz w:val="21"/>
        </w:rPr>
        <w:t>The June-2026 inauguration adds capacity and local content; model announcements and the inventory unwind are the visible working-capital catalysts.</w:t>
      </w:r>
    </w:p>
    <w:p>
      <w:pPr>
        <w:pStyle w:val="ListBullet"/>
        <w:spacing w:after="60"/>
      </w:pPr>
      <w:r>
        <w:rPr>
          <w:b/>
          <w:color w:val="1C3A36"/>
          <w:sz w:val="21"/>
        </w:rPr>
        <w:t xml:space="preserve">BYD entry pricing. </w:t>
      </w:r>
      <w:r>
        <w:rPr>
          <w:color w:val="1C3A36"/>
          <w:sz w:val="21"/>
        </w:rPr>
        <w:t>The clearest competitive threat to PC ASPs and share in the recovering Egyptian market.</w:t>
      </w:r>
    </w:p>
    <w:p>
      <w:pPr>
        <w:pStyle w:val="ListBullet"/>
        <w:spacing w:after="60"/>
      </w:pPr>
      <w:r>
        <w:rPr>
          <w:b/>
          <w:color w:val="1C3A36"/>
          <w:sz w:val="21"/>
        </w:rPr>
        <w:t xml:space="preserve">Iraq / Jordan normalization. </w:t>
      </w:r>
      <w:r>
        <w:rPr>
          <w:color w:val="1C3A36"/>
          <w:sz w:val="21"/>
        </w:rPr>
        <w:t>~19.5% of PC revenue; any de-escalation restores the fastest-margin sales in the mix.</w:t>
      </w:r>
    </w:p>
    <w:p>
      <w:pPr>
        <w:pStyle w:val="ListBullet"/>
        <w:spacing w:after="60"/>
      </w:pPr>
      <w:r>
        <w:rPr>
          <w:b/>
          <w:color w:val="1C3A36"/>
          <w:sz w:val="21"/>
        </w:rPr>
        <w:t xml:space="preserve">The pound. </w:t>
      </w:r>
      <w:r>
        <w:rPr>
          <w:color w:val="1C3A36"/>
          <w:sz w:val="21"/>
        </w:rPr>
        <w:t>A step-devaluation is the compound risk (CKD costs, rates, the EGP value of every mark); continued stability is the quiet tailwind.</w:t>
      </w:r>
    </w:p>
    <w:p>
      <w:pPr>
        <w:pStyle w:val="ListBullet"/>
        <w:spacing w:after="60"/>
      </w:pPr>
      <w:r>
        <w:rPr>
          <w:b/>
          <w:color w:val="1C3A36"/>
          <w:sz w:val="21"/>
        </w:rPr>
        <w:t xml:space="preserve">Dividend decision. </w:t>
      </w:r>
      <w:r>
        <w:rPr>
          <w:color w:val="1C3A36"/>
          <w:sz w:val="21"/>
        </w:rPr>
        <w:t>FY25 paid ~EGP 0.35/share (~13% payout); with Auto deleveraging to 2.14× ND/EBITDA, a payout step-up would mark the cash-conversion inflection this study is waiting for (device A-2 schedule in Appendix A).</w:t>
      </w:r>
    </w:p>
    <w:p>
      <w:pPr>
        <w:spacing w:after="120" w:before="280"/>
      </w:pPr>
      <w:r>
        <w:rPr>
          <w:b/>
          <w:i w:val="0"/>
          <w:color w:val="1C3A36"/>
          <w:sz w:val="30"/>
        </w:rPr>
        <w:t>6  Reading the probability zones</w:t>
      </w:r>
    </w:p>
    <w:p>
      <w:pPr>
        <w:spacing w:after="120" w:before="0"/>
      </w:pPr>
      <w:r>
        <w:rPr>
          <w:b w:val="0"/>
          <w:i w:val="0"/>
          <w:color w:val="1C3A36"/>
          <w:sz w:val="21"/>
        </w:rPr>
        <w:t>Translating the three-month distribution into plain zones, anchored on spot EGP 31.25 and the fair-value cluster: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2160"/>
            <w:shd w:val="clear" w:color="auto" w:fill="EAF0EE"/>
          </w:tcPr>
          <w:p>
            <w:pPr>
              <w:spacing w:after="20"/>
            </w:pPr>
            <w:r>
              <w:rPr>
                <w:b/>
                <w:color w:val="1C3A36"/>
                <w:sz w:val="18"/>
              </w:rPr>
              <w:t>Zone (T+60)</w:t>
            </w:r>
          </w:p>
        </w:tc>
        <w:tc>
          <w:tcPr>
            <w:tcW w:type="dxa" w:w="1872"/>
            <w:shd w:val="clear" w:color="auto" w:fill="EAF0EE"/>
          </w:tcPr>
          <w:p>
            <w:pPr>
              <w:spacing w:after="20"/>
            </w:pPr>
            <w:r>
              <w:rPr>
                <w:b/>
                <w:color w:val="1C3A36"/>
                <w:sz w:val="18"/>
              </w:rPr>
              <w:t>Range</w:t>
            </w:r>
          </w:p>
        </w:tc>
        <w:tc>
          <w:tcPr>
            <w:tcW w:type="dxa" w:w="2160"/>
            <w:shd w:val="clear" w:color="auto" w:fill="EAF0EE"/>
          </w:tcPr>
          <w:p>
            <w:pPr>
              <w:spacing w:after="20"/>
            </w:pPr>
            <w:r>
              <w:rPr>
                <w:b/>
                <w:color w:val="1C3A36"/>
                <w:sz w:val="18"/>
              </w:rPr>
              <w:t>Approx. probability</w:t>
            </w:r>
          </w:p>
        </w:tc>
        <w:tc>
          <w:tcPr>
            <w:tcW w:type="dxa" w:w="3744"/>
            <w:shd w:val="clear" w:color="auto" w:fill="EAF0EE"/>
          </w:tcPr>
          <w:p>
            <w:pPr>
              <w:spacing w:after="20"/>
            </w:pPr>
            <w:r>
              <w:rPr>
                <w:b/>
                <w:color w:val="1C3A36"/>
                <w:sz w:val="18"/>
              </w:rPr>
              <w:t>What it would mean</w:t>
            </w:r>
          </w:p>
        </w:tc>
      </w:tr>
      <w:tr>
        <w:tc>
          <w:tcPr>
            <w:tcW w:type="dxa" w:w="2160"/>
          </w:tcPr>
          <w:p>
            <w:pPr>
              <w:spacing w:after="20"/>
            </w:pPr>
            <w:r>
              <w:rPr>
                <w:b/>
                <w:color w:val="1C3A36"/>
                <w:sz w:val="18"/>
              </w:rPr>
              <w:t>Deep downside</w:t>
            </w:r>
          </w:p>
        </w:tc>
        <w:tc>
          <w:tcPr>
            <w:tcW w:type="dxa" w:w="1872"/>
          </w:tcPr>
          <w:p>
            <w:pPr>
              <w:spacing w:after="20"/>
              <w:jc w:val="right"/>
            </w:pPr>
            <w:r>
              <w:rPr>
                <w:color w:val="1C3A36"/>
                <w:sz w:val="18"/>
              </w:rPr>
              <w:t>&lt; EGP 26</w:t>
            </w:r>
          </w:p>
        </w:tc>
        <w:tc>
          <w:tcPr>
            <w:tcW w:type="dxa" w:w="2160"/>
          </w:tcPr>
          <w:p>
            <w:pPr>
              <w:spacing w:after="20"/>
              <w:jc w:val="right"/>
            </w:pPr>
            <w:r>
              <w:rPr>
                <w:color w:val="1C3A36"/>
                <w:sz w:val="18"/>
              </w:rPr>
              <w:t>~9%</w:t>
            </w:r>
          </w:p>
        </w:tc>
        <w:tc>
          <w:tcPr>
            <w:tcW w:type="dxa" w:w="3744"/>
          </w:tcPr>
          <w:p>
            <w:pPr>
              <w:spacing w:after="20"/>
              <w:jc w:val="right"/>
            </w:pPr>
            <w:r>
              <w:rPr>
                <w:color w:val="1C3A36"/>
                <w:sz w:val="18"/>
              </w:rPr>
              <w:t>Regional escalation / devaluation; tests the April shelf</w:t>
            </w:r>
          </w:p>
        </w:tc>
      </w:tr>
      <w:tr>
        <w:tc>
          <w:tcPr>
            <w:tcW w:type="dxa" w:w="2160"/>
          </w:tcPr>
          <w:p>
            <w:pPr>
              <w:spacing w:after="20"/>
            </w:pPr>
            <w:r>
              <w:rPr>
                <w:b/>
                <w:color w:val="1C3A36"/>
                <w:sz w:val="18"/>
              </w:rPr>
              <w:t>Lower band</w:t>
            </w:r>
          </w:p>
        </w:tc>
        <w:tc>
          <w:tcPr>
            <w:tcW w:type="dxa" w:w="1872"/>
          </w:tcPr>
          <w:p>
            <w:pPr>
              <w:spacing w:after="20"/>
              <w:jc w:val="right"/>
            </w:pPr>
            <w:r>
              <w:rPr>
                <w:color w:val="1C3A36"/>
                <w:sz w:val="18"/>
              </w:rPr>
              <w:t>EGP 26–30</w:t>
            </w:r>
          </w:p>
        </w:tc>
        <w:tc>
          <w:tcPr>
            <w:tcW w:type="dxa" w:w="2160"/>
          </w:tcPr>
          <w:p>
            <w:pPr>
              <w:spacing w:after="20"/>
              <w:jc w:val="right"/>
            </w:pPr>
            <w:r>
              <w:rPr>
                <w:color w:val="1C3A36"/>
                <w:sz w:val="18"/>
              </w:rPr>
              <w:t>~14%</w:t>
            </w:r>
          </w:p>
        </w:tc>
        <w:tc>
          <w:tcPr>
            <w:tcW w:type="dxa" w:w="3744"/>
          </w:tcPr>
          <w:p>
            <w:pPr>
              <w:spacing w:after="20"/>
              <w:jc w:val="right"/>
            </w:pPr>
            <w:r>
              <w:rPr>
                <w:color w:val="1C3A36"/>
                <w:sz w:val="18"/>
              </w:rPr>
              <w:t>Margin proof delayed; relative-multiple lens dominates</w:t>
            </w:r>
          </w:p>
        </w:tc>
      </w:tr>
      <w:tr>
        <w:tc>
          <w:tcPr>
            <w:tcW w:type="dxa" w:w="2160"/>
          </w:tcPr>
          <w:p>
            <w:pPr>
              <w:spacing w:after="20"/>
            </w:pPr>
            <w:r>
              <w:rPr>
                <w:b/>
                <w:color w:val="1C3A36"/>
                <w:sz w:val="18"/>
              </w:rPr>
              <w:t>Around spot</w:t>
            </w:r>
          </w:p>
        </w:tc>
        <w:tc>
          <w:tcPr>
            <w:tcW w:type="dxa" w:w="1872"/>
          </w:tcPr>
          <w:p>
            <w:pPr>
              <w:spacing w:after="20"/>
              <w:jc w:val="right"/>
            </w:pPr>
            <w:r>
              <w:rPr>
                <w:color w:val="1C3A36"/>
                <w:sz w:val="18"/>
              </w:rPr>
              <w:t>EGP 30–34</w:t>
            </w:r>
          </w:p>
        </w:tc>
        <w:tc>
          <w:tcPr>
            <w:tcW w:type="dxa" w:w="2160"/>
          </w:tcPr>
          <w:p>
            <w:pPr>
              <w:spacing w:after="20"/>
              <w:jc w:val="right"/>
            </w:pPr>
            <w:r>
              <w:rPr>
                <w:color w:val="1C3A36"/>
                <w:sz w:val="18"/>
              </w:rPr>
              <w:t>~22%</w:t>
            </w:r>
          </w:p>
        </w:tc>
        <w:tc>
          <w:tcPr>
            <w:tcW w:type="dxa" w:w="3744"/>
          </w:tcPr>
          <w:p>
            <w:pPr>
              <w:spacing w:after="20"/>
              <w:jc w:val="right"/>
            </w:pPr>
            <w:r>
              <w:rPr>
                <w:color w:val="1C3A36"/>
                <w:sz w:val="18"/>
              </w:rPr>
              <w:t>Status quo; fair value and price coexist</w:t>
            </w:r>
          </w:p>
        </w:tc>
      </w:tr>
      <w:tr>
        <w:tc>
          <w:tcPr>
            <w:tcW w:type="dxa" w:w="2160"/>
          </w:tcPr>
          <w:p>
            <w:pPr>
              <w:spacing w:after="20"/>
            </w:pPr>
            <w:r>
              <w:rPr>
                <w:b/>
                <w:color w:val="1C3A36"/>
                <w:sz w:val="18"/>
              </w:rPr>
              <w:t>Upper band</w:t>
            </w:r>
          </w:p>
        </w:tc>
        <w:tc>
          <w:tcPr>
            <w:tcW w:type="dxa" w:w="1872"/>
          </w:tcPr>
          <w:p>
            <w:pPr>
              <w:spacing w:after="20"/>
              <w:jc w:val="right"/>
            </w:pPr>
            <w:r>
              <w:rPr>
                <w:color w:val="1C3A36"/>
                <w:sz w:val="18"/>
              </w:rPr>
              <w:t>EGP 34–38</w:t>
            </w:r>
          </w:p>
        </w:tc>
        <w:tc>
          <w:tcPr>
            <w:tcW w:type="dxa" w:w="2160"/>
          </w:tcPr>
          <w:p>
            <w:pPr>
              <w:spacing w:after="20"/>
              <w:jc w:val="right"/>
            </w:pPr>
            <w:r>
              <w:rPr>
                <w:color w:val="1C3A36"/>
                <w:sz w:val="18"/>
              </w:rPr>
              <w:t>~22%</w:t>
            </w:r>
          </w:p>
        </w:tc>
        <w:tc>
          <w:tcPr>
            <w:tcW w:type="dxa" w:w="3744"/>
          </w:tcPr>
          <w:p>
            <w:pPr>
              <w:spacing w:after="20"/>
              <w:jc w:val="right"/>
            </w:pPr>
            <w:r>
              <w:rPr>
                <w:color w:val="1C3A36"/>
                <w:sz w:val="18"/>
              </w:rPr>
              <w:t>Cuts + WC release credited; new-high extension</w:t>
            </w:r>
          </w:p>
        </w:tc>
      </w:tr>
      <w:tr>
        <w:tc>
          <w:tcPr>
            <w:tcW w:type="dxa" w:w="2160"/>
          </w:tcPr>
          <w:p>
            <w:pPr>
              <w:spacing w:after="20"/>
            </w:pPr>
            <w:r>
              <w:rPr>
                <w:b/>
                <w:color w:val="1C3A36"/>
                <w:sz w:val="18"/>
              </w:rPr>
              <w:t>Strong upside</w:t>
            </w:r>
          </w:p>
        </w:tc>
        <w:tc>
          <w:tcPr>
            <w:tcW w:type="dxa" w:w="1872"/>
          </w:tcPr>
          <w:p>
            <w:pPr>
              <w:spacing w:after="20"/>
              <w:jc w:val="right"/>
            </w:pPr>
            <w:r>
              <w:rPr>
                <w:color w:val="1C3A36"/>
                <w:sz w:val="18"/>
              </w:rPr>
              <w:t>&gt; EGP 38</w:t>
            </w:r>
          </w:p>
        </w:tc>
        <w:tc>
          <w:tcPr>
            <w:tcW w:type="dxa" w:w="2160"/>
          </w:tcPr>
          <w:p>
            <w:pPr>
              <w:spacing w:after="20"/>
              <w:jc w:val="right"/>
            </w:pPr>
            <w:r>
              <w:rPr>
                <w:color w:val="1C3A36"/>
                <w:sz w:val="18"/>
              </w:rPr>
              <w:t>~34%</w:t>
            </w:r>
          </w:p>
        </w:tc>
        <w:tc>
          <w:tcPr>
            <w:tcW w:type="dxa" w:w="3744"/>
          </w:tcPr>
          <w:p>
            <w:pPr>
              <w:spacing w:after="20"/>
              <w:jc w:val="right"/>
            </w:pPr>
            <w:r>
              <w:rPr>
                <w:color w:val="1C3A36"/>
                <w:sz w:val="18"/>
              </w:rPr>
              <w:t>Secular repricing continues; discount narrows toward NAV</w:t>
            </w:r>
          </w:p>
        </w:tc>
      </w:tr>
    </w:tbl>
    <w:p>
      <w:pPr>
        <w:spacing w:after="40"/>
      </w:pPr>
    </w:p>
    <w:p>
      <w:pPr>
        <w:spacing w:after="120" w:before="0"/>
      </w:pPr>
      <w:r>
        <w:rPr>
          <w:b w:val="0"/>
          <w:i w:val="0"/>
          <w:color w:val="1C3A36"/>
          <w:sz w:val="21"/>
        </w:rPr>
        <w:t>The distribution is right-skewed by construction — the calibrated secular drift plus fat-tailed innovations put roughly a third of terminal mass above EGP 38, more than any other single zone. Read that with Appendix B open: the drift term passed its test, but on 17 non-overlapping windows with a thin margin. It is the spread of outcomes consistent with the stock’s own measured behaviour and the factor stack; it is not a forecast.</w:t>
      </w:r>
    </w:p>
    <w:p>
      <w:pPr>
        <w:spacing w:after="120" w:before="280"/>
      </w:pPr>
      <w:r>
        <w:rPr>
          <w:b/>
          <w:i w:val="0"/>
          <w:color w:val="1C3A36"/>
          <w:sz w:val="30"/>
        </w:rPr>
        <w:t>7  Caveats and what would change our mind</w:t>
      </w:r>
    </w:p>
    <w:p>
      <w:pPr>
        <w:pStyle w:val="ListBullet"/>
        <w:spacing w:after="60"/>
      </w:pPr>
      <w:r>
        <w:rPr>
          <w:b/>
          <w:color w:val="1C3A36"/>
          <w:sz w:val="21"/>
        </w:rPr>
        <w:t xml:space="preserve">Working capital is the model. </w:t>
      </w:r>
      <w:r>
        <w:rPr>
          <w:color w:val="1C3A36"/>
          <w:sz w:val="21"/>
        </w:rPr>
        <w:t>The DCF’s value lives in the glide from 28.5% to 21.5% WC intensity; if 26–28% is the new structural cost of holding share (import finance, CKD stock), the Auto leg is worth EGP 4–8/share less and the central drops toward the relative lens.</w:t>
      </w:r>
    </w:p>
    <w:p>
      <w:pPr>
        <w:pStyle w:val="ListBullet"/>
        <w:spacing w:after="60"/>
      </w:pPr>
      <w:r>
        <w:rPr>
          <w:b/>
          <w:color w:val="1C3A36"/>
          <w:sz w:val="21"/>
        </w:rPr>
        <w:t xml:space="preserve">Terminal-value dependency. </w:t>
      </w:r>
      <w:r>
        <w:rPr>
          <w:color w:val="1C3A36"/>
          <w:sz w:val="21"/>
        </w:rPr>
        <w:t>77% of the Auto EV is terminal value at a 10.5-pt WACC−g spread; the §1.9 grid is the honest statement that this is partly a bet on Egyptian nominal normalization.</w:t>
      </w:r>
    </w:p>
    <w:p>
      <w:pPr>
        <w:pStyle w:val="ListBullet"/>
        <w:spacing w:after="60"/>
      </w:pPr>
      <w:r>
        <w:rPr>
          <w:b/>
          <w:color w:val="1C3A36"/>
          <w:sz w:val="21"/>
        </w:rPr>
        <w:t xml:space="preserve">The drift is empirical, and thin. </w:t>
      </w:r>
      <w:r>
        <w:rPr>
          <w:color w:val="1C3A36"/>
          <w:sz w:val="21"/>
        </w:rPr>
        <w:t>Secular drift passed Step 0 (CRPS skill +3.2% non-overlapping, +9.6% monthly) where zero drift failed — but the bootstrap CI spans zero (P(skill&gt;0) ≈ 0.62 on 17 windows). A regime turn — the exact failure mode that killed trend drift on Samsung and Tata — would flip the median read; we will re-test every quarter and cut the drift the moment it fails.</w:t>
      </w:r>
    </w:p>
    <w:p>
      <w:pPr>
        <w:pStyle w:val="ListBullet"/>
        <w:spacing w:after="60"/>
      </w:pPr>
      <w:r>
        <w:rPr>
          <w:b/>
          <w:color w:val="1C3A36"/>
          <w:sz w:val="21"/>
        </w:rPr>
        <w:t xml:space="preserve">The associate mark is private. </w:t>
      </w:r>
      <w:r>
        <w:rPr>
          <w:color w:val="1C3A36"/>
          <w:sz w:val="21"/>
        </w:rPr>
        <w:t>MNT-Halan’s USD 1.4 bn is a first-close price, the GB stake percentage is an estimate, and private marks are sticky on the way down; the bear case carries it at 0.8×.</w:t>
      </w:r>
    </w:p>
    <w:p>
      <w:pPr>
        <w:pStyle w:val="ListBullet"/>
        <w:spacing w:after="60"/>
      </w:pPr>
      <w:r>
        <w:rPr>
          <w:b/>
          <w:color w:val="1C3A36"/>
          <w:sz w:val="21"/>
        </w:rPr>
        <w:t xml:space="preserve">The lender is a credit cycle. </w:t>
      </w:r>
      <w:r>
        <w:rPr>
          <w:color w:val="1C3A36"/>
          <w:sz w:val="21"/>
        </w:rPr>
        <w:t>GB Capital’s 15% adjusted ROAE and 2.1–2.5% NPLs are cycle-friendly numbers struck in an easing cycle; a funding-market seizure or NPL spike would break the 1.0× book mark.</w:t>
      </w:r>
    </w:p>
    <w:p>
      <w:pPr>
        <w:pStyle w:val="ListBullet"/>
        <w:spacing w:after="60"/>
      </w:pPr>
      <w:r>
        <w:rPr>
          <w:b/>
          <w:color w:val="1C3A36"/>
          <w:sz w:val="21"/>
        </w:rPr>
        <w:t xml:space="preserve">Consolidation approximations. </w:t>
      </w:r>
      <w:r>
        <w:rPr>
          <w:color w:val="1C3A36"/>
          <w:sz w:val="21"/>
        </w:rPr>
        <w:t>The consolidated forecast maps eliminations, minority interests and the grouped balance-sheet layout with stated simplifications (flagged in the model); segment disclosure, not audited consolidation schedules, is the source.</w:t>
      </w:r>
    </w:p>
    <w:p>
      <w:pPr>
        <w:pStyle w:val="ListBullet"/>
        <w:spacing w:after="60"/>
      </w:pPr>
      <w:r>
        <w:rPr>
          <w:b/>
          <w:color w:val="1C3A36"/>
          <w:sz w:val="21"/>
        </w:rPr>
        <w:t xml:space="preserve">Technical reminder. </w:t>
      </w:r>
      <w:r>
        <w:rPr>
          <w:color w:val="1C3A36"/>
          <w:sz w:val="21"/>
        </w:rPr>
        <w:t>An extended tape above every average mean-reverts routinely; the strong chart says nothing about value and can unwind 10% without touching the thesis. The technical read is context, not a trigger.</w:t>
      </w:r>
    </w:p>
    <w:p>
      <w:pPr>
        <w:spacing w:after="120" w:before="280"/>
      </w:pPr>
      <w:r>
        <w:rPr>
          <w:b/>
          <w:i w:val="0"/>
          <w:color w:val="1C3A36"/>
          <w:sz w:val="30"/>
        </w:rPr>
        <w:t>Appendix A  Financial statements</w:t>
      </w:r>
    </w:p>
    <w:p>
      <w:pPr>
        <w:spacing w:after="120" w:before="0"/>
      </w:pPr>
      <w:r>
        <w:rPr>
          <w:b w:val="0"/>
          <w:i w:val="0"/>
          <w:color w:val="1C3A36"/>
          <w:sz w:val="21"/>
        </w:rPr>
        <w:t>Selected consolidated figures, as reported (4Q23 / 4Q24 / 4Q25 earnings releases; 1Q26 release 14 May 2026). EGP million. FY23 operating profit is shown after provisions for cross-year consistency with the FY25 layout. The five-year forecast is the model build (companion Excel, Income Statement sheet, formula-linked to Assumptions).</w:t>
      </w:r>
    </w:p>
    <w:p>
      <w:pPr>
        <w:spacing w:after="80" w:before="200"/>
      </w:pPr>
      <w:r>
        <w:rPr>
          <w:b/>
          <w:i w:val="0"/>
          <w:color w:val="1C3A36"/>
          <w:sz w:val="24"/>
        </w:rPr>
        <w:t>A.1  Income statement (consolidated, EGP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120"/>
        <w:gridCol w:w="1120"/>
        <w:gridCol w:w="1120"/>
        <w:gridCol w:w="1120"/>
        <w:gridCol w:w="1120"/>
        <w:gridCol w:w="1120"/>
        <w:gridCol w:w="1120"/>
        <w:gridCol w:w="1120"/>
        <w:gridCol w:w="1120"/>
      </w:tblGrid>
      <w:tr>
        <w:tc>
          <w:tcPr>
            <w:tcW w:type="dxa" w:w="2952"/>
            <w:shd w:val="clear" w:color="auto" w:fill="EAF0EE"/>
          </w:tcPr>
          <w:p>
            <w:pPr>
              <w:spacing w:after="20"/>
            </w:pPr>
            <w:r>
              <w:rPr>
                <w:b/>
                <w:color w:val="1C3A36"/>
                <w:sz w:val="16"/>
              </w:rPr>
              <w:t>Line</w:t>
            </w:r>
          </w:p>
        </w:tc>
        <w:tc>
          <w:tcPr>
            <w:tcW w:type="dxa" w:w="886"/>
            <w:shd w:val="clear" w:color="auto" w:fill="EAF0EE"/>
          </w:tcPr>
          <w:p>
            <w:pPr>
              <w:spacing w:after="20"/>
            </w:pPr>
            <w:r>
              <w:rPr>
                <w:b/>
                <w:color w:val="1C3A36"/>
                <w:sz w:val="16"/>
              </w:rPr>
              <w:t>FY23</w:t>
            </w:r>
          </w:p>
        </w:tc>
        <w:tc>
          <w:tcPr>
            <w:tcW w:type="dxa" w:w="886"/>
            <w:shd w:val="clear" w:color="auto" w:fill="EAF0EE"/>
          </w:tcPr>
          <w:p>
            <w:pPr>
              <w:spacing w:after="20"/>
            </w:pPr>
            <w:r>
              <w:rPr>
                <w:b/>
                <w:color w:val="1C3A36"/>
                <w:sz w:val="16"/>
              </w:rPr>
              <w:t>FY24</w:t>
            </w:r>
          </w:p>
        </w:tc>
        <w:tc>
          <w:tcPr>
            <w:tcW w:type="dxa" w:w="886"/>
            <w:shd w:val="clear" w:color="auto" w:fill="EAF0EE"/>
          </w:tcPr>
          <w:p>
            <w:pPr>
              <w:spacing w:after="20"/>
            </w:pPr>
            <w:r>
              <w:rPr>
                <w:b/>
                <w:color w:val="1C3A36"/>
                <w:sz w:val="16"/>
              </w:rPr>
              <w:t>FY25</w:t>
            </w:r>
          </w:p>
        </w:tc>
        <w:tc>
          <w:tcPr>
            <w:tcW w:type="dxa" w:w="886"/>
            <w:shd w:val="clear" w:color="auto" w:fill="EAF0EE"/>
          </w:tcPr>
          <w:p>
            <w:pPr>
              <w:spacing w:after="20"/>
            </w:pPr>
            <w:r>
              <w:rPr>
                <w:b/>
                <w:color w:val="1C3A36"/>
                <w:sz w:val="16"/>
              </w:rPr>
              <w:t>FY26E</w:t>
            </w:r>
          </w:p>
        </w:tc>
        <w:tc>
          <w:tcPr>
            <w:tcW w:type="dxa" w:w="886"/>
            <w:shd w:val="clear" w:color="auto" w:fill="EAF0EE"/>
          </w:tcPr>
          <w:p>
            <w:pPr>
              <w:spacing w:after="20"/>
            </w:pPr>
            <w:r>
              <w:rPr>
                <w:b/>
                <w:color w:val="1C3A36"/>
                <w:sz w:val="16"/>
              </w:rPr>
              <w:t>FY27E</w:t>
            </w:r>
          </w:p>
        </w:tc>
        <w:tc>
          <w:tcPr>
            <w:tcW w:type="dxa" w:w="886"/>
            <w:shd w:val="clear" w:color="auto" w:fill="EAF0EE"/>
          </w:tcPr>
          <w:p>
            <w:pPr>
              <w:spacing w:after="20"/>
            </w:pPr>
            <w:r>
              <w:rPr>
                <w:b/>
                <w:color w:val="1C3A36"/>
                <w:sz w:val="16"/>
              </w:rPr>
              <w:t>FY28E</w:t>
            </w:r>
          </w:p>
        </w:tc>
        <w:tc>
          <w:tcPr>
            <w:tcW w:type="dxa" w:w="886"/>
            <w:shd w:val="clear" w:color="auto" w:fill="EAF0EE"/>
          </w:tcPr>
          <w:p>
            <w:pPr>
              <w:spacing w:after="20"/>
            </w:pPr>
            <w:r>
              <w:rPr>
                <w:b/>
                <w:color w:val="1C3A36"/>
                <w:sz w:val="16"/>
              </w:rPr>
              <w:t>FY29E</w:t>
            </w:r>
          </w:p>
        </w:tc>
        <w:tc>
          <w:tcPr>
            <w:tcW w:type="dxa" w:w="886"/>
            <w:shd w:val="clear" w:color="auto" w:fill="EAF0EE"/>
          </w:tcPr>
          <w:p>
            <w:pPr>
              <w:spacing w:after="20"/>
            </w:pPr>
            <w:r>
              <w:rPr>
                <w:b/>
                <w:color w:val="1C3A36"/>
                <w:sz w:val="16"/>
              </w:rPr>
              <w:t>FY30E</w:t>
            </w:r>
          </w:p>
        </w:tc>
      </w:tr>
      <w:tr>
        <w:tc>
          <w:tcPr>
            <w:tcW w:type="dxa" w:w="2952"/>
          </w:tcPr>
          <w:p>
            <w:pPr>
              <w:spacing w:after="20"/>
            </w:pPr>
            <w:r>
              <w:rPr>
                <w:b/>
                <w:color w:val="1C3A36"/>
                <w:sz w:val="16"/>
              </w:rPr>
              <w:t>GB Auto revenue</w:t>
            </w:r>
          </w:p>
        </w:tc>
        <w:tc>
          <w:tcPr>
            <w:tcW w:type="dxa" w:w="886"/>
          </w:tcPr>
          <w:p>
            <w:pPr>
              <w:spacing w:after="20"/>
              <w:jc w:val="right"/>
            </w:pPr>
            <w:r>
              <w:rPr>
                <w:color w:val="1C3A36"/>
                <w:sz w:val="16"/>
              </w:rPr>
              <w:t>23,854</w:t>
            </w:r>
          </w:p>
        </w:tc>
        <w:tc>
          <w:tcPr>
            <w:tcW w:type="dxa" w:w="886"/>
          </w:tcPr>
          <w:p>
            <w:pPr>
              <w:spacing w:after="20"/>
              <w:jc w:val="right"/>
            </w:pPr>
            <w:r>
              <w:rPr>
                <w:color w:val="1C3A36"/>
                <w:sz w:val="16"/>
              </w:rPr>
              <w:t>47,065</w:t>
            </w:r>
          </w:p>
        </w:tc>
        <w:tc>
          <w:tcPr>
            <w:tcW w:type="dxa" w:w="886"/>
          </w:tcPr>
          <w:p>
            <w:pPr>
              <w:spacing w:after="20"/>
              <w:jc w:val="right"/>
            </w:pPr>
            <w:r>
              <w:rPr>
                <w:color w:val="1C3A36"/>
                <w:sz w:val="16"/>
              </w:rPr>
              <w:t>66,358</w:t>
            </w:r>
          </w:p>
        </w:tc>
        <w:tc>
          <w:tcPr>
            <w:tcW w:type="dxa" w:w="886"/>
          </w:tcPr>
          <w:p>
            <w:pPr>
              <w:spacing w:after="20"/>
              <w:jc w:val="right"/>
            </w:pPr>
            <w:r>
              <w:rPr>
                <w:color w:val="1C3A36"/>
                <w:sz w:val="16"/>
              </w:rPr>
              <w:t>78,550</w:t>
            </w:r>
          </w:p>
        </w:tc>
        <w:tc>
          <w:tcPr>
            <w:tcW w:type="dxa" w:w="886"/>
          </w:tcPr>
          <w:p>
            <w:pPr>
              <w:spacing w:after="20"/>
              <w:jc w:val="right"/>
            </w:pPr>
            <w:r>
              <w:rPr>
                <w:color w:val="1C3A36"/>
                <w:sz w:val="16"/>
              </w:rPr>
              <w:t>95,736</w:t>
            </w:r>
          </w:p>
        </w:tc>
        <w:tc>
          <w:tcPr>
            <w:tcW w:type="dxa" w:w="886"/>
          </w:tcPr>
          <w:p>
            <w:pPr>
              <w:spacing w:after="20"/>
              <w:jc w:val="right"/>
            </w:pPr>
            <w:r>
              <w:rPr>
                <w:color w:val="1C3A36"/>
                <w:sz w:val="16"/>
              </w:rPr>
              <w:t>112,459</w:t>
            </w:r>
          </w:p>
        </w:tc>
        <w:tc>
          <w:tcPr>
            <w:tcW w:type="dxa" w:w="886"/>
          </w:tcPr>
          <w:p>
            <w:pPr>
              <w:spacing w:after="20"/>
              <w:jc w:val="right"/>
            </w:pPr>
            <w:r>
              <w:rPr>
                <w:color w:val="1C3A36"/>
                <w:sz w:val="16"/>
              </w:rPr>
              <w:t>128,714</w:t>
            </w:r>
          </w:p>
        </w:tc>
        <w:tc>
          <w:tcPr>
            <w:tcW w:type="dxa" w:w="886"/>
          </w:tcPr>
          <w:p>
            <w:pPr>
              <w:spacing w:after="20"/>
              <w:jc w:val="right"/>
            </w:pPr>
            <w:r>
              <w:rPr>
                <w:color w:val="1C3A36"/>
                <w:sz w:val="16"/>
              </w:rPr>
              <w:t>144,761</w:t>
            </w:r>
          </w:p>
        </w:tc>
      </w:tr>
      <w:tr>
        <w:tc>
          <w:tcPr>
            <w:tcW w:type="dxa" w:w="2952"/>
          </w:tcPr>
          <w:p>
            <w:pPr>
              <w:spacing w:after="20"/>
            </w:pPr>
            <w:r>
              <w:rPr>
                <w:b/>
                <w:color w:val="1C3A36"/>
                <w:sz w:val="16"/>
              </w:rPr>
              <w:t>GB Capital revenue</w:t>
            </w:r>
          </w:p>
        </w:tc>
        <w:tc>
          <w:tcPr>
            <w:tcW w:type="dxa" w:w="886"/>
          </w:tcPr>
          <w:p>
            <w:pPr>
              <w:spacing w:after="20"/>
              <w:jc w:val="right"/>
            </w:pPr>
            <w:r>
              <w:rPr>
                <w:color w:val="1C3A36"/>
                <w:sz w:val="16"/>
              </w:rPr>
              <w:t>4,951</w:t>
            </w:r>
          </w:p>
        </w:tc>
        <w:tc>
          <w:tcPr>
            <w:tcW w:type="dxa" w:w="886"/>
          </w:tcPr>
          <w:p>
            <w:pPr>
              <w:spacing w:after="20"/>
              <w:jc w:val="right"/>
            </w:pPr>
            <w:r>
              <w:rPr>
                <w:color w:val="1C3A36"/>
                <w:sz w:val="16"/>
              </w:rPr>
              <w:t>7,384</w:t>
            </w:r>
          </w:p>
        </w:tc>
        <w:tc>
          <w:tcPr>
            <w:tcW w:type="dxa" w:w="886"/>
          </w:tcPr>
          <w:p>
            <w:pPr>
              <w:spacing w:after="20"/>
              <w:jc w:val="right"/>
            </w:pPr>
            <w:r>
              <w:rPr>
                <w:color w:val="1C3A36"/>
                <w:sz w:val="16"/>
              </w:rPr>
              <w:t>14,743</w:t>
            </w:r>
          </w:p>
        </w:tc>
        <w:tc>
          <w:tcPr>
            <w:tcW w:type="dxa" w:w="886"/>
          </w:tcPr>
          <w:p>
            <w:pPr>
              <w:spacing w:after="20"/>
              <w:jc w:val="right"/>
            </w:pPr>
            <w:r>
              <w:rPr>
                <w:color w:val="1C3A36"/>
                <w:sz w:val="16"/>
              </w:rPr>
              <w:t>21,377</w:t>
            </w:r>
          </w:p>
        </w:tc>
        <w:tc>
          <w:tcPr>
            <w:tcW w:type="dxa" w:w="886"/>
          </w:tcPr>
          <w:p>
            <w:pPr>
              <w:spacing w:after="20"/>
              <w:jc w:val="right"/>
            </w:pPr>
            <w:r>
              <w:rPr>
                <w:color w:val="1C3A36"/>
                <w:sz w:val="16"/>
              </w:rPr>
              <w:t>27,790</w:t>
            </w:r>
          </w:p>
        </w:tc>
        <w:tc>
          <w:tcPr>
            <w:tcW w:type="dxa" w:w="886"/>
          </w:tcPr>
          <w:p>
            <w:pPr>
              <w:spacing w:after="20"/>
              <w:jc w:val="right"/>
            </w:pPr>
            <w:r>
              <w:rPr>
                <w:color w:val="1C3A36"/>
                <w:sz w:val="16"/>
              </w:rPr>
              <w:t>34,738</w:t>
            </w:r>
          </w:p>
        </w:tc>
        <w:tc>
          <w:tcPr>
            <w:tcW w:type="dxa" w:w="886"/>
          </w:tcPr>
          <w:p>
            <w:pPr>
              <w:spacing w:after="20"/>
              <w:jc w:val="right"/>
            </w:pPr>
            <w:r>
              <w:rPr>
                <w:color w:val="1C3A36"/>
                <w:sz w:val="16"/>
              </w:rPr>
              <w:t>41,686</w:t>
            </w:r>
          </w:p>
        </w:tc>
        <w:tc>
          <w:tcPr>
            <w:tcW w:type="dxa" w:w="886"/>
          </w:tcPr>
          <w:p>
            <w:pPr>
              <w:spacing w:after="20"/>
              <w:jc w:val="right"/>
            </w:pPr>
            <w:r>
              <w:rPr>
                <w:color w:val="1C3A36"/>
                <w:sz w:val="16"/>
              </w:rPr>
              <w:t>49,189</w:t>
            </w:r>
          </w:p>
        </w:tc>
      </w:tr>
      <w:tr>
        <w:tc>
          <w:tcPr>
            <w:tcW w:type="dxa" w:w="2952"/>
          </w:tcPr>
          <w:p>
            <w:pPr>
              <w:spacing w:after="20"/>
            </w:pPr>
            <w:r>
              <w:rPr>
                <w:b/>
                <w:color w:val="1C3A36"/>
                <w:sz w:val="16"/>
              </w:rPr>
              <w:t>Eliminations</w:t>
            </w:r>
          </w:p>
        </w:tc>
        <w:tc>
          <w:tcPr>
            <w:tcW w:type="dxa" w:w="886"/>
          </w:tcPr>
          <w:p>
            <w:pPr>
              <w:spacing w:after="20"/>
              <w:jc w:val="right"/>
            </w:pPr>
            <w:r>
              <w:rPr>
                <w:color w:val="1C3A36"/>
                <w:sz w:val="16"/>
              </w:rPr>
              <w:t>(488)</w:t>
            </w:r>
          </w:p>
        </w:tc>
        <w:tc>
          <w:tcPr>
            <w:tcW w:type="dxa" w:w="886"/>
          </w:tcPr>
          <w:p>
            <w:pPr>
              <w:spacing w:after="20"/>
              <w:jc w:val="right"/>
            </w:pPr>
            <w:r>
              <w:rPr>
                <w:color w:val="1C3A36"/>
                <w:sz w:val="16"/>
              </w:rPr>
              <w:t>(479)</w:t>
            </w:r>
          </w:p>
        </w:tc>
        <w:tc>
          <w:tcPr>
            <w:tcW w:type="dxa" w:w="886"/>
          </w:tcPr>
          <w:p>
            <w:pPr>
              <w:spacing w:after="20"/>
              <w:jc w:val="right"/>
            </w:pPr>
            <w:r>
              <w:rPr>
                <w:color w:val="1C3A36"/>
                <w:sz w:val="16"/>
              </w:rPr>
              <w:t>(872)</w:t>
            </w:r>
          </w:p>
        </w:tc>
        <w:tc>
          <w:tcPr>
            <w:tcW w:type="dxa" w:w="886"/>
          </w:tcPr>
          <w:p>
            <w:pPr>
              <w:spacing w:after="20"/>
              <w:jc w:val="right"/>
            </w:pPr>
            <w:r>
              <w:rPr>
                <w:color w:val="1C3A36"/>
                <w:sz w:val="16"/>
              </w:rPr>
              <w:t>(1,099)</w:t>
            </w:r>
          </w:p>
        </w:tc>
        <w:tc>
          <w:tcPr>
            <w:tcW w:type="dxa" w:w="886"/>
          </w:tcPr>
          <w:p>
            <w:pPr>
              <w:spacing w:after="20"/>
              <w:jc w:val="right"/>
            </w:pPr>
            <w:r>
              <w:rPr>
                <w:color w:val="1C3A36"/>
                <w:sz w:val="16"/>
              </w:rPr>
              <w:t>(1,359)</w:t>
            </w:r>
          </w:p>
        </w:tc>
        <w:tc>
          <w:tcPr>
            <w:tcW w:type="dxa" w:w="886"/>
          </w:tcPr>
          <w:p>
            <w:pPr>
              <w:spacing w:after="20"/>
              <w:jc w:val="right"/>
            </w:pPr>
            <w:r>
              <w:rPr>
                <w:color w:val="1C3A36"/>
                <w:sz w:val="16"/>
              </w:rPr>
              <w:t>(1,619)</w:t>
            </w:r>
          </w:p>
        </w:tc>
        <w:tc>
          <w:tcPr>
            <w:tcW w:type="dxa" w:w="886"/>
          </w:tcPr>
          <w:p>
            <w:pPr>
              <w:spacing w:after="20"/>
              <w:jc w:val="right"/>
            </w:pPr>
            <w:r>
              <w:rPr>
                <w:color w:val="1C3A36"/>
                <w:sz w:val="16"/>
              </w:rPr>
              <w:t>(1,874)</w:t>
            </w:r>
          </w:p>
        </w:tc>
        <w:tc>
          <w:tcPr>
            <w:tcW w:type="dxa" w:w="886"/>
          </w:tcPr>
          <w:p>
            <w:pPr>
              <w:spacing w:after="20"/>
              <w:jc w:val="right"/>
            </w:pPr>
            <w:r>
              <w:rPr>
                <w:color w:val="1C3A36"/>
                <w:sz w:val="16"/>
              </w:rPr>
              <w:t>(2,133)</w:t>
            </w:r>
          </w:p>
        </w:tc>
      </w:tr>
      <w:tr>
        <w:tc>
          <w:tcPr>
            <w:tcW w:type="dxa" w:w="2952"/>
          </w:tcPr>
          <w:p>
            <w:pPr>
              <w:spacing w:after="20"/>
            </w:pPr>
            <w:r>
              <w:rPr>
                <w:b/>
                <w:color w:val="1C3A36"/>
                <w:sz w:val="16"/>
              </w:rPr>
              <w:t>Total revenue</w:t>
            </w:r>
          </w:p>
        </w:tc>
        <w:tc>
          <w:tcPr>
            <w:tcW w:type="dxa" w:w="886"/>
          </w:tcPr>
          <w:p>
            <w:pPr>
              <w:spacing w:after="20"/>
              <w:jc w:val="right"/>
            </w:pPr>
            <w:r>
              <w:rPr>
                <w:color w:val="1C3A36"/>
                <w:sz w:val="16"/>
              </w:rPr>
              <w:t>28,317</w:t>
            </w:r>
          </w:p>
        </w:tc>
        <w:tc>
          <w:tcPr>
            <w:tcW w:type="dxa" w:w="886"/>
          </w:tcPr>
          <w:p>
            <w:pPr>
              <w:spacing w:after="20"/>
              <w:jc w:val="right"/>
            </w:pPr>
            <w:r>
              <w:rPr>
                <w:color w:val="1C3A36"/>
                <w:sz w:val="16"/>
              </w:rPr>
              <w:t>53,970</w:t>
            </w:r>
          </w:p>
        </w:tc>
        <w:tc>
          <w:tcPr>
            <w:tcW w:type="dxa" w:w="886"/>
          </w:tcPr>
          <w:p>
            <w:pPr>
              <w:spacing w:after="20"/>
              <w:jc w:val="right"/>
            </w:pPr>
            <w:r>
              <w:rPr>
                <w:color w:val="1C3A36"/>
                <w:sz w:val="16"/>
              </w:rPr>
              <w:t>80,230</w:t>
            </w:r>
          </w:p>
        </w:tc>
        <w:tc>
          <w:tcPr>
            <w:tcW w:type="dxa" w:w="886"/>
          </w:tcPr>
          <w:p>
            <w:pPr>
              <w:spacing w:after="20"/>
              <w:jc w:val="right"/>
            </w:pPr>
            <w:r>
              <w:rPr>
                <w:color w:val="1C3A36"/>
                <w:sz w:val="16"/>
              </w:rPr>
              <w:t>98,828</w:t>
            </w:r>
          </w:p>
        </w:tc>
        <w:tc>
          <w:tcPr>
            <w:tcW w:type="dxa" w:w="886"/>
          </w:tcPr>
          <w:p>
            <w:pPr>
              <w:spacing w:after="20"/>
              <w:jc w:val="right"/>
            </w:pPr>
            <w:r>
              <w:rPr>
                <w:color w:val="1C3A36"/>
                <w:sz w:val="16"/>
              </w:rPr>
              <w:t>122,168</w:t>
            </w:r>
          </w:p>
        </w:tc>
        <w:tc>
          <w:tcPr>
            <w:tcW w:type="dxa" w:w="886"/>
          </w:tcPr>
          <w:p>
            <w:pPr>
              <w:spacing w:after="20"/>
              <w:jc w:val="right"/>
            </w:pPr>
            <w:r>
              <w:rPr>
                <w:color w:val="1C3A36"/>
                <w:sz w:val="16"/>
              </w:rPr>
              <w:t>145,578</w:t>
            </w:r>
          </w:p>
        </w:tc>
        <w:tc>
          <w:tcPr>
            <w:tcW w:type="dxa" w:w="886"/>
          </w:tcPr>
          <w:p>
            <w:pPr>
              <w:spacing w:after="20"/>
              <w:jc w:val="right"/>
            </w:pPr>
            <w:r>
              <w:rPr>
                <w:color w:val="1C3A36"/>
                <w:sz w:val="16"/>
              </w:rPr>
              <w:t>168,525</w:t>
            </w:r>
          </w:p>
        </w:tc>
        <w:tc>
          <w:tcPr>
            <w:tcW w:type="dxa" w:w="886"/>
          </w:tcPr>
          <w:p>
            <w:pPr>
              <w:spacing w:after="20"/>
              <w:jc w:val="right"/>
            </w:pPr>
            <w:r>
              <w:rPr>
                <w:color w:val="1C3A36"/>
                <w:sz w:val="16"/>
              </w:rPr>
              <w:t>191,817</w:t>
            </w:r>
          </w:p>
        </w:tc>
      </w:tr>
      <w:tr>
        <w:tc>
          <w:tcPr>
            <w:tcW w:type="dxa" w:w="2952"/>
          </w:tcPr>
          <w:p>
            <w:pPr>
              <w:spacing w:after="20"/>
            </w:pPr>
            <w:r>
              <w:rPr>
                <w:b/>
                <w:color w:val="1C3A36"/>
                <w:sz w:val="16"/>
              </w:rPr>
              <w:t>Gross profit</w:t>
            </w:r>
          </w:p>
        </w:tc>
        <w:tc>
          <w:tcPr>
            <w:tcW w:type="dxa" w:w="886"/>
          </w:tcPr>
          <w:p>
            <w:pPr>
              <w:spacing w:after="20"/>
              <w:jc w:val="right"/>
            </w:pPr>
            <w:r>
              <w:rPr>
                <w:color w:val="1C3A36"/>
                <w:sz w:val="16"/>
              </w:rPr>
              <w:t>6,884</w:t>
            </w:r>
          </w:p>
        </w:tc>
        <w:tc>
          <w:tcPr>
            <w:tcW w:type="dxa" w:w="886"/>
          </w:tcPr>
          <w:p>
            <w:pPr>
              <w:spacing w:after="20"/>
              <w:jc w:val="right"/>
            </w:pPr>
            <w:r>
              <w:rPr>
                <w:color w:val="1C3A36"/>
                <w:sz w:val="16"/>
              </w:rPr>
              <w:t>10,515</w:t>
            </w:r>
          </w:p>
        </w:tc>
        <w:tc>
          <w:tcPr>
            <w:tcW w:type="dxa" w:w="886"/>
          </w:tcPr>
          <w:p>
            <w:pPr>
              <w:spacing w:after="20"/>
              <w:jc w:val="right"/>
            </w:pPr>
            <w:r>
              <w:rPr>
                <w:color w:val="1C3A36"/>
                <w:sz w:val="16"/>
              </w:rPr>
              <w:t>12,431</w:t>
            </w:r>
          </w:p>
        </w:tc>
        <w:tc>
          <w:tcPr>
            <w:tcW w:type="dxa" w:w="886"/>
          </w:tcPr>
          <w:p>
            <w:pPr>
              <w:spacing w:after="20"/>
              <w:jc w:val="right"/>
            </w:pPr>
            <w:r>
              <w:rPr>
                <w:color w:val="1C3A36"/>
                <w:sz w:val="16"/>
              </w:rPr>
              <w:t>14,633</w:t>
            </w:r>
          </w:p>
        </w:tc>
        <w:tc>
          <w:tcPr>
            <w:tcW w:type="dxa" w:w="886"/>
          </w:tcPr>
          <w:p>
            <w:pPr>
              <w:spacing w:after="20"/>
              <w:jc w:val="right"/>
            </w:pPr>
            <w:r>
              <w:rPr>
                <w:color w:val="1C3A36"/>
                <w:sz w:val="16"/>
              </w:rPr>
              <w:t>18,600</w:t>
            </w:r>
          </w:p>
        </w:tc>
        <w:tc>
          <w:tcPr>
            <w:tcW w:type="dxa" w:w="886"/>
          </w:tcPr>
          <w:p>
            <w:pPr>
              <w:spacing w:after="20"/>
              <w:jc w:val="right"/>
            </w:pPr>
            <w:r>
              <w:rPr>
                <w:color w:val="1C3A36"/>
                <w:sz w:val="16"/>
              </w:rPr>
              <w:t>22,760</w:t>
            </w:r>
          </w:p>
        </w:tc>
        <w:tc>
          <w:tcPr>
            <w:tcW w:type="dxa" w:w="886"/>
          </w:tcPr>
          <w:p>
            <w:pPr>
              <w:spacing w:after="20"/>
              <w:jc w:val="right"/>
            </w:pPr>
            <w:r>
              <w:rPr>
                <w:color w:val="1C3A36"/>
                <w:sz w:val="16"/>
              </w:rPr>
              <w:t>26,551</w:t>
            </w:r>
          </w:p>
        </w:tc>
        <w:tc>
          <w:tcPr>
            <w:tcW w:type="dxa" w:w="886"/>
          </w:tcPr>
          <w:p>
            <w:pPr>
              <w:spacing w:after="20"/>
              <w:jc w:val="right"/>
            </w:pPr>
            <w:r>
              <w:rPr>
                <w:color w:val="1C3A36"/>
                <w:sz w:val="16"/>
              </w:rPr>
              <w:t>30,417</w:t>
            </w:r>
          </w:p>
        </w:tc>
      </w:tr>
      <w:tr>
        <w:tc>
          <w:tcPr>
            <w:tcW w:type="dxa" w:w="2952"/>
          </w:tcPr>
          <w:p>
            <w:pPr>
              <w:spacing w:after="20"/>
            </w:pPr>
            <w:r>
              <w:rPr>
                <w:b/>
                <w:color w:val="1C3A36"/>
                <w:sz w:val="16"/>
              </w:rPr>
              <w:t>S&amp;M and administration</w:t>
            </w:r>
          </w:p>
        </w:tc>
        <w:tc>
          <w:tcPr>
            <w:tcW w:type="dxa" w:w="886"/>
          </w:tcPr>
          <w:p>
            <w:pPr>
              <w:spacing w:after="20"/>
              <w:jc w:val="right"/>
            </w:pPr>
            <w:r>
              <w:rPr>
                <w:color w:val="1C3A36"/>
                <w:sz w:val="16"/>
              </w:rPr>
              <w:t>(3,431)</w:t>
            </w:r>
          </w:p>
        </w:tc>
        <w:tc>
          <w:tcPr>
            <w:tcW w:type="dxa" w:w="886"/>
          </w:tcPr>
          <w:p>
            <w:pPr>
              <w:spacing w:after="20"/>
              <w:jc w:val="right"/>
            </w:pPr>
            <w:r>
              <w:rPr>
                <w:color w:val="1C3A36"/>
                <w:sz w:val="16"/>
              </w:rPr>
              <w:t>(4,844)</w:t>
            </w:r>
          </w:p>
        </w:tc>
        <w:tc>
          <w:tcPr>
            <w:tcW w:type="dxa" w:w="886"/>
          </w:tcPr>
          <w:p>
            <w:pPr>
              <w:spacing w:after="20"/>
              <w:jc w:val="right"/>
            </w:pPr>
            <w:r>
              <w:rPr>
                <w:color w:val="1C3A36"/>
                <w:sz w:val="16"/>
              </w:rPr>
              <w:t>(6,547)</w:t>
            </w:r>
          </w:p>
        </w:tc>
        <w:tc>
          <w:tcPr>
            <w:tcW w:type="dxa" w:w="886"/>
          </w:tcPr>
          <w:p>
            <w:pPr>
              <w:spacing w:after="20"/>
              <w:jc w:val="right"/>
            </w:pPr>
            <w:r>
              <w:rPr>
                <w:color w:val="1C3A36"/>
                <w:sz w:val="16"/>
              </w:rPr>
              <w:t>(7,906)</w:t>
            </w:r>
          </w:p>
        </w:tc>
        <w:tc>
          <w:tcPr>
            <w:tcW w:type="dxa" w:w="886"/>
          </w:tcPr>
          <w:p>
            <w:pPr>
              <w:spacing w:after="20"/>
              <w:jc w:val="right"/>
            </w:pPr>
            <w:r>
              <w:rPr>
                <w:color w:val="1C3A36"/>
                <w:sz w:val="16"/>
              </w:rPr>
              <w:t>(9,651)</w:t>
            </w:r>
          </w:p>
        </w:tc>
        <w:tc>
          <w:tcPr>
            <w:tcW w:type="dxa" w:w="886"/>
          </w:tcPr>
          <w:p>
            <w:pPr>
              <w:spacing w:after="20"/>
              <w:jc w:val="right"/>
            </w:pPr>
            <w:r>
              <w:rPr>
                <w:color w:val="1C3A36"/>
                <w:sz w:val="16"/>
              </w:rPr>
              <w:t>(11,355)</w:t>
            </w:r>
          </w:p>
        </w:tc>
        <w:tc>
          <w:tcPr>
            <w:tcW w:type="dxa" w:w="886"/>
          </w:tcPr>
          <w:p>
            <w:pPr>
              <w:spacing w:after="20"/>
              <w:jc w:val="right"/>
            </w:pPr>
            <w:r>
              <w:rPr>
                <w:color w:val="1C3A36"/>
                <w:sz w:val="16"/>
              </w:rPr>
              <w:t>(13,061)</w:t>
            </w:r>
          </w:p>
        </w:tc>
        <w:tc>
          <w:tcPr>
            <w:tcW w:type="dxa" w:w="886"/>
          </w:tcPr>
          <w:p>
            <w:pPr>
              <w:spacing w:after="20"/>
              <w:jc w:val="right"/>
            </w:pPr>
            <w:r>
              <w:rPr>
                <w:color w:val="1C3A36"/>
                <w:sz w:val="16"/>
              </w:rPr>
              <w:t>(14,770)</w:t>
            </w:r>
          </w:p>
        </w:tc>
      </w:tr>
      <w:tr>
        <w:tc>
          <w:tcPr>
            <w:tcW w:type="dxa" w:w="2952"/>
          </w:tcPr>
          <w:p>
            <w:pPr>
              <w:spacing w:after="20"/>
            </w:pPr>
            <w:r>
              <w:rPr>
                <w:b/>
                <w:color w:val="1C3A36"/>
                <w:sz w:val="16"/>
              </w:rPr>
              <w:t>Other income · provisions</w:t>
            </w:r>
          </w:p>
        </w:tc>
        <w:tc>
          <w:tcPr>
            <w:tcW w:type="dxa" w:w="886"/>
          </w:tcPr>
          <w:p>
            <w:pPr>
              <w:spacing w:after="20"/>
              <w:jc w:val="right"/>
            </w:pPr>
            <w:r>
              <w:rPr>
                <w:color w:val="1C3A36"/>
                <w:sz w:val="16"/>
              </w:rPr>
              <w:t>250</w:t>
            </w:r>
          </w:p>
        </w:tc>
        <w:tc>
          <w:tcPr>
            <w:tcW w:type="dxa" w:w="886"/>
          </w:tcPr>
          <w:p>
            <w:pPr>
              <w:spacing w:after="20"/>
              <w:jc w:val="right"/>
            </w:pPr>
            <w:r>
              <w:rPr>
                <w:color w:val="1C3A36"/>
                <w:sz w:val="16"/>
              </w:rPr>
              <w:t>150</w:t>
            </w:r>
          </w:p>
        </w:tc>
        <w:tc>
          <w:tcPr>
            <w:tcW w:type="dxa" w:w="886"/>
          </w:tcPr>
          <w:p>
            <w:pPr>
              <w:spacing w:after="20"/>
              <w:jc w:val="right"/>
            </w:pPr>
            <w:r>
              <w:rPr>
                <w:color w:val="1C3A36"/>
                <w:sz w:val="16"/>
              </w:rPr>
              <w:t>747</w:t>
            </w:r>
          </w:p>
        </w:tc>
        <w:tc>
          <w:tcPr>
            <w:tcW w:type="dxa" w:w="886"/>
          </w:tcPr>
          <w:p>
            <w:pPr>
              <w:spacing w:after="20"/>
              <w:jc w:val="right"/>
            </w:pPr>
            <w:r>
              <w:rPr>
                <w:color w:val="1C3A36"/>
                <w:sz w:val="16"/>
              </w:rPr>
              <w:t>791</w:t>
            </w:r>
          </w:p>
        </w:tc>
        <w:tc>
          <w:tcPr>
            <w:tcW w:type="dxa" w:w="886"/>
          </w:tcPr>
          <w:p>
            <w:pPr>
              <w:spacing w:after="20"/>
              <w:jc w:val="right"/>
            </w:pPr>
            <w:r>
              <w:rPr>
                <w:color w:val="1C3A36"/>
                <w:sz w:val="16"/>
              </w:rPr>
              <w:t>977</w:t>
            </w:r>
          </w:p>
        </w:tc>
        <w:tc>
          <w:tcPr>
            <w:tcW w:type="dxa" w:w="886"/>
          </w:tcPr>
          <w:p>
            <w:pPr>
              <w:spacing w:after="20"/>
              <w:jc w:val="right"/>
            </w:pPr>
            <w:r>
              <w:rPr>
                <w:color w:val="1C3A36"/>
                <w:sz w:val="16"/>
              </w:rPr>
              <w:t>1,165</w:t>
            </w:r>
          </w:p>
        </w:tc>
        <w:tc>
          <w:tcPr>
            <w:tcW w:type="dxa" w:w="886"/>
          </w:tcPr>
          <w:p>
            <w:pPr>
              <w:spacing w:after="20"/>
              <w:jc w:val="right"/>
            </w:pPr>
            <w:r>
              <w:rPr>
                <w:color w:val="1C3A36"/>
                <w:sz w:val="16"/>
              </w:rPr>
              <w:t>1,348</w:t>
            </w:r>
          </w:p>
        </w:tc>
        <w:tc>
          <w:tcPr>
            <w:tcW w:type="dxa" w:w="886"/>
          </w:tcPr>
          <w:p>
            <w:pPr>
              <w:spacing w:after="20"/>
              <w:jc w:val="right"/>
            </w:pPr>
            <w:r>
              <w:rPr>
                <w:color w:val="1C3A36"/>
                <w:sz w:val="16"/>
              </w:rPr>
              <w:t>1,535</w:t>
            </w:r>
          </w:p>
        </w:tc>
      </w:tr>
      <w:tr>
        <w:tc>
          <w:tcPr>
            <w:tcW w:type="dxa" w:w="2952"/>
          </w:tcPr>
          <w:p>
            <w:pPr>
              <w:spacing w:after="20"/>
            </w:pPr>
            <w:r>
              <w:rPr>
                <w:b/>
                <w:color w:val="1C3A36"/>
                <w:sz w:val="16"/>
              </w:rPr>
              <w:t>Operating profit</w:t>
            </w:r>
          </w:p>
        </w:tc>
        <w:tc>
          <w:tcPr>
            <w:tcW w:type="dxa" w:w="886"/>
          </w:tcPr>
          <w:p>
            <w:pPr>
              <w:spacing w:after="20"/>
              <w:jc w:val="right"/>
            </w:pPr>
            <w:r>
              <w:rPr>
                <w:color w:val="1C3A36"/>
                <w:sz w:val="16"/>
              </w:rPr>
              <w:t>3,703</w:t>
            </w:r>
          </w:p>
        </w:tc>
        <w:tc>
          <w:tcPr>
            <w:tcW w:type="dxa" w:w="886"/>
          </w:tcPr>
          <w:p>
            <w:pPr>
              <w:spacing w:after="20"/>
              <w:jc w:val="right"/>
            </w:pPr>
            <w:r>
              <w:rPr>
                <w:color w:val="1C3A36"/>
                <w:sz w:val="16"/>
              </w:rPr>
              <w:t>5,821</w:t>
            </w:r>
          </w:p>
        </w:tc>
        <w:tc>
          <w:tcPr>
            <w:tcW w:type="dxa" w:w="886"/>
          </w:tcPr>
          <w:p>
            <w:pPr>
              <w:spacing w:after="20"/>
              <w:jc w:val="right"/>
            </w:pPr>
            <w:r>
              <w:rPr>
                <w:color w:val="1C3A36"/>
                <w:sz w:val="16"/>
              </w:rPr>
              <w:t>6,631</w:t>
            </w:r>
          </w:p>
        </w:tc>
        <w:tc>
          <w:tcPr>
            <w:tcW w:type="dxa" w:w="886"/>
          </w:tcPr>
          <w:p>
            <w:pPr>
              <w:spacing w:after="20"/>
              <w:jc w:val="right"/>
            </w:pPr>
            <w:r>
              <w:rPr>
                <w:color w:val="1C3A36"/>
                <w:sz w:val="16"/>
              </w:rPr>
              <w:t>7,518</w:t>
            </w:r>
          </w:p>
        </w:tc>
        <w:tc>
          <w:tcPr>
            <w:tcW w:type="dxa" w:w="886"/>
          </w:tcPr>
          <w:p>
            <w:pPr>
              <w:spacing w:after="20"/>
              <w:jc w:val="right"/>
            </w:pPr>
            <w:r>
              <w:rPr>
                <w:color w:val="1C3A36"/>
                <w:sz w:val="16"/>
              </w:rPr>
              <w:t>9,926</w:t>
            </w:r>
          </w:p>
        </w:tc>
        <w:tc>
          <w:tcPr>
            <w:tcW w:type="dxa" w:w="886"/>
          </w:tcPr>
          <w:p>
            <w:pPr>
              <w:spacing w:after="20"/>
              <w:jc w:val="right"/>
            </w:pPr>
            <w:r>
              <w:rPr>
                <w:color w:val="1C3A36"/>
                <w:sz w:val="16"/>
              </w:rPr>
              <w:t>12,570</w:t>
            </w:r>
          </w:p>
        </w:tc>
        <w:tc>
          <w:tcPr>
            <w:tcW w:type="dxa" w:w="886"/>
          </w:tcPr>
          <w:p>
            <w:pPr>
              <w:spacing w:after="20"/>
              <w:jc w:val="right"/>
            </w:pPr>
            <w:r>
              <w:rPr>
                <w:color w:val="1C3A36"/>
                <w:sz w:val="16"/>
              </w:rPr>
              <w:t>14,838</w:t>
            </w:r>
          </w:p>
        </w:tc>
        <w:tc>
          <w:tcPr>
            <w:tcW w:type="dxa" w:w="886"/>
          </w:tcPr>
          <w:p>
            <w:pPr>
              <w:spacing w:after="20"/>
              <w:jc w:val="right"/>
            </w:pPr>
            <w:r>
              <w:rPr>
                <w:color w:val="1C3A36"/>
                <w:sz w:val="16"/>
              </w:rPr>
              <w:t>17,182</w:t>
            </w:r>
          </w:p>
        </w:tc>
      </w:tr>
      <w:tr>
        <w:tc>
          <w:tcPr>
            <w:tcW w:type="dxa" w:w="2952"/>
          </w:tcPr>
          <w:p>
            <w:pPr>
              <w:spacing w:after="20"/>
            </w:pPr>
            <w:r>
              <w:rPr>
                <w:b/>
                <w:color w:val="1C3A36"/>
                <w:sz w:val="16"/>
              </w:rPr>
              <w:t>Associates</w:t>
            </w:r>
          </w:p>
        </w:tc>
        <w:tc>
          <w:tcPr>
            <w:tcW w:type="dxa" w:w="886"/>
          </w:tcPr>
          <w:p>
            <w:pPr>
              <w:spacing w:after="20"/>
              <w:jc w:val="right"/>
            </w:pPr>
            <w:r>
              <w:rPr>
                <w:color w:val="1C3A36"/>
                <w:sz w:val="16"/>
              </w:rPr>
              <w:t>1,066</w:t>
            </w:r>
          </w:p>
        </w:tc>
        <w:tc>
          <w:tcPr>
            <w:tcW w:type="dxa" w:w="886"/>
          </w:tcPr>
          <w:p>
            <w:pPr>
              <w:spacing w:after="20"/>
              <w:jc w:val="right"/>
            </w:pPr>
            <w:r>
              <w:rPr>
                <w:color w:val="1C3A36"/>
                <w:sz w:val="16"/>
              </w:rPr>
              <w:t>868</w:t>
            </w:r>
          </w:p>
        </w:tc>
        <w:tc>
          <w:tcPr>
            <w:tcW w:type="dxa" w:w="886"/>
          </w:tcPr>
          <w:p>
            <w:pPr>
              <w:spacing w:after="20"/>
              <w:jc w:val="right"/>
            </w:pPr>
            <w:r>
              <w:rPr>
                <w:color w:val="1C3A36"/>
                <w:sz w:val="16"/>
              </w:rPr>
              <w:t>975</w:t>
            </w:r>
          </w:p>
        </w:tc>
        <w:tc>
          <w:tcPr>
            <w:tcW w:type="dxa" w:w="886"/>
          </w:tcPr>
          <w:p>
            <w:pPr>
              <w:spacing w:after="20"/>
              <w:jc w:val="right"/>
            </w:pPr>
            <w:r>
              <w:rPr>
                <w:color w:val="1C3A36"/>
                <w:sz w:val="16"/>
              </w:rPr>
              <w:t>1,250</w:t>
            </w:r>
          </w:p>
        </w:tc>
        <w:tc>
          <w:tcPr>
            <w:tcW w:type="dxa" w:w="886"/>
          </w:tcPr>
          <w:p>
            <w:pPr>
              <w:spacing w:after="20"/>
              <w:jc w:val="right"/>
            </w:pPr>
            <w:r>
              <w:rPr>
                <w:color w:val="1C3A36"/>
                <w:sz w:val="16"/>
              </w:rPr>
              <w:t>1,430</w:t>
            </w:r>
          </w:p>
        </w:tc>
        <w:tc>
          <w:tcPr>
            <w:tcW w:type="dxa" w:w="886"/>
          </w:tcPr>
          <w:p>
            <w:pPr>
              <w:spacing w:after="20"/>
              <w:jc w:val="right"/>
            </w:pPr>
            <w:r>
              <w:rPr>
                <w:color w:val="1C3A36"/>
                <w:sz w:val="16"/>
              </w:rPr>
              <w:t>1,630</w:t>
            </w:r>
          </w:p>
        </w:tc>
        <w:tc>
          <w:tcPr>
            <w:tcW w:type="dxa" w:w="886"/>
          </w:tcPr>
          <w:p>
            <w:pPr>
              <w:spacing w:after="20"/>
              <w:jc w:val="right"/>
            </w:pPr>
            <w:r>
              <w:rPr>
                <w:color w:val="1C3A36"/>
                <w:sz w:val="16"/>
              </w:rPr>
              <w:t>1,830</w:t>
            </w:r>
          </w:p>
        </w:tc>
        <w:tc>
          <w:tcPr>
            <w:tcW w:type="dxa" w:w="886"/>
          </w:tcPr>
          <w:p>
            <w:pPr>
              <w:spacing w:after="20"/>
              <w:jc w:val="right"/>
            </w:pPr>
            <w:r>
              <w:rPr>
                <w:color w:val="1C3A36"/>
                <w:sz w:val="16"/>
              </w:rPr>
              <w:t>2,030</w:t>
            </w:r>
          </w:p>
        </w:tc>
      </w:tr>
      <w:tr>
        <w:tc>
          <w:tcPr>
            <w:tcW w:type="dxa" w:w="2952"/>
          </w:tcPr>
          <w:p>
            <w:pPr>
              <w:spacing w:after="20"/>
            </w:pPr>
            <w:r>
              <w:rPr>
                <w:b/>
                <w:color w:val="1C3A36"/>
                <w:sz w:val="16"/>
              </w:rPr>
              <w:t>EBIT</w:t>
            </w:r>
          </w:p>
        </w:tc>
        <w:tc>
          <w:tcPr>
            <w:tcW w:type="dxa" w:w="886"/>
          </w:tcPr>
          <w:p>
            <w:pPr>
              <w:spacing w:after="20"/>
              <w:jc w:val="right"/>
            </w:pPr>
            <w:r>
              <w:rPr>
                <w:color w:val="1C3A36"/>
                <w:sz w:val="16"/>
              </w:rPr>
              <w:t>4,770</w:t>
            </w:r>
          </w:p>
        </w:tc>
        <w:tc>
          <w:tcPr>
            <w:tcW w:type="dxa" w:w="886"/>
          </w:tcPr>
          <w:p>
            <w:pPr>
              <w:spacing w:after="20"/>
              <w:jc w:val="right"/>
            </w:pPr>
            <w:r>
              <w:rPr>
                <w:color w:val="1C3A36"/>
                <w:sz w:val="16"/>
              </w:rPr>
              <w:t>6,689</w:t>
            </w:r>
          </w:p>
        </w:tc>
        <w:tc>
          <w:tcPr>
            <w:tcW w:type="dxa" w:w="886"/>
          </w:tcPr>
          <w:p>
            <w:pPr>
              <w:spacing w:after="20"/>
              <w:jc w:val="right"/>
            </w:pPr>
            <w:r>
              <w:rPr>
                <w:color w:val="1C3A36"/>
                <w:sz w:val="16"/>
              </w:rPr>
              <w:t>7,606</w:t>
            </w:r>
          </w:p>
        </w:tc>
        <w:tc>
          <w:tcPr>
            <w:tcW w:type="dxa" w:w="886"/>
          </w:tcPr>
          <w:p>
            <w:pPr>
              <w:spacing w:after="20"/>
              <w:jc w:val="right"/>
            </w:pPr>
            <w:r>
              <w:rPr>
                <w:color w:val="1C3A36"/>
                <w:sz w:val="16"/>
              </w:rPr>
              <w:t>8,768</w:t>
            </w:r>
          </w:p>
        </w:tc>
        <w:tc>
          <w:tcPr>
            <w:tcW w:type="dxa" w:w="886"/>
          </w:tcPr>
          <w:p>
            <w:pPr>
              <w:spacing w:after="20"/>
              <w:jc w:val="right"/>
            </w:pPr>
            <w:r>
              <w:rPr>
                <w:color w:val="1C3A36"/>
                <w:sz w:val="16"/>
              </w:rPr>
              <w:t>11,356</w:t>
            </w:r>
          </w:p>
        </w:tc>
        <w:tc>
          <w:tcPr>
            <w:tcW w:type="dxa" w:w="886"/>
          </w:tcPr>
          <w:p>
            <w:pPr>
              <w:spacing w:after="20"/>
              <w:jc w:val="right"/>
            </w:pPr>
            <w:r>
              <w:rPr>
                <w:color w:val="1C3A36"/>
                <w:sz w:val="16"/>
              </w:rPr>
              <w:t>14,200</w:t>
            </w:r>
          </w:p>
        </w:tc>
        <w:tc>
          <w:tcPr>
            <w:tcW w:type="dxa" w:w="886"/>
          </w:tcPr>
          <w:p>
            <w:pPr>
              <w:spacing w:after="20"/>
              <w:jc w:val="right"/>
            </w:pPr>
            <w:r>
              <w:rPr>
                <w:color w:val="1C3A36"/>
                <w:sz w:val="16"/>
              </w:rPr>
              <w:t>16,668</w:t>
            </w:r>
          </w:p>
        </w:tc>
        <w:tc>
          <w:tcPr>
            <w:tcW w:type="dxa" w:w="886"/>
          </w:tcPr>
          <w:p>
            <w:pPr>
              <w:spacing w:after="20"/>
              <w:jc w:val="right"/>
            </w:pPr>
            <w:r>
              <w:rPr>
                <w:color w:val="1C3A36"/>
                <w:sz w:val="16"/>
              </w:rPr>
              <w:t>19,212</w:t>
            </w:r>
          </w:p>
        </w:tc>
      </w:tr>
      <w:tr>
        <w:tc>
          <w:tcPr>
            <w:tcW w:type="dxa" w:w="2952"/>
          </w:tcPr>
          <w:p>
            <w:pPr>
              <w:spacing w:after="20"/>
            </w:pPr>
            <w:r>
              <w:rPr>
                <w:b/>
                <w:color w:val="1C3A36"/>
                <w:sz w:val="16"/>
              </w:rPr>
              <w:t>FX gains (losses)</w:t>
            </w:r>
          </w:p>
        </w:tc>
        <w:tc>
          <w:tcPr>
            <w:tcW w:type="dxa" w:w="886"/>
          </w:tcPr>
          <w:p>
            <w:pPr>
              <w:spacing w:after="20"/>
              <w:jc w:val="right"/>
            </w:pPr>
            <w:r>
              <w:rPr>
                <w:color w:val="1C3A36"/>
                <w:sz w:val="16"/>
              </w:rPr>
              <w:t>(1,499)</w:t>
            </w:r>
          </w:p>
        </w:tc>
        <w:tc>
          <w:tcPr>
            <w:tcW w:type="dxa" w:w="886"/>
          </w:tcPr>
          <w:p>
            <w:pPr>
              <w:spacing w:after="20"/>
              <w:jc w:val="right"/>
            </w:pPr>
            <w:r>
              <w:rPr>
                <w:color w:val="1C3A36"/>
                <w:sz w:val="16"/>
              </w:rPr>
              <w:t>(292)</w:t>
            </w:r>
          </w:p>
        </w:tc>
        <w:tc>
          <w:tcPr>
            <w:tcW w:type="dxa" w:w="886"/>
          </w:tcPr>
          <w:p>
            <w:pPr>
              <w:spacing w:after="20"/>
              <w:jc w:val="right"/>
            </w:pPr>
            <w:r>
              <w:rPr>
                <w:color w:val="1C3A36"/>
                <w:sz w:val="16"/>
              </w:rPr>
              <w:t>(37)</w:t>
            </w:r>
          </w:p>
        </w:tc>
        <w:tc>
          <w:tcPr>
            <w:tcW w:type="dxa" w:w="886"/>
          </w:tcPr>
          <w:p>
            <w:pPr>
              <w:spacing w:after="20"/>
              <w:jc w:val="right"/>
            </w:pPr>
            <w:r>
              <w:rPr>
                <w:color w:val="1C3A36"/>
                <w:sz w:val="16"/>
              </w:rPr>
              <w:t>—</w:t>
            </w:r>
          </w:p>
        </w:tc>
        <w:tc>
          <w:tcPr>
            <w:tcW w:type="dxa" w:w="886"/>
          </w:tcPr>
          <w:p>
            <w:pPr>
              <w:spacing w:after="20"/>
              <w:jc w:val="right"/>
            </w:pPr>
            <w:r>
              <w:rPr>
                <w:color w:val="1C3A36"/>
                <w:sz w:val="16"/>
              </w:rPr>
              <w:t>—</w:t>
            </w:r>
          </w:p>
        </w:tc>
        <w:tc>
          <w:tcPr>
            <w:tcW w:type="dxa" w:w="886"/>
          </w:tcPr>
          <w:p>
            <w:pPr>
              <w:spacing w:after="20"/>
              <w:jc w:val="right"/>
            </w:pPr>
            <w:r>
              <w:rPr>
                <w:color w:val="1C3A36"/>
                <w:sz w:val="16"/>
              </w:rPr>
              <w:t>—</w:t>
            </w:r>
          </w:p>
        </w:tc>
        <w:tc>
          <w:tcPr>
            <w:tcW w:type="dxa" w:w="886"/>
          </w:tcPr>
          <w:p>
            <w:pPr>
              <w:spacing w:after="20"/>
              <w:jc w:val="right"/>
            </w:pPr>
            <w:r>
              <w:rPr>
                <w:color w:val="1C3A36"/>
                <w:sz w:val="16"/>
              </w:rPr>
              <w:t>—</w:t>
            </w:r>
          </w:p>
        </w:tc>
        <w:tc>
          <w:tcPr>
            <w:tcW w:type="dxa" w:w="886"/>
          </w:tcPr>
          <w:p>
            <w:pPr>
              <w:spacing w:after="20"/>
              <w:jc w:val="right"/>
            </w:pPr>
            <w:r>
              <w:rPr>
                <w:color w:val="1C3A36"/>
                <w:sz w:val="16"/>
              </w:rPr>
              <w:t>—</w:t>
            </w:r>
          </w:p>
        </w:tc>
      </w:tr>
      <w:tr>
        <w:tc>
          <w:tcPr>
            <w:tcW w:type="dxa" w:w="2952"/>
          </w:tcPr>
          <w:p>
            <w:pPr>
              <w:spacing w:after="20"/>
            </w:pPr>
            <w:r>
              <w:rPr>
                <w:b/>
                <w:color w:val="1C3A36"/>
                <w:sz w:val="16"/>
              </w:rPr>
              <w:t>Net finance cost</w:t>
            </w:r>
          </w:p>
        </w:tc>
        <w:tc>
          <w:tcPr>
            <w:tcW w:type="dxa" w:w="886"/>
          </w:tcPr>
          <w:p>
            <w:pPr>
              <w:spacing w:after="20"/>
              <w:jc w:val="right"/>
            </w:pPr>
            <w:r>
              <w:rPr>
                <w:color w:val="1C3A36"/>
                <w:sz w:val="16"/>
              </w:rPr>
              <w:t>(966)</w:t>
            </w:r>
          </w:p>
        </w:tc>
        <w:tc>
          <w:tcPr>
            <w:tcW w:type="dxa" w:w="886"/>
          </w:tcPr>
          <w:p>
            <w:pPr>
              <w:spacing w:after="20"/>
              <w:jc w:val="right"/>
            </w:pPr>
            <w:r>
              <w:rPr>
                <w:color w:val="1C3A36"/>
                <w:sz w:val="16"/>
              </w:rPr>
              <w:t>(2,398)</w:t>
            </w:r>
          </w:p>
        </w:tc>
        <w:tc>
          <w:tcPr>
            <w:tcW w:type="dxa" w:w="886"/>
          </w:tcPr>
          <w:p>
            <w:pPr>
              <w:spacing w:after="20"/>
              <w:jc w:val="right"/>
            </w:pPr>
            <w:r>
              <w:rPr>
                <w:color w:val="1C3A36"/>
                <w:sz w:val="16"/>
              </w:rPr>
              <w:t>(3,702)</w:t>
            </w:r>
          </w:p>
        </w:tc>
        <w:tc>
          <w:tcPr>
            <w:tcW w:type="dxa" w:w="886"/>
          </w:tcPr>
          <w:p>
            <w:pPr>
              <w:spacing w:after="20"/>
              <w:jc w:val="right"/>
            </w:pPr>
            <w:r>
              <w:rPr>
                <w:color w:val="1C3A36"/>
                <w:sz w:val="16"/>
              </w:rPr>
              <w:t>(4,100)</w:t>
            </w:r>
          </w:p>
        </w:tc>
        <w:tc>
          <w:tcPr>
            <w:tcW w:type="dxa" w:w="886"/>
          </w:tcPr>
          <w:p>
            <w:pPr>
              <w:spacing w:after="20"/>
              <w:jc w:val="right"/>
            </w:pPr>
            <w:r>
              <w:rPr>
                <w:color w:val="1C3A36"/>
                <w:sz w:val="16"/>
              </w:rPr>
              <w:t>(3,800)</w:t>
            </w:r>
          </w:p>
        </w:tc>
        <w:tc>
          <w:tcPr>
            <w:tcW w:type="dxa" w:w="886"/>
          </w:tcPr>
          <w:p>
            <w:pPr>
              <w:spacing w:after="20"/>
              <w:jc w:val="right"/>
            </w:pPr>
            <w:r>
              <w:rPr>
                <w:color w:val="1C3A36"/>
                <w:sz w:val="16"/>
              </w:rPr>
              <w:t>(3,500)</w:t>
            </w:r>
          </w:p>
        </w:tc>
        <w:tc>
          <w:tcPr>
            <w:tcW w:type="dxa" w:w="886"/>
          </w:tcPr>
          <w:p>
            <w:pPr>
              <w:spacing w:after="20"/>
              <w:jc w:val="right"/>
            </w:pPr>
            <w:r>
              <w:rPr>
                <w:color w:val="1C3A36"/>
                <w:sz w:val="16"/>
              </w:rPr>
              <w:t>(3,300)</w:t>
            </w:r>
          </w:p>
        </w:tc>
        <w:tc>
          <w:tcPr>
            <w:tcW w:type="dxa" w:w="886"/>
          </w:tcPr>
          <w:p>
            <w:pPr>
              <w:spacing w:after="20"/>
              <w:jc w:val="right"/>
            </w:pPr>
            <w:r>
              <w:rPr>
                <w:color w:val="1C3A36"/>
                <w:sz w:val="16"/>
              </w:rPr>
              <w:t>(3,100)</w:t>
            </w:r>
          </w:p>
        </w:tc>
      </w:tr>
      <w:tr>
        <w:tc>
          <w:tcPr>
            <w:tcW w:type="dxa" w:w="2952"/>
          </w:tcPr>
          <w:p>
            <w:pPr>
              <w:spacing w:after="20"/>
            </w:pPr>
            <w:r>
              <w:rPr>
                <w:b/>
                <w:color w:val="1C3A36"/>
                <w:sz w:val="16"/>
              </w:rPr>
              <w:t>Earnings before tax</w:t>
            </w:r>
          </w:p>
        </w:tc>
        <w:tc>
          <w:tcPr>
            <w:tcW w:type="dxa" w:w="886"/>
          </w:tcPr>
          <w:p>
            <w:pPr>
              <w:spacing w:after="20"/>
              <w:jc w:val="right"/>
            </w:pPr>
            <w:r>
              <w:rPr>
                <w:color w:val="1C3A36"/>
                <w:sz w:val="16"/>
              </w:rPr>
              <w:t>2,304</w:t>
            </w:r>
          </w:p>
        </w:tc>
        <w:tc>
          <w:tcPr>
            <w:tcW w:type="dxa" w:w="886"/>
          </w:tcPr>
          <w:p>
            <w:pPr>
              <w:spacing w:after="20"/>
              <w:jc w:val="right"/>
            </w:pPr>
            <w:r>
              <w:rPr>
                <w:color w:val="1C3A36"/>
                <w:sz w:val="16"/>
              </w:rPr>
              <w:t>3,999</w:t>
            </w:r>
          </w:p>
        </w:tc>
        <w:tc>
          <w:tcPr>
            <w:tcW w:type="dxa" w:w="886"/>
          </w:tcPr>
          <w:p>
            <w:pPr>
              <w:spacing w:after="20"/>
              <w:jc w:val="right"/>
            </w:pPr>
            <w:r>
              <w:rPr>
                <w:color w:val="1C3A36"/>
                <w:sz w:val="16"/>
              </w:rPr>
              <w:t>3,867</w:t>
            </w:r>
          </w:p>
        </w:tc>
        <w:tc>
          <w:tcPr>
            <w:tcW w:type="dxa" w:w="886"/>
          </w:tcPr>
          <w:p>
            <w:pPr>
              <w:spacing w:after="20"/>
              <w:jc w:val="right"/>
            </w:pPr>
            <w:r>
              <w:rPr>
                <w:color w:val="1C3A36"/>
                <w:sz w:val="16"/>
              </w:rPr>
              <w:t>4,668</w:t>
            </w:r>
          </w:p>
        </w:tc>
        <w:tc>
          <w:tcPr>
            <w:tcW w:type="dxa" w:w="886"/>
          </w:tcPr>
          <w:p>
            <w:pPr>
              <w:spacing w:after="20"/>
              <w:jc w:val="right"/>
            </w:pPr>
            <w:r>
              <w:rPr>
                <w:color w:val="1C3A36"/>
                <w:sz w:val="16"/>
              </w:rPr>
              <w:t>7,556</w:t>
            </w:r>
          </w:p>
        </w:tc>
        <w:tc>
          <w:tcPr>
            <w:tcW w:type="dxa" w:w="886"/>
          </w:tcPr>
          <w:p>
            <w:pPr>
              <w:spacing w:after="20"/>
              <w:jc w:val="right"/>
            </w:pPr>
            <w:r>
              <w:rPr>
                <w:color w:val="1C3A36"/>
                <w:sz w:val="16"/>
              </w:rPr>
              <w:t>10,700</w:t>
            </w:r>
          </w:p>
        </w:tc>
        <w:tc>
          <w:tcPr>
            <w:tcW w:type="dxa" w:w="886"/>
          </w:tcPr>
          <w:p>
            <w:pPr>
              <w:spacing w:after="20"/>
              <w:jc w:val="right"/>
            </w:pPr>
            <w:r>
              <w:rPr>
                <w:color w:val="1C3A36"/>
                <w:sz w:val="16"/>
              </w:rPr>
              <w:t>13,368</w:t>
            </w:r>
          </w:p>
        </w:tc>
        <w:tc>
          <w:tcPr>
            <w:tcW w:type="dxa" w:w="886"/>
          </w:tcPr>
          <w:p>
            <w:pPr>
              <w:spacing w:after="20"/>
              <w:jc w:val="right"/>
            </w:pPr>
            <w:r>
              <w:rPr>
                <w:color w:val="1C3A36"/>
                <w:sz w:val="16"/>
              </w:rPr>
              <w:t>16,112</w:t>
            </w:r>
          </w:p>
        </w:tc>
      </w:tr>
      <w:tr>
        <w:tc>
          <w:tcPr>
            <w:tcW w:type="dxa" w:w="2952"/>
          </w:tcPr>
          <w:p>
            <w:pPr>
              <w:spacing w:after="20"/>
            </w:pPr>
            <w:r>
              <w:rPr>
                <w:b/>
                <w:color w:val="1C3A36"/>
                <w:sz w:val="16"/>
              </w:rPr>
              <w:t>Income taxes</w:t>
            </w:r>
          </w:p>
        </w:tc>
        <w:tc>
          <w:tcPr>
            <w:tcW w:type="dxa" w:w="886"/>
          </w:tcPr>
          <w:p>
            <w:pPr>
              <w:spacing w:after="20"/>
              <w:jc w:val="right"/>
            </w:pPr>
            <w:r>
              <w:rPr>
                <w:color w:val="1C3A36"/>
                <w:sz w:val="16"/>
              </w:rPr>
              <w:t>(493)</w:t>
            </w:r>
          </w:p>
        </w:tc>
        <w:tc>
          <w:tcPr>
            <w:tcW w:type="dxa" w:w="886"/>
          </w:tcPr>
          <w:p>
            <w:pPr>
              <w:spacing w:after="20"/>
              <w:jc w:val="right"/>
            </w:pPr>
            <w:r>
              <w:rPr>
                <w:color w:val="1C3A36"/>
                <w:sz w:val="16"/>
              </w:rPr>
              <w:t>(939)</w:t>
            </w:r>
          </w:p>
        </w:tc>
        <w:tc>
          <w:tcPr>
            <w:tcW w:type="dxa" w:w="886"/>
          </w:tcPr>
          <w:p>
            <w:pPr>
              <w:spacing w:after="20"/>
              <w:jc w:val="right"/>
            </w:pPr>
            <w:r>
              <w:rPr>
                <w:color w:val="1C3A36"/>
                <w:sz w:val="16"/>
              </w:rPr>
              <w:t>(1,086)</w:t>
            </w:r>
          </w:p>
        </w:tc>
        <w:tc>
          <w:tcPr>
            <w:tcW w:type="dxa" w:w="886"/>
          </w:tcPr>
          <w:p>
            <w:pPr>
              <w:spacing w:after="20"/>
              <w:jc w:val="right"/>
            </w:pPr>
            <w:r>
              <w:rPr>
                <w:color w:val="1C3A36"/>
                <w:sz w:val="16"/>
              </w:rPr>
              <w:t>(1,307)</w:t>
            </w:r>
          </w:p>
        </w:tc>
        <w:tc>
          <w:tcPr>
            <w:tcW w:type="dxa" w:w="886"/>
          </w:tcPr>
          <w:p>
            <w:pPr>
              <w:spacing w:after="20"/>
              <w:jc w:val="right"/>
            </w:pPr>
            <w:r>
              <w:rPr>
                <w:color w:val="1C3A36"/>
                <w:sz w:val="16"/>
              </w:rPr>
              <w:t>(2,116)</w:t>
            </w:r>
          </w:p>
        </w:tc>
        <w:tc>
          <w:tcPr>
            <w:tcW w:type="dxa" w:w="886"/>
          </w:tcPr>
          <w:p>
            <w:pPr>
              <w:spacing w:after="20"/>
              <w:jc w:val="right"/>
            </w:pPr>
            <w:r>
              <w:rPr>
                <w:color w:val="1C3A36"/>
                <w:sz w:val="16"/>
              </w:rPr>
              <w:t>(2,996)</w:t>
            </w:r>
          </w:p>
        </w:tc>
        <w:tc>
          <w:tcPr>
            <w:tcW w:type="dxa" w:w="886"/>
          </w:tcPr>
          <w:p>
            <w:pPr>
              <w:spacing w:after="20"/>
              <w:jc w:val="right"/>
            </w:pPr>
            <w:r>
              <w:rPr>
                <w:color w:val="1C3A36"/>
                <w:sz w:val="16"/>
              </w:rPr>
              <w:t>(3,743)</w:t>
            </w:r>
          </w:p>
        </w:tc>
        <w:tc>
          <w:tcPr>
            <w:tcW w:type="dxa" w:w="886"/>
          </w:tcPr>
          <w:p>
            <w:pPr>
              <w:spacing w:after="20"/>
              <w:jc w:val="right"/>
            </w:pPr>
            <w:r>
              <w:rPr>
                <w:color w:val="1C3A36"/>
                <w:sz w:val="16"/>
              </w:rPr>
              <w:t>(4,511)</w:t>
            </w:r>
          </w:p>
        </w:tc>
      </w:tr>
      <w:tr>
        <w:tc>
          <w:tcPr>
            <w:tcW w:type="dxa" w:w="2952"/>
          </w:tcPr>
          <w:p>
            <w:pPr>
              <w:spacing w:after="20"/>
            </w:pPr>
            <w:r>
              <w:rPr>
                <w:b/>
                <w:color w:val="1C3A36"/>
                <w:sz w:val="16"/>
              </w:rPr>
              <w:t>NP before minority interest</w:t>
            </w:r>
          </w:p>
        </w:tc>
        <w:tc>
          <w:tcPr>
            <w:tcW w:type="dxa" w:w="886"/>
          </w:tcPr>
          <w:p>
            <w:pPr>
              <w:spacing w:after="20"/>
              <w:jc w:val="right"/>
            </w:pPr>
            <w:r>
              <w:rPr>
                <w:color w:val="1C3A36"/>
                <w:sz w:val="16"/>
              </w:rPr>
              <w:t>1,811</w:t>
            </w:r>
          </w:p>
        </w:tc>
        <w:tc>
          <w:tcPr>
            <w:tcW w:type="dxa" w:w="886"/>
          </w:tcPr>
          <w:p>
            <w:pPr>
              <w:spacing w:after="20"/>
              <w:jc w:val="right"/>
            </w:pPr>
            <w:r>
              <w:rPr>
                <w:color w:val="1C3A36"/>
                <w:sz w:val="16"/>
              </w:rPr>
              <w:t>3,060</w:t>
            </w:r>
          </w:p>
        </w:tc>
        <w:tc>
          <w:tcPr>
            <w:tcW w:type="dxa" w:w="886"/>
          </w:tcPr>
          <w:p>
            <w:pPr>
              <w:spacing w:after="20"/>
              <w:jc w:val="right"/>
            </w:pPr>
            <w:r>
              <w:rPr>
                <w:color w:val="1C3A36"/>
                <w:sz w:val="16"/>
              </w:rPr>
              <w:t>2,780</w:t>
            </w:r>
          </w:p>
        </w:tc>
        <w:tc>
          <w:tcPr>
            <w:tcW w:type="dxa" w:w="886"/>
          </w:tcPr>
          <w:p>
            <w:pPr>
              <w:spacing w:after="20"/>
              <w:jc w:val="right"/>
            </w:pPr>
            <w:r>
              <w:rPr>
                <w:color w:val="1C3A36"/>
                <w:sz w:val="16"/>
              </w:rPr>
              <w:t>3,361</w:t>
            </w:r>
          </w:p>
        </w:tc>
        <w:tc>
          <w:tcPr>
            <w:tcW w:type="dxa" w:w="886"/>
          </w:tcPr>
          <w:p>
            <w:pPr>
              <w:spacing w:after="20"/>
              <w:jc w:val="right"/>
            </w:pPr>
            <w:r>
              <w:rPr>
                <w:color w:val="1C3A36"/>
                <w:sz w:val="16"/>
              </w:rPr>
              <w:t>5,441</w:t>
            </w:r>
          </w:p>
        </w:tc>
        <w:tc>
          <w:tcPr>
            <w:tcW w:type="dxa" w:w="886"/>
          </w:tcPr>
          <w:p>
            <w:pPr>
              <w:spacing w:after="20"/>
              <w:jc w:val="right"/>
            </w:pPr>
            <w:r>
              <w:rPr>
                <w:color w:val="1C3A36"/>
                <w:sz w:val="16"/>
              </w:rPr>
              <w:t>7,704</w:t>
            </w:r>
          </w:p>
        </w:tc>
        <w:tc>
          <w:tcPr>
            <w:tcW w:type="dxa" w:w="886"/>
          </w:tcPr>
          <w:p>
            <w:pPr>
              <w:spacing w:after="20"/>
              <w:jc w:val="right"/>
            </w:pPr>
            <w:r>
              <w:rPr>
                <w:color w:val="1C3A36"/>
                <w:sz w:val="16"/>
              </w:rPr>
              <w:t>9,625</w:t>
            </w:r>
          </w:p>
        </w:tc>
        <w:tc>
          <w:tcPr>
            <w:tcW w:type="dxa" w:w="886"/>
          </w:tcPr>
          <w:p>
            <w:pPr>
              <w:spacing w:after="20"/>
              <w:jc w:val="right"/>
            </w:pPr>
            <w:r>
              <w:rPr>
                <w:color w:val="1C3A36"/>
                <w:sz w:val="16"/>
              </w:rPr>
              <w:t>11,601</w:t>
            </w:r>
          </w:p>
        </w:tc>
      </w:tr>
      <w:tr>
        <w:tc>
          <w:tcPr>
            <w:tcW w:type="dxa" w:w="2952"/>
          </w:tcPr>
          <w:p>
            <w:pPr>
              <w:spacing w:after="20"/>
            </w:pPr>
            <w:r>
              <w:rPr>
                <w:b/>
                <w:color w:val="1C3A36"/>
                <w:sz w:val="16"/>
              </w:rPr>
              <w:t>Minority interest</w:t>
            </w:r>
          </w:p>
        </w:tc>
        <w:tc>
          <w:tcPr>
            <w:tcW w:type="dxa" w:w="886"/>
          </w:tcPr>
          <w:p>
            <w:pPr>
              <w:spacing w:after="20"/>
              <w:jc w:val="right"/>
            </w:pPr>
            <w:r>
              <w:rPr>
                <w:color w:val="1C3A36"/>
                <w:sz w:val="16"/>
              </w:rPr>
              <w:t>80</w:t>
            </w:r>
          </w:p>
        </w:tc>
        <w:tc>
          <w:tcPr>
            <w:tcW w:type="dxa" w:w="886"/>
          </w:tcPr>
          <w:p>
            <w:pPr>
              <w:spacing w:after="20"/>
              <w:jc w:val="right"/>
            </w:pPr>
            <w:r>
              <w:rPr>
                <w:color w:val="1C3A36"/>
                <w:sz w:val="16"/>
              </w:rPr>
              <w:t>(132)</w:t>
            </w:r>
          </w:p>
        </w:tc>
        <w:tc>
          <w:tcPr>
            <w:tcW w:type="dxa" w:w="886"/>
          </w:tcPr>
          <w:p>
            <w:pPr>
              <w:spacing w:after="20"/>
              <w:jc w:val="right"/>
            </w:pPr>
            <w:r>
              <w:rPr>
                <w:color w:val="1C3A36"/>
                <w:sz w:val="16"/>
              </w:rPr>
              <w:t>100</w:t>
            </w:r>
          </w:p>
        </w:tc>
        <w:tc>
          <w:tcPr>
            <w:tcW w:type="dxa" w:w="886"/>
          </w:tcPr>
          <w:p>
            <w:pPr>
              <w:spacing w:after="20"/>
              <w:jc w:val="right"/>
            </w:pPr>
            <w:r>
              <w:rPr>
                <w:color w:val="1C3A36"/>
                <w:sz w:val="16"/>
              </w:rPr>
              <w:t>(67)</w:t>
            </w:r>
          </w:p>
        </w:tc>
        <w:tc>
          <w:tcPr>
            <w:tcW w:type="dxa" w:w="886"/>
          </w:tcPr>
          <w:p>
            <w:pPr>
              <w:spacing w:after="20"/>
              <w:jc w:val="right"/>
            </w:pPr>
            <w:r>
              <w:rPr>
                <w:color w:val="1C3A36"/>
                <w:sz w:val="16"/>
              </w:rPr>
              <w:t>(109)</w:t>
            </w:r>
          </w:p>
        </w:tc>
        <w:tc>
          <w:tcPr>
            <w:tcW w:type="dxa" w:w="886"/>
          </w:tcPr>
          <w:p>
            <w:pPr>
              <w:spacing w:after="20"/>
              <w:jc w:val="right"/>
            </w:pPr>
            <w:r>
              <w:rPr>
                <w:color w:val="1C3A36"/>
                <w:sz w:val="16"/>
              </w:rPr>
              <w:t>(154)</w:t>
            </w:r>
          </w:p>
        </w:tc>
        <w:tc>
          <w:tcPr>
            <w:tcW w:type="dxa" w:w="886"/>
          </w:tcPr>
          <w:p>
            <w:pPr>
              <w:spacing w:after="20"/>
              <w:jc w:val="right"/>
            </w:pPr>
            <w:r>
              <w:rPr>
                <w:color w:val="1C3A36"/>
                <w:sz w:val="16"/>
              </w:rPr>
              <w:t>(193)</w:t>
            </w:r>
          </w:p>
        </w:tc>
        <w:tc>
          <w:tcPr>
            <w:tcW w:type="dxa" w:w="886"/>
          </w:tcPr>
          <w:p>
            <w:pPr>
              <w:spacing w:after="20"/>
              <w:jc w:val="right"/>
            </w:pPr>
            <w:r>
              <w:rPr>
                <w:color w:val="1C3A36"/>
                <w:sz w:val="16"/>
              </w:rPr>
              <w:t>(232)</w:t>
            </w:r>
          </w:p>
        </w:tc>
      </w:tr>
      <w:tr>
        <w:tc>
          <w:tcPr>
            <w:tcW w:type="dxa" w:w="2952"/>
          </w:tcPr>
          <w:p>
            <w:pPr>
              <w:spacing w:after="20"/>
            </w:pPr>
            <w:r>
              <w:rPr>
                <w:b/>
                <w:color w:val="1C3A36"/>
                <w:sz w:val="16"/>
              </w:rPr>
              <w:t>Net profit (attributable)</w:t>
            </w:r>
          </w:p>
        </w:tc>
        <w:tc>
          <w:tcPr>
            <w:tcW w:type="dxa" w:w="886"/>
          </w:tcPr>
          <w:p>
            <w:pPr>
              <w:spacing w:after="20"/>
              <w:jc w:val="right"/>
            </w:pPr>
            <w:r>
              <w:rPr>
                <w:color w:val="1C3A36"/>
                <w:sz w:val="16"/>
              </w:rPr>
              <w:t>1,891</w:t>
            </w:r>
          </w:p>
        </w:tc>
        <w:tc>
          <w:tcPr>
            <w:tcW w:type="dxa" w:w="886"/>
          </w:tcPr>
          <w:p>
            <w:pPr>
              <w:spacing w:after="20"/>
              <w:jc w:val="right"/>
            </w:pPr>
            <w:r>
              <w:rPr>
                <w:color w:val="1C3A36"/>
                <w:sz w:val="16"/>
              </w:rPr>
              <w:t>2,928</w:t>
            </w:r>
          </w:p>
        </w:tc>
        <w:tc>
          <w:tcPr>
            <w:tcW w:type="dxa" w:w="886"/>
          </w:tcPr>
          <w:p>
            <w:pPr>
              <w:spacing w:after="20"/>
              <w:jc w:val="right"/>
            </w:pPr>
            <w:r>
              <w:rPr>
                <w:color w:val="1C3A36"/>
                <w:sz w:val="16"/>
              </w:rPr>
              <w:t>2,880</w:t>
            </w:r>
          </w:p>
        </w:tc>
        <w:tc>
          <w:tcPr>
            <w:tcW w:type="dxa" w:w="886"/>
          </w:tcPr>
          <w:p>
            <w:pPr>
              <w:spacing w:after="20"/>
              <w:jc w:val="right"/>
            </w:pPr>
            <w:r>
              <w:rPr>
                <w:color w:val="1C3A36"/>
                <w:sz w:val="16"/>
              </w:rPr>
              <w:t>3,294</w:t>
            </w:r>
          </w:p>
        </w:tc>
        <w:tc>
          <w:tcPr>
            <w:tcW w:type="dxa" w:w="886"/>
          </w:tcPr>
          <w:p>
            <w:pPr>
              <w:spacing w:after="20"/>
              <w:jc w:val="right"/>
            </w:pPr>
            <w:r>
              <w:rPr>
                <w:color w:val="1C3A36"/>
                <w:sz w:val="16"/>
              </w:rPr>
              <w:t>5,332</w:t>
            </w:r>
          </w:p>
        </w:tc>
        <w:tc>
          <w:tcPr>
            <w:tcW w:type="dxa" w:w="886"/>
          </w:tcPr>
          <w:p>
            <w:pPr>
              <w:spacing w:after="20"/>
              <w:jc w:val="right"/>
            </w:pPr>
            <w:r>
              <w:rPr>
                <w:color w:val="1C3A36"/>
                <w:sz w:val="16"/>
              </w:rPr>
              <w:t>7,550</w:t>
            </w:r>
          </w:p>
        </w:tc>
        <w:tc>
          <w:tcPr>
            <w:tcW w:type="dxa" w:w="886"/>
          </w:tcPr>
          <w:p>
            <w:pPr>
              <w:spacing w:after="20"/>
              <w:jc w:val="right"/>
            </w:pPr>
            <w:r>
              <w:rPr>
                <w:color w:val="1C3A36"/>
                <w:sz w:val="16"/>
              </w:rPr>
              <w:t>9,433</w:t>
            </w:r>
          </w:p>
        </w:tc>
        <w:tc>
          <w:tcPr>
            <w:tcW w:type="dxa" w:w="886"/>
          </w:tcPr>
          <w:p>
            <w:pPr>
              <w:spacing w:after="20"/>
              <w:jc w:val="right"/>
            </w:pPr>
            <w:r>
              <w:rPr>
                <w:color w:val="1C3A36"/>
                <w:sz w:val="16"/>
              </w:rPr>
              <w:t>11,369</w:t>
            </w:r>
          </w:p>
        </w:tc>
      </w:tr>
    </w:tbl>
    <w:p>
      <w:pPr>
        <w:spacing w:after="40"/>
      </w:pPr>
    </w:p>
    <w:p>
      <w:pPr>
        <w:spacing w:after="200" w:before="0"/>
      </w:pPr>
      <w:r>
        <w:rPr>
          <w:b w:val="0"/>
          <w:i/>
          <w:color w:val="6E7B77"/>
          <w:sz w:val="17"/>
        </w:rPr>
        <w:t>Forecast columns are the live model build (rounded); the Excel is the source of truth and reprices from Assumptions.</w:t>
      </w:r>
    </w:p>
    <w:p>
      <w:pPr>
        <w:spacing w:after="80" w:before="200"/>
      </w:pPr>
      <w:r>
        <w:rPr>
          <w:b/>
          <w:i w:val="0"/>
          <w:color w:val="1C3A36"/>
          <w:sz w:val="24"/>
        </w:rPr>
        <w:t>A.2  Balance sheet (consolidated, EGP mn) — grouped house layout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440"/>
        <w:gridCol w:w="1440"/>
        <w:gridCol w:w="1440"/>
        <w:gridCol w:w="1440"/>
        <w:gridCol w:w="1440"/>
        <w:gridCol w:w="1440"/>
        <w:gridCol w:w="1440"/>
      </w:tblGrid>
      <w:tr>
        <w:tc>
          <w:tcPr>
            <w:tcW w:type="dxa" w:w="3600"/>
            <w:shd w:val="clear" w:color="auto" w:fill="EAF0EE"/>
          </w:tcPr>
          <w:p>
            <w:pPr>
              <w:spacing w:after="20"/>
            </w:pPr>
            <w:r>
              <w:rPr>
                <w:b/>
                <w:color w:val="1C3A36"/>
                <w:sz w:val="16"/>
              </w:rPr>
              <w:t>Line</w:t>
            </w:r>
          </w:p>
        </w:tc>
        <w:tc>
          <w:tcPr>
            <w:tcW w:type="dxa" w:w="1080"/>
            <w:shd w:val="clear" w:color="auto" w:fill="EAF0EE"/>
          </w:tcPr>
          <w:p>
            <w:pPr>
              <w:spacing w:after="20"/>
            </w:pPr>
            <w:r>
              <w:rPr>
                <w:b/>
                <w:color w:val="1C3A36"/>
                <w:sz w:val="16"/>
              </w:rPr>
              <w:t>FY23</w:t>
            </w:r>
          </w:p>
        </w:tc>
        <w:tc>
          <w:tcPr>
            <w:tcW w:type="dxa" w:w="1080"/>
            <w:shd w:val="clear" w:color="auto" w:fill="EAF0EE"/>
          </w:tcPr>
          <w:p>
            <w:pPr>
              <w:spacing w:after="20"/>
            </w:pPr>
            <w:r>
              <w:rPr>
                <w:b/>
                <w:color w:val="1C3A36"/>
                <w:sz w:val="16"/>
              </w:rPr>
              <w:t>FY24</w:t>
            </w:r>
          </w:p>
        </w:tc>
        <w:tc>
          <w:tcPr>
            <w:tcW w:type="dxa" w:w="1080"/>
            <w:shd w:val="clear" w:color="auto" w:fill="EAF0EE"/>
          </w:tcPr>
          <w:p>
            <w:pPr>
              <w:spacing w:after="20"/>
            </w:pPr>
            <w:r>
              <w:rPr>
                <w:b/>
                <w:color w:val="1C3A36"/>
                <w:sz w:val="16"/>
              </w:rPr>
              <w:t>FY25</w:t>
            </w:r>
          </w:p>
        </w:tc>
        <w:tc>
          <w:tcPr>
            <w:tcW w:type="dxa" w:w="1080"/>
            <w:shd w:val="clear" w:color="auto" w:fill="EAF0EE"/>
          </w:tcPr>
          <w:p>
            <w:pPr>
              <w:spacing w:after="20"/>
            </w:pPr>
            <w:r>
              <w:rPr>
                <w:b/>
                <w:color w:val="1C3A36"/>
                <w:sz w:val="16"/>
              </w:rPr>
              <w:t>FY26E</w:t>
            </w:r>
          </w:p>
        </w:tc>
        <w:tc>
          <w:tcPr>
            <w:tcW w:type="dxa" w:w="1080"/>
            <w:shd w:val="clear" w:color="auto" w:fill="EAF0EE"/>
          </w:tcPr>
          <w:p>
            <w:pPr>
              <w:spacing w:after="20"/>
            </w:pPr>
            <w:r>
              <w:rPr>
                <w:b/>
                <w:color w:val="1C3A36"/>
                <w:sz w:val="16"/>
              </w:rPr>
              <w:t>FY28E</w:t>
            </w:r>
          </w:p>
        </w:tc>
        <w:tc>
          <w:tcPr>
            <w:tcW w:type="dxa" w:w="1080"/>
            <w:shd w:val="clear" w:color="auto" w:fill="EAF0EE"/>
          </w:tcPr>
          <w:p>
            <w:pPr>
              <w:spacing w:after="20"/>
            </w:pPr>
            <w:r>
              <w:rPr>
                <w:b/>
                <w:color w:val="1C3A36"/>
                <w:sz w:val="16"/>
              </w:rPr>
              <w:t>FY30E</w:t>
            </w:r>
          </w:p>
        </w:tc>
      </w:tr>
      <w:tr>
        <w:tc>
          <w:tcPr>
            <w:tcW w:type="dxa" w:w="3600"/>
          </w:tcPr>
          <w:p>
            <w:pPr>
              <w:spacing w:after="20"/>
            </w:pPr>
            <w:r>
              <w:rPr>
                <w:b/>
                <w:color w:val="1C3A36"/>
                <w:sz w:val="16"/>
              </w:rPr>
              <w:t>PP&amp;E, intangibles, ROU &amp; inv. property</w:t>
            </w:r>
          </w:p>
        </w:tc>
        <w:tc>
          <w:tcPr>
            <w:tcW w:type="dxa" w:w="1080"/>
          </w:tcPr>
          <w:p>
            <w:pPr>
              <w:spacing w:after="20"/>
              <w:jc w:val="right"/>
            </w:pPr>
            <w:r>
              <w:rPr>
                <w:color w:val="1C3A36"/>
                <w:sz w:val="16"/>
              </w:rPr>
              <w:t>6,937</w:t>
            </w:r>
          </w:p>
        </w:tc>
        <w:tc>
          <w:tcPr>
            <w:tcW w:type="dxa" w:w="1080"/>
          </w:tcPr>
          <w:p>
            <w:pPr>
              <w:spacing w:after="20"/>
              <w:jc w:val="right"/>
            </w:pPr>
            <w:r>
              <w:rPr>
                <w:color w:val="1C3A36"/>
                <w:sz w:val="16"/>
              </w:rPr>
              <w:t>10,361</w:t>
            </w:r>
          </w:p>
        </w:tc>
        <w:tc>
          <w:tcPr>
            <w:tcW w:type="dxa" w:w="1080"/>
          </w:tcPr>
          <w:p>
            <w:pPr>
              <w:spacing w:after="20"/>
              <w:jc w:val="right"/>
            </w:pPr>
            <w:r>
              <w:rPr>
                <w:color w:val="1C3A36"/>
                <w:sz w:val="16"/>
              </w:rPr>
              <w:t>13,389</w:t>
            </w:r>
          </w:p>
        </w:tc>
        <w:tc>
          <w:tcPr>
            <w:tcW w:type="dxa" w:w="1080"/>
          </w:tcPr>
          <w:p>
            <w:pPr>
              <w:spacing w:after="20"/>
              <w:jc w:val="right"/>
            </w:pPr>
            <w:r>
              <w:rPr>
                <w:color w:val="1C3A36"/>
                <w:sz w:val="16"/>
              </w:rPr>
              <w:t>15,665</w:t>
            </w:r>
          </w:p>
        </w:tc>
        <w:tc>
          <w:tcPr>
            <w:tcW w:type="dxa" w:w="1080"/>
          </w:tcPr>
          <w:p>
            <w:pPr>
              <w:spacing w:after="20"/>
              <w:jc w:val="right"/>
            </w:pPr>
            <w:r>
              <w:rPr>
                <w:color w:val="1C3A36"/>
                <w:sz w:val="16"/>
              </w:rPr>
              <w:t>19,821</w:t>
            </w:r>
          </w:p>
        </w:tc>
        <w:tc>
          <w:tcPr>
            <w:tcW w:type="dxa" w:w="1080"/>
          </w:tcPr>
          <w:p>
            <w:pPr>
              <w:spacing w:after="20"/>
              <w:jc w:val="right"/>
            </w:pPr>
            <w:r>
              <w:rPr>
                <w:color w:val="1C3A36"/>
                <w:sz w:val="16"/>
              </w:rPr>
              <w:t>23,414</w:t>
            </w:r>
          </w:p>
        </w:tc>
      </w:tr>
      <w:tr>
        <w:tc>
          <w:tcPr>
            <w:tcW w:type="dxa" w:w="3600"/>
          </w:tcPr>
          <w:p>
            <w:pPr>
              <w:spacing w:after="20"/>
            </w:pPr>
            <w:r>
              <w:rPr>
                <w:b/>
                <w:color w:val="1C3A36"/>
                <w:sz w:val="16"/>
              </w:rPr>
              <w:t>Investments in associates</w:t>
            </w:r>
          </w:p>
        </w:tc>
        <w:tc>
          <w:tcPr>
            <w:tcW w:type="dxa" w:w="1080"/>
          </w:tcPr>
          <w:p>
            <w:pPr>
              <w:spacing w:after="20"/>
              <w:jc w:val="right"/>
            </w:pPr>
            <w:r>
              <w:rPr>
                <w:color w:val="1C3A36"/>
                <w:sz w:val="16"/>
              </w:rPr>
              <w:t>10,732</w:t>
            </w:r>
          </w:p>
        </w:tc>
        <w:tc>
          <w:tcPr>
            <w:tcW w:type="dxa" w:w="1080"/>
          </w:tcPr>
          <w:p>
            <w:pPr>
              <w:spacing w:after="20"/>
              <w:jc w:val="right"/>
            </w:pPr>
            <w:r>
              <w:rPr>
                <w:color w:val="1C3A36"/>
                <w:sz w:val="16"/>
              </w:rPr>
              <w:t>11,744</w:t>
            </w:r>
          </w:p>
        </w:tc>
        <w:tc>
          <w:tcPr>
            <w:tcW w:type="dxa" w:w="1080"/>
          </w:tcPr>
          <w:p>
            <w:pPr>
              <w:spacing w:after="20"/>
              <w:jc w:val="right"/>
            </w:pPr>
            <w:r>
              <w:rPr>
                <w:color w:val="1C3A36"/>
                <w:sz w:val="16"/>
              </w:rPr>
              <w:t>13,690</w:t>
            </w:r>
          </w:p>
        </w:tc>
        <w:tc>
          <w:tcPr>
            <w:tcW w:type="dxa" w:w="1080"/>
          </w:tcPr>
          <w:p>
            <w:pPr>
              <w:spacing w:after="20"/>
              <w:jc w:val="right"/>
            </w:pPr>
            <w:r>
              <w:rPr>
                <w:color w:val="1C3A36"/>
                <w:sz w:val="16"/>
              </w:rPr>
              <w:t>14,940</w:t>
            </w:r>
          </w:p>
        </w:tc>
        <w:tc>
          <w:tcPr>
            <w:tcW w:type="dxa" w:w="1080"/>
          </w:tcPr>
          <w:p>
            <w:pPr>
              <w:spacing w:after="20"/>
              <w:jc w:val="right"/>
            </w:pPr>
            <w:r>
              <w:rPr>
                <w:color w:val="1C3A36"/>
                <w:sz w:val="16"/>
              </w:rPr>
              <w:t>18,000</w:t>
            </w:r>
          </w:p>
        </w:tc>
        <w:tc>
          <w:tcPr>
            <w:tcW w:type="dxa" w:w="1080"/>
          </w:tcPr>
          <w:p>
            <w:pPr>
              <w:spacing w:after="20"/>
              <w:jc w:val="right"/>
            </w:pPr>
            <w:r>
              <w:rPr>
                <w:color w:val="1C3A36"/>
                <w:sz w:val="16"/>
              </w:rPr>
              <w:t>21,860</w:t>
            </w:r>
          </w:p>
        </w:tc>
      </w:tr>
      <w:tr>
        <w:tc>
          <w:tcPr>
            <w:tcW w:type="dxa" w:w="3600"/>
          </w:tcPr>
          <w:p>
            <w:pPr>
              <w:spacing w:after="20"/>
            </w:pPr>
            <w:r>
              <w:rPr>
                <w:b/>
                <w:color w:val="1C3A36"/>
                <w:sz w:val="16"/>
              </w:rPr>
              <w:t>GB Capital loan book (on BS)</w:t>
            </w:r>
          </w:p>
        </w:tc>
        <w:tc>
          <w:tcPr>
            <w:tcW w:type="dxa" w:w="1080"/>
          </w:tcPr>
          <w:p>
            <w:pPr>
              <w:spacing w:after="20"/>
              <w:jc w:val="right"/>
            </w:pPr>
            <w:r>
              <w:rPr>
                <w:color w:val="1C3A36"/>
                <w:sz w:val="16"/>
              </w:rPr>
              <w:t>7,681</w:t>
            </w:r>
          </w:p>
        </w:tc>
        <w:tc>
          <w:tcPr>
            <w:tcW w:type="dxa" w:w="1080"/>
          </w:tcPr>
          <w:p>
            <w:pPr>
              <w:spacing w:after="20"/>
              <w:jc w:val="right"/>
            </w:pPr>
            <w:r>
              <w:rPr>
                <w:color w:val="1C3A36"/>
                <w:sz w:val="16"/>
              </w:rPr>
              <w:t>11,483</w:t>
            </w:r>
          </w:p>
        </w:tc>
        <w:tc>
          <w:tcPr>
            <w:tcW w:type="dxa" w:w="1080"/>
          </w:tcPr>
          <w:p>
            <w:pPr>
              <w:spacing w:after="20"/>
              <w:jc w:val="right"/>
            </w:pPr>
            <w:r>
              <w:rPr>
                <w:color w:val="1C3A36"/>
                <w:sz w:val="16"/>
              </w:rPr>
              <w:t>17,518</w:t>
            </w:r>
          </w:p>
        </w:tc>
        <w:tc>
          <w:tcPr>
            <w:tcW w:type="dxa" w:w="1080"/>
          </w:tcPr>
          <w:p>
            <w:pPr>
              <w:spacing w:after="20"/>
              <w:jc w:val="right"/>
            </w:pPr>
            <w:r>
              <w:rPr>
                <w:color w:val="1C3A36"/>
                <w:sz w:val="16"/>
              </w:rPr>
              <w:t>23,650</w:t>
            </w:r>
          </w:p>
        </w:tc>
        <w:tc>
          <w:tcPr>
            <w:tcW w:type="dxa" w:w="1080"/>
          </w:tcPr>
          <w:p>
            <w:pPr>
              <w:spacing w:after="20"/>
              <w:jc w:val="right"/>
            </w:pPr>
            <w:r>
              <w:rPr>
                <w:color w:val="1C3A36"/>
                <w:sz w:val="16"/>
              </w:rPr>
              <w:t>37,542</w:t>
            </w:r>
          </w:p>
        </w:tc>
        <w:tc>
          <w:tcPr>
            <w:tcW w:type="dxa" w:w="1080"/>
          </w:tcPr>
          <w:p>
            <w:pPr>
              <w:spacing w:after="20"/>
              <w:jc w:val="right"/>
            </w:pPr>
            <w:r>
              <w:rPr>
                <w:color w:val="1C3A36"/>
                <w:sz w:val="16"/>
              </w:rPr>
              <w:t>53,158</w:t>
            </w:r>
          </w:p>
        </w:tc>
      </w:tr>
      <w:tr>
        <w:tc>
          <w:tcPr>
            <w:tcW w:type="dxa" w:w="3600"/>
          </w:tcPr>
          <w:p>
            <w:pPr>
              <w:spacing w:after="20"/>
            </w:pPr>
            <w:r>
              <w:rPr>
                <w:b/>
                <w:color w:val="1C3A36"/>
                <w:sz w:val="16"/>
              </w:rPr>
              <w:t>Inventories</w:t>
            </w:r>
          </w:p>
        </w:tc>
        <w:tc>
          <w:tcPr>
            <w:tcW w:type="dxa" w:w="1080"/>
          </w:tcPr>
          <w:p>
            <w:pPr>
              <w:spacing w:after="20"/>
              <w:jc w:val="right"/>
            </w:pPr>
            <w:r>
              <w:rPr>
                <w:color w:val="1C3A36"/>
                <w:sz w:val="16"/>
              </w:rPr>
              <w:t>6,366</w:t>
            </w:r>
          </w:p>
        </w:tc>
        <w:tc>
          <w:tcPr>
            <w:tcW w:type="dxa" w:w="1080"/>
          </w:tcPr>
          <w:p>
            <w:pPr>
              <w:spacing w:after="20"/>
              <w:jc w:val="right"/>
            </w:pPr>
            <w:r>
              <w:rPr>
                <w:color w:val="1C3A36"/>
                <w:sz w:val="16"/>
              </w:rPr>
              <w:t>21,134</w:t>
            </w:r>
          </w:p>
        </w:tc>
        <w:tc>
          <w:tcPr>
            <w:tcW w:type="dxa" w:w="1080"/>
          </w:tcPr>
          <w:p>
            <w:pPr>
              <w:spacing w:after="20"/>
              <w:jc w:val="right"/>
            </w:pPr>
            <w:r>
              <w:rPr>
                <w:color w:val="1C3A36"/>
                <w:sz w:val="16"/>
              </w:rPr>
              <w:t>24,650</w:t>
            </w:r>
          </w:p>
        </w:tc>
        <w:tc>
          <w:tcPr>
            <w:tcW w:type="dxa" w:w="1080"/>
          </w:tcPr>
          <w:p>
            <w:pPr>
              <w:spacing w:after="20"/>
              <w:jc w:val="right"/>
            </w:pPr>
            <w:r>
              <w:rPr>
                <w:color w:val="1C3A36"/>
                <w:sz w:val="16"/>
              </w:rPr>
              <w:t>28,278</w:t>
            </w:r>
          </w:p>
        </w:tc>
        <w:tc>
          <w:tcPr>
            <w:tcW w:type="dxa" w:w="1080"/>
          </w:tcPr>
          <w:p>
            <w:pPr>
              <w:spacing w:after="20"/>
              <w:jc w:val="right"/>
            </w:pPr>
            <w:r>
              <w:rPr>
                <w:color w:val="1C3A36"/>
                <w:sz w:val="16"/>
              </w:rPr>
              <w:t>35,987</w:t>
            </w:r>
          </w:p>
        </w:tc>
        <w:tc>
          <w:tcPr>
            <w:tcW w:type="dxa" w:w="1080"/>
          </w:tcPr>
          <w:p>
            <w:pPr>
              <w:spacing w:after="20"/>
              <w:jc w:val="right"/>
            </w:pPr>
            <w:r>
              <w:rPr>
                <w:color w:val="1C3A36"/>
                <w:sz w:val="16"/>
              </w:rPr>
              <w:t>42,849</w:t>
            </w:r>
          </w:p>
        </w:tc>
      </w:tr>
      <w:tr>
        <w:tc>
          <w:tcPr>
            <w:tcW w:type="dxa" w:w="3600"/>
          </w:tcPr>
          <w:p>
            <w:pPr>
              <w:spacing w:after="20"/>
            </w:pPr>
            <w:r>
              <w:rPr>
                <w:b/>
                <w:color w:val="1C3A36"/>
                <w:sz w:val="16"/>
              </w:rPr>
              <w:t>Trade receivables — Auto</w:t>
            </w:r>
          </w:p>
        </w:tc>
        <w:tc>
          <w:tcPr>
            <w:tcW w:type="dxa" w:w="1080"/>
          </w:tcPr>
          <w:p>
            <w:pPr>
              <w:spacing w:after="20"/>
              <w:jc w:val="right"/>
            </w:pPr>
            <w:r>
              <w:rPr>
                <w:color w:val="1C3A36"/>
                <w:sz w:val="16"/>
              </w:rPr>
              <w:t>1,744</w:t>
            </w:r>
          </w:p>
        </w:tc>
        <w:tc>
          <w:tcPr>
            <w:tcW w:type="dxa" w:w="1080"/>
          </w:tcPr>
          <w:p>
            <w:pPr>
              <w:spacing w:after="20"/>
              <w:jc w:val="right"/>
            </w:pPr>
            <w:r>
              <w:rPr>
                <w:color w:val="1C3A36"/>
                <w:sz w:val="16"/>
              </w:rPr>
              <w:t>3,709</w:t>
            </w:r>
          </w:p>
        </w:tc>
        <w:tc>
          <w:tcPr>
            <w:tcW w:type="dxa" w:w="1080"/>
          </w:tcPr>
          <w:p>
            <w:pPr>
              <w:spacing w:after="20"/>
              <w:jc w:val="right"/>
            </w:pPr>
            <w:r>
              <w:rPr>
                <w:color w:val="1C3A36"/>
                <w:sz w:val="16"/>
              </w:rPr>
              <w:t>5,317</w:t>
            </w:r>
          </w:p>
        </w:tc>
        <w:tc>
          <w:tcPr>
            <w:tcW w:type="dxa" w:w="1080"/>
          </w:tcPr>
          <w:p>
            <w:pPr>
              <w:spacing w:after="20"/>
              <w:jc w:val="right"/>
            </w:pPr>
            <w:r>
              <w:rPr>
                <w:color w:val="1C3A36"/>
                <w:sz w:val="16"/>
              </w:rPr>
              <w:t>6,284</w:t>
            </w:r>
          </w:p>
        </w:tc>
        <w:tc>
          <w:tcPr>
            <w:tcW w:type="dxa" w:w="1080"/>
          </w:tcPr>
          <w:p>
            <w:pPr>
              <w:spacing w:after="20"/>
              <w:jc w:val="right"/>
            </w:pPr>
            <w:r>
              <w:rPr>
                <w:color w:val="1C3A36"/>
                <w:sz w:val="16"/>
              </w:rPr>
              <w:t>8,997</w:t>
            </w:r>
          </w:p>
        </w:tc>
        <w:tc>
          <w:tcPr>
            <w:tcW w:type="dxa" w:w="1080"/>
          </w:tcPr>
          <w:p>
            <w:pPr>
              <w:spacing w:after="20"/>
              <w:jc w:val="right"/>
            </w:pPr>
            <w:r>
              <w:rPr>
                <w:color w:val="1C3A36"/>
                <w:sz w:val="16"/>
              </w:rPr>
              <w:t>11,581</w:t>
            </w:r>
          </w:p>
        </w:tc>
      </w:tr>
      <w:tr>
        <w:tc>
          <w:tcPr>
            <w:tcW w:type="dxa" w:w="3600"/>
          </w:tcPr>
          <w:p>
            <w:pPr>
              <w:spacing w:after="20"/>
            </w:pPr>
            <w:r>
              <w:rPr>
                <w:b/>
                <w:color w:val="1C3A36"/>
                <w:sz w:val="16"/>
              </w:rPr>
              <w:t>Advances, debtors &amp; other current</w:t>
            </w:r>
          </w:p>
        </w:tc>
        <w:tc>
          <w:tcPr>
            <w:tcW w:type="dxa" w:w="1080"/>
          </w:tcPr>
          <w:p>
            <w:pPr>
              <w:spacing w:after="20"/>
              <w:jc w:val="right"/>
            </w:pPr>
            <w:r>
              <w:rPr>
                <w:color w:val="1C3A36"/>
                <w:sz w:val="16"/>
              </w:rPr>
              <w:t>1,039</w:t>
            </w:r>
          </w:p>
        </w:tc>
        <w:tc>
          <w:tcPr>
            <w:tcW w:type="dxa" w:w="1080"/>
          </w:tcPr>
          <w:p>
            <w:pPr>
              <w:spacing w:after="20"/>
              <w:jc w:val="right"/>
            </w:pPr>
            <w:r>
              <w:rPr>
                <w:color w:val="1C3A36"/>
                <w:sz w:val="16"/>
              </w:rPr>
              <w:t>2,942</w:t>
            </w:r>
          </w:p>
        </w:tc>
        <w:tc>
          <w:tcPr>
            <w:tcW w:type="dxa" w:w="1080"/>
          </w:tcPr>
          <w:p>
            <w:pPr>
              <w:spacing w:after="20"/>
              <w:jc w:val="right"/>
            </w:pPr>
            <w:r>
              <w:rPr>
                <w:color w:val="1C3A36"/>
                <w:sz w:val="16"/>
              </w:rPr>
              <w:t>4,671</w:t>
            </w:r>
          </w:p>
        </w:tc>
        <w:tc>
          <w:tcPr>
            <w:tcW w:type="dxa" w:w="1080"/>
          </w:tcPr>
          <w:p>
            <w:pPr>
              <w:spacing w:after="20"/>
              <w:jc w:val="right"/>
            </w:pPr>
            <w:r>
              <w:rPr>
                <w:color w:val="1C3A36"/>
                <w:sz w:val="16"/>
              </w:rPr>
              <w:t>5,498</w:t>
            </w:r>
          </w:p>
        </w:tc>
        <w:tc>
          <w:tcPr>
            <w:tcW w:type="dxa" w:w="1080"/>
          </w:tcPr>
          <w:p>
            <w:pPr>
              <w:spacing w:after="20"/>
              <w:jc w:val="right"/>
            </w:pPr>
            <w:r>
              <w:rPr>
                <w:color w:val="1C3A36"/>
                <w:sz w:val="16"/>
              </w:rPr>
              <w:t>7,591</w:t>
            </w:r>
          </w:p>
        </w:tc>
        <w:tc>
          <w:tcPr>
            <w:tcW w:type="dxa" w:w="1080"/>
          </w:tcPr>
          <w:p>
            <w:pPr>
              <w:spacing w:after="20"/>
              <w:jc w:val="right"/>
            </w:pPr>
            <w:r>
              <w:rPr>
                <w:color w:val="1C3A36"/>
                <w:sz w:val="16"/>
              </w:rPr>
              <w:t>9,337</w:t>
            </w:r>
          </w:p>
        </w:tc>
      </w:tr>
      <w:tr>
        <w:tc>
          <w:tcPr>
            <w:tcW w:type="dxa" w:w="3600"/>
          </w:tcPr>
          <w:p>
            <w:pPr>
              <w:spacing w:after="20"/>
            </w:pPr>
            <w:r>
              <w:rPr>
                <w:b/>
                <w:color w:val="1C3A36"/>
                <w:sz w:val="16"/>
              </w:rPr>
              <w:t>Cash &amp; cash equivalents</w:t>
            </w:r>
          </w:p>
        </w:tc>
        <w:tc>
          <w:tcPr>
            <w:tcW w:type="dxa" w:w="1080"/>
          </w:tcPr>
          <w:p>
            <w:pPr>
              <w:spacing w:after="20"/>
              <w:jc w:val="right"/>
            </w:pPr>
            <w:r>
              <w:rPr>
                <w:color w:val="1C3A36"/>
                <w:sz w:val="16"/>
              </w:rPr>
              <w:t>4,504</w:t>
            </w:r>
          </w:p>
        </w:tc>
        <w:tc>
          <w:tcPr>
            <w:tcW w:type="dxa" w:w="1080"/>
          </w:tcPr>
          <w:p>
            <w:pPr>
              <w:spacing w:after="20"/>
              <w:jc w:val="right"/>
            </w:pPr>
            <w:r>
              <w:rPr>
                <w:color w:val="1C3A36"/>
                <w:sz w:val="16"/>
              </w:rPr>
              <w:t>7,421</w:t>
            </w:r>
          </w:p>
        </w:tc>
        <w:tc>
          <w:tcPr>
            <w:tcW w:type="dxa" w:w="1080"/>
          </w:tcPr>
          <w:p>
            <w:pPr>
              <w:spacing w:after="20"/>
              <w:jc w:val="right"/>
            </w:pPr>
            <w:r>
              <w:rPr>
                <w:color w:val="1C3A36"/>
                <w:sz w:val="16"/>
              </w:rPr>
              <w:t>9,524</w:t>
            </w:r>
          </w:p>
        </w:tc>
        <w:tc>
          <w:tcPr>
            <w:tcW w:type="dxa" w:w="1080"/>
          </w:tcPr>
          <w:p>
            <w:pPr>
              <w:spacing w:after="20"/>
              <w:jc w:val="right"/>
            </w:pPr>
            <w:r>
              <w:rPr>
                <w:color w:val="1C3A36"/>
                <w:sz w:val="16"/>
              </w:rPr>
              <w:t>6,371</w:t>
            </w:r>
          </w:p>
        </w:tc>
        <w:tc>
          <w:tcPr>
            <w:tcW w:type="dxa" w:w="1080"/>
          </w:tcPr>
          <w:p>
            <w:pPr>
              <w:spacing w:after="20"/>
              <w:jc w:val="right"/>
            </w:pPr>
            <w:r>
              <w:rPr>
                <w:color w:val="1C3A36"/>
                <w:sz w:val="16"/>
              </w:rPr>
              <w:t>2,744</w:t>
            </w:r>
          </w:p>
        </w:tc>
        <w:tc>
          <w:tcPr>
            <w:tcW w:type="dxa" w:w="1080"/>
          </w:tcPr>
          <w:p>
            <w:pPr>
              <w:spacing w:after="20"/>
              <w:jc w:val="right"/>
            </w:pPr>
            <w:r>
              <w:rPr>
                <w:color w:val="1C3A36"/>
                <w:sz w:val="16"/>
              </w:rPr>
              <w:t>4,779</w:t>
            </w:r>
          </w:p>
        </w:tc>
      </w:tr>
      <w:tr>
        <w:tc>
          <w:tcPr>
            <w:tcW w:type="dxa" w:w="3600"/>
          </w:tcPr>
          <w:p>
            <w:pPr>
              <w:spacing w:after="20"/>
            </w:pPr>
            <w:r>
              <w:rPr>
                <w:b/>
                <w:color w:val="1C3A36"/>
                <w:sz w:val="16"/>
              </w:rPr>
              <w:t>Other assets</w:t>
            </w:r>
          </w:p>
        </w:tc>
        <w:tc>
          <w:tcPr>
            <w:tcW w:type="dxa" w:w="1080"/>
          </w:tcPr>
          <w:p>
            <w:pPr>
              <w:spacing w:after="20"/>
              <w:jc w:val="right"/>
            </w:pPr>
            <w:r>
              <w:rPr>
                <w:color w:val="1C3A36"/>
                <w:sz w:val="16"/>
              </w:rPr>
              <w:t>3,581</w:t>
            </w:r>
          </w:p>
        </w:tc>
        <w:tc>
          <w:tcPr>
            <w:tcW w:type="dxa" w:w="1080"/>
          </w:tcPr>
          <w:p>
            <w:pPr>
              <w:spacing w:after="20"/>
              <w:jc w:val="right"/>
            </w:pPr>
            <w:r>
              <w:rPr>
                <w:color w:val="1C3A36"/>
                <w:sz w:val="16"/>
              </w:rPr>
              <w:t>3,932</w:t>
            </w:r>
          </w:p>
        </w:tc>
        <w:tc>
          <w:tcPr>
            <w:tcW w:type="dxa" w:w="1080"/>
          </w:tcPr>
          <w:p>
            <w:pPr>
              <w:spacing w:after="20"/>
              <w:jc w:val="right"/>
            </w:pPr>
            <w:r>
              <w:rPr>
                <w:color w:val="1C3A36"/>
                <w:sz w:val="16"/>
              </w:rPr>
              <w:t>2,601</w:t>
            </w:r>
          </w:p>
        </w:tc>
        <w:tc>
          <w:tcPr>
            <w:tcW w:type="dxa" w:w="1080"/>
          </w:tcPr>
          <w:p>
            <w:pPr>
              <w:spacing w:after="20"/>
              <w:jc w:val="right"/>
            </w:pPr>
            <w:r>
              <w:rPr>
                <w:color w:val="1C3A36"/>
                <w:sz w:val="16"/>
              </w:rPr>
              <w:t>2,602</w:t>
            </w:r>
          </w:p>
        </w:tc>
        <w:tc>
          <w:tcPr>
            <w:tcW w:type="dxa" w:w="1080"/>
          </w:tcPr>
          <w:p>
            <w:pPr>
              <w:spacing w:after="20"/>
              <w:jc w:val="right"/>
            </w:pPr>
            <w:r>
              <w:rPr>
                <w:color w:val="1C3A36"/>
                <w:sz w:val="16"/>
              </w:rPr>
              <w:t>2,602</w:t>
            </w:r>
          </w:p>
        </w:tc>
        <w:tc>
          <w:tcPr>
            <w:tcW w:type="dxa" w:w="1080"/>
          </w:tcPr>
          <w:p>
            <w:pPr>
              <w:spacing w:after="20"/>
              <w:jc w:val="right"/>
            </w:pPr>
            <w:r>
              <w:rPr>
                <w:color w:val="1C3A36"/>
                <w:sz w:val="16"/>
              </w:rPr>
              <w:t>2,602</w:t>
            </w:r>
          </w:p>
        </w:tc>
      </w:tr>
      <w:tr>
        <w:tc>
          <w:tcPr>
            <w:tcW w:type="dxa" w:w="3600"/>
          </w:tcPr>
          <w:p>
            <w:pPr>
              <w:spacing w:after="20"/>
            </w:pPr>
            <w:r>
              <w:rPr>
                <w:b/>
                <w:color w:val="1C3A36"/>
                <w:sz w:val="16"/>
              </w:rPr>
              <w:t>TOTAL ASSETS</w:t>
            </w:r>
          </w:p>
        </w:tc>
        <w:tc>
          <w:tcPr>
            <w:tcW w:type="dxa" w:w="1080"/>
          </w:tcPr>
          <w:p>
            <w:pPr>
              <w:spacing w:after="20"/>
              <w:jc w:val="right"/>
            </w:pPr>
            <w:r>
              <w:rPr>
                <w:color w:val="1C3A36"/>
                <w:sz w:val="16"/>
              </w:rPr>
              <w:t>42,585</w:t>
            </w:r>
          </w:p>
        </w:tc>
        <w:tc>
          <w:tcPr>
            <w:tcW w:type="dxa" w:w="1080"/>
          </w:tcPr>
          <w:p>
            <w:pPr>
              <w:spacing w:after="20"/>
              <w:jc w:val="right"/>
            </w:pPr>
            <w:r>
              <w:rPr>
                <w:color w:val="1C3A36"/>
                <w:sz w:val="16"/>
              </w:rPr>
              <w:t>72,725</w:t>
            </w:r>
          </w:p>
        </w:tc>
        <w:tc>
          <w:tcPr>
            <w:tcW w:type="dxa" w:w="1080"/>
          </w:tcPr>
          <w:p>
            <w:pPr>
              <w:spacing w:after="20"/>
              <w:jc w:val="right"/>
            </w:pPr>
            <w:r>
              <w:rPr>
                <w:color w:val="1C3A36"/>
                <w:sz w:val="16"/>
              </w:rPr>
              <w:t>91,359</w:t>
            </w:r>
          </w:p>
        </w:tc>
        <w:tc>
          <w:tcPr>
            <w:tcW w:type="dxa" w:w="1080"/>
          </w:tcPr>
          <w:p>
            <w:pPr>
              <w:spacing w:after="20"/>
              <w:jc w:val="right"/>
            </w:pPr>
            <w:r>
              <w:rPr>
                <w:color w:val="1C3A36"/>
                <w:sz w:val="16"/>
              </w:rPr>
              <w:t>103,287</w:t>
            </w:r>
          </w:p>
        </w:tc>
        <w:tc>
          <w:tcPr>
            <w:tcW w:type="dxa" w:w="1080"/>
          </w:tcPr>
          <w:p>
            <w:pPr>
              <w:spacing w:after="20"/>
              <w:jc w:val="right"/>
            </w:pPr>
            <w:r>
              <w:rPr>
                <w:color w:val="1C3A36"/>
                <w:sz w:val="16"/>
              </w:rPr>
              <w:t>133,283</w:t>
            </w:r>
          </w:p>
        </w:tc>
        <w:tc>
          <w:tcPr>
            <w:tcW w:type="dxa" w:w="1080"/>
          </w:tcPr>
          <w:p>
            <w:pPr>
              <w:spacing w:after="20"/>
              <w:jc w:val="right"/>
            </w:pPr>
            <w:r>
              <w:rPr>
                <w:color w:val="1C3A36"/>
                <w:sz w:val="16"/>
              </w:rPr>
              <w:t>169,579</w:t>
            </w:r>
          </w:p>
        </w:tc>
      </w:tr>
      <w:tr>
        <w:tc>
          <w:tcPr>
            <w:tcW w:type="dxa" w:w="3600"/>
          </w:tcPr>
          <w:p>
            <w:pPr>
              <w:spacing w:after="20"/>
            </w:pPr>
            <w:r>
              <w:rPr>
                <w:b/>
                <w:color w:val="1C3A36"/>
                <w:sz w:val="16"/>
              </w:rPr>
              <w:t>Equity attributable</w:t>
            </w:r>
          </w:p>
        </w:tc>
        <w:tc>
          <w:tcPr>
            <w:tcW w:type="dxa" w:w="1080"/>
          </w:tcPr>
          <w:p>
            <w:pPr>
              <w:spacing w:after="20"/>
              <w:jc w:val="right"/>
            </w:pPr>
            <w:r>
              <w:rPr>
                <w:color w:val="1C3A36"/>
                <w:sz w:val="16"/>
              </w:rPr>
              <w:t>19,839</w:t>
            </w:r>
          </w:p>
        </w:tc>
        <w:tc>
          <w:tcPr>
            <w:tcW w:type="dxa" w:w="1080"/>
          </w:tcPr>
          <w:p>
            <w:pPr>
              <w:spacing w:after="20"/>
              <w:jc w:val="right"/>
            </w:pPr>
            <w:r>
              <w:rPr>
                <w:color w:val="1C3A36"/>
                <w:sz w:val="16"/>
              </w:rPr>
              <w:t>25,439</w:t>
            </w:r>
          </w:p>
        </w:tc>
        <w:tc>
          <w:tcPr>
            <w:tcW w:type="dxa" w:w="1080"/>
          </w:tcPr>
          <w:p>
            <w:pPr>
              <w:spacing w:after="20"/>
              <w:jc w:val="right"/>
            </w:pPr>
            <w:r>
              <w:rPr>
                <w:color w:val="1C3A36"/>
                <w:sz w:val="16"/>
              </w:rPr>
              <w:t>28,789</w:t>
            </w:r>
          </w:p>
        </w:tc>
        <w:tc>
          <w:tcPr>
            <w:tcW w:type="dxa" w:w="1080"/>
          </w:tcPr>
          <w:p>
            <w:pPr>
              <w:spacing w:after="20"/>
              <w:jc w:val="right"/>
            </w:pPr>
            <w:r>
              <w:rPr>
                <w:color w:val="1C3A36"/>
                <w:sz w:val="16"/>
              </w:rPr>
              <w:t>31,625</w:t>
            </w:r>
          </w:p>
        </w:tc>
        <w:tc>
          <w:tcPr>
            <w:tcW w:type="dxa" w:w="1080"/>
          </w:tcPr>
          <w:p>
            <w:pPr>
              <w:spacing w:after="20"/>
              <w:jc w:val="right"/>
            </w:pPr>
            <w:r>
              <w:rPr>
                <w:color w:val="1C3A36"/>
                <w:sz w:val="16"/>
              </w:rPr>
              <w:t>43,463</w:t>
            </w:r>
          </w:p>
        </w:tc>
        <w:tc>
          <w:tcPr>
            <w:tcW w:type="dxa" w:w="1080"/>
          </w:tcPr>
          <w:p>
            <w:pPr>
              <w:spacing w:after="20"/>
              <w:jc w:val="right"/>
            </w:pPr>
            <w:r>
              <w:rPr>
                <w:color w:val="1C3A36"/>
                <w:sz w:val="16"/>
              </w:rPr>
              <w:t>61,568</w:t>
            </w:r>
          </w:p>
        </w:tc>
      </w:tr>
      <w:tr>
        <w:tc>
          <w:tcPr>
            <w:tcW w:type="dxa" w:w="3600"/>
          </w:tcPr>
          <w:p>
            <w:pPr>
              <w:spacing w:after="20"/>
            </w:pPr>
            <w:r>
              <w:rPr>
                <w:b/>
                <w:color w:val="1C3A36"/>
                <w:sz w:val="16"/>
              </w:rPr>
              <w:t>Non-controlling interests</w:t>
            </w:r>
          </w:p>
        </w:tc>
        <w:tc>
          <w:tcPr>
            <w:tcW w:type="dxa" w:w="1080"/>
          </w:tcPr>
          <w:p>
            <w:pPr>
              <w:spacing w:after="20"/>
              <w:jc w:val="right"/>
            </w:pPr>
            <w:r>
              <w:rPr>
                <w:color w:val="1C3A36"/>
                <w:sz w:val="16"/>
              </w:rPr>
              <w:t>1,363</w:t>
            </w:r>
          </w:p>
        </w:tc>
        <w:tc>
          <w:tcPr>
            <w:tcW w:type="dxa" w:w="1080"/>
          </w:tcPr>
          <w:p>
            <w:pPr>
              <w:spacing w:after="20"/>
              <w:jc w:val="right"/>
            </w:pPr>
            <w:r>
              <w:rPr>
                <w:color w:val="1C3A36"/>
                <w:sz w:val="16"/>
              </w:rPr>
              <w:t>1,978</w:t>
            </w:r>
          </w:p>
        </w:tc>
        <w:tc>
          <w:tcPr>
            <w:tcW w:type="dxa" w:w="1080"/>
          </w:tcPr>
          <w:p>
            <w:pPr>
              <w:spacing w:after="20"/>
              <w:jc w:val="right"/>
            </w:pPr>
            <w:r>
              <w:rPr>
                <w:color w:val="1C3A36"/>
                <w:sz w:val="16"/>
              </w:rPr>
              <w:t>1,801</w:t>
            </w:r>
          </w:p>
        </w:tc>
        <w:tc>
          <w:tcPr>
            <w:tcW w:type="dxa" w:w="1080"/>
          </w:tcPr>
          <w:p>
            <w:pPr>
              <w:spacing w:after="20"/>
              <w:jc w:val="right"/>
            </w:pPr>
            <w:r>
              <w:rPr>
                <w:color w:val="1C3A36"/>
                <w:sz w:val="16"/>
              </w:rPr>
              <w:t>1,869</w:t>
            </w:r>
          </w:p>
        </w:tc>
        <w:tc>
          <w:tcPr>
            <w:tcW w:type="dxa" w:w="1080"/>
          </w:tcPr>
          <w:p>
            <w:pPr>
              <w:spacing w:after="20"/>
              <w:jc w:val="right"/>
            </w:pPr>
            <w:r>
              <w:rPr>
                <w:color w:val="1C3A36"/>
                <w:sz w:val="16"/>
              </w:rPr>
              <w:t>2,090</w:t>
            </w:r>
          </w:p>
        </w:tc>
        <w:tc>
          <w:tcPr>
            <w:tcW w:type="dxa" w:w="1080"/>
          </w:tcPr>
          <w:p>
            <w:pPr>
              <w:spacing w:after="20"/>
              <w:jc w:val="right"/>
            </w:pPr>
            <w:r>
              <w:rPr>
                <w:color w:val="1C3A36"/>
                <w:sz w:val="16"/>
              </w:rPr>
              <w:t>2,515</w:t>
            </w:r>
          </w:p>
        </w:tc>
      </w:tr>
      <w:tr>
        <w:tc>
          <w:tcPr>
            <w:tcW w:type="dxa" w:w="3600"/>
          </w:tcPr>
          <w:p>
            <w:pPr>
              <w:spacing w:after="20"/>
            </w:pPr>
            <w:r>
              <w:rPr>
                <w:b/>
                <w:color w:val="1C3A36"/>
                <w:sz w:val="16"/>
              </w:rPr>
              <w:t>Borrowings</w:t>
            </w:r>
          </w:p>
        </w:tc>
        <w:tc>
          <w:tcPr>
            <w:tcW w:type="dxa" w:w="1080"/>
          </w:tcPr>
          <w:p>
            <w:pPr>
              <w:spacing w:after="20"/>
              <w:jc w:val="right"/>
            </w:pPr>
            <w:r>
              <w:rPr>
                <w:color w:val="1C3A36"/>
                <w:sz w:val="16"/>
              </w:rPr>
              <w:t>12,518</w:t>
            </w:r>
          </w:p>
        </w:tc>
        <w:tc>
          <w:tcPr>
            <w:tcW w:type="dxa" w:w="1080"/>
          </w:tcPr>
          <w:p>
            <w:pPr>
              <w:spacing w:after="20"/>
              <w:jc w:val="right"/>
            </w:pPr>
            <w:r>
              <w:rPr>
                <w:color w:val="1C3A36"/>
                <w:sz w:val="16"/>
              </w:rPr>
              <w:t>22,609</w:t>
            </w:r>
          </w:p>
        </w:tc>
        <w:tc>
          <w:tcPr>
            <w:tcW w:type="dxa" w:w="1080"/>
          </w:tcPr>
          <w:p>
            <w:pPr>
              <w:spacing w:after="20"/>
              <w:jc w:val="right"/>
            </w:pPr>
            <w:r>
              <w:rPr>
                <w:color w:val="1C3A36"/>
                <w:sz w:val="16"/>
              </w:rPr>
              <w:t>38,041</w:t>
            </w:r>
          </w:p>
        </w:tc>
        <w:tc>
          <w:tcPr>
            <w:tcW w:type="dxa" w:w="1080"/>
          </w:tcPr>
          <w:p>
            <w:pPr>
              <w:spacing w:after="20"/>
              <w:jc w:val="right"/>
            </w:pPr>
            <w:r>
              <w:rPr>
                <w:color w:val="1C3A36"/>
                <w:sz w:val="16"/>
              </w:rPr>
              <w:t>43,541</w:t>
            </w:r>
          </w:p>
        </w:tc>
        <w:tc>
          <w:tcPr>
            <w:tcW w:type="dxa" w:w="1080"/>
          </w:tcPr>
          <w:p>
            <w:pPr>
              <w:spacing w:after="20"/>
              <w:jc w:val="right"/>
            </w:pPr>
            <w:r>
              <w:rPr>
                <w:color w:val="1C3A36"/>
                <w:sz w:val="16"/>
              </w:rPr>
              <w:t>54,341</w:t>
            </w:r>
          </w:p>
        </w:tc>
        <w:tc>
          <w:tcPr>
            <w:tcW w:type="dxa" w:w="1080"/>
          </w:tcPr>
          <w:p>
            <w:pPr>
              <w:spacing w:after="20"/>
              <w:jc w:val="right"/>
            </w:pPr>
            <w:r>
              <w:rPr>
                <w:color w:val="1C3A36"/>
                <w:sz w:val="16"/>
              </w:rPr>
              <w:t>66,241</w:t>
            </w:r>
          </w:p>
        </w:tc>
      </w:tr>
      <w:tr>
        <w:tc>
          <w:tcPr>
            <w:tcW w:type="dxa" w:w="3600"/>
          </w:tcPr>
          <w:p>
            <w:pPr>
              <w:spacing w:after="20"/>
            </w:pPr>
            <w:r>
              <w:rPr>
                <w:b/>
                <w:color w:val="1C3A36"/>
                <w:sz w:val="16"/>
              </w:rPr>
              <w:t>Trade &amp; notes payables</w:t>
            </w:r>
          </w:p>
        </w:tc>
        <w:tc>
          <w:tcPr>
            <w:tcW w:type="dxa" w:w="1080"/>
          </w:tcPr>
          <w:p>
            <w:pPr>
              <w:spacing w:after="20"/>
              <w:jc w:val="right"/>
            </w:pPr>
            <w:r>
              <w:rPr>
                <w:color w:val="1C3A36"/>
                <w:sz w:val="16"/>
              </w:rPr>
              <w:t>7,399</w:t>
            </w:r>
          </w:p>
        </w:tc>
        <w:tc>
          <w:tcPr>
            <w:tcW w:type="dxa" w:w="1080"/>
          </w:tcPr>
          <w:p>
            <w:pPr>
              <w:spacing w:after="20"/>
              <w:jc w:val="right"/>
            </w:pPr>
            <w:r>
              <w:rPr>
                <w:color w:val="1C3A36"/>
                <w:sz w:val="16"/>
              </w:rPr>
              <w:t>19,718</w:t>
            </w:r>
          </w:p>
        </w:tc>
        <w:tc>
          <w:tcPr>
            <w:tcW w:type="dxa" w:w="1080"/>
          </w:tcPr>
          <w:p>
            <w:pPr>
              <w:spacing w:after="20"/>
              <w:jc w:val="right"/>
            </w:pPr>
            <w:r>
              <w:rPr>
                <w:color w:val="1C3A36"/>
                <w:sz w:val="16"/>
              </w:rPr>
              <w:t>18,437</w:t>
            </w:r>
          </w:p>
        </w:tc>
        <w:tc>
          <w:tcPr>
            <w:tcW w:type="dxa" w:w="1080"/>
          </w:tcPr>
          <w:p>
            <w:pPr>
              <w:spacing w:after="20"/>
              <w:jc w:val="right"/>
            </w:pPr>
            <w:r>
              <w:rPr>
                <w:color w:val="1C3A36"/>
                <w:sz w:val="16"/>
              </w:rPr>
              <w:t>21,961</w:t>
            </w:r>
          </w:p>
        </w:tc>
        <w:tc>
          <w:tcPr>
            <w:tcW w:type="dxa" w:w="1080"/>
          </w:tcPr>
          <w:p>
            <w:pPr>
              <w:spacing w:after="20"/>
              <w:jc w:val="right"/>
            </w:pPr>
            <w:r>
              <w:rPr>
                <w:color w:val="1C3A36"/>
                <w:sz w:val="16"/>
              </w:rPr>
              <w:t>28,864</w:t>
            </w:r>
          </w:p>
        </w:tc>
        <w:tc>
          <w:tcPr>
            <w:tcW w:type="dxa" w:w="1080"/>
          </w:tcPr>
          <w:p>
            <w:pPr>
              <w:spacing w:after="20"/>
              <w:jc w:val="right"/>
            </w:pPr>
            <w:r>
              <w:rPr>
                <w:color w:val="1C3A36"/>
                <w:sz w:val="16"/>
              </w:rPr>
              <w:t>35,360</w:t>
            </w:r>
          </w:p>
        </w:tc>
      </w:tr>
      <w:tr>
        <w:tc>
          <w:tcPr>
            <w:tcW w:type="dxa" w:w="3600"/>
          </w:tcPr>
          <w:p>
            <w:pPr>
              <w:spacing w:after="20"/>
            </w:pPr>
            <w:r>
              <w:rPr>
                <w:b/>
                <w:color w:val="1C3A36"/>
                <w:sz w:val="16"/>
              </w:rPr>
              <w:t>Leases · provisions · other · DT</w:t>
            </w:r>
          </w:p>
        </w:tc>
        <w:tc>
          <w:tcPr>
            <w:tcW w:type="dxa" w:w="1080"/>
          </w:tcPr>
          <w:p>
            <w:pPr>
              <w:spacing w:after="20"/>
              <w:jc w:val="right"/>
            </w:pPr>
            <w:r>
              <w:rPr>
                <w:color w:val="1C3A36"/>
                <w:sz w:val="16"/>
              </w:rPr>
              <w:t>1,467</w:t>
            </w:r>
          </w:p>
        </w:tc>
        <w:tc>
          <w:tcPr>
            <w:tcW w:type="dxa" w:w="1080"/>
          </w:tcPr>
          <w:p>
            <w:pPr>
              <w:spacing w:after="20"/>
              <w:jc w:val="right"/>
            </w:pPr>
            <w:r>
              <w:rPr>
                <w:color w:val="1C3A36"/>
                <w:sz w:val="16"/>
              </w:rPr>
              <w:t>2,982</w:t>
            </w:r>
          </w:p>
        </w:tc>
        <w:tc>
          <w:tcPr>
            <w:tcW w:type="dxa" w:w="1080"/>
          </w:tcPr>
          <w:p>
            <w:pPr>
              <w:spacing w:after="20"/>
              <w:jc w:val="right"/>
            </w:pPr>
            <w:r>
              <w:rPr>
                <w:color w:val="1C3A36"/>
                <w:sz w:val="16"/>
              </w:rPr>
              <w:t>4,291</w:t>
            </w:r>
          </w:p>
        </w:tc>
        <w:tc>
          <w:tcPr>
            <w:tcW w:type="dxa" w:w="1080"/>
          </w:tcPr>
          <w:p>
            <w:pPr>
              <w:spacing w:after="20"/>
              <w:jc w:val="right"/>
            </w:pPr>
            <w:r>
              <w:rPr>
                <w:color w:val="1C3A36"/>
                <w:sz w:val="16"/>
              </w:rPr>
              <w:t>4,291</w:t>
            </w:r>
          </w:p>
        </w:tc>
        <w:tc>
          <w:tcPr>
            <w:tcW w:type="dxa" w:w="1080"/>
          </w:tcPr>
          <w:p>
            <w:pPr>
              <w:spacing w:after="20"/>
              <w:jc w:val="right"/>
            </w:pPr>
            <w:r>
              <w:rPr>
                <w:color w:val="1C3A36"/>
                <w:sz w:val="16"/>
              </w:rPr>
              <w:t>4,291</w:t>
            </w:r>
          </w:p>
        </w:tc>
        <w:tc>
          <w:tcPr>
            <w:tcW w:type="dxa" w:w="1080"/>
          </w:tcPr>
          <w:p>
            <w:pPr>
              <w:spacing w:after="20"/>
              <w:jc w:val="right"/>
            </w:pPr>
            <w:r>
              <w:rPr>
                <w:color w:val="1C3A36"/>
                <w:sz w:val="16"/>
              </w:rPr>
              <w:t>4,291</w:t>
            </w:r>
          </w:p>
        </w:tc>
      </w:tr>
      <w:tr>
        <w:tc>
          <w:tcPr>
            <w:tcW w:type="dxa" w:w="3600"/>
          </w:tcPr>
          <w:p>
            <w:pPr>
              <w:spacing w:after="20"/>
            </w:pPr>
            <w:r>
              <w:rPr>
                <w:b/>
                <w:color w:val="1C3A36"/>
                <w:sz w:val="16"/>
              </w:rPr>
              <w:t>Balance check (assets − L&amp;E)</w:t>
            </w:r>
          </w:p>
        </w:tc>
        <w:tc>
          <w:tcPr>
            <w:tcW w:type="dxa" w:w="1080"/>
          </w:tcPr>
          <w:p>
            <w:pPr>
              <w:spacing w:after="20"/>
              <w:jc w:val="right"/>
            </w:pPr>
            <w:r>
              <w:rPr>
                <w:color w:val="1C3A36"/>
                <w:sz w:val="16"/>
              </w:rPr>
              <w:t>0</w:t>
            </w:r>
          </w:p>
        </w:tc>
        <w:tc>
          <w:tcPr>
            <w:tcW w:type="dxa" w:w="1080"/>
          </w:tcPr>
          <w:p>
            <w:pPr>
              <w:spacing w:after="20"/>
              <w:jc w:val="right"/>
            </w:pPr>
            <w:r>
              <w:rPr>
                <w:color w:val="1C3A36"/>
                <w:sz w:val="16"/>
              </w:rPr>
              <w:t>0</w:t>
            </w:r>
          </w:p>
        </w:tc>
        <w:tc>
          <w:tcPr>
            <w:tcW w:type="dxa" w:w="1080"/>
          </w:tcPr>
          <w:p>
            <w:pPr>
              <w:spacing w:after="20"/>
              <w:jc w:val="right"/>
            </w:pPr>
            <w:r>
              <w:rPr>
                <w:color w:val="1C3A36"/>
                <w:sz w:val="16"/>
              </w:rPr>
              <w:t>0</w:t>
            </w:r>
          </w:p>
        </w:tc>
        <w:tc>
          <w:tcPr>
            <w:tcW w:type="dxa" w:w="1080"/>
          </w:tcPr>
          <w:p>
            <w:pPr>
              <w:spacing w:after="20"/>
              <w:jc w:val="right"/>
            </w:pPr>
            <w:r>
              <w:rPr>
                <w:color w:val="1C3A36"/>
                <w:sz w:val="16"/>
              </w:rPr>
              <w:t>0</w:t>
            </w:r>
          </w:p>
        </w:tc>
        <w:tc>
          <w:tcPr>
            <w:tcW w:type="dxa" w:w="1080"/>
          </w:tcPr>
          <w:p>
            <w:pPr>
              <w:spacing w:after="20"/>
              <w:jc w:val="right"/>
            </w:pPr>
            <w:r>
              <w:rPr>
                <w:color w:val="1C3A36"/>
                <w:sz w:val="16"/>
              </w:rPr>
              <w:t>0</w:t>
            </w:r>
          </w:p>
        </w:tc>
        <w:tc>
          <w:tcPr>
            <w:tcW w:type="dxa" w:w="1080"/>
          </w:tcPr>
          <w:p>
            <w:pPr>
              <w:spacing w:after="20"/>
              <w:jc w:val="right"/>
            </w:pPr>
            <w:r>
              <w:rPr>
                <w:color w:val="1C3A36"/>
                <w:sz w:val="16"/>
              </w:rPr>
              <w:t>0</w:t>
            </w:r>
          </w:p>
        </w:tc>
      </w:tr>
    </w:tbl>
    <w:p>
      <w:pPr>
        <w:spacing w:after="40"/>
      </w:pPr>
    </w:p>
    <w:p>
      <w:pPr>
        <w:spacing w:after="200" w:before="0"/>
      </w:pPr>
      <w:r>
        <w:rPr>
          <w:b w:val="0"/>
          <w:i/>
          <w:color w:val="6E7B77"/>
          <w:sz w:val="17"/>
        </w:rPr>
        <w:t>Historic columns are grouped from the disclosed segment balance sheets (release Tables 12–13); a small reallocation between “advances &amp; debtors” and “other assets” aligns the grouped layout to the disclosed Auto working-capital figures — flagged in the model. Forecast rolls forward on the clean-surplus construction; the check row is zero.</w:t>
      </w:r>
    </w:p>
    <w:p>
      <w:pPr>
        <w:spacing w:after="80" w:before="200"/>
      </w:pPr>
      <w:r>
        <w:rPr>
          <w:b/>
          <w:i w:val="0"/>
          <w:color w:val="1C3A36"/>
          <w:sz w:val="24"/>
        </w:rPr>
        <w:t>A.3  GB Auto segment and cash-flow markers · the DPS schedule (device A-2)</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744"/>
            <w:shd w:val="clear" w:color="auto" w:fill="EAF0EE"/>
          </w:tcPr>
          <w:p>
            <w:pPr>
              <w:spacing w:after="20"/>
            </w:pPr>
            <w:r>
              <w:rPr>
                <w:b/>
                <w:color w:val="1C3A36"/>
                <w:sz w:val="17"/>
              </w:rPr>
              <w:t>GB Auto segment</w:t>
            </w:r>
          </w:p>
        </w:tc>
        <w:tc>
          <w:tcPr>
            <w:tcW w:type="dxa" w:w="2016"/>
            <w:shd w:val="clear" w:color="auto" w:fill="EAF0EE"/>
          </w:tcPr>
          <w:p>
            <w:pPr>
              <w:spacing w:after="20"/>
            </w:pPr>
            <w:r>
              <w:rPr>
                <w:b/>
                <w:color w:val="1C3A36"/>
                <w:sz w:val="17"/>
              </w:rPr>
              <w:t>FY23</w:t>
            </w:r>
          </w:p>
        </w:tc>
        <w:tc>
          <w:tcPr>
            <w:tcW w:type="dxa" w:w="2016"/>
            <w:shd w:val="clear" w:color="auto" w:fill="EAF0EE"/>
          </w:tcPr>
          <w:p>
            <w:pPr>
              <w:spacing w:after="20"/>
            </w:pPr>
            <w:r>
              <w:rPr>
                <w:b/>
                <w:color w:val="1C3A36"/>
                <w:sz w:val="17"/>
              </w:rPr>
              <w:t>FY24</w:t>
            </w:r>
          </w:p>
        </w:tc>
        <w:tc>
          <w:tcPr>
            <w:tcW w:type="dxa" w:w="2160"/>
            <w:shd w:val="clear" w:color="auto" w:fill="EAF0EE"/>
          </w:tcPr>
          <w:p>
            <w:pPr>
              <w:spacing w:after="20"/>
            </w:pPr>
            <w:r>
              <w:rPr>
                <w:b/>
                <w:color w:val="1C3A36"/>
                <w:sz w:val="17"/>
              </w:rPr>
              <w:t>FY25</w:t>
            </w:r>
          </w:p>
        </w:tc>
      </w:tr>
      <w:tr>
        <w:tc>
          <w:tcPr>
            <w:tcW w:type="dxa" w:w="3744"/>
          </w:tcPr>
          <w:p>
            <w:pPr>
              <w:spacing w:after="20"/>
            </w:pPr>
            <w:r>
              <w:rPr>
                <w:b/>
                <w:color w:val="1C3A36"/>
                <w:sz w:val="17"/>
              </w:rPr>
              <w:t>Revenue</w:t>
            </w:r>
          </w:p>
        </w:tc>
        <w:tc>
          <w:tcPr>
            <w:tcW w:type="dxa" w:w="2016"/>
          </w:tcPr>
          <w:p>
            <w:pPr>
              <w:spacing w:after="20"/>
              <w:jc w:val="right"/>
            </w:pPr>
            <w:r>
              <w:rPr>
                <w:color w:val="1C3A36"/>
                <w:sz w:val="17"/>
              </w:rPr>
              <w:t>23,854</w:t>
            </w:r>
          </w:p>
        </w:tc>
        <w:tc>
          <w:tcPr>
            <w:tcW w:type="dxa" w:w="2016"/>
          </w:tcPr>
          <w:p>
            <w:pPr>
              <w:spacing w:after="20"/>
              <w:jc w:val="right"/>
            </w:pPr>
            <w:r>
              <w:rPr>
                <w:color w:val="1C3A36"/>
                <w:sz w:val="17"/>
              </w:rPr>
              <w:t>47,065</w:t>
            </w:r>
          </w:p>
        </w:tc>
        <w:tc>
          <w:tcPr>
            <w:tcW w:type="dxa" w:w="2160"/>
          </w:tcPr>
          <w:p>
            <w:pPr>
              <w:spacing w:after="20"/>
              <w:jc w:val="right"/>
            </w:pPr>
            <w:r>
              <w:rPr>
                <w:color w:val="1C3A36"/>
                <w:sz w:val="17"/>
              </w:rPr>
              <w:t>66,358</w:t>
            </w:r>
          </w:p>
        </w:tc>
      </w:tr>
      <w:tr>
        <w:tc>
          <w:tcPr>
            <w:tcW w:type="dxa" w:w="3744"/>
          </w:tcPr>
          <w:p>
            <w:pPr>
              <w:spacing w:after="20"/>
            </w:pPr>
            <w:r>
              <w:rPr>
                <w:b/>
                <w:color w:val="1C3A36"/>
                <w:sz w:val="17"/>
              </w:rPr>
              <w:t>Gross margin</w:t>
            </w:r>
          </w:p>
        </w:tc>
        <w:tc>
          <w:tcPr>
            <w:tcW w:type="dxa" w:w="2016"/>
          </w:tcPr>
          <w:p>
            <w:pPr>
              <w:spacing w:after="20"/>
              <w:jc w:val="right"/>
            </w:pPr>
            <w:r>
              <w:rPr>
                <w:color w:val="1C3A36"/>
                <w:sz w:val="17"/>
              </w:rPr>
              <w:t>24.4%</w:t>
            </w:r>
          </w:p>
        </w:tc>
        <w:tc>
          <w:tcPr>
            <w:tcW w:type="dxa" w:w="2016"/>
          </w:tcPr>
          <w:p>
            <w:pPr>
              <w:spacing w:after="20"/>
              <w:jc w:val="right"/>
            </w:pPr>
            <w:r>
              <w:rPr>
                <w:color w:val="1C3A36"/>
                <w:sz w:val="17"/>
              </w:rPr>
              <w:t>19.2%</w:t>
            </w:r>
          </w:p>
        </w:tc>
        <w:tc>
          <w:tcPr>
            <w:tcW w:type="dxa" w:w="2160"/>
          </w:tcPr>
          <w:p>
            <w:pPr>
              <w:spacing w:after="20"/>
              <w:jc w:val="right"/>
            </w:pPr>
            <w:r>
              <w:rPr>
                <w:color w:val="1C3A36"/>
                <w:sz w:val="17"/>
              </w:rPr>
              <w:t>14.8%</w:t>
            </w:r>
          </w:p>
        </w:tc>
      </w:tr>
      <w:tr>
        <w:tc>
          <w:tcPr>
            <w:tcW w:type="dxa" w:w="3744"/>
          </w:tcPr>
          <w:p>
            <w:pPr>
              <w:spacing w:after="20"/>
            </w:pPr>
            <w:r>
              <w:rPr>
                <w:b/>
                <w:color w:val="1C3A36"/>
                <w:sz w:val="17"/>
              </w:rPr>
              <w:t>EBITDA · margin</w:t>
            </w:r>
          </w:p>
        </w:tc>
        <w:tc>
          <w:tcPr>
            <w:tcW w:type="dxa" w:w="2016"/>
          </w:tcPr>
          <w:p>
            <w:pPr>
              <w:spacing w:after="20"/>
              <w:jc w:val="right"/>
            </w:pPr>
            <w:r>
              <w:rPr>
                <w:color w:val="1C3A36"/>
                <w:sz w:val="17"/>
              </w:rPr>
              <w:t>3,795 · 15.9%</w:t>
            </w:r>
          </w:p>
        </w:tc>
        <w:tc>
          <w:tcPr>
            <w:tcW w:type="dxa" w:w="2016"/>
          </w:tcPr>
          <w:p>
            <w:pPr>
              <w:spacing w:after="20"/>
              <w:jc w:val="right"/>
            </w:pPr>
            <w:r>
              <w:rPr>
                <w:color w:val="1C3A36"/>
                <w:sz w:val="17"/>
              </w:rPr>
              <w:t>5,881 · 12.5%</w:t>
            </w:r>
          </w:p>
        </w:tc>
        <w:tc>
          <w:tcPr>
            <w:tcW w:type="dxa" w:w="2160"/>
          </w:tcPr>
          <w:p>
            <w:pPr>
              <w:spacing w:after="20"/>
              <w:jc w:val="right"/>
            </w:pPr>
            <w:r>
              <w:rPr>
                <w:color w:val="1C3A36"/>
                <w:sz w:val="17"/>
              </w:rPr>
              <w:t>6,363 · 9.6%</w:t>
            </w:r>
          </w:p>
        </w:tc>
      </w:tr>
      <w:tr>
        <w:tc>
          <w:tcPr>
            <w:tcW w:type="dxa" w:w="3744"/>
          </w:tcPr>
          <w:p>
            <w:pPr>
              <w:spacing w:after="20"/>
            </w:pPr>
            <w:r>
              <w:rPr>
                <w:b/>
                <w:color w:val="1C3A36"/>
                <w:sz w:val="17"/>
              </w:rPr>
              <w:t>Net working capital · % of revenue</w:t>
            </w:r>
          </w:p>
        </w:tc>
        <w:tc>
          <w:tcPr>
            <w:tcW w:type="dxa" w:w="2016"/>
          </w:tcPr>
          <w:p>
            <w:pPr>
              <w:spacing w:after="20"/>
              <w:jc w:val="right"/>
            </w:pPr>
            <w:r>
              <w:rPr>
                <w:color w:val="1C3A36"/>
                <w:sz w:val="17"/>
              </w:rPr>
              <w:t>4,466 · 18.7%</w:t>
            </w:r>
          </w:p>
        </w:tc>
        <w:tc>
          <w:tcPr>
            <w:tcW w:type="dxa" w:w="2016"/>
          </w:tcPr>
          <w:p>
            <w:pPr>
              <w:spacing w:after="20"/>
              <w:jc w:val="right"/>
            </w:pPr>
            <w:r>
              <w:rPr>
                <w:color w:val="1C3A36"/>
                <w:sz w:val="17"/>
              </w:rPr>
              <w:t>10,784 · 22.9%</w:t>
            </w:r>
          </w:p>
        </w:tc>
        <w:tc>
          <w:tcPr>
            <w:tcW w:type="dxa" w:w="2160"/>
          </w:tcPr>
          <w:p>
            <w:pPr>
              <w:spacing w:after="20"/>
              <w:jc w:val="right"/>
            </w:pPr>
            <w:r>
              <w:rPr>
                <w:color w:val="1C3A36"/>
                <w:sz w:val="17"/>
              </w:rPr>
              <w:t>18,917 · 28.5%</w:t>
            </w:r>
          </w:p>
        </w:tc>
      </w:tr>
      <w:tr>
        <w:tc>
          <w:tcPr>
            <w:tcW w:type="dxa" w:w="3744"/>
          </w:tcPr>
          <w:p>
            <w:pPr>
              <w:spacing w:after="20"/>
            </w:pPr>
            <w:r>
              <w:rPr>
                <w:b/>
                <w:color w:val="1C3A36"/>
                <w:sz w:val="17"/>
              </w:rPr>
              <w:t>Net debt · ND/EBITDA</w:t>
            </w:r>
          </w:p>
        </w:tc>
        <w:tc>
          <w:tcPr>
            <w:tcW w:type="dxa" w:w="2016"/>
          </w:tcPr>
          <w:p>
            <w:pPr>
              <w:spacing w:after="20"/>
              <w:jc w:val="right"/>
            </w:pPr>
            <w:r>
              <w:rPr>
                <w:color w:val="1C3A36"/>
                <w:sz w:val="17"/>
              </w:rPr>
              <w:t>2,922 · 0.77×</w:t>
            </w:r>
          </w:p>
        </w:tc>
        <w:tc>
          <w:tcPr>
            <w:tcW w:type="dxa" w:w="2016"/>
          </w:tcPr>
          <w:p>
            <w:pPr>
              <w:spacing w:after="20"/>
              <w:jc w:val="right"/>
            </w:pPr>
            <w:r>
              <w:rPr>
                <w:color w:val="1C3A36"/>
                <w:sz w:val="17"/>
              </w:rPr>
              <w:t>5,292 · 0.90×</w:t>
            </w:r>
          </w:p>
        </w:tc>
        <w:tc>
          <w:tcPr>
            <w:tcW w:type="dxa" w:w="2160"/>
          </w:tcPr>
          <w:p>
            <w:pPr>
              <w:spacing w:after="20"/>
              <w:jc w:val="right"/>
            </w:pPr>
            <w:r>
              <w:rPr>
                <w:color w:val="1C3A36"/>
                <w:sz w:val="17"/>
              </w:rPr>
              <w:t>15,210 · 2.39×</w:t>
            </w:r>
          </w:p>
        </w:tc>
      </w:tr>
      <w:tr>
        <w:tc>
          <w:tcPr>
            <w:tcW w:type="dxa" w:w="3744"/>
          </w:tcPr>
          <w:p>
            <w:pPr>
              <w:spacing w:after="20"/>
            </w:pPr>
            <w:r>
              <w:rPr>
                <w:b/>
                <w:color w:val="1C3A36"/>
                <w:sz w:val="17"/>
              </w:rPr>
              <w:t>Capital employed · ROCE</w:t>
            </w:r>
          </w:p>
        </w:tc>
        <w:tc>
          <w:tcPr>
            <w:tcW w:type="dxa" w:w="2016"/>
          </w:tcPr>
          <w:p>
            <w:pPr>
              <w:spacing w:after="20"/>
              <w:jc w:val="right"/>
            </w:pPr>
            <w:r>
              <w:rPr>
                <w:color w:val="1C3A36"/>
                <w:sz w:val="17"/>
              </w:rPr>
              <w:t>10,231 · 35.9%</w:t>
            </w:r>
          </w:p>
        </w:tc>
        <w:tc>
          <w:tcPr>
            <w:tcW w:type="dxa" w:w="2016"/>
          </w:tcPr>
          <w:p>
            <w:pPr>
              <w:spacing w:after="20"/>
              <w:jc w:val="right"/>
            </w:pPr>
            <w:r>
              <w:rPr>
                <w:color w:val="1C3A36"/>
                <w:sz w:val="17"/>
              </w:rPr>
              <w:t>18,731 · 31.5%</w:t>
            </w:r>
          </w:p>
        </w:tc>
        <w:tc>
          <w:tcPr>
            <w:tcW w:type="dxa" w:w="2160"/>
          </w:tcPr>
          <w:p>
            <w:pPr>
              <w:spacing w:after="20"/>
              <w:jc w:val="right"/>
            </w:pPr>
            <w:r>
              <w:rPr>
                <w:color w:val="1C3A36"/>
                <w:sz w:val="17"/>
              </w:rPr>
              <w:t>28,513 · 21.3%</w:t>
            </w:r>
          </w:p>
        </w:tc>
      </w:tr>
      <w:tr>
        <w:tc>
          <w:tcPr>
            <w:tcW w:type="dxa" w:w="3744"/>
          </w:tcPr>
          <w:p>
            <w:pPr>
              <w:spacing w:after="20"/>
            </w:pPr>
            <w:r>
              <w:rPr>
                <w:b/>
                <w:color w:val="1C3A36"/>
                <w:sz w:val="17"/>
              </w:rPr>
              <w:t>Capex</w:t>
            </w:r>
          </w:p>
        </w:tc>
        <w:tc>
          <w:tcPr>
            <w:tcW w:type="dxa" w:w="2016"/>
          </w:tcPr>
          <w:p>
            <w:pPr>
              <w:spacing w:after="20"/>
              <w:jc w:val="right"/>
            </w:pPr>
            <w:r>
              <w:rPr>
                <w:color w:val="1C3A36"/>
                <w:sz w:val="17"/>
              </w:rPr>
              <w:t>~1,100</w:t>
            </w:r>
          </w:p>
        </w:tc>
        <w:tc>
          <w:tcPr>
            <w:tcW w:type="dxa" w:w="2016"/>
          </w:tcPr>
          <w:p>
            <w:pPr>
              <w:spacing w:after="20"/>
              <w:jc w:val="right"/>
            </w:pPr>
            <w:r>
              <w:rPr>
                <w:color w:val="1C3A36"/>
                <w:sz w:val="17"/>
              </w:rPr>
              <w:t>2,642</w:t>
            </w:r>
          </w:p>
        </w:tc>
        <w:tc>
          <w:tcPr>
            <w:tcW w:type="dxa" w:w="2160"/>
          </w:tcPr>
          <w:p>
            <w:pPr>
              <w:spacing w:after="20"/>
              <w:jc w:val="right"/>
            </w:pPr>
            <w:r>
              <w:rPr>
                <w:color w:val="1C3A36"/>
                <w:sz w:val="17"/>
              </w:rPr>
              <w:t>2,695</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440"/>
        <w:gridCol w:w="1440"/>
        <w:gridCol w:w="1440"/>
        <w:gridCol w:w="1440"/>
        <w:gridCol w:w="1440"/>
        <w:gridCol w:w="1440"/>
        <w:gridCol w:w="1440"/>
      </w:tblGrid>
      <w:tr>
        <w:tc>
          <w:tcPr>
            <w:tcW w:type="dxa" w:w="2736"/>
            <w:shd w:val="clear" w:color="auto" w:fill="EAF0EE"/>
          </w:tcPr>
          <w:p>
            <w:pPr>
              <w:spacing w:after="20"/>
            </w:pPr>
            <w:r>
              <w:rPr>
                <w:b/>
                <w:color w:val="1C3A36"/>
                <w:sz w:val="17"/>
              </w:rPr>
              <w:t>Dividend schedule</w:t>
            </w:r>
          </w:p>
        </w:tc>
        <w:tc>
          <w:tcPr>
            <w:tcW w:type="dxa" w:w="1224"/>
            <w:shd w:val="clear" w:color="auto" w:fill="EAF0EE"/>
          </w:tcPr>
          <w:p>
            <w:pPr>
              <w:spacing w:after="20"/>
            </w:pPr>
            <w:r>
              <w:rPr>
                <w:b/>
                <w:color w:val="1C3A36"/>
                <w:sz w:val="17"/>
              </w:rPr>
              <w:t>FY25A</w:t>
            </w:r>
          </w:p>
        </w:tc>
        <w:tc>
          <w:tcPr>
            <w:tcW w:type="dxa" w:w="1224"/>
            <w:shd w:val="clear" w:color="auto" w:fill="EAF0EE"/>
          </w:tcPr>
          <w:p>
            <w:pPr>
              <w:spacing w:after="20"/>
            </w:pPr>
            <w:r>
              <w:rPr>
                <w:b/>
                <w:color w:val="1C3A36"/>
                <w:sz w:val="17"/>
              </w:rPr>
              <w:t>FY26E</w:t>
            </w:r>
          </w:p>
        </w:tc>
        <w:tc>
          <w:tcPr>
            <w:tcW w:type="dxa" w:w="1224"/>
            <w:shd w:val="clear" w:color="auto" w:fill="EAF0EE"/>
          </w:tcPr>
          <w:p>
            <w:pPr>
              <w:spacing w:after="20"/>
            </w:pPr>
            <w:r>
              <w:rPr>
                <w:b/>
                <w:color w:val="1C3A36"/>
                <w:sz w:val="17"/>
              </w:rPr>
              <w:t>FY27E</w:t>
            </w:r>
          </w:p>
        </w:tc>
        <w:tc>
          <w:tcPr>
            <w:tcW w:type="dxa" w:w="1224"/>
            <w:shd w:val="clear" w:color="auto" w:fill="EAF0EE"/>
          </w:tcPr>
          <w:p>
            <w:pPr>
              <w:spacing w:after="20"/>
            </w:pPr>
            <w:r>
              <w:rPr>
                <w:b/>
                <w:color w:val="1C3A36"/>
                <w:sz w:val="17"/>
              </w:rPr>
              <w:t>FY28E</w:t>
            </w:r>
          </w:p>
        </w:tc>
        <w:tc>
          <w:tcPr>
            <w:tcW w:type="dxa" w:w="1224"/>
            <w:shd w:val="clear" w:color="auto" w:fill="EAF0EE"/>
          </w:tcPr>
          <w:p>
            <w:pPr>
              <w:spacing w:after="20"/>
            </w:pPr>
            <w:r>
              <w:rPr>
                <w:b/>
                <w:color w:val="1C3A36"/>
                <w:sz w:val="17"/>
              </w:rPr>
              <w:t>FY29E</w:t>
            </w:r>
          </w:p>
        </w:tc>
        <w:tc>
          <w:tcPr>
            <w:tcW w:type="dxa" w:w="1224"/>
            <w:shd w:val="clear" w:color="auto" w:fill="EAF0EE"/>
          </w:tcPr>
          <w:p>
            <w:pPr>
              <w:spacing w:after="20"/>
            </w:pPr>
            <w:r>
              <w:rPr>
                <w:b/>
                <w:color w:val="1C3A36"/>
                <w:sz w:val="17"/>
              </w:rPr>
              <w:t>FY30E</w:t>
            </w:r>
          </w:p>
        </w:tc>
      </w:tr>
      <w:tr>
        <w:tc>
          <w:tcPr>
            <w:tcW w:type="dxa" w:w="2736"/>
          </w:tcPr>
          <w:p>
            <w:pPr>
              <w:spacing w:after="20"/>
            </w:pPr>
            <w:r>
              <w:rPr>
                <w:b/>
                <w:color w:val="1C3A36"/>
                <w:sz w:val="17"/>
              </w:rPr>
              <w:t>Payout of attributable NP</w:t>
            </w:r>
          </w:p>
        </w:tc>
        <w:tc>
          <w:tcPr>
            <w:tcW w:type="dxa" w:w="1224"/>
          </w:tcPr>
          <w:p>
            <w:pPr>
              <w:spacing w:after="20"/>
              <w:jc w:val="right"/>
            </w:pPr>
            <w:r>
              <w:rPr>
                <w:color w:val="1C3A36"/>
                <w:sz w:val="17"/>
              </w:rPr>
              <w:t>~13%</w:t>
            </w:r>
          </w:p>
        </w:tc>
        <w:tc>
          <w:tcPr>
            <w:tcW w:type="dxa" w:w="1224"/>
          </w:tcPr>
          <w:p>
            <w:pPr>
              <w:spacing w:after="20"/>
              <w:jc w:val="right"/>
            </w:pPr>
            <w:r>
              <w:rPr>
                <w:color w:val="1C3A36"/>
                <w:sz w:val="17"/>
              </w:rPr>
              <w:t>14%</w:t>
            </w:r>
          </w:p>
        </w:tc>
        <w:tc>
          <w:tcPr>
            <w:tcW w:type="dxa" w:w="1224"/>
          </w:tcPr>
          <w:p>
            <w:pPr>
              <w:spacing w:after="20"/>
              <w:jc w:val="right"/>
            </w:pPr>
            <w:r>
              <w:rPr>
                <w:color w:val="1C3A36"/>
                <w:sz w:val="17"/>
              </w:rPr>
              <w:t>15%</w:t>
            </w:r>
          </w:p>
        </w:tc>
        <w:tc>
          <w:tcPr>
            <w:tcW w:type="dxa" w:w="1224"/>
          </w:tcPr>
          <w:p>
            <w:pPr>
              <w:spacing w:after="20"/>
              <w:jc w:val="right"/>
            </w:pPr>
            <w:r>
              <w:rPr>
                <w:color w:val="1C3A36"/>
                <w:sz w:val="17"/>
              </w:rPr>
              <w:t>16%</w:t>
            </w:r>
          </w:p>
        </w:tc>
        <w:tc>
          <w:tcPr>
            <w:tcW w:type="dxa" w:w="1224"/>
          </w:tcPr>
          <w:p>
            <w:pPr>
              <w:spacing w:after="20"/>
              <w:jc w:val="right"/>
            </w:pPr>
            <w:r>
              <w:rPr>
                <w:color w:val="1C3A36"/>
                <w:sz w:val="17"/>
              </w:rPr>
              <w:t>18%</w:t>
            </w:r>
          </w:p>
        </w:tc>
        <w:tc>
          <w:tcPr>
            <w:tcW w:type="dxa" w:w="1224"/>
          </w:tcPr>
          <w:p>
            <w:pPr>
              <w:spacing w:after="20"/>
              <w:jc w:val="right"/>
            </w:pPr>
            <w:r>
              <w:rPr>
                <w:color w:val="1C3A36"/>
                <w:sz w:val="17"/>
              </w:rPr>
              <w:t>20%</w:t>
            </w:r>
          </w:p>
        </w:tc>
      </w:tr>
      <w:tr>
        <w:tc>
          <w:tcPr>
            <w:tcW w:type="dxa" w:w="2736"/>
          </w:tcPr>
          <w:p>
            <w:pPr>
              <w:spacing w:after="20"/>
            </w:pPr>
            <w:r>
              <w:rPr>
                <w:b/>
                <w:color w:val="1C3A36"/>
                <w:sz w:val="17"/>
              </w:rPr>
              <w:t>DPS (EGP)</w:t>
            </w:r>
          </w:p>
        </w:tc>
        <w:tc>
          <w:tcPr>
            <w:tcW w:type="dxa" w:w="1224"/>
          </w:tcPr>
          <w:p>
            <w:pPr>
              <w:spacing w:after="20"/>
              <w:jc w:val="right"/>
            </w:pPr>
            <w:r>
              <w:rPr>
                <w:color w:val="1C3A36"/>
                <w:sz w:val="17"/>
              </w:rPr>
              <w:t>0.35</w:t>
            </w:r>
          </w:p>
        </w:tc>
        <w:tc>
          <w:tcPr>
            <w:tcW w:type="dxa" w:w="1224"/>
          </w:tcPr>
          <w:p>
            <w:pPr>
              <w:spacing w:after="20"/>
              <w:jc w:val="right"/>
            </w:pPr>
            <w:r>
              <w:rPr>
                <w:color w:val="1C3A36"/>
                <w:sz w:val="17"/>
              </w:rPr>
              <w:t>0.42</w:t>
            </w:r>
          </w:p>
        </w:tc>
        <w:tc>
          <w:tcPr>
            <w:tcW w:type="dxa" w:w="1224"/>
          </w:tcPr>
          <w:p>
            <w:pPr>
              <w:spacing w:after="20"/>
              <w:jc w:val="right"/>
            </w:pPr>
            <w:r>
              <w:rPr>
                <w:color w:val="1C3A36"/>
                <w:sz w:val="17"/>
              </w:rPr>
              <w:t>0.74</w:t>
            </w:r>
          </w:p>
        </w:tc>
        <w:tc>
          <w:tcPr>
            <w:tcW w:type="dxa" w:w="1224"/>
          </w:tcPr>
          <w:p>
            <w:pPr>
              <w:spacing w:after="20"/>
              <w:jc w:val="right"/>
            </w:pPr>
            <w:r>
              <w:rPr>
                <w:color w:val="1C3A36"/>
                <w:sz w:val="17"/>
              </w:rPr>
              <w:t>1.11</w:t>
            </w:r>
          </w:p>
        </w:tc>
        <w:tc>
          <w:tcPr>
            <w:tcW w:type="dxa" w:w="1224"/>
          </w:tcPr>
          <w:p>
            <w:pPr>
              <w:spacing w:after="20"/>
              <w:jc w:val="right"/>
            </w:pPr>
            <w:r>
              <w:rPr>
                <w:color w:val="1C3A36"/>
                <w:sz w:val="17"/>
              </w:rPr>
              <w:t>1.56</w:t>
            </w:r>
          </w:p>
        </w:tc>
        <w:tc>
          <w:tcPr>
            <w:tcW w:type="dxa" w:w="1224"/>
          </w:tcPr>
          <w:p>
            <w:pPr>
              <w:spacing w:after="20"/>
              <w:jc w:val="right"/>
            </w:pPr>
            <w:r>
              <w:rPr>
                <w:color w:val="1C3A36"/>
                <w:sz w:val="17"/>
              </w:rPr>
              <w:t>2.09</w:t>
            </w:r>
          </w:p>
        </w:tc>
      </w:tr>
      <w:tr>
        <w:tc>
          <w:tcPr>
            <w:tcW w:type="dxa" w:w="2736"/>
          </w:tcPr>
          <w:p>
            <w:pPr>
              <w:spacing w:after="20"/>
            </w:pPr>
            <w:r>
              <w:rPr>
                <w:b/>
                <w:color w:val="1C3A36"/>
                <w:sz w:val="17"/>
              </w:rPr>
              <w:t>Yield at spot</w:t>
            </w:r>
          </w:p>
        </w:tc>
        <w:tc>
          <w:tcPr>
            <w:tcW w:type="dxa" w:w="1224"/>
          </w:tcPr>
          <w:p>
            <w:pPr>
              <w:spacing w:after="20"/>
              <w:jc w:val="right"/>
            </w:pPr>
            <w:r>
              <w:rPr>
                <w:color w:val="1C3A36"/>
                <w:sz w:val="17"/>
              </w:rPr>
              <w:t>1.1%</w:t>
            </w:r>
          </w:p>
        </w:tc>
        <w:tc>
          <w:tcPr>
            <w:tcW w:type="dxa" w:w="1224"/>
          </w:tcPr>
          <w:p>
            <w:pPr>
              <w:spacing w:after="20"/>
              <w:jc w:val="right"/>
            </w:pPr>
            <w:r>
              <w:rPr>
                <w:color w:val="1C3A36"/>
                <w:sz w:val="17"/>
              </w:rPr>
              <w:t>1.4%</w:t>
            </w:r>
          </w:p>
        </w:tc>
        <w:tc>
          <w:tcPr>
            <w:tcW w:type="dxa" w:w="1224"/>
          </w:tcPr>
          <w:p>
            <w:pPr>
              <w:spacing w:after="20"/>
              <w:jc w:val="right"/>
            </w:pPr>
            <w:r>
              <w:rPr>
                <w:color w:val="1C3A36"/>
                <w:sz w:val="17"/>
              </w:rPr>
              <w:t>2.4%</w:t>
            </w:r>
          </w:p>
        </w:tc>
        <w:tc>
          <w:tcPr>
            <w:tcW w:type="dxa" w:w="1224"/>
          </w:tcPr>
          <w:p>
            <w:pPr>
              <w:spacing w:after="20"/>
              <w:jc w:val="right"/>
            </w:pPr>
            <w:r>
              <w:rPr>
                <w:color w:val="1C3A36"/>
                <w:sz w:val="17"/>
              </w:rPr>
              <w:t>3.6%</w:t>
            </w:r>
          </w:p>
        </w:tc>
        <w:tc>
          <w:tcPr>
            <w:tcW w:type="dxa" w:w="1224"/>
          </w:tcPr>
          <w:p>
            <w:pPr>
              <w:spacing w:after="20"/>
              <w:jc w:val="right"/>
            </w:pPr>
            <w:r>
              <w:rPr>
                <w:color w:val="1C3A36"/>
                <w:sz w:val="17"/>
              </w:rPr>
              <w:t>5.0%</w:t>
            </w:r>
          </w:p>
        </w:tc>
        <w:tc>
          <w:tcPr>
            <w:tcW w:type="dxa" w:w="1224"/>
          </w:tcPr>
          <w:p>
            <w:pPr>
              <w:spacing w:after="20"/>
              <w:jc w:val="right"/>
            </w:pPr>
            <w:r>
              <w:rPr>
                <w:color w:val="1C3A36"/>
                <w:sz w:val="17"/>
              </w:rPr>
              <w:t>6.7%</w:t>
            </w:r>
          </w:p>
        </w:tc>
      </w:tr>
      <w:tr>
        <w:tc>
          <w:tcPr>
            <w:tcW w:type="dxa" w:w="2736"/>
          </w:tcPr>
          <w:p>
            <w:pPr>
              <w:spacing w:after="20"/>
            </w:pPr>
            <w:r>
              <w:rPr>
                <w:b/>
                <w:color w:val="1C3A36"/>
                <w:sz w:val="17"/>
              </w:rPr>
              <w:t>Stress check</w:t>
            </w:r>
          </w:p>
        </w:tc>
        <w:tc>
          <w:tcPr>
            <w:tcW w:type="dxa" w:w="1224"/>
          </w:tcPr>
          <w:p>
            <w:pPr>
              <w:spacing w:after="20"/>
              <w:jc w:val="right"/>
            </w:pPr>
            <w:r>
              <w:rPr>
                <w:color w:val="1C3A36"/>
                <w:sz w:val="17"/>
              </w:rPr>
              <w:t>Bear-case FY27E NP ~3.6 bn still covers a 15% payout 6.7×; the constraint is the lending book’s equity appetite, not earnings.</w:t>
            </w:r>
          </w:p>
        </w:tc>
        <w:tc>
          <w:tcPr>
            <w:tcW w:type="dxa" w:w="1224"/>
          </w:tcPr>
          <w:p>
            <w:pPr>
              <w:spacing w:after="20"/>
              <w:jc w:val="right"/>
            </w:pPr>
            <w:r>
              <w:rPr>
                <w:color w:val="1C3A36"/>
                <w:sz w:val="17"/>
              </w:rPr>
            </w:r>
          </w:p>
        </w:tc>
        <w:tc>
          <w:tcPr>
            <w:tcW w:type="dxa" w:w="1224"/>
          </w:tcPr>
          <w:p>
            <w:pPr>
              <w:spacing w:after="20"/>
              <w:jc w:val="right"/>
            </w:pPr>
            <w:r>
              <w:rPr>
                <w:color w:val="1C3A36"/>
                <w:sz w:val="17"/>
              </w:rPr>
            </w:r>
          </w:p>
        </w:tc>
        <w:tc>
          <w:tcPr>
            <w:tcW w:type="dxa" w:w="1224"/>
          </w:tcPr>
          <w:p>
            <w:pPr>
              <w:spacing w:after="20"/>
              <w:jc w:val="right"/>
            </w:pPr>
            <w:r>
              <w:rPr>
                <w:color w:val="1C3A36"/>
                <w:sz w:val="17"/>
              </w:rPr>
            </w:r>
          </w:p>
        </w:tc>
        <w:tc>
          <w:tcPr>
            <w:tcW w:type="dxa" w:w="1224"/>
          </w:tcPr>
          <w:p>
            <w:pPr>
              <w:spacing w:after="20"/>
              <w:jc w:val="right"/>
            </w:pPr>
            <w:r>
              <w:rPr>
                <w:color w:val="1C3A36"/>
                <w:sz w:val="17"/>
              </w:rPr>
            </w:r>
          </w:p>
        </w:tc>
        <w:tc>
          <w:tcPr>
            <w:tcW w:type="dxa" w:w="1224"/>
          </w:tcPr>
          <w:p>
            <w:pPr>
              <w:spacing w:after="20"/>
              <w:jc w:val="right"/>
            </w:pPr>
            <w:r>
              <w:rPr>
                <w:color w:val="1C3A36"/>
                <w:sz w:val="17"/>
              </w:rPr>
            </w:r>
          </w:p>
        </w:tc>
      </w:tr>
    </w:tbl>
    <w:p>
      <w:pPr>
        <w:spacing w:after="40"/>
      </w:pPr>
    </w:p>
    <w:p>
      <w:pPr>
        <w:spacing w:after="200" w:before="0"/>
      </w:pPr>
      <w:r>
        <w:rPr>
          <w:b w:val="0"/>
          <w:i/>
          <w:color w:val="6E7B77"/>
          <w:sz w:val="17"/>
        </w:rPr>
        <w:t>Forecast-vs-actual scorecard (device A-3) and new-vs-old reconciliation (A-4): not applicable on an initiation; both tables become standing sections from the first 3-month update, scoring these FY26E lines against the print.</w:t>
      </w:r>
    </w:p>
    <w:p>
      <w:pPr>
        <w:spacing w:after="120" w:before="280"/>
      </w:pPr>
      <w:r>
        <w:rPr>
          <w:b/>
          <w:i w:val="0"/>
          <w:color w:val="1C3A36"/>
          <w:sz w:val="30"/>
        </w:rPr>
        <w:t>Appendix B  Step 0 — calibration backtest</w:t>
      </w:r>
    </w:p>
    <w:p>
      <w:pPr>
        <w:spacing w:after="120" w:before="0"/>
      </w:pPr>
      <w:r>
        <w:rPr>
          <w:b w:val="0"/>
          <w:i w:val="0"/>
          <w:color w:val="1C3A36"/>
          <w:sz w:val="21"/>
        </w:rPr>
        <w:t>Before any forecast we test the Monte Carlo lens on GBCO’s own five years of history: at seventeen non-overlapping origins (h = 60 trading days), using only data available at each origin, the YZ-HAR engine generates the three-month-ahead distribution and the realized close is scored against it. The grade is skill versus a naïve benchmark — a zero-drift random-walk lognormal cone on trailing realized vol — measured by CRPS skill (must be &gt; 0) and the Winkler interval score; the PIT histogram and coverage table are diagnostics only, since band-containment rewards width.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096"/>
            <w:shd w:val="clear" w:color="auto" w:fill="EAF0EE"/>
          </w:tcPr>
          <w:p>
            <w:pPr>
              <w:spacing w:after="20"/>
            </w:pPr>
            <w:r>
              <w:rPr>
                <w:b/>
                <w:color w:val="1C3A36"/>
                <w:sz w:val="17"/>
              </w:rPr>
              <w:t>Configuration / scheme</w:t>
            </w:r>
          </w:p>
        </w:tc>
        <w:tc>
          <w:tcPr>
            <w:tcW w:type="dxa" w:w="720"/>
            <w:shd w:val="clear" w:color="auto" w:fill="EAF0EE"/>
          </w:tcPr>
          <w:p>
            <w:pPr>
              <w:spacing w:after="20"/>
            </w:pPr>
            <w:r>
              <w:rPr>
                <w:b/>
                <w:color w:val="1C3A36"/>
                <w:sz w:val="17"/>
              </w:rPr>
              <w:t>n</w:t>
            </w:r>
          </w:p>
        </w:tc>
        <w:tc>
          <w:tcPr>
            <w:tcW w:type="dxa" w:w="1368"/>
            <w:shd w:val="clear" w:color="auto" w:fill="EAF0EE"/>
          </w:tcPr>
          <w:p>
            <w:pPr>
              <w:spacing w:after="20"/>
            </w:pPr>
            <w:r>
              <w:rPr>
                <w:b/>
                <w:color w:val="1C3A36"/>
                <w:sz w:val="17"/>
              </w:rPr>
              <w:t>CRPS skill</w:t>
            </w:r>
          </w:p>
        </w:tc>
        <w:tc>
          <w:tcPr>
            <w:tcW w:type="dxa" w:w="1368"/>
            <w:shd w:val="clear" w:color="auto" w:fill="EAF0EE"/>
          </w:tcPr>
          <w:p>
            <w:pPr>
              <w:spacing w:after="20"/>
            </w:pPr>
            <w:r>
              <w:rPr>
                <w:b/>
                <w:color w:val="1C3A36"/>
                <w:sz w:val="17"/>
              </w:rPr>
              <w:t>Interval skill</w:t>
            </w:r>
          </w:p>
        </w:tc>
        <w:tc>
          <w:tcPr>
            <w:tcW w:type="dxa" w:w="2160"/>
            <w:shd w:val="clear" w:color="auto" w:fill="EAF0EE"/>
          </w:tcPr>
          <w:p>
            <w:pPr>
              <w:spacing w:after="20"/>
            </w:pPr>
            <w:r>
              <w:rPr>
                <w:b/>
                <w:color w:val="1C3A36"/>
                <w:sz w:val="17"/>
              </w:rPr>
              <w:t>50 / 80 / 90% coverage</w:t>
            </w:r>
          </w:p>
        </w:tc>
        <w:tc>
          <w:tcPr>
            <w:tcW w:type="dxa" w:w="1656"/>
            <w:shd w:val="clear" w:color="auto" w:fill="EAF0EE"/>
          </w:tcPr>
          <w:p>
            <w:pPr>
              <w:spacing w:after="20"/>
            </w:pPr>
            <w:r>
              <w:rPr>
                <w:b/>
                <w:color w:val="1C3A36"/>
                <w:sz w:val="17"/>
              </w:rPr>
              <w:t>PIT mean</w:t>
            </w:r>
          </w:p>
        </w:tc>
      </w:tr>
      <w:tr>
        <w:tc>
          <w:tcPr>
            <w:tcW w:type="dxa" w:w="3096"/>
          </w:tcPr>
          <w:p>
            <w:pPr>
              <w:spacing w:after="20"/>
            </w:pPr>
            <w:r>
              <w:rPr>
                <w:b/>
                <w:color w:val="1C3A36"/>
                <w:sz w:val="17"/>
              </w:rPr>
              <w:t>Zero drift — non-overlapping</w:t>
            </w:r>
          </w:p>
        </w:tc>
        <w:tc>
          <w:tcPr>
            <w:tcW w:type="dxa" w:w="720"/>
          </w:tcPr>
          <w:p>
            <w:pPr>
              <w:spacing w:after="20"/>
              <w:jc w:val="right"/>
            </w:pPr>
            <w:r>
              <w:rPr>
                <w:color w:val="1C3A36"/>
                <w:sz w:val="17"/>
              </w:rPr>
              <w:t>17</w:t>
            </w:r>
          </w:p>
        </w:tc>
        <w:tc>
          <w:tcPr>
            <w:tcW w:type="dxa" w:w="1368"/>
          </w:tcPr>
          <w:p>
            <w:pPr>
              <w:spacing w:after="20"/>
              <w:jc w:val="right"/>
            </w:pPr>
            <w:r>
              <w:rPr>
                <w:color w:val="1C3A36"/>
                <w:sz w:val="17"/>
              </w:rPr>
              <w:t>−1.6%</w:t>
            </w:r>
          </w:p>
        </w:tc>
        <w:tc>
          <w:tcPr>
            <w:tcW w:type="dxa" w:w="1368"/>
          </w:tcPr>
          <w:p>
            <w:pPr>
              <w:spacing w:after="20"/>
              <w:jc w:val="right"/>
            </w:pPr>
            <w:r>
              <w:rPr>
                <w:color w:val="1C3A36"/>
                <w:sz w:val="17"/>
              </w:rPr>
              <w:t>−0.4%</w:t>
            </w:r>
          </w:p>
        </w:tc>
        <w:tc>
          <w:tcPr>
            <w:tcW w:type="dxa" w:w="2160"/>
          </w:tcPr>
          <w:p>
            <w:pPr>
              <w:spacing w:after="20"/>
              <w:jc w:val="right"/>
            </w:pPr>
            <w:r>
              <w:rPr>
                <w:color w:val="1C3A36"/>
                <w:sz w:val="17"/>
              </w:rPr>
              <w:t>47 / 82 / 88%</w:t>
            </w:r>
          </w:p>
        </w:tc>
        <w:tc>
          <w:tcPr>
            <w:tcW w:type="dxa" w:w="1656"/>
          </w:tcPr>
          <w:p>
            <w:pPr>
              <w:spacing w:after="20"/>
              <w:jc w:val="right"/>
            </w:pPr>
            <w:r>
              <w:rPr>
                <w:color w:val="1C3A36"/>
                <w:sz w:val="17"/>
              </w:rPr>
              <w:t>0.62 (right-skewed)</w:t>
            </w:r>
          </w:p>
        </w:tc>
      </w:tr>
      <w:tr>
        <w:tc>
          <w:tcPr>
            <w:tcW w:type="dxa" w:w="3096"/>
          </w:tcPr>
          <w:p>
            <w:pPr>
              <w:spacing w:after="20"/>
            </w:pPr>
            <w:r>
              <w:rPr>
                <w:b/>
                <w:color w:val="1C3A36"/>
                <w:sz w:val="17"/>
              </w:rPr>
              <w:t>Secular drift — non-overlapping</w:t>
            </w:r>
          </w:p>
        </w:tc>
        <w:tc>
          <w:tcPr>
            <w:tcW w:type="dxa" w:w="720"/>
          </w:tcPr>
          <w:p>
            <w:pPr>
              <w:spacing w:after="20"/>
              <w:jc w:val="right"/>
            </w:pPr>
            <w:r>
              <w:rPr>
                <w:color w:val="1C3A36"/>
                <w:sz w:val="17"/>
              </w:rPr>
              <w:t>17</w:t>
            </w:r>
          </w:p>
        </w:tc>
        <w:tc>
          <w:tcPr>
            <w:tcW w:type="dxa" w:w="1368"/>
          </w:tcPr>
          <w:p>
            <w:pPr>
              <w:spacing w:after="20"/>
              <w:jc w:val="right"/>
            </w:pPr>
            <w:r>
              <w:rPr>
                <w:color w:val="1C3A36"/>
                <w:sz w:val="17"/>
              </w:rPr>
              <w:t>+3.2%</w:t>
            </w:r>
          </w:p>
        </w:tc>
        <w:tc>
          <w:tcPr>
            <w:tcW w:type="dxa" w:w="1368"/>
          </w:tcPr>
          <w:p>
            <w:pPr>
              <w:spacing w:after="20"/>
              <w:jc w:val="right"/>
            </w:pPr>
            <w:r>
              <w:rPr>
                <w:color w:val="1C3A36"/>
                <w:sz w:val="17"/>
              </w:rPr>
              <w:t>−6.0%</w:t>
            </w:r>
          </w:p>
        </w:tc>
        <w:tc>
          <w:tcPr>
            <w:tcW w:type="dxa" w:w="2160"/>
          </w:tcPr>
          <w:p>
            <w:pPr>
              <w:spacing w:after="20"/>
              <w:jc w:val="right"/>
            </w:pPr>
            <w:r>
              <w:rPr>
                <w:color w:val="1C3A36"/>
                <w:sz w:val="17"/>
              </w:rPr>
              <w:t>59 / 76 / 94%</w:t>
            </w:r>
          </w:p>
        </w:tc>
        <w:tc>
          <w:tcPr>
            <w:tcW w:type="dxa" w:w="1656"/>
          </w:tcPr>
          <w:p>
            <w:pPr>
              <w:spacing w:after="20"/>
              <w:jc w:val="right"/>
            </w:pPr>
            <w:r>
              <w:rPr>
                <w:color w:val="1C3A36"/>
                <w:sz w:val="17"/>
              </w:rPr>
              <w:t>0.53</w:t>
            </w:r>
          </w:p>
        </w:tc>
      </w:tr>
      <w:tr>
        <w:tc>
          <w:tcPr>
            <w:tcW w:type="dxa" w:w="3096"/>
          </w:tcPr>
          <w:p>
            <w:pPr>
              <w:spacing w:after="20"/>
            </w:pPr>
            <w:r>
              <w:rPr>
                <w:b/>
                <w:color w:val="1C3A36"/>
                <w:sz w:val="17"/>
              </w:rPr>
              <w:t>Secular drift — monthly origins</w:t>
            </w:r>
          </w:p>
        </w:tc>
        <w:tc>
          <w:tcPr>
            <w:tcW w:type="dxa" w:w="720"/>
          </w:tcPr>
          <w:p>
            <w:pPr>
              <w:spacing w:after="20"/>
              <w:jc w:val="right"/>
            </w:pPr>
            <w:r>
              <w:rPr>
                <w:color w:val="1C3A36"/>
                <w:sz w:val="17"/>
              </w:rPr>
              <w:t>49</w:t>
            </w:r>
          </w:p>
        </w:tc>
        <w:tc>
          <w:tcPr>
            <w:tcW w:type="dxa" w:w="1368"/>
          </w:tcPr>
          <w:p>
            <w:pPr>
              <w:spacing w:after="20"/>
              <w:jc w:val="right"/>
            </w:pPr>
            <w:r>
              <w:rPr>
                <w:color w:val="1C3A36"/>
                <w:sz w:val="17"/>
              </w:rPr>
              <w:t>+9.6%</w:t>
            </w:r>
          </w:p>
        </w:tc>
        <w:tc>
          <w:tcPr>
            <w:tcW w:type="dxa" w:w="1368"/>
          </w:tcPr>
          <w:p>
            <w:pPr>
              <w:spacing w:after="20"/>
              <w:jc w:val="right"/>
            </w:pPr>
            <w:r>
              <w:rPr>
                <w:color w:val="1C3A36"/>
                <w:sz w:val="17"/>
              </w:rPr>
              <w:t>−8.4%</w:t>
            </w:r>
          </w:p>
        </w:tc>
        <w:tc>
          <w:tcPr>
            <w:tcW w:type="dxa" w:w="2160"/>
          </w:tcPr>
          <w:p>
            <w:pPr>
              <w:spacing w:after="20"/>
              <w:jc w:val="right"/>
            </w:pPr>
            <w:r>
              <w:rPr>
                <w:color w:val="1C3A36"/>
                <w:sz w:val="17"/>
              </w:rPr>
              <w:t>53 / 86 / 92%</w:t>
            </w:r>
          </w:p>
        </w:tc>
        <w:tc>
          <w:tcPr>
            <w:tcW w:type="dxa" w:w="1656"/>
          </w:tcPr>
          <w:p>
            <w:pPr>
              <w:spacing w:after="20"/>
              <w:jc w:val="right"/>
            </w:pPr>
            <w:r>
              <w:rPr>
                <w:color w:val="1C3A36"/>
                <w:sz w:val="17"/>
              </w:rPr>
              <w:t>0.57</w:t>
            </w:r>
          </w:p>
        </w:tc>
      </w:tr>
    </w:tbl>
    <w:p>
      <w:pPr>
        <w:spacing w:after="40"/>
      </w:pPr>
    </w:p>
    <w:p>
      <w:pPr>
        <w:spacing w:after="40"/>
        <w:jc w:val="center"/>
      </w:pPr>
      <w:r>
        <w:drawing>
          <wp:inline xmlns:a="http://schemas.openxmlformats.org/drawingml/2006/main" xmlns:pic="http://schemas.openxmlformats.org/drawingml/2006/picture">
            <wp:extent cx="6035040" cy="1945795"/>
            <wp:docPr id="7" name="Picture 7"/>
            <wp:cNvGraphicFramePr>
              <a:graphicFrameLocks noChangeAspect="1"/>
            </wp:cNvGraphicFramePr>
            <a:graphic>
              <a:graphicData uri="http://schemas.openxmlformats.org/drawingml/2006/picture">
                <pic:pic>
                  <pic:nvPicPr>
                    <pic:cNvPr id="0" name="figB1_calibration.png"/>
                    <pic:cNvPicPr/>
                  </pic:nvPicPr>
                  <pic:blipFill>
                    <a:blip r:embed="rId15"/>
                    <a:stretch>
                      <a:fillRect/>
                    </a:stretch>
                  </pic:blipFill>
                  <pic:spPr>
                    <a:xfrm>
                      <a:off x="0" y="0"/>
                      <a:ext cx="6035040" cy="1945795"/>
                    </a:xfrm>
                    <a:prstGeom prst="rect"/>
                  </pic:spPr>
                </pic:pic>
              </a:graphicData>
            </a:graphic>
          </wp:inline>
        </w:drawing>
      </w:r>
    </w:p>
    <w:p>
      <w:pPr>
        <w:spacing w:after="200" w:before="0"/>
      </w:pPr>
      <w:r>
        <w:rPr>
          <w:b w:val="0"/>
          <w:i/>
          <w:color w:val="6E7B77"/>
          <w:sz w:val="17"/>
        </w:rPr>
        <w:t>Figure B-1 — Calibration backtest: quarterly cone replay (log scale), PIT histogram, and interval coverage versus target, secular-drift configuration.</w:t>
      </w:r>
    </w:p>
    <w:p>
      <w:pPr>
        <w:spacing w:after="120" w:before="0"/>
      </w:pPr>
      <w:r>
        <w:rPr>
          <w:b w:val="0"/>
          <w:i w:val="0"/>
          <w:color w:val="1C3A36"/>
          <w:sz w:val="21"/>
        </w:rPr>
        <w:t>Zero drift fails the gate on this name: negative CRPS skill and a PIT pushed into the upper deciles — the classic signature of a distribution that keeps under-calling a secular uptrend (GBCO is a thirteen-bagger over the sample, the same EGP-repricing dynamic as the EGX developers). Re-running with the asset-class secular drift switched on — the prescribed recalibration path — flips the result: CRPS skill +3.2% on non-overlapping windows and +9.6% on monthly origins, with the PIT mean back near 0.5 and no material U-shape. The interval score gives some of that back (the t(5) tails price protection the benchmark doesn’t carry), and a block bootstrap on the 17 windows puts the 90% CI on CRPS skill at roughly [−0.17, +0.18] — P(skill &gt; 0) ≈ 0.62. The lens is accepted with that thinness stated: seventeen windows is decent validation, not robust proof, and the drift term is re-tested every quarter with a hard kill rule. Flag for the record: GBCO is the first EGX non-developer to carry the secular drift — adopted empirically here, exactly as the protocol requires, not by asset-class default.</w:t>
      </w:r>
    </w:p>
    <w:p>
      <w:pPr>
        <w:spacing w:after="120" w:before="280"/>
      </w:pPr>
      <w:r>
        <w:rPr>
          <w:b/>
          <w:i w:val="0"/>
          <w:color w:val="1C3A36"/>
          <w:sz w:val="30"/>
        </w:rPr>
        <w:t>Appendix C  Peer set, sector structure, and risks</w:t>
      </w:r>
    </w:p>
    <w:p>
      <w:pPr>
        <w:spacing w:after="120" w:before="0"/>
      </w:pPr>
      <w:r>
        <w:rPr>
          <w:b w:val="0"/>
          <w:i w:val="0"/>
          <w:color w:val="1C3A36"/>
          <w:sz w:val="21"/>
        </w:rPr>
        <w:t>GB Corp has no clean single comparable — an auto assembler-distributor, an NBFI and a fintech associate in one wrapper. The peer set is therefore split by leg.</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736"/>
            <w:shd w:val="clear" w:color="auto" w:fill="EAF0EE"/>
          </w:tcPr>
          <w:p>
            <w:pPr>
              <w:spacing w:after="20"/>
            </w:pPr>
            <w:r>
              <w:rPr>
                <w:b/>
                <w:color w:val="1C3A36"/>
                <w:sz w:val="17"/>
              </w:rPr>
              <w:t>Leg</w:t>
            </w:r>
          </w:p>
        </w:tc>
        <w:tc>
          <w:tcPr>
            <w:tcW w:type="dxa" w:w="4464"/>
            <w:shd w:val="clear" w:color="auto" w:fill="EAF0EE"/>
          </w:tcPr>
          <w:p>
            <w:pPr>
              <w:spacing w:after="20"/>
            </w:pPr>
            <w:r>
              <w:rPr>
                <w:b/>
                <w:color w:val="1C3A36"/>
                <w:sz w:val="17"/>
              </w:rPr>
              <w:t>Closest peers</w:t>
            </w:r>
          </w:p>
        </w:tc>
        <w:tc>
          <w:tcPr>
            <w:tcW w:type="dxa" w:w="2880"/>
            <w:shd w:val="clear" w:color="auto" w:fill="EAF0EE"/>
          </w:tcPr>
          <w:p>
            <w:pPr>
              <w:spacing w:after="20"/>
            </w:pPr>
            <w:r>
              <w:rPr>
                <w:b/>
                <w:color w:val="1C3A36"/>
                <w:sz w:val="17"/>
              </w:rPr>
              <w:t>Typical valuation</w:t>
            </w:r>
          </w:p>
        </w:tc>
      </w:tr>
      <w:tr>
        <w:tc>
          <w:tcPr>
            <w:tcW w:type="dxa" w:w="2736"/>
          </w:tcPr>
          <w:p>
            <w:pPr>
              <w:spacing w:after="20"/>
            </w:pPr>
            <w:r>
              <w:rPr>
                <w:b/>
                <w:color w:val="1C3A36"/>
                <w:sz w:val="17"/>
              </w:rPr>
              <w:t>Auto assembly &amp; distribution</w:t>
            </w:r>
          </w:p>
        </w:tc>
        <w:tc>
          <w:tcPr>
            <w:tcW w:type="dxa" w:w="4464"/>
          </w:tcPr>
          <w:p>
            <w:pPr>
              <w:spacing w:after="20"/>
              <w:jc w:val="right"/>
            </w:pPr>
            <w:r>
              <w:rPr>
                <w:color w:val="1C3A36"/>
                <w:sz w:val="17"/>
              </w:rPr>
              <w:t>Saudi/GCC auto distributors, Türk Traktör, EGX consumer durables</w:t>
            </w:r>
          </w:p>
        </w:tc>
        <w:tc>
          <w:tcPr>
            <w:tcW w:type="dxa" w:w="2880"/>
          </w:tcPr>
          <w:p>
            <w:pPr>
              <w:spacing w:after="20"/>
              <w:jc w:val="right"/>
            </w:pPr>
            <w:r>
              <w:rPr>
                <w:color w:val="1C3A36"/>
                <w:sz w:val="17"/>
              </w:rPr>
              <w:t>EV/EBITDA ~4–6×; P/E ~8–12×</w:t>
            </w:r>
          </w:p>
        </w:tc>
      </w:tr>
      <w:tr>
        <w:tc>
          <w:tcPr>
            <w:tcW w:type="dxa" w:w="2736"/>
          </w:tcPr>
          <w:p>
            <w:pPr>
              <w:spacing w:after="20"/>
            </w:pPr>
            <w:r>
              <w:rPr>
                <w:b/>
                <w:color w:val="1C3A36"/>
                <w:sz w:val="17"/>
              </w:rPr>
              <w:t>NBFI / consumer &amp; SME finance</w:t>
            </w:r>
          </w:p>
        </w:tc>
        <w:tc>
          <w:tcPr>
            <w:tcW w:type="dxa" w:w="4464"/>
          </w:tcPr>
          <w:p>
            <w:pPr>
              <w:spacing w:after="20"/>
              <w:jc w:val="right"/>
            </w:pPr>
            <w:r>
              <w:rPr>
                <w:color w:val="1C3A36"/>
                <w:sz w:val="17"/>
              </w:rPr>
              <w:t>Contact Financial (CNFN), EFG finance arm, Raya finance leg</w:t>
            </w:r>
          </w:p>
        </w:tc>
        <w:tc>
          <w:tcPr>
            <w:tcW w:type="dxa" w:w="2880"/>
          </w:tcPr>
          <w:p>
            <w:pPr>
              <w:spacing w:after="20"/>
              <w:jc w:val="right"/>
            </w:pPr>
            <w:r>
              <w:rPr>
                <w:color w:val="1C3A36"/>
                <w:sz w:val="17"/>
              </w:rPr>
              <w:t>P/B ~1.0–1.8× on mid-teens ROE</w:t>
            </w:r>
          </w:p>
        </w:tc>
      </w:tr>
      <w:tr>
        <w:tc>
          <w:tcPr>
            <w:tcW w:type="dxa" w:w="2736"/>
          </w:tcPr>
          <w:p>
            <w:pPr>
              <w:spacing w:after="20"/>
            </w:pPr>
            <w:r>
              <w:rPr>
                <w:b/>
                <w:color w:val="1C3A36"/>
                <w:sz w:val="17"/>
              </w:rPr>
              <w:t>Fintech associate</w:t>
            </w:r>
          </w:p>
        </w:tc>
        <w:tc>
          <w:tcPr>
            <w:tcW w:type="dxa" w:w="4464"/>
          </w:tcPr>
          <w:p>
            <w:pPr>
              <w:spacing w:after="20"/>
              <w:jc w:val="right"/>
            </w:pPr>
            <w:r>
              <w:rPr>
                <w:color w:val="1C3A36"/>
                <w:sz w:val="17"/>
              </w:rPr>
              <w:t>Fawry (FWRY), e-Finance (EFIH); MNT-Halan private rounds</w:t>
            </w:r>
          </w:p>
        </w:tc>
        <w:tc>
          <w:tcPr>
            <w:tcW w:type="dxa" w:w="2880"/>
          </w:tcPr>
          <w:p>
            <w:pPr>
              <w:spacing w:after="20"/>
              <w:jc w:val="right"/>
            </w:pPr>
            <w:r>
              <w:rPr>
                <w:color w:val="1C3A36"/>
                <w:sz w:val="17"/>
              </w:rPr>
              <w:t>Private marks; last round USD 1.4 bn</w:t>
            </w:r>
          </w:p>
        </w:tc>
      </w:tr>
    </w:tbl>
    <w:p>
      <w:pPr>
        <w:spacing w:after="40"/>
      </w:pPr>
    </w:p>
    <w:p>
      <w:pPr>
        <w:spacing w:after="120" w:before="0"/>
      </w:pPr>
      <w:r>
        <w:rPr>
          <w:b w:val="0"/>
          <w:i w:val="0"/>
          <w:color w:val="1C3A36"/>
          <w:sz w:val="21"/>
        </w:rPr>
        <w:t>Sector structure. Egypt’s PC market is in a policy-assisted recovery (~210k registrations in 2025, +40% y/y) with the CBE easing cycle restoring affordability, localization incentives reshaping the CKD/CBU mix, and Chinese entrants (BYD) resetting price points. Consumer and SME finance is growing faster than banking credit off a low base, with securitization deepening as a funding market. Principal risks: a structurally higher working-capital intensity; a renewed EGP devaluation; regional conflict freezing Iraq/Jordan; BYD-led price competition; credit-cycle deterioration in the lending book; a private-market re-price of MNT-Halan; and execution on Sadat.</w:t>
      </w:r>
    </w:p>
    <w:p>
      <w:pPr>
        <w:spacing w:after="120" w:before="280"/>
      </w:pPr>
      <w:r>
        <w:rPr>
          <w:b/>
          <w:i w:val="0"/>
          <w:color w:val="1C3A36"/>
          <w:sz w:val="30"/>
        </w:rPr>
        <w:t>Appendix D  The expert valuation panel</w:t>
      </w:r>
    </w:p>
    <w:p>
      <w:pPr>
        <w:spacing w:after="120" w:before="0"/>
      </w:pPr>
      <w:r>
        <w:rPr>
          <w:b w:val="0"/>
          <w:i w:val="0"/>
          <w:color w:val="1C3A36"/>
          <w:sz w:val="21"/>
        </w:rPr>
        <w:t>Every Testahil study closes with a panel of standing expert personas — drawn from the house Expert Persona Library, not invented for the occasion, so that each accumulates a track record across studies and a quarterly update is a re-run, not a re-training. For GBCO we cast the industrial trio, adding the cash-returns lens because the name is capital-heavy: Expert 1 (the accountant — split-legs NAV and the marks), Expert 2 (earnings power — normalized mid-cycle earnings and multiples), Expert 3 (cash returns — return on capital against its cost). Each runs a different method, derives its fair value from shown workings, and states a falsification condition. The macro-policy lens — rates, the pound, the region — runs through the body (§1.8, §5) rather than as a separate persona.</w:t>
      </w:r>
    </w:p>
    <w:p>
      <w:pPr>
        <w:spacing w:after="80" w:before="200"/>
      </w:pPr>
      <w:r>
        <w:rPr>
          <w:b/>
          <w:i w:val="0"/>
          <w:color w:val="1C3A36"/>
          <w:sz w:val="24"/>
        </w:rPr>
        <w:t>D.1  Expert 1 — the split-legs NAV and the marks</w:t>
      </w:r>
    </w:p>
    <w:p>
      <w:pPr>
        <w:spacing w:after="120" w:before="0"/>
      </w:pPr>
      <w:r>
        <w:rPr>
          <w:b w:val="0"/>
          <w:i w:val="0"/>
          <w:color w:val="1C3A36"/>
          <w:sz w:val="19"/>
        </w:rPr>
        <w:t>Worldview. A group is worth the sum of its parts at realizable value, less a discount for the wrapper. Mark each leg to what it would fetch on its own; then argue only about the discount.</w:t>
      </w:r>
    </w:p>
    <w:p>
      <w:pPr>
        <w:spacing w:after="120" w:before="0"/>
      </w:pPr>
      <w:r>
        <w:rPr>
          <w:b w:val="0"/>
          <w:i w:val="0"/>
          <w:color w:val="1C3A36"/>
          <w:sz w:val="19"/>
        </w:rPr>
        <w:t>When it works / fails. Best where the legs are separable and independently markable (they are here: a DCF-able operator, a bookable lender, a just-priced associate); fails when a private mark is stale or the legs share a balance sheet more than the accounts admit.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336"/>
            <w:shd w:val="clear" w:color="auto" w:fill="EAF0EE"/>
          </w:tcPr>
          <w:p>
            <w:pPr>
              <w:spacing w:after="20"/>
            </w:pPr>
            <w:r>
              <w:rPr>
                <w:b/>
                <w:color w:val="1C3A36"/>
                <w:sz w:val="18"/>
              </w:rPr>
              <w:t>Expert 1’s marks (EGP mn)</w:t>
            </w:r>
          </w:p>
        </w:tc>
        <w:tc>
          <w:tcPr>
            <w:tcW w:type="dxa" w:w="2448"/>
            <w:shd w:val="clear" w:color="auto" w:fill="EAF0EE"/>
          </w:tcPr>
          <w:p>
            <w:pPr>
              <w:spacing w:after="20"/>
            </w:pPr>
            <w:r>
              <w:rPr>
                <w:b/>
                <w:color w:val="1C3A36"/>
                <w:sz w:val="18"/>
              </w:rPr>
              <w:t>Value</w:t>
            </w:r>
          </w:p>
        </w:tc>
      </w:tr>
      <w:tr>
        <w:tc>
          <w:tcPr>
            <w:tcW w:type="dxa" w:w="6336"/>
          </w:tcPr>
          <w:p>
            <w:pPr>
              <w:spacing w:after="20"/>
            </w:pPr>
            <w:r>
              <w:rPr>
                <w:b/>
                <w:color w:val="1C3A36"/>
                <w:sz w:val="18"/>
              </w:rPr>
              <w:t>Auto leg (accepts the §1.2 DCF)</w:t>
            </w:r>
          </w:p>
        </w:tc>
        <w:tc>
          <w:tcPr>
            <w:tcW w:type="dxa" w:w="2448"/>
          </w:tcPr>
          <w:p>
            <w:pPr>
              <w:spacing w:after="20"/>
              <w:jc w:val="right"/>
            </w:pPr>
            <w:r>
              <w:rPr>
                <w:color w:val="1C3A36"/>
                <w:sz w:val="18"/>
              </w:rPr>
              <w:t>11,388</w:t>
            </w:r>
          </w:p>
        </w:tc>
      </w:tr>
      <w:tr>
        <w:tc>
          <w:tcPr>
            <w:tcW w:type="dxa" w:w="6336"/>
          </w:tcPr>
          <w:p>
            <w:pPr>
              <w:spacing w:after="20"/>
            </w:pPr>
            <w:r>
              <w:rPr>
                <w:b/>
                <w:color w:val="1C3A36"/>
                <w:sz w:val="18"/>
              </w:rPr>
              <w:t>GB Capital at 1.0× adjusted book</w:t>
            </w:r>
          </w:p>
        </w:tc>
        <w:tc>
          <w:tcPr>
            <w:tcW w:type="dxa" w:w="2448"/>
          </w:tcPr>
          <w:p>
            <w:pPr>
              <w:spacing w:after="20"/>
              <w:jc w:val="right"/>
            </w:pPr>
            <w:r>
              <w:rPr>
                <w:color w:val="1C3A36"/>
                <w:sz w:val="18"/>
              </w:rPr>
              <w:t>9,500</w:t>
            </w:r>
          </w:p>
        </w:tc>
      </w:tr>
      <w:tr>
        <w:tc>
          <w:tcPr>
            <w:tcW w:type="dxa" w:w="6336"/>
          </w:tcPr>
          <w:p>
            <w:pPr>
              <w:spacing w:after="20"/>
            </w:pPr>
            <w:r>
              <w:rPr>
                <w:b/>
                <w:color w:val="1C3A36"/>
                <w:sz w:val="18"/>
              </w:rPr>
              <w:t>Associates: MNT-Halan 13,300 (~20% est. × USD 1.4 bn) + other 390</w:t>
            </w:r>
          </w:p>
        </w:tc>
        <w:tc>
          <w:tcPr>
            <w:tcW w:type="dxa" w:w="2448"/>
          </w:tcPr>
          <w:p>
            <w:pPr>
              <w:spacing w:after="20"/>
              <w:jc w:val="right"/>
            </w:pPr>
            <w:r>
              <w:rPr>
                <w:color w:val="1C3A36"/>
                <w:sz w:val="18"/>
              </w:rPr>
              <w:t>13,690</w:t>
            </w:r>
          </w:p>
        </w:tc>
      </w:tr>
      <w:tr>
        <w:tc>
          <w:tcPr>
            <w:tcW w:type="dxa" w:w="6336"/>
          </w:tcPr>
          <w:p>
            <w:pPr>
              <w:spacing w:after="20"/>
            </w:pPr>
            <w:r>
              <w:rPr>
                <w:b/>
                <w:color w:val="1C3A36"/>
                <w:sz w:val="18"/>
              </w:rPr>
              <w:t>Σ = EGP 31.9/share pre-discount</w:t>
            </w:r>
          </w:p>
        </w:tc>
        <w:tc>
          <w:tcPr>
            <w:tcW w:type="dxa" w:w="2448"/>
          </w:tcPr>
          <w:p>
            <w:pPr>
              <w:spacing w:after="20"/>
              <w:jc w:val="right"/>
            </w:pPr>
            <w:r>
              <w:rPr>
                <w:color w:val="1C3A36"/>
                <w:sz w:val="18"/>
              </w:rPr>
              <w:t>34,577</w:t>
            </w:r>
          </w:p>
        </w:tc>
      </w:tr>
      <w:tr>
        <w:tc>
          <w:tcPr>
            <w:tcW w:type="dxa" w:w="6336"/>
          </w:tcPr>
          <w:p>
            <w:pPr>
              <w:spacing w:after="20"/>
            </w:pPr>
            <w:r>
              <w:rPr>
                <w:b/>
                <w:color w:val="1C3A36"/>
                <w:sz w:val="18"/>
              </w:rPr>
              <w:t>Fair wrapper discount 8% (operator, not a passive holdco)</w:t>
            </w:r>
          </w:p>
        </w:tc>
        <w:tc>
          <w:tcPr>
            <w:tcW w:type="dxa" w:w="2448"/>
          </w:tcPr>
          <w:p>
            <w:pPr>
              <w:spacing w:after="20"/>
              <w:jc w:val="right"/>
            </w:pPr>
            <w:r>
              <w:rPr>
                <w:color w:val="1C3A36"/>
                <w:sz w:val="18"/>
              </w:rPr>
              <w:t>→ EGP 29.3/share</w:t>
            </w:r>
          </w:p>
        </w:tc>
      </w:tr>
    </w:tbl>
    <w:p>
      <w:pPr>
        <w:spacing w:after="40"/>
      </w:pPr>
    </w:p>
    <w:p>
      <w:pPr>
        <w:spacing w:after="120" w:before="0"/>
      </w:pPr>
      <w:r>
        <w:rPr>
          <w:b w:val="0"/>
          <w:i w:val="0"/>
          <w:color w:val="1C3A36"/>
          <w:sz w:val="19"/>
        </w:rPr>
        <w:t>Sensitivity (swing = the discount): at 0% EGP 31.9; at 15%, 27.1; at 20%, 25.5. Cross-examination: he tells Expert 2 that capitalizing mid-cycle earnings double-counts assets he has already marked at full value; he tells Expert 3 that punishing the Auto leg for working capital while crediting the lender book at 1× is applying two different standards to the same balance sheet.</w:t>
      </w:r>
    </w:p>
    <w:p>
      <w:pPr>
        <w:spacing w:after="120" w:before="0"/>
      </w:pPr>
      <w:r>
        <w:rPr>
          <w:b/>
          <w:i w:val="0"/>
          <w:color w:val="1C3A36"/>
          <w:sz w:val="19"/>
        </w:rPr>
        <w:t xml:space="preserve">Verdict, falsification, market-implied. </w:t>
      </w:r>
      <w:r>
        <w:rPr>
          <w:b w:val="0"/>
          <w:i w:val="0"/>
          <w:color w:val="1C3A36"/>
          <w:sz w:val="19"/>
        </w:rPr>
        <w:t>Fair EGP 29.3 (range ~24–37). Falsified if a mark proves illusory — above all if the MNT-Halan second closing re-prices below USD 1.4 bn, or the lender’s NPLs breach ~5%. The market price implies a ~2% discount to his NAV — tighter than his 8%; on his method the stock is a shade rich.</w:t>
      </w:r>
    </w:p>
    <w:p>
      <w:pPr>
        <w:spacing w:after="80" w:before="200"/>
      </w:pPr>
      <w:r>
        <w:rPr>
          <w:b/>
          <w:i w:val="0"/>
          <w:color w:val="1C3A36"/>
          <w:sz w:val="24"/>
        </w:rPr>
        <w:t>D.2  Expert 2 — normalized earnings power</w:t>
      </w:r>
    </w:p>
    <w:p>
      <w:pPr>
        <w:spacing w:after="120" w:before="0"/>
      </w:pPr>
      <w:r>
        <w:rPr>
          <w:b w:val="0"/>
          <w:i w:val="0"/>
          <w:color w:val="1C3A36"/>
          <w:sz w:val="19"/>
        </w:rPr>
        <w:t>Worldview. An operating business is worth a fair multiple of its sustainable mid-cycle earnings; peaks (FY24’s FX windfall) and troughs (FY23) are noise to be stripped out.</w:t>
      </w:r>
    </w:p>
    <w:p>
      <w:pPr>
        <w:spacing w:after="120" w:before="0"/>
      </w:pPr>
      <w:r>
        <w:rPr>
          <w:b w:val="0"/>
          <w:i w:val="0"/>
          <w:color w:val="1C3A36"/>
          <w:sz w:val="19"/>
        </w:rPr>
        <w:t>When it works / fails. Best with a through-cycle record (three disclosed years spanning trough, windfall and normalization is workable); fails at structural breaks — if BYD resets Egyptian ASPs permanently, his normalization is simply wrong.</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336"/>
            <w:shd w:val="clear" w:color="auto" w:fill="EAF0EE"/>
          </w:tcPr>
          <w:p>
            <w:pPr>
              <w:spacing w:after="20"/>
            </w:pPr>
            <w:r>
              <w:rPr>
                <w:b/>
                <w:color w:val="1C3A36"/>
                <w:sz w:val="18"/>
              </w:rPr>
              <w:t>Expert 2’s normalization</w:t>
            </w:r>
          </w:p>
        </w:tc>
        <w:tc>
          <w:tcPr>
            <w:tcW w:type="dxa" w:w="2448"/>
            <w:shd w:val="clear" w:color="auto" w:fill="EAF0EE"/>
          </w:tcPr>
          <w:p>
            <w:pPr>
              <w:spacing w:after="20"/>
            </w:pPr>
            <w:r>
              <w:rPr>
                <w:b/>
                <w:color w:val="1C3A36"/>
                <w:sz w:val="18"/>
              </w:rPr>
              <w:t>Value</w:t>
            </w:r>
          </w:p>
        </w:tc>
      </w:tr>
      <w:tr>
        <w:tc>
          <w:tcPr>
            <w:tcW w:type="dxa" w:w="6336"/>
          </w:tcPr>
          <w:p>
            <w:pPr>
              <w:spacing w:after="20"/>
            </w:pPr>
            <w:r>
              <w:rPr>
                <w:b/>
                <w:color w:val="1C3A36"/>
                <w:sz w:val="18"/>
              </w:rPr>
              <w:t>Mid-cycle group PAT (EGP mn)</w:t>
            </w:r>
          </w:p>
        </w:tc>
        <w:tc>
          <w:tcPr>
            <w:tcW w:type="dxa" w:w="2448"/>
          </w:tcPr>
          <w:p>
            <w:pPr>
              <w:spacing w:after="20"/>
              <w:jc w:val="right"/>
            </w:pPr>
            <w:r>
              <w:rPr>
                <w:color w:val="1C3A36"/>
                <w:sz w:val="18"/>
              </w:rPr>
              <w:t>4,200</w:t>
            </w:r>
          </w:p>
        </w:tc>
      </w:tr>
      <w:tr>
        <w:tc>
          <w:tcPr>
            <w:tcW w:type="dxa" w:w="6336"/>
          </w:tcPr>
          <w:p>
            <w:pPr>
              <w:spacing w:after="20"/>
            </w:pPr>
            <w:r>
              <w:rPr>
                <w:b/>
                <w:color w:val="1C3A36"/>
                <w:sz w:val="18"/>
              </w:rPr>
              <w:t>Shares (mn) → normalized EPS</w:t>
            </w:r>
          </w:p>
        </w:tc>
        <w:tc>
          <w:tcPr>
            <w:tcW w:type="dxa" w:w="2448"/>
          </w:tcPr>
          <w:p>
            <w:pPr>
              <w:spacing w:after="20"/>
              <w:jc w:val="right"/>
            </w:pPr>
            <w:r>
              <w:rPr>
                <w:color w:val="1C3A36"/>
                <w:sz w:val="18"/>
              </w:rPr>
              <w:t>1,085.5 → EGP 3.87</w:t>
            </w:r>
          </w:p>
        </w:tc>
      </w:tr>
      <w:tr>
        <w:tc>
          <w:tcPr>
            <w:tcW w:type="dxa" w:w="6336"/>
          </w:tcPr>
          <w:p>
            <w:pPr>
              <w:spacing w:after="20"/>
            </w:pPr>
            <w:r>
              <w:rPr>
                <w:b/>
                <w:color w:val="1C3A36"/>
                <w:sz w:val="18"/>
              </w:rPr>
              <w:t>Justified through-cycle P/E (EM auto + NBFI blend)</w:t>
            </w:r>
          </w:p>
        </w:tc>
        <w:tc>
          <w:tcPr>
            <w:tcW w:type="dxa" w:w="2448"/>
          </w:tcPr>
          <w:p>
            <w:pPr>
              <w:spacing w:after="20"/>
              <w:jc w:val="right"/>
            </w:pPr>
            <w:r>
              <w:rPr>
                <w:color w:val="1C3A36"/>
                <w:sz w:val="18"/>
              </w:rPr>
              <w:t>8.5×</w:t>
            </w:r>
          </w:p>
        </w:tc>
      </w:tr>
      <w:tr>
        <w:tc>
          <w:tcPr>
            <w:tcW w:type="dxa" w:w="6336"/>
          </w:tcPr>
          <w:p>
            <w:pPr>
              <w:spacing w:after="20"/>
            </w:pPr>
            <w:r>
              <w:rPr>
                <w:b/>
                <w:color w:val="1C3A36"/>
                <w:sz w:val="18"/>
              </w:rPr>
              <w:t>Fair value</w:t>
            </w:r>
          </w:p>
        </w:tc>
        <w:tc>
          <w:tcPr>
            <w:tcW w:type="dxa" w:w="2448"/>
          </w:tcPr>
          <w:p>
            <w:pPr>
              <w:spacing w:after="20"/>
              <w:jc w:val="right"/>
            </w:pPr>
            <w:r>
              <w:rPr>
                <w:color w:val="1C3A36"/>
                <w:sz w:val="18"/>
              </w:rPr>
              <w:t>→ EGP 32.9/share</w:t>
            </w:r>
          </w:p>
        </w:tc>
      </w:tr>
    </w:tbl>
    <w:p>
      <w:pPr>
        <w:spacing w:after="40"/>
      </w:pPr>
    </w:p>
    <w:p>
      <w:pPr>
        <w:spacing w:after="120" w:before="0"/>
      </w:pPr>
      <w:r>
        <w:rPr>
          <w:b w:val="0"/>
          <w:i w:val="0"/>
          <w:color w:val="1C3A36"/>
          <w:sz w:val="19"/>
        </w:rPr>
        <w:t>Sensitivity (swing = the multiple / the margin): at 7.5× EGP 29.0; at 9.5×, 36.8; a 1-pt miss on mid-cycle Auto GPM costs ~EGP 2.5. Cross-examination: he tells Expert 1 that an NAV struck off a trough-margin DCF understates a business whose volumes are still mid-cycle; he tells Expert 3 that cash-conversion pessimism ignores that working capital is a stock, not a perpetual flow — it releases exactly when growth normalizes.</w:t>
      </w:r>
    </w:p>
    <w:p>
      <w:pPr>
        <w:spacing w:after="120" w:before="0"/>
      </w:pPr>
      <w:r>
        <w:rPr>
          <w:b/>
          <w:i w:val="0"/>
          <w:color w:val="1C3A36"/>
          <w:sz w:val="19"/>
        </w:rPr>
        <w:t xml:space="preserve">Verdict, falsification, market-implied. </w:t>
      </w:r>
      <w:r>
        <w:rPr>
          <w:b w:val="0"/>
          <w:i w:val="0"/>
          <w:color w:val="1C3A36"/>
          <w:sz w:val="19"/>
        </w:rPr>
        <w:t>Fair EGP 32.9 (range 25–42) — the most bullish. Falsified by Auto gross margin stuck below ~13% through FY27, or the Egyptian PC market rolling over. The market implies normalized earnings ~5% below his: it mostly believes him.</w:t>
      </w:r>
    </w:p>
    <w:p>
      <w:pPr>
        <w:spacing w:after="80" w:before="200"/>
      </w:pPr>
      <w:r>
        <w:rPr>
          <w:b/>
          <w:i w:val="0"/>
          <w:color w:val="1C3A36"/>
          <w:sz w:val="24"/>
        </w:rPr>
        <w:t>D.3  Expert 3 — cash returns: ROCE against the cost of capital</w:t>
      </w:r>
    </w:p>
    <w:p>
      <w:pPr>
        <w:spacing w:after="120" w:before="0"/>
      </w:pPr>
      <w:r>
        <w:rPr>
          <w:b w:val="0"/>
          <w:i w:val="0"/>
          <w:color w:val="1C3A36"/>
          <w:sz w:val="19"/>
        </w:rPr>
        <w:t>Worldview. A business creates value only when each pound of capital earns above its cost, in cash. He looks past the income statement to the economic-profit spread — and past reported returns to returns ex one-offs.</w:t>
      </w:r>
    </w:p>
    <w:p>
      <w:pPr>
        <w:spacing w:after="120" w:before="0"/>
      </w:pPr>
      <w:r>
        <w:rPr>
          <w:b w:val="0"/>
          <w:i w:val="0"/>
          <w:color w:val="1C3A36"/>
          <w:sz w:val="19"/>
        </w:rPr>
        <w:t>When it works / fails. Best for capital-intensive compounders where the reinvestment spread is the story; fails where the capital base is temporarily inflated by a one-off build (his own caveat here: FY25’s WC bulge may be exactly that).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336"/>
            <w:shd w:val="clear" w:color="auto" w:fill="EAF0EE"/>
          </w:tcPr>
          <w:p>
            <w:pPr>
              <w:spacing w:after="20"/>
            </w:pPr>
            <w:r>
              <w:rPr>
                <w:b/>
                <w:color w:val="1C3A36"/>
                <w:sz w:val="18"/>
              </w:rPr>
              <w:t>Expert 3’s economic-profit test</w:t>
            </w:r>
          </w:p>
        </w:tc>
        <w:tc>
          <w:tcPr>
            <w:tcW w:type="dxa" w:w="2448"/>
            <w:shd w:val="clear" w:color="auto" w:fill="EAF0EE"/>
          </w:tcPr>
          <w:p>
            <w:pPr>
              <w:spacing w:after="20"/>
            </w:pPr>
            <w:r>
              <w:rPr>
                <w:b/>
                <w:color w:val="1C3A36"/>
                <w:sz w:val="18"/>
              </w:rPr>
              <w:t>Value</w:t>
            </w:r>
          </w:p>
        </w:tc>
      </w:tr>
      <w:tr>
        <w:tc>
          <w:tcPr>
            <w:tcW w:type="dxa" w:w="6336"/>
          </w:tcPr>
          <w:p>
            <w:pPr>
              <w:spacing w:after="20"/>
            </w:pPr>
            <w:r>
              <w:rPr>
                <w:b/>
                <w:color w:val="1C3A36"/>
                <w:sz w:val="18"/>
              </w:rPr>
              <w:t>Auto capital employed (FY25)</w:t>
            </w:r>
          </w:p>
        </w:tc>
        <w:tc>
          <w:tcPr>
            <w:tcW w:type="dxa" w:w="2448"/>
          </w:tcPr>
          <w:p>
            <w:pPr>
              <w:spacing w:after="20"/>
              <w:jc w:val="right"/>
            </w:pPr>
            <w:r>
              <w:rPr>
                <w:color w:val="1C3A36"/>
                <w:sz w:val="18"/>
              </w:rPr>
              <w:t>28,513</w:t>
            </w:r>
          </w:p>
        </w:tc>
      </w:tr>
      <w:tr>
        <w:tc>
          <w:tcPr>
            <w:tcW w:type="dxa" w:w="6336"/>
          </w:tcPr>
          <w:p>
            <w:pPr>
              <w:spacing w:after="20"/>
            </w:pPr>
            <w:r>
              <w:rPr>
                <w:b/>
                <w:color w:val="1C3A36"/>
                <w:sz w:val="18"/>
              </w:rPr>
              <w:t>Auto ROCE — FY25 vs FY23/24</w:t>
            </w:r>
          </w:p>
        </w:tc>
        <w:tc>
          <w:tcPr>
            <w:tcW w:type="dxa" w:w="2448"/>
          </w:tcPr>
          <w:p>
            <w:pPr>
              <w:spacing w:after="20"/>
              <w:jc w:val="right"/>
            </w:pPr>
            <w:r>
              <w:rPr>
                <w:color w:val="1C3A36"/>
                <w:sz w:val="18"/>
              </w:rPr>
              <w:t>21.3% vs 35.9% / 31.5%</w:t>
            </w:r>
          </w:p>
        </w:tc>
      </w:tr>
      <w:tr>
        <w:tc>
          <w:tcPr>
            <w:tcW w:type="dxa" w:w="6336"/>
          </w:tcPr>
          <w:p>
            <w:pPr>
              <w:spacing w:after="20"/>
            </w:pPr>
            <w:r>
              <w:rPr>
                <w:b/>
                <w:color w:val="1C3A36"/>
                <w:sz w:val="18"/>
              </w:rPr>
              <w:t>WACC (his hurdle)</w:t>
            </w:r>
          </w:p>
        </w:tc>
        <w:tc>
          <w:tcPr>
            <w:tcW w:type="dxa" w:w="2448"/>
          </w:tcPr>
          <w:p>
            <w:pPr>
              <w:spacing w:after="20"/>
              <w:jc w:val="right"/>
            </w:pPr>
            <w:r>
              <w:rPr>
                <w:color w:val="1C3A36"/>
                <w:sz w:val="18"/>
              </w:rPr>
              <w:t>~22%</w:t>
            </w:r>
          </w:p>
        </w:tc>
      </w:tr>
      <w:tr>
        <w:tc>
          <w:tcPr>
            <w:tcW w:type="dxa" w:w="6336"/>
          </w:tcPr>
          <w:p>
            <w:pPr>
              <w:spacing w:after="20"/>
            </w:pPr>
            <w:r>
              <w:rPr>
                <w:b/>
                <w:color w:val="1C3A36"/>
                <w:sz w:val="18"/>
              </w:rPr>
              <w:t>Spread ≈ nil ⇒ Auto EV ≈ 0.9× CE</w:t>
            </w:r>
          </w:p>
        </w:tc>
        <w:tc>
          <w:tcPr>
            <w:tcW w:type="dxa" w:w="2448"/>
          </w:tcPr>
          <w:p>
            <w:pPr>
              <w:spacing w:after="20"/>
              <w:jc w:val="right"/>
            </w:pPr>
            <w:r>
              <w:rPr>
                <w:color w:val="1C3A36"/>
                <w:sz w:val="18"/>
              </w:rPr>
              <w:t>25,662 → equity 9,652</w:t>
            </w:r>
          </w:p>
        </w:tc>
      </w:tr>
      <w:tr>
        <w:tc>
          <w:tcPr>
            <w:tcW w:type="dxa" w:w="6336"/>
          </w:tcPr>
          <w:p>
            <w:pPr>
              <w:spacing w:after="20"/>
            </w:pPr>
            <w:r>
              <w:rPr>
                <w:b/>
                <w:color w:val="1C3A36"/>
                <w:sz w:val="18"/>
              </w:rPr>
              <w:t>Lender at 0.9× book · associate at 0.85× (private-mark haircut)</w:t>
            </w:r>
          </w:p>
        </w:tc>
        <w:tc>
          <w:tcPr>
            <w:tcW w:type="dxa" w:w="2448"/>
          </w:tcPr>
          <w:p>
            <w:pPr>
              <w:spacing w:after="20"/>
              <w:jc w:val="right"/>
            </w:pPr>
            <w:r>
              <w:rPr>
                <w:color w:val="1C3A36"/>
                <w:sz w:val="18"/>
              </w:rPr>
              <w:t>8,550 · 11,636</w:t>
            </w:r>
          </w:p>
        </w:tc>
      </w:tr>
      <w:tr>
        <w:tc>
          <w:tcPr>
            <w:tcW w:type="dxa" w:w="6336"/>
          </w:tcPr>
          <w:p>
            <w:pPr>
              <w:spacing w:after="20"/>
            </w:pPr>
            <w:r>
              <w:rPr>
                <w:b/>
                <w:color w:val="1C3A36"/>
                <w:sz w:val="18"/>
              </w:rPr>
              <w:t>GB Capital ROAE, headline vs adjusted (one-off stripped)</w:t>
            </w:r>
          </w:p>
        </w:tc>
        <w:tc>
          <w:tcPr>
            <w:tcW w:type="dxa" w:w="2448"/>
          </w:tcPr>
          <w:p>
            <w:pPr>
              <w:spacing w:after="20"/>
              <w:jc w:val="right"/>
            </w:pPr>
            <w:r>
              <w:rPr>
                <w:color w:val="1C3A36"/>
                <w:sz w:val="18"/>
              </w:rPr>
              <w:t>7.9% vs 15.1%</w:t>
            </w:r>
          </w:p>
        </w:tc>
      </w:tr>
      <w:tr>
        <w:tc>
          <w:tcPr>
            <w:tcW w:type="dxa" w:w="6336"/>
          </w:tcPr>
          <w:p>
            <w:pPr>
              <w:spacing w:after="20"/>
            </w:pPr>
            <w:r>
              <w:rPr>
                <w:b/>
                <w:color w:val="1C3A36"/>
                <w:sz w:val="18"/>
              </w:rPr>
              <w:t>Fair value</w:t>
            </w:r>
          </w:p>
        </w:tc>
        <w:tc>
          <w:tcPr>
            <w:tcW w:type="dxa" w:w="2448"/>
          </w:tcPr>
          <w:p>
            <w:pPr>
              <w:spacing w:after="20"/>
              <w:jc w:val="right"/>
            </w:pPr>
            <w:r>
              <w:rPr>
                <w:color w:val="1C3A36"/>
                <w:sz w:val="18"/>
              </w:rPr>
              <w:t>→ EGP 27.5/share</w:t>
            </w:r>
          </w:p>
        </w:tc>
      </w:tr>
    </w:tbl>
    <w:p>
      <w:pPr>
        <w:spacing w:after="40"/>
      </w:pPr>
    </w:p>
    <w:p>
      <w:pPr>
        <w:spacing w:after="120" w:before="0"/>
      </w:pPr>
      <w:r>
        <w:rPr>
          <w:b w:val="0"/>
          <w:i w:val="0"/>
          <w:color w:val="1C3A36"/>
          <w:sz w:val="19"/>
        </w:rPr>
        <w:t>Sensitivity (swing = the ROCE fade): if ROCE re-approaches 30% as WC releases, his Auto mark rises to ~1.1× CE and his fair value to ~EGP 31; if 21% is the new normal against a 22% hurdle, he stands. Cross-examination: he tells Expert 2 that mid-cycle earnings without the capital cost to hold them is a half-truth — FY25 grew profit 49% in revenue terms and consumed EGP 8 bn doing it; he tells Expert 1 that a discount debate is premature until the parts prove they earn their keep.</w:t>
      </w:r>
    </w:p>
    <w:p>
      <w:pPr>
        <w:spacing w:after="120" w:before="0"/>
      </w:pPr>
      <w:r>
        <w:rPr>
          <w:b/>
          <w:i w:val="0"/>
          <w:color w:val="1C3A36"/>
          <w:sz w:val="19"/>
        </w:rPr>
        <w:t xml:space="preserve">Verdict, falsification, market-implied. </w:t>
      </w:r>
      <w:r>
        <w:rPr>
          <w:b w:val="0"/>
          <w:i w:val="0"/>
          <w:color w:val="1C3A36"/>
          <w:sz w:val="19"/>
        </w:rPr>
        <w:t>Fair EGP 27.5 (range ~22–33) — the most cautious: fairly valued with no margin of safety. Falsified by a durable ROCE recovery above ~28–30% with working capital normalizing — the FY23–24 configuration re-established. The market price sits ~14% above his number: on a cash-returns basis, the market is paying ahead of the proof.</w:t>
      </w:r>
    </w:p>
    <w:p>
      <w:pPr>
        <w:spacing w:after="80" w:before="200"/>
      </w:pPr>
      <w:r>
        <w:rPr>
          <w:b/>
          <w:i w:val="0"/>
          <w:color w:val="1C3A36"/>
          <w:sz w:val="24"/>
        </w:rPr>
        <w:t>D.5  The three in one room</w:t>
      </w:r>
    </w:p>
    <w:p>
      <w:pPr>
        <w:spacing w:after="120" w:before="0"/>
      </w:pPr>
      <w:r>
        <w:rPr>
          <w:b w:val="0"/>
          <w:i w:val="0"/>
          <w:color w:val="1C3A36"/>
          <w:sz w:val="19"/>
        </w:rPr>
        <w:t>The single thing they most disagree on is the Auto leg’s working capital — whether the EGP 18.9 bn tied up at year-end is a temporary stock or a permanent cost of doing business.</w:t>
      </w:r>
    </w:p>
    <w:p>
      <w:pPr>
        <w:spacing w:after="120" w:before="0"/>
      </w:pPr>
      <w:r>
        <w:rPr>
          <w:b w:val="0"/>
          <w:i w:val="0"/>
          <w:color w:val="1C3A36"/>
          <w:sz w:val="19"/>
        </w:rPr>
        <w:t>Expert 2: “FY25 was a company doubling its volumes into a supply-constrained market. Of course the balance sheet bulged. Normalize the margin, let the volumes stand, and the group earns EGP 4.2 bn — the market pays eight times that.”</w:t>
      </w:r>
    </w:p>
    <w:p>
      <w:pPr>
        <w:spacing w:after="120" w:before="0"/>
      </w:pPr>
      <w:r>
        <w:rPr>
          <w:b w:val="0"/>
          <w:i w:val="0"/>
          <w:color w:val="1C3A36"/>
          <w:sz w:val="19"/>
        </w:rPr>
        <w:t>Expert 3: “And to earn it, the Auto business absorbed eight billion pounds of cash and tripled its net debt. Capitalize the earnings if you like — I subtract the capital that produces them. At a 21% return against a 22% hurdle, growth adds nothing until the working capital comes back out.”</w:t>
      </w:r>
    </w:p>
    <w:p>
      <w:pPr>
        <w:spacing w:after="120" w:before="0"/>
      </w:pPr>
      <w:r>
        <w:rPr>
          <w:b w:val="0"/>
          <w:i w:val="0"/>
          <w:color w:val="1C3A36"/>
          <w:sz w:val="19"/>
        </w:rPr>
        <w:t>Expert 1: “You are both arguing about one leg. Mark all three — the operator, the lender, the associate the market just priced at USD 1.4 bn — and the bundle is worth EGP 31.9 a share. The market pays 31.25. The argument left is the wrapper, and two points of discount is not much of an argument.”</w:t>
      </w:r>
    </w:p>
    <w:p>
      <w:pPr>
        <w:spacing w:after="80" w:before="200"/>
      </w:pPr>
      <w:r>
        <w:rPr>
          <w:b/>
          <w:i w:val="0"/>
          <w:color w:val="1C3A36"/>
          <w:sz w:val="24"/>
        </w:rPr>
        <w:t>D.6  Reading the divergence</w:t>
      </w:r>
    </w:p>
    <w:p>
      <w:pPr>
        <w:spacing w:after="40"/>
        <w:jc w:val="center"/>
      </w:pPr>
      <w:r>
        <w:drawing>
          <wp:inline xmlns:a="http://schemas.openxmlformats.org/drawingml/2006/main" xmlns:pic="http://schemas.openxmlformats.org/drawingml/2006/picture">
            <wp:extent cx="5486400" cy="1866507"/>
            <wp:docPr id="8" name="Picture 8"/>
            <wp:cNvGraphicFramePr>
              <a:graphicFrameLocks noChangeAspect="1"/>
            </wp:cNvGraphicFramePr>
            <a:graphic>
              <a:graphicData uri="http://schemas.openxmlformats.org/drawingml/2006/picture">
                <pic:pic>
                  <pic:nvPicPr>
                    <pic:cNvPr id="0" name="figD1_experts.png"/>
                    <pic:cNvPicPr/>
                  </pic:nvPicPr>
                  <pic:blipFill>
                    <a:blip r:embed="rId16"/>
                    <a:stretch>
                      <a:fillRect/>
                    </a:stretch>
                  </pic:blipFill>
                  <pic:spPr>
                    <a:xfrm>
                      <a:off x="0" y="0"/>
                      <a:ext cx="5486400" cy="1866507"/>
                    </a:xfrm>
                    <a:prstGeom prst="rect"/>
                  </pic:spPr>
                </pic:pic>
              </a:graphicData>
            </a:graphic>
          </wp:inline>
        </w:drawing>
      </w:r>
    </w:p>
    <w:p>
      <w:pPr>
        <w:spacing w:after="200" w:before="0"/>
      </w:pPr>
      <w:r>
        <w:rPr>
          <w:b w:val="0"/>
          <w:i/>
          <w:color w:val="6E7B77"/>
          <w:sz w:val="17"/>
        </w:rPr>
        <w:t>Figure D-1 — The three experts’ fair-value ranges. Brass ticks are base cases; the gold band is the panel centre; the light line is spot. The spread is almost entirely a cash-conversion disagreement.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1440"/>
            <w:shd w:val="clear" w:color="auto" w:fill="EAF0EE"/>
          </w:tcPr>
          <w:p>
            <w:pPr>
              <w:spacing w:after="20"/>
            </w:pPr>
            <w:r>
              <w:rPr>
                <w:b/>
                <w:color w:val="1C3A36"/>
                <w:sz w:val="18"/>
              </w:rPr>
              <w:t>Expert</w:t>
            </w:r>
          </w:p>
        </w:tc>
        <w:tc>
          <w:tcPr>
            <w:tcW w:type="dxa" w:w="3168"/>
            <w:shd w:val="clear" w:color="auto" w:fill="EAF0EE"/>
          </w:tcPr>
          <w:p>
            <w:pPr>
              <w:spacing w:after="20"/>
            </w:pPr>
            <w:r>
              <w:rPr>
                <w:b/>
                <w:color w:val="1C3A36"/>
                <w:sz w:val="18"/>
              </w:rPr>
              <w:t>Method</w:t>
            </w:r>
          </w:p>
        </w:tc>
        <w:tc>
          <w:tcPr>
            <w:tcW w:type="dxa" w:w="3600"/>
            <w:shd w:val="clear" w:color="auto" w:fill="EAF0EE"/>
          </w:tcPr>
          <w:p>
            <w:pPr>
              <w:spacing w:after="20"/>
            </w:pPr>
            <w:r>
              <w:rPr>
                <w:b/>
                <w:color w:val="1C3A36"/>
                <w:sz w:val="18"/>
              </w:rPr>
              <w:t>Single swing assumption</w:t>
            </w:r>
          </w:p>
        </w:tc>
        <w:tc>
          <w:tcPr>
            <w:tcW w:type="dxa" w:w="1872"/>
            <w:shd w:val="clear" w:color="auto" w:fill="EAF0EE"/>
          </w:tcPr>
          <w:p>
            <w:pPr>
              <w:spacing w:after="20"/>
            </w:pPr>
            <w:r>
              <w:rPr>
                <w:b/>
                <w:color w:val="1C3A36"/>
                <w:sz w:val="18"/>
              </w:rPr>
              <w:t>Base fair value</w:t>
            </w:r>
          </w:p>
        </w:tc>
      </w:tr>
      <w:tr>
        <w:tc>
          <w:tcPr>
            <w:tcW w:type="dxa" w:w="1440"/>
          </w:tcPr>
          <w:p>
            <w:pPr>
              <w:spacing w:after="20"/>
            </w:pPr>
            <w:r>
              <w:rPr>
                <w:b/>
                <w:color w:val="1C3A36"/>
                <w:sz w:val="18"/>
              </w:rPr>
              <w:t>Expert 1</w:t>
            </w:r>
          </w:p>
        </w:tc>
        <w:tc>
          <w:tcPr>
            <w:tcW w:type="dxa" w:w="3168"/>
          </w:tcPr>
          <w:p>
            <w:pPr>
              <w:spacing w:after="20"/>
              <w:jc w:val="right"/>
            </w:pPr>
            <w:r>
              <w:rPr>
                <w:color w:val="1C3A36"/>
                <w:sz w:val="18"/>
              </w:rPr>
              <w:t>Split-legs NAV</w:t>
            </w:r>
          </w:p>
        </w:tc>
        <w:tc>
          <w:tcPr>
            <w:tcW w:type="dxa" w:w="3600"/>
          </w:tcPr>
          <w:p>
            <w:pPr>
              <w:spacing w:after="20"/>
              <w:jc w:val="right"/>
            </w:pPr>
            <w:r>
              <w:rPr>
                <w:color w:val="1C3A36"/>
                <w:sz w:val="18"/>
              </w:rPr>
              <w:t>Fair wrapper discount (8%)</w:t>
            </w:r>
          </w:p>
        </w:tc>
        <w:tc>
          <w:tcPr>
            <w:tcW w:type="dxa" w:w="1872"/>
          </w:tcPr>
          <w:p>
            <w:pPr>
              <w:spacing w:after="20"/>
              <w:jc w:val="right"/>
            </w:pPr>
            <w:r>
              <w:rPr>
                <w:color w:val="1C3A36"/>
                <w:sz w:val="18"/>
              </w:rPr>
              <w:t>EGP 29.3</w:t>
            </w:r>
          </w:p>
        </w:tc>
      </w:tr>
      <w:tr>
        <w:tc>
          <w:tcPr>
            <w:tcW w:type="dxa" w:w="1440"/>
          </w:tcPr>
          <w:p>
            <w:pPr>
              <w:spacing w:after="20"/>
            </w:pPr>
            <w:r>
              <w:rPr>
                <w:b/>
                <w:color w:val="1C3A36"/>
                <w:sz w:val="18"/>
              </w:rPr>
              <w:t>Expert 2</w:t>
            </w:r>
          </w:p>
        </w:tc>
        <w:tc>
          <w:tcPr>
            <w:tcW w:type="dxa" w:w="3168"/>
          </w:tcPr>
          <w:p>
            <w:pPr>
              <w:spacing w:after="20"/>
              <w:jc w:val="right"/>
            </w:pPr>
            <w:r>
              <w:rPr>
                <w:color w:val="1C3A36"/>
                <w:sz w:val="18"/>
              </w:rPr>
              <w:t>Normalized earnings power</w:t>
            </w:r>
          </w:p>
        </w:tc>
        <w:tc>
          <w:tcPr>
            <w:tcW w:type="dxa" w:w="3600"/>
          </w:tcPr>
          <w:p>
            <w:pPr>
              <w:spacing w:after="20"/>
              <w:jc w:val="right"/>
            </w:pPr>
            <w:r>
              <w:rPr>
                <w:color w:val="1C3A36"/>
                <w:sz w:val="18"/>
              </w:rPr>
              <w:t>Mid-cycle PAT 4.2 bn × 8.5×</w:t>
            </w:r>
          </w:p>
        </w:tc>
        <w:tc>
          <w:tcPr>
            <w:tcW w:type="dxa" w:w="1872"/>
          </w:tcPr>
          <w:p>
            <w:pPr>
              <w:spacing w:after="20"/>
              <w:jc w:val="right"/>
            </w:pPr>
            <w:r>
              <w:rPr>
                <w:color w:val="1C3A36"/>
                <w:sz w:val="18"/>
              </w:rPr>
              <w:t>EGP 32.9</w:t>
            </w:r>
          </w:p>
        </w:tc>
      </w:tr>
      <w:tr>
        <w:tc>
          <w:tcPr>
            <w:tcW w:type="dxa" w:w="1440"/>
          </w:tcPr>
          <w:p>
            <w:pPr>
              <w:spacing w:after="20"/>
            </w:pPr>
            <w:r>
              <w:rPr>
                <w:b/>
                <w:color w:val="1C3A36"/>
                <w:sz w:val="18"/>
              </w:rPr>
              <w:t>Expert 3</w:t>
            </w:r>
          </w:p>
        </w:tc>
        <w:tc>
          <w:tcPr>
            <w:tcW w:type="dxa" w:w="3168"/>
          </w:tcPr>
          <w:p>
            <w:pPr>
              <w:spacing w:after="20"/>
              <w:jc w:val="right"/>
            </w:pPr>
            <w:r>
              <w:rPr>
                <w:color w:val="1C3A36"/>
                <w:sz w:val="18"/>
              </w:rPr>
              <w:t>Cash returns / ROCE vs WACC</w:t>
            </w:r>
          </w:p>
        </w:tc>
        <w:tc>
          <w:tcPr>
            <w:tcW w:type="dxa" w:w="3600"/>
          </w:tcPr>
          <w:p>
            <w:pPr>
              <w:spacing w:after="20"/>
              <w:jc w:val="right"/>
            </w:pPr>
            <w:r>
              <w:rPr>
                <w:color w:val="1C3A36"/>
                <w:sz w:val="18"/>
              </w:rPr>
              <w:t>ROCE fade to ~0.9× capital</w:t>
            </w:r>
          </w:p>
        </w:tc>
        <w:tc>
          <w:tcPr>
            <w:tcW w:type="dxa" w:w="1872"/>
          </w:tcPr>
          <w:p>
            <w:pPr>
              <w:spacing w:after="20"/>
              <w:jc w:val="right"/>
            </w:pPr>
            <w:r>
              <w:rPr>
                <w:color w:val="1C3A36"/>
                <w:sz w:val="18"/>
              </w:rPr>
              <w:t>EGP 27.5</w:t>
            </w:r>
          </w:p>
        </w:tc>
      </w:tr>
    </w:tbl>
    <w:p>
      <w:pPr>
        <w:spacing w:after="40"/>
      </w:pPr>
    </w:p>
    <w:p>
      <w:pPr>
        <w:spacing w:after="120" w:before="0"/>
      </w:pPr>
      <w:r>
        <w:rPr>
          <w:b w:val="0"/>
          <w:i w:val="0"/>
          <w:color w:val="1C3A36"/>
          <w:sz w:val="21"/>
        </w:rPr>
        <w:t>The spread — EGP 27.5 to 32.9 at base — is narrow for an EM cyclical, and it is almost entirely one disagreement: none of the three contests the volumes, the lender’s profitability, or the existence of the associate stake. What separates them is whether growth here converts to cash or consumes it. Expert 2 says the working capital releases (operating leverage); Expert 3 says prove it (the capital cost is the story); Expert 1 says the marks already settle it and only the wrapper is left to argue. The EGP 5.4 spread is therefore a clean measure of one uncertainty — the steady-state working-capital intensity of selling cars in Egypt. Resolve that, and the three converge.</w:t>
      </w:r>
    </w:p>
    <w:p>
      <w:pPr>
        <w:spacing w:after="200" w:before="0"/>
      </w:pPr>
      <w:r>
        <w:rPr>
          <w:b w:val="0"/>
          <w:i/>
          <w:color w:val="6E7B77"/>
          <w:sz w:val="17"/>
        </w:rPr>
        <w:t>Each expert’s point fair value (and bull/base/bear) is logged with the study date (8 Jul 2026) and spot (EGP 31.25) as an internal per-expert track record, kept separate from the core Calibration Ledger.</w:t>
      </w:r>
    </w:p>
    <w:p>
      <w:pPr>
        <w:spacing w:after="120" w:before="280"/>
      </w:pPr>
      <w:r>
        <w:rPr>
          <w:b/>
          <w:i w:val="0"/>
          <w:color w:val="1C3A36"/>
          <w:sz w:val="30"/>
        </w:rPr>
        <w:t>About this series</w:t>
      </w:r>
    </w:p>
    <w:p>
      <w:pPr>
        <w:spacing w:after="120" w:before="0"/>
      </w:pPr>
      <w:r>
        <w:rPr>
          <w:b w:val="0"/>
          <w:i w:val="0"/>
          <w:color w:val="1C3A36"/>
          <w:sz w:val="21"/>
        </w:rPr>
        <w:t>Testahil publishes independent, educational valuation studies. Each is an attempt to reason transparently about what a security is worth, with every assumption shown and a companion model so readers can disagree productively. The house style is distributions, not tips: we describe ranges and probabilities, not targets, and we do not tell anyone what to do. Studies are framed as educational analysis, the preparer is not licensed by any securities regulator, and holdings are disclosed.</w:t>
      </w:r>
    </w:p>
    <w:p>
      <w:pPr>
        <w:spacing w:after="120" w:before="280"/>
      </w:pPr>
      <w:r>
        <w:rPr>
          <w:b/>
          <w:i w:val="0"/>
          <w:color w:val="1C3A36"/>
          <w:sz w:val="30"/>
        </w:rPr>
        <w:t>Disclosure &amp; Disclaimer</w:t>
      </w:r>
    </w:p>
    <w:p>
      <w:pPr>
        <w:spacing w:after="100" w:before="0"/>
      </w:pPr>
      <w:r>
        <w:rPr>
          <w:b/>
          <w:i/>
          <w:color w:val="1C3A36"/>
          <w:sz w:val="19"/>
        </w:rPr>
        <w:t xml:space="preserve">Not investment advice. </w:t>
      </w:r>
      <w:r>
        <w:rPr>
          <w:b w:val="0"/>
          <w:i w:val="0"/>
          <w:color w:val="1C3A36"/>
          <w:sz w:val="19"/>
        </w:rPr>
        <w:t>This document is educational and informational only. It is not, and must not be relied upon as, investment, financial, legal, accounting or tax advice, nor an offer, solicitation or recommendation to buy, sell or hold any security. It contains no price target and no rating.</w:t>
      </w:r>
    </w:p>
    <w:p>
      <w:pPr>
        <w:spacing w:after="100" w:before="0"/>
      </w:pPr>
      <w:r>
        <w:rPr>
          <w:b/>
          <w:i/>
          <w:color w:val="1C3A36"/>
          <w:sz w:val="19"/>
        </w:rPr>
        <w:t xml:space="preserve">No licence; no advisory relationship. </w:t>
      </w:r>
      <w:r>
        <w:rPr>
          <w:b w:val="0"/>
          <w:i w:val="0"/>
          <w:color w:val="1C3A36"/>
          <w:sz w:val="19"/>
        </w:rPr>
        <w:t>The preparer is not registered or licensed with any securities or financial regulator in any jurisdiction — including Egypt’s Financial Regulatory Authority (FRA) — holds no brokerage or investment-advisory authorisation, and is not acting as your adviser or fiduciary. Nothing here is personalised to your circumstances.</w:t>
      </w:r>
    </w:p>
    <w:p>
      <w:pPr>
        <w:spacing w:after="100" w:before="0"/>
      </w:pPr>
      <w:r>
        <w:rPr>
          <w:b/>
          <w:i/>
          <w:color w:val="1C3A36"/>
          <w:sz w:val="19"/>
        </w:rPr>
        <w:t xml:space="preserve">Holdings disclosure. </w:t>
      </w:r>
      <w:r>
        <w:rPr>
          <w:b w:val="0"/>
          <w:i w:val="0"/>
          <w:color w:val="1C3A36"/>
          <w:sz w:val="19"/>
        </w:rPr>
        <w:t>The preparer may hold, and may in the future take or dispose of, a position in the security discussed in this report, and may transact at any time without notice. This is a potential conflict of interest you should weigh.</w:t>
      </w:r>
    </w:p>
    <w:p>
      <w:pPr>
        <w:spacing w:after="100" w:before="0"/>
      </w:pPr>
      <w:r>
        <w:rPr>
          <w:b/>
          <w:i/>
          <w:color w:val="1C3A36"/>
          <w:sz w:val="19"/>
        </w:rPr>
        <w:t xml:space="preserve">Sources &amp; accuracy. </w:t>
      </w:r>
      <w:r>
        <w:rPr>
          <w:b w:val="0"/>
          <w:i w:val="0"/>
          <w:color w:val="1C3A36"/>
          <w:sz w:val="19"/>
        </w:rPr>
        <w:t>Reported financial and operating figures are drawn from the company’s public disclosure and other public sources believed reliable but not independently verified; they may contain errors or be superseded. Forward-looking inputs — the leg marks, the MNT-Halan stake estimate, the complexity discount, projections, multiples, the DCF and Monte-Carlo factor probabilities — are the preparer’s own judgments and are inherently uncertain.</w:t>
      </w:r>
    </w:p>
    <w:p>
      <w:pPr>
        <w:spacing w:after="100" w:before="0"/>
      </w:pPr>
      <w:r>
        <w:rPr>
          <w:b/>
          <w:i/>
          <w:color w:val="1C3A36"/>
          <w:sz w:val="19"/>
        </w:rPr>
        <w:t xml:space="preserve">Forward-looking statements. </w:t>
      </w:r>
      <w:r>
        <w:rPr>
          <w:b w:val="0"/>
          <w:i w:val="0"/>
          <w:color w:val="1C3A36"/>
          <w:sz w:val="19"/>
        </w:rPr>
        <w:t>Any statements about the future are estimates subject to risks and uncertainties; actual results may differ materially. The Monte Carlo models price, not value, and encodes subjective probabilities for events that have not occurred.</w:t>
      </w:r>
    </w:p>
    <w:p>
      <w:pPr>
        <w:spacing w:after="100" w:before="0"/>
      </w:pPr>
      <w:r>
        <w:rPr>
          <w:b/>
          <w:i/>
          <w:color w:val="1C3A36"/>
          <w:sz w:val="19"/>
        </w:rPr>
        <w:t xml:space="preserve">No reliance; your responsibility. </w:t>
      </w:r>
      <w:r>
        <w:rPr>
          <w:b w:val="0"/>
          <w:i w:val="0"/>
          <w:color w:val="1C3A36"/>
          <w:sz w:val="19"/>
        </w:rPr>
        <w:t>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pPr>
        <w:spacing w:after="100" w:before="0"/>
      </w:pPr>
      <w:r>
        <w:rPr>
          <w:b/>
          <w:i/>
          <w:color w:val="1C3A36"/>
          <w:sz w:val="19"/>
        </w:rPr>
        <w:t xml:space="preserve">Currency &amp; figures. </w:t>
      </w:r>
      <w:r>
        <w:rPr>
          <w:b w:val="0"/>
          <w:i w:val="0"/>
          <w:color w:val="1C3A36"/>
          <w:sz w:val="19"/>
        </w:rPr>
        <w:t>Figures are in Egyptian pounds (EGP), millions unless stated; bn denotes billion. FX at study date: USD/EGP ≈ 47.5 (flagged estimate). Rounding may cause totals to differ slightly. Spot price and market data are as of 7 July 2026 and change continuously.</w:t>
      </w:r>
    </w:p>
    <w:p>
      <w:pPr>
        <w:spacing w:after="120" w:before="200"/>
        <w:jc w:val="center"/>
      </w:pPr>
      <w:r>
        <w:rPr>
          <w:b w:val="0"/>
          <w:i w:val="0"/>
          <w:color w:val="6E7B77"/>
          <w:sz w:val="17"/>
        </w:rPr>
        <w:t>TESTAHIL · Independent Valuation Study · Educational Analysis · GB Corp S.A.E. (EGX: GBCO) · edition 08-07-2026 · reporting currency EGP</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