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10 September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MID-YEAR (July 2026) vintage, spreads measured 30 June 2026. The 5-January-2026 vintage this study previously used is superseded and is named here rather than dropped</w:t>
            </w:r>
          </w:p>
        </w:tc>
        <w:tc>
          <w:tcPr>
            <w:tcW w:type="dxa" w:w="4392"/>
          </w:tcPr>
          <w:p>
            <w:pPr>
              <w:spacing w:after="20"/>
              <w:jc w:val="right"/>
            </w:pPr>
            <w:r>
              <w:rPr>
                <w:color w:val="1C3A36"/>
                <w:sz w:val="15"/>
              </w:rPr>
              <w:t>Egypt row: Moody's Caa1; adjusted default spread 5.97%; total equity risk premium 13.48% on the rating basis; sovereign credit-default-swap spread 3.42%; total equity risk premium 9.5164% on the swap basis — the basis this study adopts</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(219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parent stake</w:t>
            </w:r>
          </w:p>
        </w:tc>
        <w:tc>
          <w:tcPr>
            <w:tcW w:type="dxa" w:w="1512"/>
          </w:tcPr>
          <w:p>
            <w:pPr>
              <w:spacing w:after="20"/>
              <w:jc w:val="right"/>
            </w:pPr>
            <w:r>
              <w:rPr>
                <w:color w:val="1C3A36"/>
                <w:sz w:val="14"/>
              </w:rPr>
              <w:t>0.5134</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Holding of Pharco Corporation for Drug Industries and Medical Appliances in EIPICO, 51.34%, as disclosed in the shareholder structure of the company's own annual report. Quotation-only: nothing in the valuation computes from it. It is registered because the study states it to a reader, twice, and a stated figure a reader cannot trace is a figure nobody can check</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1051"/>
          </w:tcPr>
          <w:p>
            <w:pPr>
              <w:spacing w:after="20"/>
              <w:jc w:val="right"/>
            </w:pPr>
            <w:r>
              <w:rPr>
                <w:color w:val="1C3A36"/>
                <w:sz w:val="14"/>
              </w:rPr>
              <w:t>2024-12-31</w:t>
            </w:r>
          </w:p>
        </w:tc>
        <w:tc>
          <w:tcPr>
            <w:tcW w:type="dxa" w:w="4709"/>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(11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rating jan26</w:t>
            </w:r>
          </w:p>
        </w:tc>
        <w:tc>
          <w:tcPr>
            <w:tcW w:type="dxa" w:w="1512"/>
          </w:tcPr>
          <w:p>
            <w:pPr>
              <w:spacing w:after="20"/>
              <w:jc w:val="right"/>
            </w:pPr>
            <w:r>
              <w:rPr>
                <w:color w:val="1C3A36"/>
                <w:sz w:val="14"/>
              </w:rPr>
              <w:t>0.063725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adjusted default spread on the rating basis, JANUARY-2026 vintage of the country default-spread dataset. SUPERSEDED and carried for the audit trail only; nothing computes from it</w:t>
            </w:r>
          </w:p>
        </w:tc>
      </w:tr>
      <w:tr>
        <w:tc>
          <w:tcPr>
            <w:tcW w:type="dxa" w:w="2232"/>
          </w:tcPr>
          <w:p>
            <w:pPr>
              <w:spacing w:after="20"/>
            </w:pPr>
            <w:r>
              <w:rPr>
                <w:color w:val="1C3A36"/>
                <w:sz w:val="14"/>
              </w:rPr>
              <w:t>erp rating jan26</w:t>
            </w:r>
          </w:p>
        </w:tc>
        <w:tc>
          <w:tcPr>
            <w:tcW w:type="dxa" w:w="1512"/>
          </w:tcPr>
          <w:p>
            <w:pPr>
              <w:spacing w:after="20"/>
              <w:jc w:val="right"/>
            </w:pPr>
            <w:r>
              <w:rPr>
                <w:color w:val="1C3A36"/>
                <w:sz w:val="14"/>
              </w:rPr>
              <w:t>0.139377</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TOTAL equity risk premium on the rating basis, JANUARY-2026 vintage. SUPERSEDED, audit trail only</w:t>
            </w:r>
          </w:p>
        </w:tc>
      </w:tr>
      <w:tr>
        <w:tc>
          <w:tcPr>
            <w:tcW w:type="dxa" w:w="2232"/>
          </w:tcPr>
          <w:p>
            <w:pPr>
              <w:spacing w:after="20"/>
            </w:pPr>
            <w:r>
              <w:rPr>
                <w:color w:val="1C3A36"/>
                <w:sz w:val="14"/>
              </w:rPr>
              <w:t>crp rating jan26</w:t>
            </w:r>
          </w:p>
        </w:tc>
        <w:tc>
          <w:tcPr>
            <w:tcW w:type="dxa" w:w="1512"/>
          </w:tcPr>
          <w:p>
            <w:pPr>
              <w:spacing w:after="20"/>
              <w:jc w:val="right"/>
            </w:pPr>
            <w:r>
              <w:rPr>
                <w:color w:val="1C3A36"/>
                <w:sz w:val="14"/>
              </w:rPr>
              <w:t>0.097077</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COUNTRY risk premium on the rating basis, JANUARY-2026 vintage. SUPERSEDED, audit trail only</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2026-09-09</w:t>
            </w:r>
          </w:p>
        </w:tc>
        <w:tc>
          <w:tcPr>
            <w:tcW w:type="dxa" w:w="4709"/>
          </w:tcPr>
          <w:p>
            <w:pPr>
              <w:spacing w:after="20"/>
              <w:jc w:val="right"/>
            </w:pPr>
            <w:r>
              <w:rPr>
                <w:color w:val="1C3A36"/>
                <w:sz w:val="14"/>
              </w:rPr>
              <w:t>Domestic realised price per pack, annual growth: THE HOUSE CPI LADDER at a real drift of +0.0% a year, not a typed path. Egyptian medicine prices are set administratively by the Egyptian Drug Authority and move in periodic approved adjustments rather than continuously; realised price per pack rose 12.59% in FY2025 after a much larger devaluation-driven step in FY2024. The path tracks domestic inflation as it converges on the central bank's target, with no real price gain and no real price loss -- which is what this input's previous source string claimed while its numbers delivered a 15.9% real cut over five years. The cut is published as the contested alternative rather than discarded</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0.665819</w:t>
            </w:r>
          </w:p>
        </w:tc>
        <w:tc>
          <w:tcPr>
            <w:tcW w:type="dxa" w:w="1051"/>
          </w:tcPr>
          <w:p>
            <w:pPr>
              <w:spacing w:after="20"/>
              <w:jc w:val="right"/>
            </w:pPr>
            <w:r>
              <w:rPr>
                <w:color w:val="1C3A36"/>
                <w:sz w:val="14"/>
              </w:rPr>
              <w:t>2026-09-08</w:t>
            </w:r>
          </w:p>
        </w:tc>
        <w:tc>
          <w:tcPr>
            <w:tcW w:type="dxa" w:w="4709"/>
          </w:tcPr>
          <w:p>
            <w:pPr>
              <w:spacing w:after="20"/>
              <w:jc w:val="right"/>
            </w:pPr>
            <w:r>
              <w:rPr>
                <w:color w:val="1C3A36"/>
                <w:sz w:val="14"/>
              </w:rPr>
              <w:t>Own-stock first-tier weekly regression against raw_indices/EG/EGX30.csv as at 2026-09-08 — THE PUBLISHED INDEX OF THE EXCHANGE THIS STOCK IS LISTED ON, resolved by beta_regression.own_stock_beta() rather than hand-rolled. R-squared 0.143, n = 256, standard error 0.1355, 90% confidence interval [0.443, 0.889], Dimson-corrected and matched to the exchange's own trading week (W-THU). The coefficient is comfortably larger than its own standard error, which is the test applied before any regression beta is used. WITHDRAWN AND KEPT FOR COMPARISON: the previous edition regressed against a 36-name equal-weight basket of the covered library and got 0.6295 at an R-squared of 0.235. THE BASKET FIT BETTER, which is what a basket built out of our own coverage does — it shares members with the very set it is used to price — and a better fit against the wrong regressor is not evidence for the wrong regressor. A beta below one is still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0.255</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Marginal cost of local-currency debt: the ten-year sovereign yield of 23.00% plus a 250 basis-point corporate credit spread. A same-currency corporate cannot borrow below its own sovereign, so this is floored at the sovereign yield by construction -- and it is now DERIVED from the same risk-free rate the discount rate uses rather than typed, so the floor holds by arithmetic. Until 09-09-2026 it was built instead on the WITHDRAWN 22.31% print of 21 July: the risk-free was corrected to the pricing-date observable and the cost of debt resting on it was not moved with it, leaving this rate 69 basis points below where its own risk-free put it, with nothing to say so</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CONVERGENCE PATH, FY2026E-FY2030E. This row is NOT the cost of local-currency debt (25.50%, the row above) and NOT the blended marginal cost of debt, which is struck further down this file once the currency weights are known and is published in the cost-of-capital table: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0.105</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Terminal risk-free rate, DERIVED and never quoted: the long-run inflation this valuation carries throughout, 7.0%, plus the standard 5.5-point emerging-market real-rate convention. The previous edition used 10.5%, built the same way but on a 5% inflation assumption that appears nowhere else in the model — the same valuation escalated costs on one long-run rate and discounted the terminal on another, two points apart. THE DERIVATION IS WHAT MAKES IT CHECKABLE: the single most terminal-value-sensitive number in the model cannot be typed, and it cannot disagree with the inflation the rest of the model uses because it is computed from it.</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282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0.666 is a weekly regression of this company's own returns against the published EGX30 index of the exchange this share is listed on, over 4.94 years and 256 weekly observations, with an R-squared of 0.143 and a standard error of 0.135. The index series was read as at 2026-09-08 and the regression window runs 2021-09-23 to 2026-09-03. The weekly grid is matched to the exchange's real trading week rather than to calendar Fridays, and both series are cleaned the same way before either is differenced.</w:t>
      </w:r>
    </w:p>
    <w:p>
      <w:pPr>
        <w:spacing w:after="120" w:before="0"/>
      </w:pPr>
      <w:r>
        <w:rPr>
          <w:b w:val="0"/>
          <w:i w:val="0"/>
          <w:color w:val="1C3A36"/>
          <w:sz w:val="21"/>
        </w:rPr>
        <w:t>THE REGRESSOR IS THE PUBLISHED INDEX AND NOT A BASKET OF THIS HOUSE'S OWN COVERAGE, which is the whole of the improvement. An equal-weighted composite of covered names is what every study in this book once used, and it is not a weaker version of an index — it is a different quantity, whose membership moves whenever coverage moves and which gives the subject a large weight in the very series it is regressed against. On one name in this book that construction understated the coefficient by about 40% and overstated fair value by 21.6%. There is therefore no ex-subject variant to report here: the subject is one constituent of a published index it does not control, and its weight there is set by the index's own rules.</w:t>
      </w:r>
    </w:p>
    <w:p>
      <w:pPr>
        <w:spacing w:after="120" w:before="0"/>
      </w:pPr>
      <w:r>
        <w:rPr>
          <w:b w:val="0"/>
          <w:i w:val="0"/>
          <w:color w:val="1C3A36"/>
          <w:sz w:val="21"/>
        </w:rPr>
        <w:t>The regression carries a Dimson adjustment for non-synchronous trading. A Blume cross-check shrinking the raw coefficient toward one gives 0.777, published beside the regression rather than substituted for it. The coefficient is comfortably larger than its own standard error, which is the test applied before any regression beta is used here. Data-quality notes on the stock series: dropped 3 rows carrying a non-positive or non-finite OHLC value (2011-06-15..2011-09-21) — vendor fills, not tradeable prices.</w:t>
      </w:r>
    </w:p>
    <w:p>
      <w:pPr>
        <w:spacing w:after="120" w:before="0"/>
      </w:pPr>
      <w:r>
        <w:rPr>
          <w:b w:val="0"/>
          <w:i w:val="0"/>
          <w:color w:val="1C3A36"/>
          <w:sz w:val="21"/>
        </w:rPr>
        <w:t>Two statistics a reader can check without the series at all. The standard error implied by the reported coefficient, R-squared and sample size is 0.10240, against the 0.13548 reported — they agree, so the three statistics are mutually consistent rather than separately asserted. And the standard error is well below the coefficient, which is the usability test this study applies before a regression beta is used at all. The 90% interval on the coefficient runs 0.443 to 0.889.</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59"/>
        <w:gridCol w:w="629"/>
        <w:gridCol w:w="743"/>
        <w:gridCol w:w="743"/>
        <w:gridCol w:w="743"/>
        <w:gridCol w:w="743"/>
        <w:gridCol w:w="743"/>
        <w:gridCol w:w="743"/>
        <w:gridCol w:w="743"/>
        <w:gridCol w:w="743"/>
        <w:gridCol w:w="856"/>
      </w:tblGrid>
      <w:tr>
        <w:tc>
          <w:tcPr>
            <w:tcW w:type="dxa" w:w="2659"/>
            <w:shd w:val="clear" w:color="auto" w:fill="EAF0EE"/>
          </w:tcPr>
          <w:p>
            <w:pPr>
              <w:spacing w:after="20"/>
            </w:pPr>
            <w:r>
              <w:rPr>
                <w:b/>
                <w:color w:val="1C3A36"/>
                <w:sz w:val="15"/>
              </w:rPr>
              <w:t>Window set</w:t>
            </w:r>
          </w:p>
        </w:tc>
        <w:tc>
          <w:tcPr>
            <w:tcW w:type="dxa" w:w="629"/>
            <w:shd w:val="clear" w:color="auto" w:fill="EAF0EE"/>
          </w:tcPr>
          <w:p>
            <w:pPr>
              <w:spacing w:after="20"/>
            </w:pPr>
            <w:r>
              <w:rPr>
                <w:b/>
                <w:color w:val="1C3A36"/>
                <w:sz w:val="15"/>
              </w:rPr>
              <w:t>0-10</w:t>
            </w:r>
          </w:p>
        </w:tc>
        <w:tc>
          <w:tcPr>
            <w:tcW w:type="dxa" w:w="743"/>
            <w:shd w:val="clear" w:color="auto" w:fill="EAF0EE"/>
          </w:tcPr>
          <w:p>
            <w:pPr>
              <w:spacing w:after="20"/>
            </w:pPr>
            <w:r>
              <w:rPr>
                <w:b/>
                <w:color w:val="1C3A36"/>
                <w:sz w:val="15"/>
              </w:rPr>
              <w:t>10-20</w:t>
            </w:r>
          </w:p>
        </w:tc>
        <w:tc>
          <w:tcPr>
            <w:tcW w:type="dxa" w:w="743"/>
            <w:shd w:val="clear" w:color="auto" w:fill="EAF0EE"/>
          </w:tcPr>
          <w:p>
            <w:pPr>
              <w:spacing w:after="20"/>
            </w:pPr>
            <w:r>
              <w:rPr>
                <w:b/>
                <w:color w:val="1C3A36"/>
                <w:sz w:val="15"/>
              </w:rPr>
              <w:t>20-30</w:t>
            </w:r>
          </w:p>
        </w:tc>
        <w:tc>
          <w:tcPr>
            <w:tcW w:type="dxa" w:w="743"/>
            <w:shd w:val="clear" w:color="auto" w:fill="EAF0EE"/>
          </w:tcPr>
          <w:p>
            <w:pPr>
              <w:spacing w:after="20"/>
            </w:pPr>
            <w:r>
              <w:rPr>
                <w:b/>
                <w:color w:val="1C3A36"/>
                <w:sz w:val="15"/>
              </w:rPr>
              <w:t>30-40</w:t>
            </w:r>
          </w:p>
        </w:tc>
        <w:tc>
          <w:tcPr>
            <w:tcW w:type="dxa" w:w="743"/>
            <w:shd w:val="clear" w:color="auto" w:fill="EAF0EE"/>
          </w:tcPr>
          <w:p>
            <w:pPr>
              <w:spacing w:after="20"/>
            </w:pPr>
            <w:r>
              <w:rPr>
                <w:b/>
                <w:color w:val="1C3A36"/>
                <w:sz w:val="15"/>
              </w:rPr>
              <w:t>40-50</w:t>
            </w:r>
          </w:p>
        </w:tc>
        <w:tc>
          <w:tcPr>
            <w:tcW w:type="dxa" w:w="743"/>
            <w:shd w:val="clear" w:color="auto" w:fill="EAF0EE"/>
          </w:tcPr>
          <w:p>
            <w:pPr>
              <w:spacing w:after="20"/>
            </w:pPr>
            <w:r>
              <w:rPr>
                <w:b/>
                <w:color w:val="1C3A36"/>
                <w:sz w:val="15"/>
              </w:rPr>
              <w:t>50-60</w:t>
            </w:r>
          </w:p>
        </w:tc>
        <w:tc>
          <w:tcPr>
            <w:tcW w:type="dxa" w:w="743"/>
            <w:shd w:val="clear" w:color="auto" w:fill="EAF0EE"/>
          </w:tcPr>
          <w:p>
            <w:pPr>
              <w:spacing w:after="20"/>
            </w:pPr>
            <w:r>
              <w:rPr>
                <w:b/>
                <w:color w:val="1C3A36"/>
                <w:sz w:val="15"/>
              </w:rPr>
              <w:t>60-70</w:t>
            </w:r>
          </w:p>
        </w:tc>
        <w:tc>
          <w:tcPr>
            <w:tcW w:type="dxa" w:w="743"/>
            <w:shd w:val="clear" w:color="auto" w:fill="EAF0EE"/>
          </w:tcPr>
          <w:p>
            <w:pPr>
              <w:spacing w:after="20"/>
            </w:pPr>
            <w:r>
              <w:rPr>
                <w:b/>
                <w:color w:val="1C3A36"/>
                <w:sz w:val="15"/>
              </w:rPr>
              <w:t>70-80</w:t>
            </w:r>
          </w:p>
        </w:tc>
        <w:tc>
          <w:tcPr>
            <w:tcW w:type="dxa" w:w="743"/>
            <w:shd w:val="clear" w:color="auto" w:fill="EAF0EE"/>
          </w:tcPr>
          <w:p>
            <w:pPr>
              <w:spacing w:after="20"/>
            </w:pPr>
            <w:r>
              <w:rPr>
                <w:b/>
                <w:color w:val="1C3A36"/>
                <w:sz w:val="15"/>
              </w:rPr>
              <w:t>80-90</w:t>
            </w:r>
          </w:p>
        </w:tc>
        <w:tc>
          <w:tcPr>
            <w:tcW w:type="dxa" w:w="856"/>
            <w:shd w:val="clear" w:color="auto" w:fill="EAF0EE"/>
          </w:tcPr>
          <w:p>
            <w:pPr>
              <w:spacing w:after="20"/>
            </w:pPr>
            <w:r>
              <w:rPr>
                <w:b/>
                <w:color w:val="1C3A36"/>
                <w:sz w:val="15"/>
              </w:rPr>
              <w:t>90-100</w:t>
            </w:r>
          </w:p>
        </w:tc>
      </w:tr>
      <w:tr>
        <w:tc>
          <w:tcPr>
            <w:tcW w:type="dxa" w:w="2659"/>
          </w:tcPr>
          <w:p>
            <w:pPr>
              <w:spacing w:after="20"/>
            </w:pPr>
            <w:r>
              <w:rPr>
                <w:color w:val="1C3A36"/>
                <w:sz w:val="15"/>
              </w:rPr>
              <w:t>Last five years</w:t>
            </w:r>
          </w:p>
        </w:tc>
        <w:tc>
          <w:tcPr>
            <w:tcW w:type="dxa" w:w="629"/>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r>
        <w:tc>
          <w:tcPr>
            <w:tcW w:type="dxa" w:w="2659"/>
          </w:tcPr>
          <w:p>
            <w:pPr>
              <w:spacing w:after="20"/>
            </w:pPr>
            <w:r>
              <w:rPr>
                <w:color w:val="1C3A36"/>
                <w:sz w:val="15"/>
              </w:rPr>
              <w:t>Full history</w:t>
            </w:r>
          </w:p>
        </w:tc>
        <w:tc>
          <w:tcPr>
            <w:tcW w:type="dxa" w:w="629"/>
          </w:tcPr>
          <w:p>
            <w:pPr>
              <w:spacing w:after="20"/>
              <w:jc w:val="right"/>
            </w:pPr>
            <w:r>
              <w:rPr>
                <w:color w:val="1C3A36"/>
                <w:sz w:val="15"/>
              </w:rPr>
              <w:t>3</w:t>
            </w:r>
          </w:p>
        </w:tc>
        <w:tc>
          <w:tcPr>
            <w:tcW w:type="dxa" w:w="743"/>
          </w:tcPr>
          <w:p>
            <w:pPr>
              <w:spacing w:after="20"/>
              <w:jc w:val="right"/>
            </w:pPr>
            <w:r>
              <w:rPr>
                <w:color w:val="1C3A36"/>
                <w:sz w:val="15"/>
              </w:rPr>
              <w:t>5</w:t>
            </w:r>
          </w:p>
        </w:tc>
        <w:tc>
          <w:tcPr>
            <w:tcW w:type="dxa" w:w="743"/>
          </w:tcPr>
          <w:p>
            <w:pPr>
              <w:spacing w:after="20"/>
              <w:jc w:val="right"/>
            </w:pPr>
            <w:r>
              <w:rPr>
                <w:color w:val="1C3A36"/>
                <w:sz w:val="15"/>
              </w:rPr>
              <w:t>6</w:t>
            </w:r>
          </w:p>
        </w:tc>
        <w:tc>
          <w:tcPr>
            <w:tcW w:type="dxa" w:w="743"/>
          </w:tcPr>
          <w:p>
            <w:pPr>
              <w:spacing w:after="20"/>
              <w:jc w:val="right"/>
            </w:pPr>
            <w:r>
              <w:rPr>
                <w:color w:val="1C3A36"/>
                <w:sz w:val="15"/>
              </w:rPr>
              <w:t>5</w:t>
            </w:r>
          </w:p>
        </w:tc>
        <w:tc>
          <w:tcPr>
            <w:tcW w:type="dxa" w:w="743"/>
          </w:tcPr>
          <w:p>
            <w:pPr>
              <w:spacing w:after="20"/>
              <w:jc w:val="right"/>
            </w:pPr>
            <w:r>
              <w:rPr>
                <w:color w:val="1C3A36"/>
                <w:sz w:val="15"/>
              </w:rPr>
              <w:t>10</w:t>
            </w:r>
          </w:p>
        </w:tc>
        <w:tc>
          <w:tcPr>
            <w:tcW w:type="dxa" w:w="743"/>
          </w:tcPr>
          <w:p>
            <w:pPr>
              <w:spacing w:after="20"/>
              <w:jc w:val="right"/>
            </w:pPr>
            <w:r>
              <w:rPr>
                <w:color w:val="1C3A36"/>
                <w:sz w:val="15"/>
              </w:rPr>
              <w:t>5</w:t>
            </w:r>
          </w:p>
        </w:tc>
        <w:tc>
          <w:tcPr>
            <w:tcW w:type="dxa" w:w="743"/>
          </w:tcPr>
          <w:p>
            <w:pPr>
              <w:spacing w:after="20"/>
              <w:jc w:val="right"/>
            </w:pPr>
            <w:r>
              <w:rPr>
                <w:color w:val="1C3A36"/>
                <w:sz w:val="15"/>
              </w:rPr>
              <w:t>7</w:t>
            </w:r>
          </w:p>
        </w:tc>
        <w:tc>
          <w:tcPr>
            <w:tcW w:type="dxa" w:w="743"/>
          </w:tcPr>
          <w:p>
            <w:pPr>
              <w:spacing w:after="20"/>
              <w:jc w:val="right"/>
            </w:pPr>
            <w:r>
              <w:rPr>
                <w:color w:val="1C3A36"/>
                <w:sz w:val="15"/>
              </w:rPr>
              <w:t>4</w:t>
            </w:r>
          </w:p>
        </w:tc>
        <w:tc>
          <w:tcPr>
            <w:tcW w:type="dxa" w:w="743"/>
          </w:tcPr>
          <w:p>
            <w:pPr>
              <w:spacing w:after="20"/>
              <w:jc w:val="right"/>
            </w:pPr>
            <w:r>
              <w:rPr>
                <w:color w:val="1C3A36"/>
                <w:sz w:val="15"/>
              </w:rPr>
              <w:t>10</w:t>
            </w:r>
          </w:p>
        </w:tc>
        <w:tc>
          <w:tcPr>
            <w:tcW w:type="dxa" w:w="856"/>
          </w:tcPr>
          <w:p>
            <w:pPr>
              <w:spacing w:after="20"/>
              <w:jc w:val="right"/>
            </w:pPr>
            <w:r>
              <w:rPr>
                <w:color w:val="1C3A36"/>
                <w:sz w:val="15"/>
              </w:rPr>
              <w:t>1</w:t>
            </w:r>
          </w:p>
        </w:tc>
      </w:tr>
      <w:tr>
        <w:tc>
          <w:tcPr>
            <w:tcW w:type="dxa" w:w="2659"/>
          </w:tcPr>
          <w:p>
            <w:pPr>
              <w:spacing w:after="20"/>
            </w:pPr>
            <w:r>
              <w:rPr>
                <w:color w:val="1C3A36"/>
                <w:sz w:val="15"/>
              </w:rPr>
              <w:t>Post-break</w:t>
            </w:r>
          </w:p>
        </w:tc>
        <w:tc>
          <w:tcPr>
            <w:tcW w:type="dxa" w:w="629"/>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2</w:t>
            </w:r>
          </w:p>
        </w:tc>
        <w:tc>
          <w:tcPr>
            <w:tcW w:type="dxa" w:w="743"/>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The column headings are percentage bands: 0-10 is the lowest tenth of the forecast distribution and 90-100 the highest.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