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10 September 2026 · share price EGP 127.30 at the close of 3 September 2026 · 168.756 million shares in issue</w:t>
      </w:r>
    </w:p>
    <w:p>
      <w:pPr>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55 and EGP 103 a share. Because the contested judgement below is carried BOTH ways and the two are never averaged, the study publishes TWO weighted centres: EGP 85.25 a share on the permanent-provision reading and EGP 102.89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85.25 and EGP 102.89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55 and EGP 103.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85.25</w:t>
            </w:r>
          </w:p>
        </w:tc>
        <w:tc>
          <w:tcPr>
            <w:tcW w:type="dxa" w:w="1224"/>
          </w:tcPr>
          <w:p>
            <w:pPr>
              <w:spacing w:after="20"/>
              <w:jc w:val="right"/>
            </w:pPr>
            <w:r>
              <w:rPr>
                <w:color w:val="1C3A36"/>
                <w:sz w:val="18"/>
              </w:rPr>
              <w:t>-33%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102.89</w:t>
            </w:r>
          </w:p>
        </w:tc>
        <w:tc>
          <w:tcPr>
            <w:tcW w:type="dxa" w:w="1224"/>
          </w:tcPr>
          <w:p>
            <w:pPr>
              <w:spacing w:after="20"/>
              <w:jc w:val="right"/>
            </w:pPr>
            <w:r>
              <w:rPr>
                <w:color w:val="1C3A36"/>
                <w:sz w:val="18"/>
              </w:rPr>
              <w:t>-19%</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70.85</w:t>
            </w:r>
          </w:p>
        </w:tc>
        <w:tc>
          <w:tcPr>
            <w:tcW w:type="dxa" w:w="1224"/>
          </w:tcPr>
          <w:p>
            <w:pPr>
              <w:spacing w:after="20"/>
              <w:jc w:val="right"/>
            </w:pPr>
            <w:r>
              <w:rPr>
                <w:color w:val="1C3A36"/>
                <w:sz w:val="18"/>
              </w:rPr>
              <w:t>-44%</w:t>
            </w:r>
          </w:p>
        </w:tc>
        <w:tc>
          <w:tcPr>
            <w:tcW w:type="dxa" w:w="3960"/>
          </w:tcPr>
          <w:p>
            <w:pPr>
              <w:spacing w:after="20"/>
              <w:jc w:val="right"/>
            </w:pPr>
            <w:r>
              <w:rPr>
                <w:color w:val="1C3A36"/>
                <w:sz w:val="18"/>
              </w:rPr>
              <w:t>justified 1.92x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55.45</w:t>
            </w:r>
          </w:p>
        </w:tc>
        <w:tc>
          <w:tcPr>
            <w:tcW w:type="dxa" w:w="1224"/>
          </w:tcPr>
          <w:p>
            <w:pPr>
              <w:spacing w:after="20"/>
              <w:jc w:val="right"/>
            </w:pPr>
            <w:r>
              <w:rPr>
                <w:color w:val="1C3A36"/>
                <w:sz w:val="18"/>
              </w:rPr>
              <w:t>-56%</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72.28</w:t>
            </w:r>
          </w:p>
        </w:tc>
        <w:tc>
          <w:tcPr>
            <w:tcW w:type="dxa" w:w="1224"/>
          </w:tcPr>
          <w:p>
            <w:pPr>
              <w:spacing w:after="20"/>
              <w:jc w:val="right"/>
            </w:pPr>
            <w:r>
              <w:rPr>
                <w:color w:val="1C3A36"/>
                <w:sz w:val="18"/>
              </w:rPr>
              <w:t>-43%</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85.25</w:t>
            </w:r>
          </w:p>
        </w:tc>
        <w:tc>
          <w:tcPr>
            <w:tcW w:type="dxa" w:w="1224"/>
            <w:shd w:val="clear" w:color="auto" w:fill="F6F1E6"/>
          </w:tcPr>
          <w:p>
            <w:pPr>
              <w:spacing w:after="20"/>
              <w:jc w:val="right"/>
            </w:pPr>
            <w:r>
              <w:rPr>
                <w:b/>
                <w:color w:val="1C3A36"/>
                <w:sz w:val="18"/>
              </w:rPr>
              <w:t>-33%</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102.89</w:t>
            </w:r>
          </w:p>
        </w:tc>
        <w:tc>
          <w:tcPr>
            <w:tcW w:type="dxa" w:w="1224"/>
            <w:shd w:val="clear" w:color="auto" w:fill="F6F1E6"/>
          </w:tcPr>
          <w:p>
            <w:pPr>
              <w:spacing w:after="20"/>
              <w:jc w:val="right"/>
            </w:pPr>
            <w:r>
              <w:rPr>
                <w:b/>
                <w:color w:val="1C3A36"/>
                <w:sz w:val="18"/>
              </w:rPr>
              <w:t>-19%</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75.95 / 84.78</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55.45 – 102.89</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15.47%</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tcPr>
          <w:p>
            <w:pPr>
              <w:spacing w:after="20"/>
            </w:pPr>
            <w:r>
              <w:rPr>
                <w:color w:val="1C3A36"/>
                <w:sz w:val="17"/>
              </w:rPr>
              <w:t>EBITDA</w:t>
            </w:r>
          </w:p>
        </w:tc>
        <w:tc>
          <w:tcPr>
            <w:tcW w:type="dxa" w:w="1325"/>
          </w:tcPr>
          <w:p>
            <w:pPr>
              <w:spacing w:after="20"/>
              <w:jc w:val="right"/>
            </w:pPr>
            <w:r>
              <w:rPr>
                <w:color w:val="1C3A36"/>
                <w:sz w:val="17"/>
              </w:rPr>
              <w:t>3,022</w:t>
            </w:r>
          </w:p>
        </w:tc>
        <w:tc>
          <w:tcPr>
            <w:tcW w:type="dxa" w:w="1325"/>
          </w:tcPr>
          <w:p>
            <w:pPr>
              <w:spacing w:after="20"/>
              <w:jc w:val="right"/>
            </w:pPr>
            <w:r>
              <w:rPr>
                <w:color w:val="1C3A36"/>
                <w:sz w:val="17"/>
              </w:rPr>
              <w:t>3,666</w:t>
            </w:r>
          </w:p>
        </w:tc>
        <w:tc>
          <w:tcPr>
            <w:tcW w:type="dxa" w:w="1325"/>
          </w:tcPr>
          <w:p>
            <w:pPr>
              <w:spacing w:after="20"/>
              <w:jc w:val="right"/>
            </w:pPr>
            <w:r>
              <w:rPr>
                <w:color w:val="1C3A36"/>
                <w:sz w:val="17"/>
              </w:rPr>
              <w:t>4,307</w:t>
            </w:r>
          </w:p>
        </w:tc>
        <w:tc>
          <w:tcPr>
            <w:tcW w:type="dxa" w:w="1325"/>
          </w:tcPr>
          <w:p>
            <w:pPr>
              <w:spacing w:after="20"/>
              <w:jc w:val="right"/>
            </w:pPr>
            <w:r>
              <w:rPr>
                <w:color w:val="1C3A36"/>
                <w:sz w:val="17"/>
              </w:rPr>
              <w:t>4,933</w:t>
            </w:r>
          </w:p>
        </w:tc>
        <w:tc>
          <w:tcPr>
            <w:tcW w:type="dxa" w:w="1325"/>
          </w:tcPr>
          <w:p>
            <w:pPr>
              <w:spacing w:after="20"/>
              <w:jc w:val="right"/>
            </w:pPr>
            <w:r>
              <w:rPr>
                <w:color w:val="1C3A36"/>
                <w:sz w:val="17"/>
              </w:rPr>
              <w:t>5,595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26.8%</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2,718</w:t>
            </w:r>
          </w:p>
        </w:tc>
        <w:tc>
          <w:tcPr>
            <w:tcW w:type="dxa" w:w="1325"/>
          </w:tcPr>
          <w:p>
            <w:pPr>
              <w:spacing w:after="20"/>
              <w:jc w:val="right"/>
            </w:pPr>
            <w:r>
              <w:rPr>
                <w:color w:val="1C3A36"/>
                <w:sz w:val="17"/>
              </w:rPr>
              <w:t>3,241</w:t>
            </w:r>
          </w:p>
        </w:tc>
        <w:tc>
          <w:tcPr>
            <w:tcW w:type="dxa" w:w="1325"/>
          </w:tcPr>
          <w:p>
            <w:pPr>
              <w:spacing w:after="20"/>
              <w:jc w:val="right"/>
            </w:pPr>
            <w:r>
              <w:rPr>
                <w:color w:val="1C3A36"/>
                <w:sz w:val="17"/>
              </w:rPr>
              <w:t>3,861</w:t>
            </w:r>
          </w:p>
        </w:tc>
        <w:tc>
          <w:tcPr>
            <w:tcW w:type="dxa" w:w="1325"/>
          </w:tcPr>
          <w:p>
            <w:pPr>
              <w:spacing w:after="20"/>
              <w:jc w:val="right"/>
            </w:pPr>
            <w:r>
              <w:rPr>
                <w:color w:val="1C3A36"/>
                <w:sz w:val="17"/>
              </w:rPr>
              <w:t>4,496</w:t>
            </w:r>
          </w:p>
        </w:tc>
        <w:tc>
          <w:tcPr>
            <w:tcW w:type="dxa" w:w="1325"/>
          </w:tcPr>
          <w:p>
            <w:pPr>
              <w:spacing w:after="20"/>
              <w:jc w:val="right"/>
            </w:pPr>
            <w:r>
              <w:rPr>
                <w:color w:val="1C3A36"/>
                <w:sz w:val="17"/>
              </w:rPr>
              <w:t>5,172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2,079</w:t>
            </w:r>
          </w:p>
        </w:tc>
        <w:tc>
          <w:tcPr>
            <w:tcW w:type="dxa" w:w="1325"/>
          </w:tcPr>
          <w:p>
            <w:pPr>
              <w:spacing w:after="20"/>
              <w:jc w:val="right"/>
            </w:pPr>
            <w:r>
              <w:rPr>
                <w:color w:val="1C3A36"/>
                <w:sz w:val="17"/>
              </w:rPr>
              <w:t>2,479</w:t>
            </w:r>
          </w:p>
        </w:tc>
        <w:tc>
          <w:tcPr>
            <w:tcW w:type="dxa" w:w="1325"/>
          </w:tcPr>
          <w:p>
            <w:pPr>
              <w:spacing w:after="20"/>
              <w:jc w:val="right"/>
            </w:pPr>
            <w:r>
              <w:rPr>
                <w:color w:val="1C3A36"/>
                <w:sz w:val="17"/>
              </w:rPr>
              <w:t>2,953</w:t>
            </w:r>
          </w:p>
        </w:tc>
        <w:tc>
          <w:tcPr>
            <w:tcW w:type="dxa" w:w="1325"/>
          </w:tcPr>
          <w:p>
            <w:pPr>
              <w:spacing w:after="20"/>
              <w:jc w:val="right"/>
            </w:pPr>
            <w:r>
              <w:rPr>
                <w:color w:val="1C3A36"/>
                <w:sz w:val="17"/>
              </w:rPr>
              <w:t>3,439</w:t>
            </w:r>
          </w:p>
        </w:tc>
        <w:tc>
          <w:tcPr>
            <w:tcW w:type="dxa" w:w="1325"/>
          </w:tcPr>
          <w:p>
            <w:pPr>
              <w:spacing w:after="20"/>
              <w:jc w:val="right"/>
            </w:pPr>
            <w:r>
              <w:rPr>
                <w:color w:val="1C3A36"/>
                <w:sz w:val="17"/>
              </w:rPr>
              <w:t>3,957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(1,430)</w:t>
            </w:r>
          </w:p>
        </w:tc>
        <w:tc>
          <w:tcPr>
            <w:tcW w:type="dxa" w:w="1325"/>
          </w:tcPr>
          <w:p>
            <w:pPr>
              <w:spacing w:after="20"/>
              <w:jc w:val="right"/>
            </w:pPr>
            <w:r>
              <w:rPr>
                <w:color w:val="1C3A36"/>
                <w:sz w:val="17"/>
              </w:rPr>
              <w:t>(622)</w:t>
            </w:r>
          </w:p>
        </w:tc>
        <w:tc>
          <w:tcPr>
            <w:tcW w:type="dxa" w:w="1325"/>
          </w:tcPr>
          <w:p>
            <w:pPr>
              <w:spacing w:after="20"/>
              <w:jc w:val="right"/>
            </w:pPr>
            <w:r>
              <w:rPr>
                <w:color w:val="1C3A36"/>
                <w:sz w:val="17"/>
              </w:rPr>
              <w:t>(566)</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(627)</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(1,114)</w:t>
            </w:r>
          </w:p>
        </w:tc>
        <w:tc>
          <w:tcPr>
            <w:tcW w:type="dxa" w:w="1325"/>
          </w:tcPr>
          <w:p>
            <w:pPr>
              <w:spacing w:after="20"/>
              <w:jc w:val="right"/>
            </w:pPr>
            <w:r>
              <w:rPr>
                <w:color w:val="1C3A36"/>
                <w:sz w:val="17"/>
              </w:rPr>
              <w:t>(1,133)</w:t>
            </w:r>
          </w:p>
        </w:tc>
        <w:tc>
          <w:tcPr>
            <w:tcW w:type="dxa" w:w="1325"/>
          </w:tcPr>
          <w:p>
            <w:pPr>
              <w:spacing w:after="20"/>
              <w:jc w:val="right"/>
            </w:pPr>
            <w:r>
              <w:rPr>
                <w:color w:val="1C3A36"/>
                <w:sz w:val="17"/>
              </w:rPr>
              <w:t>(942)</w:t>
            </w:r>
          </w:p>
        </w:tc>
        <w:tc>
          <w:tcPr>
            <w:tcW w:type="dxa" w:w="1325"/>
          </w:tcPr>
          <w:p>
            <w:pPr>
              <w:spacing w:after="20"/>
              <w:jc w:val="right"/>
            </w:pPr>
            <w:r>
              <w:rPr>
                <w:color w:val="1C3A36"/>
                <w:sz w:val="17"/>
              </w:rPr>
              <w:t>(944)</w:t>
            </w:r>
          </w:p>
        </w:tc>
        <w:tc>
          <w:tcPr>
            <w:tcW w:type="dxa" w:w="1325"/>
          </w:tcPr>
          <w:p>
            <w:pPr>
              <w:spacing w:after="20"/>
              <w:jc w:val="right"/>
            </w:pPr>
            <w:r>
              <w:rPr>
                <w:color w:val="1C3A36"/>
                <w:sz w:val="17"/>
              </w:rPr>
              <w:t>(911)</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-161</w:t>
            </w:r>
          </w:p>
        </w:tc>
        <w:tc>
          <w:tcPr>
            <w:tcW w:type="dxa" w:w="1325"/>
          </w:tcPr>
          <w:p>
            <w:pPr>
              <w:spacing w:after="20"/>
              <w:jc w:val="right"/>
            </w:pPr>
            <w:r>
              <w:rPr>
                <w:color w:val="1C3A36"/>
                <w:sz w:val="17"/>
              </w:rPr>
              <w:t>1,149</w:t>
            </w:r>
          </w:p>
        </w:tc>
        <w:tc>
          <w:tcPr>
            <w:tcW w:type="dxa" w:w="1325"/>
          </w:tcPr>
          <w:p>
            <w:pPr>
              <w:spacing w:after="20"/>
              <w:jc w:val="right"/>
            </w:pPr>
            <w:r>
              <w:rPr>
                <w:color w:val="1C3A36"/>
                <w:sz w:val="17"/>
              </w:rPr>
              <w:t>1,891</w:t>
            </w:r>
          </w:p>
        </w:tc>
        <w:tc>
          <w:tcPr>
            <w:tcW w:type="dxa" w:w="1325"/>
          </w:tcPr>
          <w:p>
            <w:pPr>
              <w:spacing w:after="20"/>
              <w:jc w:val="right"/>
            </w:pPr>
            <w:r>
              <w:rPr>
                <w:color w:val="1C3A36"/>
                <w:sz w:val="17"/>
              </w:rPr>
              <w:t>2,340</w:t>
            </w:r>
          </w:p>
        </w:tc>
        <w:tc>
          <w:tcPr>
            <w:tcW w:type="dxa" w:w="1325"/>
          </w:tcPr>
          <w:p>
            <w:pPr>
              <w:spacing w:after="20"/>
              <w:jc w:val="right"/>
            </w:pPr>
            <w:r>
              <w:rPr>
                <w:color w:val="1C3A36"/>
                <w:sz w:val="17"/>
              </w:rPr>
              <w:t>2,841</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21.01%</w:t>
            </w:r>
          </w:p>
        </w:tc>
        <w:tc>
          <w:tcPr>
            <w:tcW w:type="dxa" w:w="1325"/>
            <w:shd w:val="clear" w:color="auto" w:fill="F6F1E6"/>
          </w:tcPr>
          <w:p>
            <w:pPr>
              <w:spacing w:after="20"/>
              <w:jc w:val="right"/>
            </w:pPr>
            <w:r>
              <w:rPr>
                <w:b/>
                <w:color w:val="1C3A36"/>
                <w:sz w:val="17"/>
              </w:rPr>
              <w:t>18.79%</w:t>
            </w:r>
          </w:p>
        </w:tc>
        <w:tc>
          <w:tcPr>
            <w:tcW w:type="dxa" w:w="1325"/>
            <w:shd w:val="clear" w:color="auto" w:fill="F6F1E6"/>
          </w:tcPr>
          <w:p>
            <w:pPr>
              <w:spacing w:after="20"/>
              <w:jc w:val="right"/>
            </w:pPr>
            <w:r>
              <w:rPr>
                <w:b/>
                <w:color w:val="1C3A36"/>
                <w:sz w:val="17"/>
              </w:rPr>
              <w:t>16.95%</w:t>
            </w:r>
          </w:p>
        </w:tc>
        <w:tc>
          <w:tcPr>
            <w:tcW w:type="dxa" w:w="1325"/>
            <w:shd w:val="clear" w:color="auto" w:fill="F6F1E6"/>
          </w:tcPr>
          <w:p>
            <w:pPr>
              <w:spacing w:after="20"/>
              <w:jc w:val="right"/>
            </w:pPr>
            <w:r>
              <w:rPr>
                <w:b/>
                <w:color w:val="1C3A36"/>
                <w:sz w:val="17"/>
              </w:rPr>
              <w:t>15.47%</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0.6717</w:t>
            </w:r>
          </w:p>
        </w:tc>
        <w:tc>
          <w:tcPr>
            <w:tcW w:type="dxa" w:w="1325"/>
          </w:tcPr>
          <w:p>
            <w:pPr>
              <w:spacing w:after="20"/>
              <w:jc w:val="right"/>
            </w:pPr>
            <w:r>
              <w:rPr>
                <w:color w:val="1C3A36"/>
                <w:sz w:val="17"/>
              </w:rPr>
              <w:t>0.5654</w:t>
            </w:r>
          </w:p>
        </w:tc>
        <w:tc>
          <w:tcPr>
            <w:tcW w:type="dxa" w:w="1325"/>
          </w:tcPr>
          <w:p>
            <w:pPr>
              <w:spacing w:after="20"/>
              <w:jc w:val="right"/>
            </w:pPr>
            <w:r>
              <w:rPr>
                <w:color w:val="1C3A36"/>
                <w:sz w:val="17"/>
              </w:rPr>
              <w:t>0.4835</w:t>
            </w:r>
          </w:p>
        </w:tc>
        <w:tc>
          <w:tcPr>
            <w:tcW w:type="dxa" w:w="1325"/>
          </w:tcPr>
          <w:p>
            <w:pPr>
              <w:spacing w:after="20"/>
              <w:jc w:val="right"/>
            </w:pPr>
            <w:r>
              <w:rPr>
                <w:color w:val="1C3A36"/>
                <w:sz w:val="17"/>
              </w:rPr>
              <w:t>0.4187</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-131</w:t>
            </w:r>
          </w:p>
        </w:tc>
        <w:tc>
          <w:tcPr>
            <w:tcW w:type="dxa" w:w="1325"/>
          </w:tcPr>
          <w:p>
            <w:pPr>
              <w:spacing w:after="20"/>
              <w:jc w:val="right"/>
            </w:pPr>
            <w:r>
              <w:rPr>
                <w:color w:val="1C3A36"/>
                <w:sz w:val="17"/>
              </w:rPr>
              <w:t>771</w:t>
            </w:r>
          </w:p>
        </w:tc>
        <w:tc>
          <w:tcPr>
            <w:tcW w:type="dxa" w:w="1325"/>
          </w:tcPr>
          <w:p>
            <w:pPr>
              <w:spacing w:after="20"/>
              <w:jc w:val="right"/>
            </w:pPr>
            <w:r>
              <w:rPr>
                <w:color w:val="1C3A36"/>
                <w:sz w:val="17"/>
              </w:rPr>
              <w:t>1,069</w:t>
            </w:r>
          </w:p>
        </w:tc>
        <w:tc>
          <w:tcPr>
            <w:tcW w:type="dxa" w:w="1325"/>
          </w:tcPr>
          <w:p>
            <w:pPr>
              <w:spacing w:after="20"/>
              <w:jc w:val="right"/>
            </w:pPr>
            <w:r>
              <w:rPr>
                <w:color w:val="1C3A36"/>
                <w:sz w:val="17"/>
              </w:rPr>
              <w:t>1,131</w:t>
            </w:r>
          </w:p>
        </w:tc>
        <w:tc>
          <w:tcPr>
            <w:tcW w:type="dxa" w:w="1325"/>
          </w:tcPr>
          <w:p>
            <w:pPr>
              <w:spacing w:after="20"/>
              <w:jc w:val="right"/>
            </w:pPr>
            <w:r>
              <w:rPr>
                <w:color w:val="1C3A36"/>
                <w:sz w:val="17"/>
              </w:rPr>
              <w:t>1,189</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4,030</w:t>
            </w:r>
          </w:p>
        </w:tc>
        <w:tc>
          <w:tcPr>
            <w:tcW w:type="dxa" w:w="2232"/>
          </w:tcPr>
          <w:p>
            <w:pPr>
              <w:spacing w:after="20"/>
              <w:jc w:val="right"/>
            </w:pPr>
            <w:r>
              <w:rPr>
                <w:color w:val="1C3A36"/>
                <w:sz w:val="18"/>
              </w:rPr>
              <w:t>23.88</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14,733</w:t>
            </w:r>
          </w:p>
        </w:tc>
        <w:tc>
          <w:tcPr>
            <w:tcW w:type="dxa" w:w="2232"/>
          </w:tcPr>
          <w:p>
            <w:pPr>
              <w:spacing w:after="20"/>
              <w:jc w:val="right"/>
            </w:pPr>
            <w:r>
              <w:rPr>
                <w:color w:val="1C3A36"/>
                <w:sz w:val="18"/>
              </w:rPr>
              <w:t>87.30</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18,763</w:t>
            </w:r>
          </w:p>
        </w:tc>
        <w:tc>
          <w:tcPr>
            <w:tcW w:type="dxa" w:w="2232"/>
          </w:tcPr>
          <w:p>
            <w:pPr>
              <w:spacing w:after="20"/>
              <w:jc w:val="right"/>
            </w:pPr>
            <w:r>
              <w:rPr>
                <w:color w:val="1C3A36"/>
                <w:sz w:val="18"/>
              </w:rPr>
              <w:t>111.19</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21,754</w:t>
            </w:r>
          </w:p>
        </w:tc>
        <w:tc>
          <w:tcPr>
            <w:tcW w:type="dxa" w:w="2232"/>
          </w:tcPr>
          <w:p>
            <w:pPr>
              <w:spacing w:after="20"/>
              <w:jc w:val="right"/>
            </w:pPr>
            <w:r>
              <w:rPr>
                <w:color w:val="1C3A36"/>
                <w:sz w:val="18"/>
              </w:rPr>
              <w:t>128.91</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68%</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14,386</w:t>
            </w:r>
          </w:p>
        </w:tc>
        <w:tc>
          <w:tcPr>
            <w:tcW w:type="dxa" w:w="2232"/>
          </w:tcPr>
          <w:p>
            <w:pPr>
              <w:spacing w:after="20"/>
              <w:jc w:val="right"/>
            </w:pPr>
            <w:r>
              <w:rPr>
                <w:color w:val="1C3A36"/>
                <w:sz w:val="18"/>
              </w:rPr>
              <w:t>85.25</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17,364</w:t>
            </w:r>
          </w:p>
        </w:tc>
        <w:tc>
          <w:tcPr>
            <w:tcW w:type="dxa" w:w="2232"/>
            <w:shd w:val="clear" w:color="auto" w:fill="F6F1E6"/>
          </w:tcPr>
          <w:p>
            <w:pPr>
              <w:spacing w:after="20"/>
              <w:jc w:val="right"/>
            </w:pPr>
            <w:r>
              <w:rPr>
                <w:b/>
                <w:color w:val="1C3A36"/>
                <w:sz w:val="18"/>
              </w:rPr>
              <w:t>102.89</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68%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20.4% / 23.5% / 26.1% / 27.4% / 27.8% — it RISES through the window rather than settling, so the sustainable return used here is the mean of its last three years, 27.11%, read off that path rather than chosen. A business earning 27.1% on equity while its perpetual cost of equity is 17.50% is worth more than its book: the multiple that relationship justifies is (return less growth) over (cost of equity less growth), or 1.92 times book — EGP 70.85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7.06x</w:t>
            </w:r>
          </w:p>
        </w:tc>
        <w:tc>
          <w:tcPr>
            <w:tcW w:type="dxa" w:w="1368"/>
          </w:tcPr>
          <w:p>
            <w:pPr>
              <w:spacing w:after="20"/>
              <w:jc w:val="right"/>
            </w:pPr>
            <w:r>
              <w:rPr>
                <w:color w:val="1C3A36"/>
                <w:sz w:val="17"/>
              </w:rPr>
              <w:t>58.09</w:t>
            </w:r>
          </w:p>
        </w:tc>
        <w:tc>
          <w:tcPr>
            <w:tcW w:type="dxa" w:w="4320"/>
          </w:tcPr>
          <w:p>
            <w:pPr>
              <w:spacing w:after="20"/>
              <w:jc w:val="right"/>
            </w:pPr>
            <w:r>
              <w:rPr>
                <w:color w:val="1C3A36"/>
                <w:sz w:val="17"/>
              </w:rPr>
              <w:t>a FORWARD multiple on FORWARD earnings of EGP 8.22. Retention must equal growth 7% over sustainable return 27.1%, so payout is 74%</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6.10x</w:t>
            </w:r>
          </w:p>
        </w:tc>
        <w:tc>
          <w:tcPr>
            <w:tcW w:type="dxa" w:w="1368"/>
          </w:tcPr>
          <w:p>
            <w:pPr>
              <w:spacing w:after="20"/>
              <w:jc w:val="right"/>
            </w:pPr>
            <w:r>
              <w:rPr>
                <w:color w:val="1C3A36"/>
                <w:sz w:val="17"/>
              </w:rPr>
              <w:t>52.11</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17.5%</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6.58x</w:t>
            </w:r>
          </w:p>
        </w:tc>
        <w:tc>
          <w:tcPr>
            <w:tcW w:type="dxa" w:w="1368"/>
            <w:shd w:val="clear" w:color="auto" w:fill="F6F1E6"/>
          </w:tcPr>
          <w:p>
            <w:pPr>
              <w:spacing w:after="20"/>
              <w:jc w:val="right"/>
            </w:pPr>
            <w:r>
              <w:rPr>
                <w:b/>
                <w:color w:val="1C3A36"/>
                <w:sz w:val="17"/>
              </w:rPr>
              <w:t>55.45</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10.23 a share of sustainable earnings. Capitalised at the PERPETUAL cost of equity of 17.50% less 7% growth, on the 74% payout that growth rate permits, that is EGP 72.28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55 to EGP 103.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85.25 a share on Frame A and EGP 102.89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24.62</w:t>
            </w:r>
          </w:p>
        </w:tc>
        <w:tc>
          <w:tcPr>
            <w:tcW w:type="dxa" w:w="1325"/>
          </w:tcPr>
          <w:p>
            <w:pPr>
              <w:spacing w:after="20"/>
              <w:jc w:val="right"/>
            </w:pPr>
            <w:r>
              <w:rPr>
                <w:color w:val="1C3A36"/>
                <w:sz w:val="17"/>
              </w:rPr>
              <w:t>27.57</w:t>
            </w:r>
          </w:p>
        </w:tc>
        <w:tc>
          <w:tcPr>
            <w:tcW w:type="dxa" w:w="1325"/>
          </w:tcPr>
          <w:p>
            <w:pPr>
              <w:spacing w:after="20"/>
              <w:jc w:val="right"/>
            </w:pPr>
            <w:r>
              <w:rPr>
                <w:color w:val="1C3A36"/>
                <w:sz w:val="17"/>
              </w:rPr>
              <w:t>30.05</w:t>
            </w:r>
          </w:p>
        </w:tc>
        <w:tc>
          <w:tcPr>
            <w:tcW w:type="dxa" w:w="1325"/>
          </w:tcPr>
          <w:p>
            <w:pPr>
              <w:spacing w:after="20"/>
              <w:jc w:val="right"/>
            </w:pPr>
            <w:r>
              <w:rPr>
                <w:color w:val="1C3A36"/>
                <w:sz w:val="17"/>
              </w:rPr>
              <w:t>32.31</w:t>
            </w:r>
          </w:p>
        </w:tc>
        <w:tc>
          <w:tcPr>
            <w:tcW w:type="dxa" w:w="1325"/>
          </w:tcPr>
          <w:p>
            <w:pPr>
              <w:spacing w:after="20"/>
              <w:jc w:val="right"/>
            </w:pPr>
            <w:r>
              <w:rPr>
                <w:color w:val="1C3A36"/>
                <w:sz w:val="17"/>
              </w:rPr>
              <w:t>34.57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10.44</w:t>
            </w:r>
          </w:p>
        </w:tc>
        <w:tc>
          <w:tcPr>
            <w:tcW w:type="dxa" w:w="1325"/>
          </w:tcPr>
          <w:p>
            <w:pPr>
              <w:spacing w:after="20"/>
              <w:jc w:val="right"/>
            </w:pPr>
            <w:r>
              <w:rPr>
                <w:color w:val="1C3A36"/>
                <w:sz w:val="17"/>
              </w:rPr>
              <w:t>11.69</w:t>
            </w:r>
          </w:p>
        </w:tc>
        <w:tc>
          <w:tcPr>
            <w:tcW w:type="dxa" w:w="1325"/>
          </w:tcPr>
          <w:p>
            <w:pPr>
              <w:spacing w:after="20"/>
              <w:jc w:val="right"/>
            </w:pPr>
            <w:r>
              <w:rPr>
                <w:color w:val="1C3A36"/>
                <w:sz w:val="17"/>
              </w:rPr>
              <w:t>12.75</w:t>
            </w:r>
          </w:p>
        </w:tc>
        <w:tc>
          <w:tcPr>
            <w:tcW w:type="dxa" w:w="1325"/>
          </w:tcPr>
          <w:p>
            <w:pPr>
              <w:spacing w:after="20"/>
              <w:jc w:val="right"/>
            </w:pPr>
            <w:r>
              <w:rPr>
                <w:color w:val="1C3A36"/>
                <w:sz w:val="17"/>
              </w:rPr>
              <w:t>13.70</w:t>
            </w:r>
          </w:p>
        </w:tc>
        <w:tc>
          <w:tcPr>
            <w:tcW w:type="dxa" w:w="1325"/>
          </w:tcPr>
          <w:p>
            <w:pPr>
              <w:spacing w:after="20"/>
              <w:jc w:val="right"/>
            </w:pPr>
            <w:r>
              <w:rPr>
                <w:color w:val="1C3A36"/>
                <w:sz w:val="17"/>
              </w:rPr>
              <w:t>14.66</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19.66</w:t>
            </w:r>
          </w:p>
        </w:tc>
        <w:tc>
          <w:tcPr>
            <w:tcW w:type="dxa" w:w="1325"/>
          </w:tcPr>
          <w:p>
            <w:pPr>
              <w:spacing w:after="20"/>
              <w:jc w:val="right"/>
            </w:pPr>
            <w:r>
              <w:rPr>
                <w:color w:val="1C3A36"/>
                <w:sz w:val="17"/>
              </w:rPr>
              <w:t>22.02</w:t>
            </w:r>
          </w:p>
        </w:tc>
        <w:tc>
          <w:tcPr>
            <w:tcW w:type="dxa" w:w="1325"/>
          </w:tcPr>
          <w:p>
            <w:pPr>
              <w:spacing w:after="20"/>
              <w:jc w:val="right"/>
            </w:pPr>
            <w:r>
              <w:rPr>
                <w:color w:val="1C3A36"/>
                <w:sz w:val="17"/>
              </w:rPr>
              <w:t>24.00</w:t>
            </w:r>
          </w:p>
        </w:tc>
        <w:tc>
          <w:tcPr>
            <w:tcW w:type="dxa" w:w="1325"/>
          </w:tcPr>
          <w:p>
            <w:pPr>
              <w:spacing w:after="20"/>
              <w:jc w:val="right"/>
            </w:pPr>
            <w:r>
              <w:rPr>
                <w:color w:val="1C3A36"/>
                <w:sz w:val="17"/>
              </w:rPr>
              <w:t>25.80</w:t>
            </w:r>
          </w:p>
        </w:tc>
        <w:tc>
          <w:tcPr>
            <w:tcW w:type="dxa" w:w="1325"/>
          </w:tcPr>
          <w:p>
            <w:pPr>
              <w:spacing w:after="20"/>
              <w:jc w:val="right"/>
            </w:pPr>
            <w:r>
              <w:rPr>
                <w:color w:val="1C3A36"/>
                <w:sz w:val="17"/>
              </w:rPr>
              <w:t>27.61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42.8%</w:t>
            </w:r>
          </w:p>
        </w:tc>
        <w:tc>
          <w:tcPr>
            <w:tcW w:type="dxa" w:w="1325"/>
            <w:shd w:val="clear" w:color="auto" w:fill="F6F1E6"/>
          </w:tcPr>
          <w:p>
            <w:pPr>
              <w:spacing w:after="20"/>
              <w:jc w:val="right"/>
            </w:pPr>
            <w:r>
              <w:rPr>
                <w:b/>
                <w:color w:val="1C3A36"/>
                <w:sz w:val="17"/>
              </w:rPr>
              <w:t>42.9%</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43.5%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4,239 million of revenue by FY2030 at a 45% contribution margin closes the gap from EGP 85.25 to EGP 127.30. That is 17% of FY2030 revenue, or about USD 60 million a year — 0.60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60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42.05 a share — EGP 7,097 million, 33% of the entire share price — for a plant this study values at nothing, against a stated build cost of USD 100 million, about EGP 7,011 million. The market is not merely paying for the plant to work; it is paying roughly 1.0 times what the plant cost to build. That is the proposition, stated as a multiple of an observable outlay rather than as a valuation.</w:t>
      </w:r>
    </w:p>
    <w:p>
      <w:pPr>
        <w:spacing w:after="120" w:before="0"/>
      </w:pPr>
      <w:r>
        <w:rPr>
          <w:b/>
          <w:i w:val="0"/>
          <w:color w:val="1C3A36"/>
          <w:sz w:val="21"/>
        </w:rPr>
        <w:t>And the lead molecule is not first into its own market, which makes the hurdle harder than the contribution margin above makes it look. The Egyptian Drug Authority approved a competing adalimumab biosimilar — Alvotech's AVT02, marketed in Egypt as Adalimumab-EVA and commercialised by Bioventure — on 29 August 2023. That is twenty-seven months before this company launched its own adalimumab in December 2025, and adalimumab is the one molecule of the fourteen in the published pipeline that has actually reached the market. So the revenue above has to be won against an approved rival rather than into an empty field, and the 45% contribution margin the solve assumes should be read as a ceiling. This changes nothing in the answer, because the crux is stated rather than forecast. It raises the bar a reader has to clear before agreeing with the market.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60 million a year of biosimilar revenue by 2030 is a figure the company will eventually disclose, and a reader can check this study against it. An asset turn of 0.60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11,442</w:t>
            </w:r>
          </w:p>
        </w:tc>
        <w:tc>
          <w:tcPr>
            <w:tcW w:type="dxa" w:w="3312"/>
          </w:tcPr>
          <w:p>
            <w:pPr>
              <w:spacing w:after="20"/>
              <w:jc w:val="right"/>
            </w:pPr>
            <w:r>
              <w:rPr>
                <w:color w:val="1C3A36"/>
                <w:sz w:val="16"/>
              </w:rPr>
              <w:t>10.0%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43.2%</w:t>
            </w:r>
          </w:p>
        </w:tc>
        <w:tc>
          <w:tcPr>
            <w:tcW w:type="dxa" w:w="3312"/>
          </w:tcPr>
          <w:p>
            <w:pPr>
              <w:spacing w:after="20"/>
              <w:jc w:val="right"/>
            </w:pPr>
            <w:r>
              <w:rPr>
                <w:color w:val="1C3A36"/>
                <w:sz w:val="16"/>
              </w:rPr>
              <w:t>within 77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1,430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1,355</w:t>
            </w:r>
          </w:p>
        </w:tc>
        <w:tc>
          <w:tcPr>
            <w:tcW w:type="dxa" w:w="3312"/>
          </w:tcPr>
          <w:p>
            <w:pPr>
              <w:spacing w:after="20"/>
              <w:jc w:val="right"/>
            </w:pPr>
            <w:r>
              <w:rPr>
                <w:color w:val="1C3A36"/>
                <w:sz w:val="16"/>
              </w:rPr>
              <w:t>the study is 5%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8.03</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15.47%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17.50%, cost of debt after tax 9.56%, DERIVED debt weight 25.5% on today's market values. The forecast balance sheet, once funded, carries 36.2% on book at FY2030E, which would give 14.62%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85.25</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76.29</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100.98</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85.95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100</w:t>
            </w:r>
          </w:p>
        </w:tc>
        <w:tc>
          <w:tcPr>
            <w:tcW w:type="dxa" w:w="1368"/>
          </w:tcPr>
          <w:p>
            <w:pPr>
              <w:spacing w:after="20"/>
              <w:jc w:val="right"/>
            </w:pPr>
            <w:r>
              <w:rPr>
                <w:color w:val="1C3A36"/>
                <w:sz w:val="17"/>
              </w:rPr>
              <w:t>112</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70</w:t>
            </w:r>
          </w:p>
        </w:tc>
        <w:tc>
          <w:tcPr>
            <w:tcW w:type="dxa" w:w="1368"/>
          </w:tcPr>
          <w:p>
            <w:pPr>
              <w:spacing w:after="20"/>
              <w:jc w:val="right"/>
            </w:pPr>
            <w:r>
              <w:rPr>
                <w:color w:val="1C3A36"/>
                <w:sz w:val="17"/>
              </w:rPr>
              <w:t>75</w:t>
            </w:r>
          </w:p>
        </w:tc>
        <w:tc>
          <w:tcPr>
            <w:tcW w:type="dxa" w:w="1368"/>
          </w:tcPr>
          <w:p>
            <w:pPr>
              <w:spacing w:after="20"/>
              <w:jc w:val="right"/>
            </w:pPr>
            <w:r>
              <w:rPr>
                <w:color w:val="1C3A36"/>
                <w:sz w:val="17"/>
              </w:rPr>
              <w:t>81</w:t>
            </w:r>
          </w:p>
        </w:tc>
        <w:tc>
          <w:tcPr>
            <w:tcW w:type="dxa" w:w="1368"/>
          </w:tcPr>
          <w:p>
            <w:pPr>
              <w:spacing w:after="20"/>
              <w:jc w:val="right"/>
            </w:pPr>
            <w:r>
              <w:rPr>
                <w:color w:val="1C3A36"/>
                <w:sz w:val="17"/>
              </w:rPr>
              <w:t>88</w:t>
            </w:r>
          </w:p>
        </w:tc>
        <w:tc>
          <w:tcPr>
            <w:tcW w:type="dxa" w:w="1368"/>
          </w:tcPr>
          <w:p>
            <w:pPr>
              <w:spacing w:after="20"/>
              <w:jc w:val="right"/>
            </w:pPr>
            <w:r>
              <w:rPr>
                <w:color w:val="1C3A36"/>
                <w:sz w:val="17"/>
              </w:rPr>
              <w:t>97</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63</w:t>
            </w:r>
          </w:p>
        </w:tc>
        <w:tc>
          <w:tcPr>
            <w:tcW w:type="dxa" w:w="1368"/>
          </w:tcPr>
          <w:p>
            <w:pPr>
              <w:spacing w:after="20"/>
              <w:jc w:val="right"/>
            </w:pPr>
            <w:r>
              <w:rPr>
                <w:color w:val="1C3A36"/>
                <w:sz w:val="17"/>
              </w:rPr>
              <w:t>67</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85</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57</w:t>
            </w:r>
          </w:p>
        </w:tc>
        <w:tc>
          <w:tcPr>
            <w:tcW w:type="dxa" w:w="1368"/>
          </w:tcPr>
          <w:p>
            <w:pPr>
              <w:spacing w:after="20"/>
              <w:jc w:val="right"/>
            </w:pPr>
            <w:r>
              <w:rPr>
                <w:color w:val="1C3A36"/>
                <w:sz w:val="17"/>
              </w:rPr>
              <w:t>60</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75</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51</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67</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51 to EGP 112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1,060 million of FY2030 sales, or USD 15 million a year — is worth about EGP 10.51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85.25</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102.89</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70.85</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55.45</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72.28</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relative lens at EGP 55.45; the highest is the cash-flow reading on the normalising frame at EGP 102.89. The cash-flow readings charge the new plant's full cost and credit it with nothing, so they sit low despite capturing five years of the volume and price growth the existing business is already delivering. The relative lens prices the company on what a 27.1% return and a 17.5% perpetual cost of equity can justify, which supports about 7.06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60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85.25 and EGP 102.89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19.17% in FY2030E. It now READS the model's own final year, so terminal reinvestment rises from 25.0% to 36.5%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3,440 million of construction is still parked at FY2030E and had never entered the depreciable base. A perpetuity cannot capitalise profit on capital it never charges, so EGP 213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25.5% on today's market values, 36.2%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tcPr>
          <w:p>
            <w:pPr>
              <w:spacing w:after="20"/>
            </w:pPr>
            <w:r>
              <w:rPr>
                <w:color w:val="1C3A36"/>
                <w:sz w:val="16"/>
              </w:rPr>
              <w:t>The terminal is fed the LAST forecast year’s cash flow, not a year already grown</w:t>
            </w:r>
          </w:p>
        </w:tc>
        <w:tc>
          <w:tcPr>
            <w:tcW w:type="dxa" w:w="6048"/>
          </w:tcPr>
          <w:p>
            <w:pPr>
              <w:spacing w:after="20"/>
              <w:jc w:val="right"/>
            </w:pPr>
            <w:r>
              <w:rPr>
                <w:color w:val="1C3A36"/>
                <w:sz w:val="16"/>
              </w:rPr>
              <w:t>the terminal formula grows the free cash flow one year itself and values the result at the end of the last forecast year, which is where the discount factor lands it. The profit, the depreciation and the working capital handed to it had already been grown once, so the terminal capitalised a flow a year further out than the factor it was discounted at. Correcting it lowers the terminal by -6.9% on Frame A and -6.9% on Frame B, and the value per share by -7.1% and -6.7% — the larger share effect is gearing, not a second change</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85.25 on Frame A (7%) and EGP 102.89 on Frame B (29%)</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10.93%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60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11,442</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16,179</w:t>
            </w:r>
          </w:p>
        </w:tc>
        <w:tc>
          <w:tcPr>
            <w:tcW w:type="dxa" w:w="1037"/>
          </w:tcPr>
          <w:p>
            <w:pPr>
              <w:spacing w:after="20"/>
              <w:jc w:val="right"/>
            </w:pPr>
            <w:r>
              <w:rPr>
                <w:color w:val="1C3A36"/>
                <w:sz w:val="15"/>
              </w:rPr>
              <w:t>18,523</w:t>
            </w:r>
          </w:p>
        </w:tc>
        <w:tc>
          <w:tcPr>
            <w:tcW w:type="dxa" w:w="1037"/>
          </w:tcPr>
          <w:p>
            <w:pPr>
              <w:spacing w:after="20"/>
              <w:jc w:val="right"/>
            </w:pPr>
            <w:r>
              <w:rPr>
                <w:color w:val="1C3A36"/>
                <w:sz w:val="15"/>
              </w:rPr>
              <w:t>20,911</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4,939</w:t>
            </w:r>
          </w:p>
        </w:tc>
        <w:tc>
          <w:tcPr>
            <w:tcW w:type="dxa" w:w="1037"/>
            <w:shd w:val="clear" w:color="auto" w:fill="F6F1E6"/>
          </w:tcPr>
          <w:p>
            <w:pPr>
              <w:spacing w:after="20"/>
              <w:jc w:val="right"/>
            </w:pPr>
            <w:r>
              <w:rPr>
                <w:b/>
                <w:color w:val="1C3A36"/>
                <w:sz w:val="15"/>
              </w:rPr>
              <w:t>5,916</w:t>
            </w:r>
          </w:p>
        </w:tc>
        <w:tc>
          <w:tcPr>
            <w:tcW w:type="dxa" w:w="1037"/>
            <w:shd w:val="clear" w:color="auto" w:fill="F6F1E6"/>
          </w:tcPr>
          <w:p>
            <w:pPr>
              <w:spacing w:after="20"/>
              <w:jc w:val="right"/>
            </w:pPr>
            <w:r>
              <w:rPr>
                <w:b/>
                <w:color w:val="1C3A36"/>
                <w:sz w:val="15"/>
              </w:rPr>
              <w:t>6,948</w:t>
            </w:r>
          </w:p>
        </w:tc>
        <w:tc>
          <w:tcPr>
            <w:tcW w:type="dxa" w:w="1037"/>
            <w:shd w:val="clear" w:color="auto" w:fill="F6F1E6"/>
          </w:tcPr>
          <w:p>
            <w:pPr>
              <w:spacing w:after="20"/>
              <w:jc w:val="right"/>
            </w:pPr>
            <w:r>
              <w:rPr>
                <w:b/>
                <w:color w:val="1C3A36"/>
                <w:sz w:val="15"/>
              </w:rPr>
              <w:t>8,002</w:t>
            </w:r>
          </w:p>
        </w:tc>
        <w:tc>
          <w:tcPr>
            <w:tcW w:type="dxa" w:w="1037"/>
            <w:shd w:val="clear" w:color="auto" w:fill="F6F1E6"/>
          </w:tcPr>
          <w:p>
            <w:pPr>
              <w:spacing w:after="20"/>
              <w:jc w:val="right"/>
            </w:pPr>
            <w:r>
              <w:rPr>
                <w:b/>
                <w:color w:val="1C3A36"/>
                <w:sz w:val="15"/>
              </w:rPr>
              <w:t>9,088</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42.8%</w:t>
            </w:r>
          </w:p>
        </w:tc>
        <w:tc>
          <w:tcPr>
            <w:tcW w:type="dxa" w:w="1037"/>
          </w:tcPr>
          <w:p>
            <w:pPr>
              <w:spacing w:after="20"/>
              <w:jc w:val="right"/>
            </w:pPr>
            <w:r>
              <w:rPr>
                <w:color w:val="1C3A36"/>
                <w:sz w:val="15"/>
              </w:rPr>
              <w:t>42.9%</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43.5%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1,190</w:t>
            </w:r>
          </w:p>
        </w:tc>
        <w:tc>
          <w:tcPr>
            <w:tcW w:type="dxa" w:w="1037"/>
          </w:tcPr>
          <w:p>
            <w:pPr>
              <w:spacing w:after="20"/>
              <w:jc w:val="right"/>
            </w:pPr>
            <w:r>
              <w:rPr>
                <w:color w:val="1C3A36"/>
                <w:sz w:val="15"/>
              </w:rPr>
              <w:t>1,410</w:t>
            </w:r>
          </w:p>
        </w:tc>
        <w:tc>
          <w:tcPr>
            <w:tcW w:type="dxa" w:w="1037"/>
          </w:tcPr>
          <w:p>
            <w:pPr>
              <w:spacing w:after="20"/>
              <w:jc w:val="right"/>
            </w:pPr>
            <w:r>
              <w:rPr>
                <w:color w:val="1C3A36"/>
                <w:sz w:val="15"/>
              </w:rPr>
              <w:t>1,618</w:t>
            </w:r>
          </w:p>
        </w:tc>
        <w:tc>
          <w:tcPr>
            <w:tcW w:type="dxa" w:w="1037"/>
          </w:tcPr>
          <w:p>
            <w:pPr>
              <w:spacing w:after="20"/>
              <w:jc w:val="right"/>
            </w:pPr>
            <w:r>
              <w:rPr>
                <w:color w:val="1C3A36"/>
                <w:sz w:val="15"/>
              </w:rPr>
              <w:t>1,834</w:t>
            </w:r>
          </w:p>
        </w:tc>
        <w:tc>
          <w:tcPr>
            <w:tcW w:type="dxa" w:w="1037"/>
          </w:tcPr>
          <w:p>
            <w:pPr>
              <w:spacing w:after="20"/>
              <w:jc w:val="right"/>
            </w:pPr>
            <w:r>
              <w:rPr>
                <w:color w:val="1C3A36"/>
                <w:sz w:val="15"/>
              </w:rPr>
              <w:t>2,049</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97.3</w:t>
            </w:r>
          </w:p>
        </w:tc>
        <w:tc>
          <w:tcPr>
            <w:tcW w:type="dxa" w:w="1037"/>
          </w:tcPr>
          <w:p>
            <w:pPr>
              <w:spacing w:after="20"/>
              <w:jc w:val="right"/>
            </w:pPr>
            <w:r>
              <w:rPr>
                <w:color w:val="1C3A36"/>
                <w:sz w:val="15"/>
              </w:rPr>
              <w:t>124.4</w:t>
            </w:r>
          </w:p>
        </w:tc>
        <w:tc>
          <w:tcPr>
            <w:tcW w:type="dxa" w:w="1037"/>
          </w:tcPr>
          <w:p>
            <w:pPr>
              <w:spacing w:after="20"/>
              <w:jc w:val="right"/>
            </w:pPr>
            <w:r>
              <w:rPr>
                <w:color w:val="1C3A36"/>
                <w:sz w:val="15"/>
              </w:rPr>
              <w:t>153.7</w:t>
            </w:r>
          </w:p>
        </w:tc>
        <w:tc>
          <w:tcPr>
            <w:tcW w:type="dxa" w:w="1037"/>
          </w:tcPr>
          <w:p>
            <w:pPr>
              <w:spacing w:after="20"/>
              <w:jc w:val="right"/>
            </w:pPr>
            <w:r>
              <w:rPr>
                <w:color w:val="1C3A36"/>
                <w:sz w:val="15"/>
              </w:rPr>
              <w:t>185.2</w:t>
            </w:r>
          </w:p>
        </w:tc>
        <w:tc>
          <w:tcPr>
            <w:tcW w:type="dxa" w:w="1037"/>
          </w:tcPr>
          <w:p>
            <w:pPr>
              <w:spacing w:after="20"/>
              <w:jc w:val="right"/>
            </w:pPr>
            <w:r>
              <w:rPr>
                <w:color w:val="1C3A36"/>
                <w:sz w:val="15"/>
              </w:rPr>
              <w:t>209.1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268.9</w:t>
            </w:r>
          </w:p>
        </w:tc>
        <w:tc>
          <w:tcPr>
            <w:tcW w:type="dxa" w:w="1037"/>
          </w:tcPr>
          <w:p>
            <w:pPr>
              <w:spacing w:after="20"/>
              <w:jc w:val="right"/>
            </w:pPr>
            <w:r>
              <w:rPr>
                <w:color w:val="1C3A36"/>
                <w:sz w:val="15"/>
              </w:rPr>
              <w:t>324.9</w:t>
            </w:r>
          </w:p>
        </w:tc>
        <w:tc>
          <w:tcPr>
            <w:tcW w:type="dxa" w:w="1037"/>
          </w:tcPr>
          <w:p>
            <w:pPr>
              <w:spacing w:after="20"/>
              <w:jc w:val="right"/>
            </w:pPr>
            <w:r>
              <w:rPr>
                <w:color w:val="1C3A36"/>
                <w:sz w:val="15"/>
              </w:rPr>
              <w:t>372.1</w:t>
            </w:r>
          </w:p>
        </w:tc>
        <w:tc>
          <w:tcPr>
            <w:tcW w:type="dxa" w:w="1037"/>
          </w:tcPr>
          <w:p>
            <w:pPr>
              <w:spacing w:after="20"/>
              <w:jc w:val="right"/>
            </w:pPr>
            <w:r>
              <w:rPr>
                <w:color w:val="1C3A36"/>
                <w:sz w:val="15"/>
              </w:rPr>
              <w:t>422.3</w:t>
            </w:r>
          </w:p>
        </w:tc>
        <w:tc>
          <w:tcPr>
            <w:tcW w:type="dxa" w:w="1037"/>
          </w:tcPr>
          <w:p>
            <w:pPr>
              <w:spacing w:after="20"/>
              <w:jc w:val="right"/>
            </w:pPr>
            <w:r>
              <w:rPr>
                <w:color w:val="1C3A36"/>
                <w:sz w:val="15"/>
              </w:rPr>
              <w:t>470.5</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849</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1,098</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2,718</w:t>
            </w:r>
          </w:p>
        </w:tc>
        <w:tc>
          <w:tcPr>
            <w:tcW w:type="dxa" w:w="1037"/>
            <w:shd w:val="clear" w:color="auto" w:fill="F6F1E6"/>
          </w:tcPr>
          <w:p>
            <w:pPr>
              <w:spacing w:after="20"/>
              <w:jc w:val="right"/>
            </w:pPr>
            <w:r>
              <w:rPr>
                <w:b/>
                <w:color w:val="1C3A36"/>
                <w:sz w:val="15"/>
              </w:rPr>
              <w:t>3,241</w:t>
            </w:r>
          </w:p>
        </w:tc>
        <w:tc>
          <w:tcPr>
            <w:tcW w:type="dxa" w:w="1037"/>
            <w:shd w:val="clear" w:color="auto" w:fill="F6F1E6"/>
          </w:tcPr>
          <w:p>
            <w:pPr>
              <w:spacing w:after="20"/>
              <w:jc w:val="right"/>
            </w:pPr>
            <w:r>
              <w:rPr>
                <w:b/>
                <w:color w:val="1C3A36"/>
                <w:sz w:val="15"/>
              </w:rPr>
              <w:t>3,861</w:t>
            </w:r>
          </w:p>
        </w:tc>
        <w:tc>
          <w:tcPr>
            <w:tcW w:type="dxa" w:w="1037"/>
            <w:shd w:val="clear" w:color="auto" w:fill="F6F1E6"/>
          </w:tcPr>
          <w:p>
            <w:pPr>
              <w:spacing w:after="20"/>
              <w:jc w:val="right"/>
            </w:pPr>
            <w:r>
              <w:rPr>
                <w:b/>
                <w:color w:val="1C3A36"/>
                <w:sz w:val="15"/>
              </w:rPr>
              <w:t>4,496</w:t>
            </w:r>
          </w:p>
        </w:tc>
        <w:tc>
          <w:tcPr>
            <w:tcW w:type="dxa" w:w="1037"/>
            <w:shd w:val="clear" w:color="auto" w:fill="F6F1E6"/>
          </w:tcPr>
          <w:p>
            <w:pPr>
              <w:spacing w:after="20"/>
              <w:jc w:val="right"/>
            </w:pPr>
            <w:r>
              <w:rPr>
                <w:b/>
                <w:color w:val="1C3A36"/>
                <w:sz w:val="15"/>
              </w:rPr>
              <w:t>5,172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3,022</w:t>
            </w:r>
          </w:p>
        </w:tc>
        <w:tc>
          <w:tcPr>
            <w:tcW w:type="dxa" w:w="1037"/>
          </w:tcPr>
          <w:p>
            <w:pPr>
              <w:spacing w:after="20"/>
              <w:jc w:val="right"/>
            </w:pPr>
            <w:r>
              <w:rPr>
                <w:color w:val="1C3A36"/>
                <w:sz w:val="15"/>
              </w:rPr>
              <w:t>3,666</w:t>
            </w:r>
          </w:p>
        </w:tc>
        <w:tc>
          <w:tcPr>
            <w:tcW w:type="dxa" w:w="1037"/>
          </w:tcPr>
          <w:p>
            <w:pPr>
              <w:spacing w:after="20"/>
              <w:jc w:val="right"/>
            </w:pPr>
            <w:r>
              <w:rPr>
                <w:color w:val="1C3A36"/>
                <w:sz w:val="15"/>
              </w:rPr>
              <w:t>4,307</w:t>
            </w:r>
          </w:p>
        </w:tc>
        <w:tc>
          <w:tcPr>
            <w:tcW w:type="dxa" w:w="1037"/>
          </w:tcPr>
          <w:p>
            <w:pPr>
              <w:spacing w:after="20"/>
              <w:jc w:val="right"/>
            </w:pPr>
            <w:r>
              <w:rPr>
                <w:color w:val="1C3A36"/>
                <w:sz w:val="15"/>
              </w:rPr>
              <w:t>4,933</w:t>
            </w:r>
          </w:p>
        </w:tc>
        <w:tc>
          <w:tcPr>
            <w:tcW w:type="dxa" w:w="1037"/>
          </w:tcPr>
          <w:p>
            <w:pPr>
              <w:spacing w:after="20"/>
              <w:jc w:val="right"/>
            </w:pPr>
            <w:r>
              <w:rPr>
                <w:color w:val="1C3A36"/>
                <w:sz w:val="15"/>
              </w:rPr>
              <w:t>5,595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1,355</w:t>
            </w:r>
          </w:p>
        </w:tc>
        <w:tc>
          <w:tcPr>
            <w:tcW w:type="dxa" w:w="1037"/>
            <w:shd w:val="clear" w:color="auto" w:fill="F6F1E6"/>
          </w:tcPr>
          <w:p>
            <w:pPr>
              <w:spacing w:after="20"/>
              <w:jc w:val="right"/>
            </w:pPr>
            <w:r>
              <w:rPr>
                <w:b/>
                <w:color w:val="1C3A36"/>
                <w:sz w:val="15"/>
              </w:rPr>
              <w:t>1,785</w:t>
            </w:r>
          </w:p>
        </w:tc>
        <w:tc>
          <w:tcPr>
            <w:tcW w:type="dxa" w:w="1037"/>
            <w:shd w:val="clear" w:color="auto" w:fill="F6F1E6"/>
          </w:tcPr>
          <w:p>
            <w:pPr>
              <w:spacing w:after="20"/>
              <w:jc w:val="right"/>
            </w:pPr>
            <w:r>
              <w:rPr>
                <w:b/>
                <w:color w:val="1C3A36"/>
                <w:sz w:val="15"/>
              </w:rPr>
              <w:t>2,306</w:t>
            </w:r>
          </w:p>
        </w:tc>
        <w:tc>
          <w:tcPr>
            <w:tcW w:type="dxa" w:w="1037"/>
            <w:shd w:val="clear" w:color="auto" w:fill="F6F1E6"/>
          </w:tcPr>
          <w:p>
            <w:pPr>
              <w:spacing w:after="20"/>
              <w:jc w:val="right"/>
            </w:pPr>
            <w:r>
              <w:rPr>
                <w:b/>
                <w:color w:val="1C3A36"/>
                <w:sz w:val="15"/>
              </w:rPr>
              <w:t>2,837</w:t>
            </w:r>
          </w:p>
        </w:tc>
        <w:tc>
          <w:tcPr>
            <w:tcW w:type="dxa" w:w="1037"/>
            <w:shd w:val="clear" w:color="auto" w:fill="F6F1E6"/>
          </w:tcPr>
          <w:p>
            <w:pPr>
              <w:spacing w:after="20"/>
              <w:jc w:val="right"/>
            </w:pPr>
            <w:r>
              <w:rPr>
                <w:b/>
                <w:color w:val="1C3A36"/>
                <w:sz w:val="15"/>
              </w:rPr>
              <w:t>3,401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8.03</w:t>
            </w:r>
          </w:p>
        </w:tc>
        <w:tc>
          <w:tcPr>
            <w:tcW w:type="dxa" w:w="1037"/>
          </w:tcPr>
          <w:p>
            <w:pPr>
              <w:spacing w:after="20"/>
              <w:jc w:val="right"/>
            </w:pPr>
            <w:r>
              <w:rPr>
                <w:color w:val="1C3A36"/>
                <w:sz w:val="15"/>
              </w:rPr>
              <w:t>10.58</w:t>
            </w:r>
          </w:p>
        </w:tc>
        <w:tc>
          <w:tcPr>
            <w:tcW w:type="dxa" w:w="1037"/>
          </w:tcPr>
          <w:p>
            <w:pPr>
              <w:spacing w:after="20"/>
              <w:jc w:val="right"/>
            </w:pPr>
            <w:r>
              <w:rPr>
                <w:color w:val="1C3A36"/>
                <w:sz w:val="15"/>
              </w:rPr>
              <w:t>13.66</w:t>
            </w:r>
          </w:p>
        </w:tc>
        <w:tc>
          <w:tcPr>
            <w:tcW w:type="dxa" w:w="1037"/>
          </w:tcPr>
          <w:p>
            <w:pPr>
              <w:spacing w:after="20"/>
              <w:jc w:val="right"/>
            </w:pPr>
            <w:r>
              <w:rPr>
                <w:color w:val="1C3A36"/>
                <w:sz w:val="15"/>
              </w:rPr>
              <w:t>16.81</w:t>
            </w:r>
          </w:p>
        </w:tc>
        <w:tc>
          <w:tcPr>
            <w:tcW w:type="dxa" w:w="1037"/>
          </w:tcPr>
          <w:p>
            <w:pPr>
              <w:spacing w:after="20"/>
              <w:jc w:val="right"/>
            </w:pPr>
            <w:r>
              <w:rPr>
                <w:color w:val="1C3A36"/>
                <w:sz w:val="15"/>
              </w:rPr>
              <w:t>20.15</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813</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1,702</w:t>
            </w:r>
          </w:p>
        </w:tc>
        <w:tc>
          <w:tcPr>
            <w:tcW w:type="dxa" w:w="1037"/>
          </w:tcPr>
          <w:p>
            <w:pPr>
              <w:spacing w:after="20"/>
              <w:jc w:val="right"/>
            </w:pPr>
            <w:r>
              <w:rPr>
                <w:color w:val="1C3A36"/>
                <w:sz w:val="15"/>
              </w:rPr>
              <w:t>2,040</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2,931</w:t>
            </w:r>
          </w:p>
        </w:tc>
        <w:tc>
          <w:tcPr>
            <w:tcW w:type="dxa" w:w="1037"/>
          </w:tcPr>
          <w:p>
            <w:pPr>
              <w:spacing w:after="20"/>
              <w:jc w:val="right"/>
            </w:pPr>
            <w:r>
              <w:rPr>
                <w:color w:val="1C3A36"/>
                <w:sz w:val="15"/>
              </w:rPr>
              <w:t>2,454</w:t>
            </w:r>
          </w:p>
        </w:tc>
        <w:tc>
          <w:tcPr>
            <w:tcW w:type="dxa" w:w="1037"/>
          </w:tcPr>
          <w:p>
            <w:pPr>
              <w:spacing w:after="20"/>
              <w:jc w:val="right"/>
            </w:pPr>
            <w:r>
              <w:rPr>
                <w:color w:val="1C3A36"/>
                <w:sz w:val="15"/>
              </w:rPr>
              <w:t>2,620</w:t>
            </w:r>
          </w:p>
        </w:tc>
        <w:tc>
          <w:tcPr>
            <w:tcW w:type="dxa" w:w="1037"/>
          </w:tcPr>
          <w:p>
            <w:pPr>
              <w:spacing w:after="20"/>
              <w:jc w:val="right"/>
            </w:pPr>
            <w:r>
              <w:rPr>
                <w:color w:val="1C3A36"/>
                <w:sz w:val="15"/>
              </w:rPr>
              <w:t>3,013</w:t>
            </w:r>
          </w:p>
        </w:tc>
        <w:tc>
          <w:tcPr>
            <w:tcW w:type="dxa" w:w="1037"/>
          </w:tcPr>
          <w:p>
            <w:pPr>
              <w:spacing w:after="20"/>
              <w:jc w:val="right"/>
            </w:pPr>
            <w:r>
              <w:rPr>
                <w:color w:val="1C3A36"/>
                <w:sz w:val="15"/>
              </w:rPr>
              <w:t>3,440</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3,950</w:t>
            </w:r>
          </w:p>
        </w:tc>
        <w:tc>
          <w:tcPr>
            <w:tcW w:type="dxa" w:w="1037"/>
          </w:tcPr>
          <w:p>
            <w:pPr>
              <w:spacing w:after="20"/>
              <w:jc w:val="right"/>
            </w:pPr>
            <w:r>
              <w:rPr>
                <w:color w:val="1C3A36"/>
                <w:sz w:val="15"/>
              </w:rPr>
              <w:t>4,621</w:t>
            </w:r>
          </w:p>
        </w:tc>
        <w:tc>
          <w:tcPr>
            <w:tcW w:type="dxa" w:w="1037"/>
          </w:tcPr>
          <w:p>
            <w:pPr>
              <w:spacing w:after="20"/>
              <w:jc w:val="right"/>
            </w:pPr>
            <w:r>
              <w:rPr>
                <w:color w:val="1C3A36"/>
                <w:sz w:val="15"/>
              </w:rPr>
              <w:t>5,230</w:t>
            </w:r>
          </w:p>
        </w:tc>
        <w:tc>
          <w:tcPr>
            <w:tcW w:type="dxa" w:w="1037"/>
          </w:tcPr>
          <w:p>
            <w:pPr>
              <w:spacing w:after="20"/>
              <w:jc w:val="right"/>
            </w:pPr>
            <w:r>
              <w:rPr>
                <w:color w:val="1C3A36"/>
                <w:sz w:val="15"/>
              </w:rPr>
              <w:t>5,836</w:t>
            </w:r>
          </w:p>
        </w:tc>
        <w:tc>
          <w:tcPr>
            <w:tcW w:type="dxa" w:w="1037"/>
          </w:tcPr>
          <w:p>
            <w:pPr>
              <w:spacing w:after="20"/>
              <w:jc w:val="right"/>
            </w:pPr>
            <w:r>
              <w:rPr>
                <w:color w:val="1C3A36"/>
                <w:sz w:val="15"/>
              </w:rPr>
              <w:t>6,417</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10,518</w:t>
            </w:r>
          </w:p>
        </w:tc>
        <w:tc>
          <w:tcPr>
            <w:tcW w:type="dxa" w:w="1037"/>
          </w:tcPr>
          <w:p>
            <w:pPr>
              <w:spacing w:after="20"/>
              <w:jc w:val="right"/>
            </w:pPr>
            <w:r>
              <w:rPr>
                <w:color w:val="1C3A36"/>
                <w:sz w:val="15"/>
              </w:rPr>
              <w:t>10,786</w:t>
            </w:r>
          </w:p>
        </w:tc>
        <w:tc>
          <w:tcPr>
            <w:tcW w:type="dxa" w:w="1037"/>
          </w:tcPr>
          <w:p>
            <w:pPr>
              <w:spacing w:after="20"/>
              <w:jc w:val="right"/>
            </w:pPr>
            <w:r>
              <w:rPr>
                <w:color w:val="1C3A36"/>
                <w:sz w:val="15"/>
              </w:rPr>
              <w:t>10,473</w:t>
            </w:r>
          </w:p>
        </w:tc>
        <w:tc>
          <w:tcPr>
            <w:tcW w:type="dxa" w:w="1037"/>
          </w:tcPr>
          <w:p>
            <w:pPr>
              <w:spacing w:after="20"/>
              <w:jc w:val="right"/>
            </w:pPr>
            <w:r>
              <w:rPr>
                <w:color w:val="1C3A36"/>
                <w:sz w:val="15"/>
              </w:rPr>
              <w:t>9,878</w:t>
            </w:r>
          </w:p>
        </w:tc>
        <w:tc>
          <w:tcPr>
            <w:tcW w:type="dxa" w:w="1037"/>
          </w:tcPr>
          <w:p>
            <w:pPr>
              <w:spacing w:after="20"/>
              <w:jc w:val="right"/>
            </w:pPr>
            <w:r>
              <w:rPr>
                <w:color w:val="1C3A36"/>
                <w:sz w:val="15"/>
              </w:rPr>
              <w:t>8,962</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9,085</w:t>
            </w:r>
          </w:p>
        </w:tc>
        <w:tc>
          <w:tcPr>
            <w:tcW w:type="dxa" w:w="1037"/>
          </w:tcPr>
          <w:p>
            <w:pPr>
              <w:spacing w:after="20"/>
              <w:jc w:val="right"/>
            </w:pPr>
            <w:r>
              <w:rPr>
                <w:color w:val="1C3A36"/>
                <w:sz w:val="15"/>
              </w:rPr>
              <w:t>9,352</w:t>
            </w:r>
          </w:p>
        </w:tc>
        <w:tc>
          <w:tcPr>
            <w:tcW w:type="dxa" w:w="1037"/>
          </w:tcPr>
          <w:p>
            <w:pPr>
              <w:spacing w:after="20"/>
              <w:jc w:val="right"/>
            </w:pPr>
            <w:r>
              <w:rPr>
                <w:color w:val="1C3A36"/>
                <w:sz w:val="15"/>
              </w:rPr>
              <w:t>9,039</w:t>
            </w:r>
          </w:p>
        </w:tc>
        <w:tc>
          <w:tcPr>
            <w:tcW w:type="dxa" w:w="1037"/>
          </w:tcPr>
          <w:p>
            <w:pPr>
              <w:spacing w:after="20"/>
              <w:jc w:val="right"/>
            </w:pPr>
            <w:r>
              <w:rPr>
                <w:color w:val="1C3A36"/>
                <w:sz w:val="15"/>
              </w:rPr>
              <w:t>8,445</w:t>
            </w:r>
          </w:p>
        </w:tc>
        <w:tc>
          <w:tcPr>
            <w:tcW w:type="dxa" w:w="1037"/>
          </w:tcPr>
          <w:p>
            <w:pPr>
              <w:spacing w:after="20"/>
              <w:jc w:val="right"/>
            </w:pPr>
            <w:r>
              <w:rPr>
                <w:color w:val="1C3A36"/>
                <w:sz w:val="15"/>
              </w:rPr>
              <w:t>7,528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7,056</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9,511</w:t>
            </w:r>
          </w:p>
        </w:tc>
        <w:tc>
          <w:tcPr>
            <w:tcW w:type="dxa" w:w="1037"/>
          </w:tcPr>
          <w:p>
            <w:pPr>
              <w:spacing w:after="20"/>
              <w:jc w:val="right"/>
            </w:pPr>
            <w:r>
              <w:rPr>
                <w:color w:val="1C3A36"/>
                <w:sz w:val="15"/>
              </w:rPr>
              <w:t>11,213</w:t>
            </w:r>
          </w:p>
        </w:tc>
        <w:tc>
          <w:tcPr>
            <w:tcW w:type="dxa" w:w="1037"/>
          </w:tcPr>
          <w:p>
            <w:pPr>
              <w:spacing w:after="20"/>
              <w:jc w:val="right"/>
            </w:pPr>
            <w:r>
              <w:rPr>
                <w:color w:val="1C3A36"/>
                <w:sz w:val="15"/>
              </w:rPr>
              <w:t>13,254</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41.81</w:t>
            </w:r>
          </w:p>
        </w:tc>
        <w:tc>
          <w:tcPr>
            <w:tcW w:type="dxa" w:w="1037"/>
            <w:shd w:val="clear" w:color="auto" w:fill="F6F1E6"/>
          </w:tcPr>
          <w:p>
            <w:pPr>
              <w:spacing w:after="20"/>
              <w:jc w:val="right"/>
            </w:pPr>
            <w:r>
              <w:rPr>
                <w:b/>
                <w:color w:val="1C3A36"/>
                <w:sz w:val="15"/>
              </w:rPr>
              <w:t>48.16</w:t>
            </w:r>
          </w:p>
        </w:tc>
        <w:tc>
          <w:tcPr>
            <w:tcW w:type="dxa" w:w="1037"/>
            <w:shd w:val="clear" w:color="auto" w:fill="F6F1E6"/>
          </w:tcPr>
          <w:p>
            <w:pPr>
              <w:spacing w:after="20"/>
              <w:jc w:val="right"/>
            </w:pPr>
            <w:r>
              <w:rPr>
                <w:b/>
                <w:color w:val="1C3A36"/>
                <w:sz w:val="15"/>
              </w:rPr>
              <w:t>56.36</w:t>
            </w:r>
          </w:p>
        </w:tc>
        <w:tc>
          <w:tcPr>
            <w:tcW w:type="dxa" w:w="1037"/>
            <w:shd w:val="clear" w:color="auto" w:fill="F6F1E6"/>
          </w:tcPr>
          <w:p>
            <w:pPr>
              <w:spacing w:after="20"/>
              <w:jc w:val="right"/>
            </w:pPr>
            <w:r>
              <w:rPr>
                <w:b/>
                <w:color w:val="1C3A36"/>
                <w:sz w:val="15"/>
              </w:rPr>
              <w:t>66.45</w:t>
            </w:r>
          </w:p>
        </w:tc>
        <w:tc>
          <w:tcPr>
            <w:tcW w:type="dxa" w:w="1037"/>
            <w:shd w:val="clear" w:color="auto" w:fill="F6F1E6"/>
          </w:tcPr>
          <w:p>
            <w:pPr>
              <w:spacing w:after="20"/>
              <w:jc w:val="right"/>
            </w:pPr>
            <w:r>
              <w:rPr>
                <w:b/>
                <w:color w:val="1C3A36"/>
                <w:sz w:val="15"/>
              </w:rPr>
              <w:t>78.54</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1,430</w:t>
            </w:r>
          </w:p>
        </w:tc>
        <w:tc>
          <w:tcPr>
            <w:tcW w:type="dxa" w:w="1224"/>
          </w:tcPr>
          <w:p>
            <w:pPr>
              <w:spacing w:after="20"/>
              <w:jc w:val="right"/>
            </w:pPr>
            <w:r>
              <w:rPr>
                <w:color w:val="1C3A36"/>
                <w:sz w:val="16"/>
              </w:rPr>
              <w:t>622</w:t>
            </w:r>
          </w:p>
        </w:tc>
        <w:tc>
          <w:tcPr>
            <w:tcW w:type="dxa" w:w="1224"/>
          </w:tcPr>
          <w:p>
            <w:pPr>
              <w:spacing w:after="20"/>
              <w:jc w:val="right"/>
            </w:pPr>
            <w:r>
              <w:rPr>
                <w:color w:val="1C3A36"/>
                <w:sz w:val="16"/>
              </w:rPr>
              <w:t>566</w:t>
            </w:r>
          </w:p>
        </w:tc>
        <w:tc>
          <w:tcPr>
            <w:tcW w:type="dxa" w:w="1224"/>
          </w:tcPr>
          <w:p>
            <w:pPr>
              <w:spacing w:after="20"/>
              <w:jc w:val="right"/>
            </w:pPr>
            <w:r>
              <w:rPr>
                <w:color w:val="1C3A36"/>
                <w:sz w:val="16"/>
              </w:rPr>
              <w:t>593</w:t>
            </w:r>
          </w:p>
        </w:tc>
        <w:tc>
          <w:tcPr>
            <w:tcW w:type="dxa" w:w="1224"/>
          </w:tcPr>
          <w:p>
            <w:pPr>
              <w:spacing w:after="20"/>
              <w:jc w:val="right"/>
            </w:pPr>
            <w:r>
              <w:rPr>
                <w:color w:val="1C3A36"/>
                <w:sz w:val="16"/>
              </w:rPr>
              <w:t>627</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-161</w:t>
            </w:r>
          </w:p>
        </w:tc>
        <w:tc>
          <w:tcPr>
            <w:tcW w:type="dxa" w:w="1224"/>
          </w:tcPr>
          <w:p>
            <w:pPr>
              <w:spacing w:after="20"/>
              <w:jc w:val="right"/>
            </w:pPr>
            <w:r>
              <w:rPr>
                <w:color w:val="1C3A36"/>
                <w:sz w:val="16"/>
              </w:rPr>
              <w:t>1,149</w:t>
            </w:r>
          </w:p>
        </w:tc>
        <w:tc>
          <w:tcPr>
            <w:tcW w:type="dxa" w:w="1224"/>
          </w:tcPr>
          <w:p>
            <w:pPr>
              <w:spacing w:after="20"/>
              <w:jc w:val="right"/>
            </w:pPr>
            <w:r>
              <w:rPr>
                <w:color w:val="1C3A36"/>
                <w:sz w:val="16"/>
              </w:rPr>
              <w:t>1,891</w:t>
            </w:r>
          </w:p>
        </w:tc>
        <w:tc>
          <w:tcPr>
            <w:tcW w:type="dxa" w:w="1224"/>
          </w:tcPr>
          <w:p>
            <w:pPr>
              <w:spacing w:after="20"/>
              <w:jc w:val="right"/>
            </w:pPr>
            <w:r>
              <w:rPr>
                <w:color w:val="1C3A36"/>
                <w:sz w:val="16"/>
              </w:rPr>
              <w:t>2,340</w:t>
            </w:r>
          </w:p>
        </w:tc>
        <w:tc>
          <w:tcPr>
            <w:tcW w:type="dxa" w:w="1224"/>
          </w:tcPr>
          <w:p>
            <w:pPr>
              <w:spacing w:after="20"/>
              <w:jc w:val="right"/>
            </w:pPr>
            <w:r>
              <w:rPr>
                <w:color w:val="1C3A36"/>
                <w:sz w:val="16"/>
              </w:rPr>
              <w:t>2,841</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16,179</w:t>
            </w:r>
          </w:p>
        </w:tc>
        <w:tc>
          <w:tcPr>
            <w:tcW w:type="dxa" w:w="1469"/>
            <w:shd w:val="clear" w:color="auto" w:fill="F6F1E6"/>
          </w:tcPr>
          <w:p>
            <w:pPr>
              <w:spacing w:after="20"/>
              <w:jc w:val="right"/>
            </w:pPr>
            <w:r>
              <w:rPr>
                <w:b/>
                <w:color w:val="1C3A36"/>
                <w:sz w:val="15"/>
              </w:rPr>
              <w:t>18,523</w:t>
            </w:r>
          </w:p>
        </w:tc>
        <w:tc>
          <w:tcPr>
            <w:tcW w:type="dxa" w:w="1469"/>
            <w:shd w:val="clear" w:color="auto" w:fill="F6F1E6"/>
          </w:tcPr>
          <w:p>
            <w:pPr>
              <w:spacing w:after="20"/>
              <w:jc w:val="right"/>
            </w:pPr>
            <w:r>
              <w:rPr>
                <w:b/>
                <w:color w:val="1C3A36"/>
                <w:sz w:val="15"/>
              </w:rPr>
              <w:t>20,911</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28,014</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32,737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6,948</w:t>
            </w:r>
          </w:p>
        </w:tc>
        <w:tc>
          <w:tcPr>
            <w:tcW w:type="dxa" w:w="1469"/>
            <w:shd w:val="clear" w:color="auto" w:fill="F6F1E6"/>
          </w:tcPr>
          <w:p>
            <w:pPr>
              <w:spacing w:after="20"/>
              <w:jc w:val="right"/>
            </w:pPr>
            <w:r>
              <w:rPr>
                <w:b/>
                <w:color w:val="1C3A36"/>
                <w:sz w:val="15"/>
              </w:rPr>
              <w:t>8,002</w:t>
            </w:r>
          </w:p>
        </w:tc>
        <w:tc>
          <w:tcPr>
            <w:tcW w:type="dxa" w:w="1469"/>
            <w:shd w:val="clear" w:color="auto" w:fill="F6F1E6"/>
          </w:tcPr>
          <w:p>
            <w:pPr>
              <w:spacing w:after="20"/>
              <w:jc w:val="right"/>
            </w:pPr>
            <w:r>
              <w:rPr>
                <w:b/>
                <w:color w:val="1C3A36"/>
                <w:sz w:val="15"/>
              </w:rPr>
              <w:t>9,088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12,717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14,799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2,324</w:t>
            </w:r>
          </w:p>
        </w:tc>
        <w:tc>
          <w:tcPr>
            <w:tcW w:type="dxa" w:w="1469"/>
            <w:shd w:val="clear" w:color="auto" w:fill="F6F1E6"/>
          </w:tcPr>
          <w:p>
            <w:pPr>
              <w:spacing w:after="20"/>
              <w:jc w:val="right"/>
            </w:pPr>
            <w:r>
              <w:rPr>
                <w:b/>
                <w:color w:val="1C3A36"/>
                <w:sz w:val="15"/>
              </w:rPr>
              <w:t>2,855</w:t>
            </w:r>
          </w:p>
        </w:tc>
        <w:tc>
          <w:tcPr>
            <w:tcW w:type="dxa" w:w="1469"/>
            <w:shd w:val="clear" w:color="auto" w:fill="F6F1E6"/>
          </w:tcPr>
          <w:p>
            <w:pPr>
              <w:spacing w:after="20"/>
              <w:jc w:val="right"/>
            </w:pPr>
            <w:r>
              <w:rPr>
                <w:b/>
                <w:color w:val="1C3A36"/>
                <w:sz w:val="15"/>
              </w:rPr>
              <w:t>3,419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3,995</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7,912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566</w:t>
            </w:r>
          </w:p>
        </w:tc>
        <w:tc>
          <w:tcPr>
            <w:tcW w:type="dxa" w:w="1469"/>
            <w:shd w:val="clear" w:color="auto" w:fill="F6F1E6"/>
          </w:tcPr>
          <w:p>
            <w:pPr>
              <w:spacing w:after="20"/>
              <w:jc w:val="right"/>
            </w:pPr>
            <w:r>
              <w:rPr>
                <w:b/>
                <w:color w:val="1C3A36"/>
                <w:sz w:val="15"/>
              </w:rPr>
              <w:t>593</w:t>
            </w:r>
          </w:p>
        </w:tc>
        <w:tc>
          <w:tcPr>
            <w:tcW w:type="dxa" w:w="1469"/>
            <w:shd w:val="clear" w:color="auto" w:fill="F6F1E6"/>
          </w:tcPr>
          <w:p>
            <w:pPr>
              <w:spacing w:after="20"/>
              <w:jc w:val="right"/>
            </w:pPr>
            <w:r>
              <w:rPr>
                <w:b/>
                <w:color w:val="1C3A36"/>
                <w:sz w:val="15"/>
              </w:rPr>
              <w:t>627</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1,220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3,012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23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24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76.29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4,030</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2,787</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15.47% − 7% = 8.47%</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35,190</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14,733</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18,763</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14,386</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85.25</w:t>
            </w:r>
          </w:p>
        </w:tc>
      </w:tr>
    </w:tbl>
    <w:p>
      <w:pPr>
        <w:spacing w:after="40"/>
      </w:pPr>
    </w:p>
    <w:p>
      <w:pPr>
        <w:spacing w:after="120" w:before="0"/>
      </w:pPr>
      <w:r>
        <w:rPr>
          <w:b w:val="0"/>
          <w:i w:val="0"/>
          <w:color w:val="1C3A36"/>
          <w:sz w:val="21"/>
        </w:rPr>
        <w:t>Named sensitivity: the terminal discount rate. Every 100 basis points on it is worth roughly EGP 10 a share. At 79% terminal weight, this expert is mostly forecasting one number.</w:t>
      </w:r>
    </w:p>
    <w:p>
      <w:pPr>
        <w:spacing w:after="120" w:before="0"/>
      </w:pPr>
      <w:r>
        <w:rPr>
          <w:b w:val="0"/>
          <w:i w:val="0"/>
          <w:color w:val="1C3A36"/>
          <w:sz w:val="21"/>
        </w:rPr>
        <w:t>Falsifier, stated in advance: "If free cash flow to the firm in FY2027 comes in below EGP 804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27.1%</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17.50%</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1.92x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70.85</w:t>
            </w:r>
          </w:p>
        </w:tc>
      </w:tr>
    </w:tbl>
    <w:p>
      <w:pPr>
        <w:spacing w:after="40"/>
      </w:pPr>
    </w:p>
    <w:p>
      <w:pPr>
        <w:spacing w:after="120" w:before="0"/>
      </w:pPr>
      <w:r>
        <w:rPr>
          <w:b w:val="0"/>
          <w:i w:val="0"/>
          <w:color w:val="1C3A36"/>
          <w:sz w:val="21"/>
        </w:rPr>
        <w:t>Named sensitivity: the sustainable return. If it settles at 20% rather than 27.1%, the justified multiple falls to 1.24 times and the value to EGP 45.80 a share.</w:t>
      </w:r>
    </w:p>
    <w:p>
      <w:pPr>
        <w:spacing w:after="120" w:before="0"/>
      </w:pPr>
      <w:r>
        <w:rPr>
          <w:b w:val="0"/>
          <w:i w:val="0"/>
          <w:color w:val="1C3A36"/>
          <w:sz w:val="21"/>
        </w:rPr>
        <w:t>Falsifier: "If return on average equity falls below 18% in either FY2026 or FY2027, the 27.1%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27.1%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85.25</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42.05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7,097m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4,239m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17%</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60m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0.60x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5,450 million, or USD 78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51 to EGP 112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70.85 to EGP 85.25 a share, and the study's own two centres, EGP 85.25 and EGP 102.89,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85.25. Expert 2 says: nothing until it produces a return, so EGP 70.85. Expert 3 says: the market says EGP 42.05 a share, which requires USD 60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96691"/>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96691"/>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14.40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-24.41</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25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