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28.56 – 137.73</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28.56 – 137.73</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-22,575</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28.56</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137.73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28.56</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137.73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84.85 – 108.12</w:t>
            </w:r>
          </w:p>
        </w:tc>
        <w:tc>
          <w:tcPr>
            <w:tcW w:type="dxa" w:w="1944"/>
          </w:tcPr>
          <w:p>
            <w:pPr>
              <w:spacing w:after="20"/>
              <w:jc w:val="right"/>
            </w:pPr>
            <w:r>
              <w:rPr>
                <w:color w:val="1C3A36"/>
                <w:sz w:val="17"/>
              </w:rPr>
              <w:t>23.27</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83.40 – 92.13</w:t>
            </w:r>
          </w:p>
        </w:tc>
        <w:tc>
          <w:tcPr>
            <w:tcW w:type="dxa" w:w="1944"/>
          </w:tcPr>
          <w:p>
            <w:pPr>
              <w:spacing w:after="20"/>
              <w:jc w:val="right"/>
            </w:pPr>
            <w:r>
              <w:rPr>
                <w:color w:val="1C3A36"/>
                <w:sz w:val="17"/>
              </w:rPr>
              <w:t>8.73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87.57</w:t>
            </w:r>
          </w:p>
        </w:tc>
        <w:tc>
          <w:tcPr>
            <w:tcW w:type="dxa" w:w="1152"/>
          </w:tcPr>
          <w:p>
            <w:pPr>
              <w:spacing w:after="20"/>
              <w:jc w:val="right"/>
            </w:pPr>
            <w:r>
              <w:rPr>
                <w:color w:val="1C3A36"/>
                <w:sz w:val="17"/>
              </w:rPr>
              <w:t>99.48</w:t>
            </w:r>
          </w:p>
        </w:tc>
        <w:tc>
          <w:tcPr>
            <w:tcW w:type="dxa" w:w="1152"/>
          </w:tcPr>
          <w:p>
            <w:pPr>
              <w:spacing w:after="20"/>
              <w:jc w:val="right"/>
            </w:pPr>
            <w:r>
              <w:rPr>
                <w:color w:val="1C3A36"/>
                <w:sz w:val="17"/>
              </w:rPr>
              <w:t>106.99</w:t>
            </w:r>
          </w:p>
        </w:tc>
        <w:tc>
          <w:tcPr>
            <w:tcW w:type="dxa" w:w="1152"/>
          </w:tcPr>
          <w:p>
            <w:pPr>
              <w:spacing w:after="20"/>
              <w:jc w:val="right"/>
            </w:pPr>
            <w:r>
              <w:rPr>
                <w:color w:val="1C3A36"/>
                <w:sz w:val="17"/>
              </w:rPr>
              <w:t>115.09</w:t>
            </w:r>
          </w:p>
        </w:tc>
        <w:tc>
          <w:tcPr>
            <w:tcW w:type="dxa" w:w="1152"/>
          </w:tcPr>
          <w:p>
            <w:pPr>
              <w:spacing w:after="20"/>
              <w:jc w:val="right"/>
            </w:pPr>
            <w:r>
              <w:rPr>
                <w:color w:val="1C3A36"/>
                <w:sz w:val="17"/>
              </w:rPr>
              <w:t>131.19</w:t>
            </w:r>
          </w:p>
        </w:tc>
        <w:tc>
          <w:tcPr>
            <w:tcW w:type="dxa" w:w="1800"/>
          </w:tcPr>
          <w:p>
            <w:pPr>
              <w:spacing w:after="20"/>
              <w:jc w:val="right"/>
            </w:pPr>
            <w:r>
              <w:rPr>
                <w:color w:val="1C3A36"/>
                <w:sz w:val="17"/>
              </w:rPr>
              <w:t>56%</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79.13</w:t>
            </w:r>
          </w:p>
        </w:tc>
        <w:tc>
          <w:tcPr>
            <w:tcW w:type="dxa" w:w="1152"/>
          </w:tcPr>
          <w:p>
            <w:pPr>
              <w:spacing w:after="20"/>
              <w:jc w:val="right"/>
            </w:pPr>
            <w:r>
              <w:rPr>
                <w:color w:val="1C3A36"/>
                <w:sz w:val="17"/>
              </w:rPr>
              <w:t>97.95</w:t>
            </w:r>
          </w:p>
        </w:tc>
        <w:tc>
          <w:tcPr>
            <w:tcW w:type="dxa" w:w="1152"/>
          </w:tcPr>
          <w:p>
            <w:pPr>
              <w:spacing w:after="20"/>
              <w:jc w:val="right"/>
            </w:pPr>
            <w:r>
              <w:rPr>
                <w:color w:val="1C3A36"/>
                <w:sz w:val="17"/>
              </w:rPr>
              <w:t>110.43</w:t>
            </w:r>
          </w:p>
        </w:tc>
        <w:tc>
          <w:tcPr>
            <w:tcW w:type="dxa" w:w="1152"/>
          </w:tcPr>
          <w:p>
            <w:pPr>
              <w:spacing w:after="20"/>
              <w:jc w:val="right"/>
            </w:pPr>
            <w:r>
              <w:rPr>
                <w:color w:val="1C3A36"/>
                <w:sz w:val="17"/>
              </w:rPr>
              <w:t>124.49</w:t>
            </w:r>
          </w:p>
        </w:tc>
        <w:tc>
          <w:tcPr>
            <w:tcW w:type="dxa" w:w="1152"/>
          </w:tcPr>
          <w:p>
            <w:pPr>
              <w:spacing w:after="20"/>
              <w:jc w:val="right"/>
            </w:pPr>
            <w:r>
              <w:rPr>
                <w:color w:val="1C3A36"/>
                <w:sz w:val="17"/>
              </w:rPr>
              <w:t>153.83</w:t>
            </w:r>
          </w:p>
        </w:tc>
        <w:tc>
          <w:tcPr>
            <w:tcW w:type="dxa" w:w="1800"/>
          </w:tcPr>
          <w:p>
            <w:pPr>
              <w:spacing w:after="20"/>
              <w:jc w:val="right"/>
            </w:pPr>
            <w:r>
              <w:rPr>
                <w:color w:val="1C3A36"/>
                <w:sz w:val="17"/>
              </w:rPr>
              <w:t>61%</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20%</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42%</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110.43, 61%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110.43 and a 5th-to-95th percentile span of 79.13 to 153.83. Read that span honestly: it means the model considers a -39% move and a +18%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79.13</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97.95 – 110.43</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110.43 – 124.49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153.83</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(79.13)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23.27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33.88 – 64.15</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81.68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