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p>
          <w:p>
            <w:r>
              <w:rPr>
                <w:color w:val="FFFFFF"/>
                <w:sz w:val="19"/>
              </w:rPr>
              <w:t>Edition of 9 August 2026   ·   re-struck 7 September 2026, on the reviewed six months to 30 June 2026</w:t>
            </w:r>
            <w:r>
              <w:rPr>
                <w:color w:val="9FB0AC"/>
                <w:sz w:val="19"/>
              </w:rPr>
              <w:t xml:space="preserve">   ·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6.80 on 2026-09-07 and compared against the latest price held for it, AED 6.80 on 2026-09-07, with the cash-flow model built at 2026-06-30.</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0.690.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5.34 a share; on the composite, AED 7.37.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these editions,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USD 291,145 for the second, and USD 159,518 for the third to 11 August on 78% of available vessel days. THE PEAK IS ALREADY BEHIND THE COMPANY on its own disclosure: the third quarter is 45% below the second. Strip out the 4 of 8 vessels in that class already on charter out, each at its own disclosed rate, and the rate the remaining vessels must have earned in the first quarter is USD 151,440 a day. The long-range classes moved the same way. THE REVIEWED SIX MONTHS TO 30 JUNE 2026 showed revenue of USD 3,667 million against USD 2,439 million, earnings before interest, tax, depreciation and amortisation of USD 1,475 million against USD 744 million, and attributable profit of USD 1,120 million against USD 409 million — every figure on the reviewed statements' own basis, and every one a fact rather than a forecast. The second quarter alone carried revenue of USD 2,584 million and earnings of USD 1,106 million. The company's own management commentary carries a DIFFERENT prior-year revenue comparative — tanker revenue and direct costs for the first three quarters of 2025 were re-presented, with no effect on gross profit, net profit or earnings — so its half-year revenue growth reads 46 per cent where the statements give +50%. The statements are what every historical and forecast line in this study is built from,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lenses centre at AED 5.34 against a market price of 6.80 — 21% below the market price. The cash-flow lens on its own lands at AED 5.34, 21% below the market price, and the three notional experts in Appendix C, who price mid-cycle earnings rather than a terminal value, centre at AED 7.97, 17% above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0.690 and lifts the cash-flow lens to AED 7.37. That construction is published beside the adopted one throughout, because a gap of AED 2.03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2.76 to AED 9.98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8.7% to 8.7% on the share's own beta of 1.103 against the published index of its own exchange and on all three kinds of capital the company uses — ordinary equity 83.1%, debt 4.9%, perpetual capital securities 12.0% at their own coupon; terminal growth 2%; 62% of enterprise value comes from the terminal value</w:t>
            </w:r>
          </w:p>
        </w:tc>
        <w:tc>
          <w:tcPr>
            <w:tcW w:type="dxa" w:w="1526"/>
          </w:tcPr>
          <w:p>
            <w:pPr>
              <w:spacing w:after="20"/>
              <w:jc w:val="right"/>
            </w:pPr>
            <w:r>
              <w:rPr>
                <w:color w:val="1C3A36"/>
                <w:sz w:val="16"/>
              </w:rPr>
              <w:t>2.76 – 9.98</w:t>
            </w:r>
          </w:p>
        </w:tc>
        <w:tc>
          <w:tcPr>
            <w:tcW w:type="dxa" w:w="1181"/>
          </w:tcPr>
          <w:p>
            <w:pPr>
              <w:spacing w:after="20"/>
              <w:jc w:val="right"/>
            </w:pPr>
            <w:r>
              <w:rPr>
                <w:color w:val="1C3A36"/>
                <w:sz w:val="16"/>
              </w:rPr>
              <w:t>5.34</w:t>
            </w:r>
          </w:p>
        </w:tc>
        <w:tc>
          <w:tcPr>
            <w:tcW w:type="dxa" w:w="1210"/>
          </w:tcPr>
          <w:p>
            <w:pPr>
              <w:spacing w:after="20"/>
              <w:jc w:val="right"/>
            </w:pPr>
            <w:r>
              <w:rPr>
                <w:color w:val="1C3A36"/>
                <w:sz w:val="16"/>
              </w:rPr>
              <w:t>-21%</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9.63 – 14.63</w:t>
            </w:r>
          </w:p>
        </w:tc>
        <w:tc>
          <w:tcPr>
            <w:tcW w:type="dxa" w:w="1181"/>
          </w:tcPr>
          <w:p>
            <w:pPr>
              <w:spacing w:after="20"/>
              <w:jc w:val="right"/>
            </w:pPr>
            <w:r>
              <w:rPr>
                <w:color w:val="1C3A36"/>
                <w:sz w:val="16"/>
              </w:rPr>
              <w:t>12.21</w:t>
            </w:r>
          </w:p>
        </w:tc>
        <w:tc>
          <w:tcPr>
            <w:tcW w:type="dxa" w:w="1210"/>
          </w:tcPr>
          <w:p>
            <w:pPr>
              <w:spacing w:after="20"/>
              <w:jc w:val="right"/>
            </w:pPr>
            <w:r>
              <w:rPr>
                <w:color w:val="1C3A36"/>
                <w:sz w:val="16"/>
              </w:rPr>
              <w:t>+80%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2,617 million before interest, tax, depreciation and amortisation — at the same blended multiples</w:t>
            </w:r>
          </w:p>
        </w:tc>
        <w:tc>
          <w:tcPr>
            <w:tcW w:type="dxa" w:w="1526"/>
          </w:tcPr>
          <w:p>
            <w:pPr>
              <w:spacing w:after="20"/>
              <w:jc w:val="right"/>
            </w:pPr>
            <w:r>
              <w:rPr>
                <w:color w:val="1C3A36"/>
                <w:sz w:val="16"/>
              </w:rPr>
              <w:t>9.21 – 14.03</w:t>
            </w:r>
          </w:p>
        </w:tc>
        <w:tc>
          <w:tcPr>
            <w:tcW w:type="dxa" w:w="1181"/>
          </w:tcPr>
          <w:p>
            <w:pPr>
              <w:spacing w:after="20"/>
              <w:jc w:val="right"/>
            </w:pPr>
            <w:r>
              <w:rPr>
                <w:color w:val="1C3A36"/>
                <w:sz w:val="16"/>
              </w:rPr>
              <w:t>11.07</w:t>
            </w:r>
          </w:p>
        </w:tc>
        <w:tc>
          <w:tcPr>
            <w:tcW w:type="dxa" w:w="1210"/>
          </w:tcPr>
          <w:p>
            <w:pPr>
              <w:spacing w:after="20"/>
              <w:jc w:val="right"/>
            </w:pPr>
            <w:r>
              <w:rPr>
                <w:color w:val="1C3A36"/>
                <w:sz w:val="16"/>
              </w:rPr>
              <w:t>+63%</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2.92 a share, plus five years of returns earned above the cost of equity of 9.43% on that book, discounted, plus a remainder that fades at 10% a year — worth 1.34× the book it starts from</w:t>
            </w:r>
          </w:p>
        </w:tc>
        <w:tc>
          <w:tcPr>
            <w:tcW w:type="dxa" w:w="1526"/>
          </w:tcPr>
          <w:p>
            <w:pPr>
              <w:spacing w:after="20"/>
              <w:jc w:val="right"/>
            </w:pPr>
            <w:r>
              <w:rPr>
                <w:color w:val="1C3A36"/>
                <w:sz w:val="16"/>
              </w:rPr>
              <w:t>2.46 – 5.90</w:t>
            </w:r>
          </w:p>
        </w:tc>
        <w:tc>
          <w:tcPr>
            <w:tcW w:type="dxa" w:w="1181"/>
          </w:tcPr>
          <w:p>
            <w:pPr>
              <w:spacing w:after="20"/>
              <w:jc w:val="right"/>
            </w:pPr>
            <w:r>
              <w:rPr>
                <w:color w:val="1C3A36"/>
                <w:sz w:val="16"/>
              </w:rPr>
              <w:t>3.91</w:t>
            </w:r>
          </w:p>
        </w:tc>
        <w:tc>
          <w:tcPr>
            <w:tcW w:type="dxa" w:w="1210"/>
          </w:tcPr>
          <w:p>
            <w:pPr>
              <w:spacing w:after="20"/>
              <w:jc w:val="right"/>
            </w:pPr>
            <w:r>
              <w:rPr>
                <w:color w:val="1C3A36"/>
                <w:sz w:val="16"/>
              </w:rPr>
              <w:t>-43%</w:t>
            </w:r>
          </w:p>
        </w:tc>
      </w:tr>
      <w:tr>
        <w:trPr>
          <w:cantSplit/>
        </w:trPr>
        <w:tc>
          <w:tcPr>
            <w:tcW w:type="dxa" w:w="2045"/>
            <w:shd w:val="clear" w:color="auto" w:fill="F6F1E6"/>
          </w:tcPr>
          <w:p>
            <w:pPr>
              <w:spacing w:after="20"/>
            </w:pPr>
            <w:r>
              <w:rPr>
                <w:b/>
                <w:color w:val="1C3A36"/>
                <w:sz w:val="16"/>
              </w:rPr>
              <w:t>Central</w:t>
            </w:r>
          </w:p>
        </w:tc>
        <w:tc>
          <w:tcPr>
            <w:tcW w:type="dxa" w:w="4118"/>
            <w:shd w:val="clear" w:color="auto" w:fill="F6F1E6"/>
          </w:tcPr>
          <w:p>
            <w:pPr>
              <w:spacing w:after="20"/>
              <w:jc w:val="left"/>
            </w:pPr>
            <w:r>
              <w:rPr>
                <w:b/>
                <w:color w:val="1C3A36"/>
                <w:sz w:val="16"/>
              </w:rPr>
              <w:t>THE CASH-FLOW LENS, on the beta measured against the published index of its own exchange. It is the answer rather than a share of one: the reads below are cross-checks published beside it and are not averaged into it</w:t>
            </w:r>
          </w:p>
        </w:tc>
        <w:tc>
          <w:tcPr>
            <w:tcW w:type="dxa" w:w="1526"/>
            <w:shd w:val="clear" w:color="auto" w:fill="F6F1E6"/>
          </w:tcPr>
          <w:p>
            <w:pPr>
              <w:spacing w:after="20"/>
              <w:jc w:val="right"/>
            </w:pPr>
            <w:r>
              <w:rPr>
                <w:b/>
                <w:color w:val="1C3A36"/>
                <w:sz w:val="16"/>
              </w:rPr>
              <w:t>2.76 – 9.98</w:t>
            </w:r>
          </w:p>
        </w:tc>
        <w:tc>
          <w:tcPr>
            <w:tcW w:type="dxa" w:w="1181"/>
            <w:shd w:val="clear" w:color="auto" w:fill="F6F1E6"/>
          </w:tcPr>
          <w:p>
            <w:pPr>
              <w:spacing w:after="20"/>
              <w:jc w:val="right"/>
            </w:pPr>
            <w:r>
              <w:rPr>
                <w:b/>
                <w:color w:val="1C3A36"/>
                <w:sz w:val="16"/>
              </w:rPr>
              <w:t>5.34</w:t>
            </w:r>
          </w:p>
        </w:tc>
        <w:tc>
          <w:tcPr>
            <w:tcW w:type="dxa" w:w="1210"/>
            <w:shd w:val="clear" w:color="auto" w:fill="F6F1E6"/>
          </w:tcPr>
          <w:p>
            <w:pPr>
              <w:spacing w:after="20"/>
              <w:jc w:val="right"/>
            </w:pPr>
            <w:r>
              <w:rPr>
                <w:b/>
                <w:color w:val="1C3A36"/>
                <w:sz w:val="16"/>
              </w:rPr>
              <w:t>-21%</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2026-09-07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6.80</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0.690 instead of 1.103, cost of capital gliding 7.0% to 7.0%, and 69% of enterprise value from the terminal value. The published index is the yardstick this study adopts; the composite is shown because the gap turns on index weighting rather than on the company (section 1.8). The central on this construction is AED 7.37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7.37</w:t>
            </w:r>
          </w:p>
        </w:tc>
        <w:tc>
          <w:tcPr>
            <w:tcW w:type="dxa" w:w="1210"/>
          </w:tcPr>
          <w:p>
            <w:pPr>
              <w:spacing w:after="20"/>
              <w:jc w:val="right"/>
            </w:pPr>
            <w:r>
              <w:rPr>
                <w:color w:val="1C3A36"/>
                <w:sz w:val="16"/>
              </w:rPr>
              <w:t>+8%</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7.46</w:t>
            </w:r>
          </w:p>
        </w:tc>
        <w:tc>
          <w:tcPr>
            <w:tcW w:type="dxa" w:w="1210"/>
          </w:tcPr>
          <w:p>
            <w:pPr>
              <w:spacing w:after="20"/>
              <w:jc w:val="right"/>
            </w:pPr>
            <w:r>
              <w:rPr>
                <w:color w:val="1C3A36"/>
                <w:sz w:val="16"/>
              </w:rPr>
              <w:t>+10%</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1,118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5.77</w:t>
            </w:r>
          </w:p>
        </w:tc>
        <w:tc>
          <w:tcPr>
            <w:tcW w:type="dxa" w:w="1210"/>
          </w:tcPr>
          <w:p>
            <w:pPr>
              <w:spacing w:after="20"/>
              <w:jc w:val="right"/>
            </w:pPr>
            <w:r>
              <w:rPr>
                <w:color w:val="1C3A36"/>
                <w:sz w:val="16"/>
              </w:rPr>
              <w:t>-15%</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3.86 against a published bear of 2.76, so roughly AED 1.10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2.03 a share separates the two constructions on the cash-flow lens and AED 2.03 on the central, and both are carried at full size through section 1.1, section 1.8, the comparison in section 4 and the expert panel. Terminal value is 62%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41 trade at spot rates and 11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41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13,699 million at the anchor price, or AED 50,310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257 million at 30 June 2026 — 0.09× the 2026E earnings this study forecasts, against the company's own stated medium-term target range of 2.0× to 2.5×. The bridge in section 1.1 deducts USD 1,862 million, which is that figure plus the deferred consideration of USD 304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12.0%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2.5%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257 million, because USD 2.0 billion of perpetual capital securities and a parent revolving facility drawn to USD 125 million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2026-06-30,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6,982</w:t>
            </w:r>
          </w:p>
        </w:tc>
        <w:tc>
          <w:tcPr>
            <w:tcW w:type="dxa" w:w="1382"/>
          </w:tcPr>
          <w:p>
            <w:pPr>
              <w:spacing w:after="20"/>
              <w:jc w:val="right"/>
            </w:pPr>
            <w:r>
              <w:rPr>
                <w:color w:val="1C3A36"/>
                <w:sz w:val="16"/>
              </w:rPr>
              <w:t>7,690</w:t>
            </w:r>
          </w:p>
        </w:tc>
        <w:tc>
          <w:tcPr>
            <w:tcW w:type="dxa" w:w="1382"/>
          </w:tcPr>
          <w:p>
            <w:pPr>
              <w:spacing w:after="20"/>
              <w:jc w:val="right"/>
            </w:pPr>
            <w:r>
              <w:rPr>
                <w:color w:val="1C3A36"/>
                <w:sz w:val="16"/>
              </w:rPr>
              <w:t>7,447</w:t>
            </w:r>
          </w:p>
        </w:tc>
        <w:tc>
          <w:tcPr>
            <w:tcW w:type="dxa" w:w="1382"/>
          </w:tcPr>
          <w:p>
            <w:pPr>
              <w:spacing w:after="20"/>
              <w:jc w:val="right"/>
            </w:pPr>
            <w:r>
              <w:rPr>
                <w:color w:val="1C3A36"/>
                <w:sz w:val="16"/>
              </w:rPr>
              <w:t>6,716</w:t>
            </w:r>
          </w:p>
        </w:tc>
        <w:tc>
          <w:tcPr>
            <w:tcW w:type="dxa" w:w="1382"/>
          </w:tcPr>
          <w:p>
            <w:pPr>
              <w:spacing w:after="20"/>
              <w:jc w:val="right"/>
            </w:pPr>
            <w:r>
              <w:rPr>
                <w:color w:val="1C3A36"/>
                <w:sz w:val="16"/>
              </w:rPr>
              <w:t>5,890</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(4,266)</w:t>
            </w:r>
          </w:p>
        </w:tc>
        <w:tc>
          <w:tcPr>
            <w:tcW w:type="dxa" w:w="1382"/>
          </w:tcPr>
          <w:p>
            <w:pPr>
              <w:spacing w:after="20"/>
              <w:jc w:val="right"/>
            </w:pPr>
            <w:r>
              <w:rPr>
                <w:color w:val="1C3A36"/>
                <w:sz w:val="16"/>
              </w:rPr>
              <w:t>(4,550)</w:t>
            </w:r>
          </w:p>
        </w:tc>
        <w:tc>
          <w:tcPr>
            <w:tcW w:type="dxa" w:w="1382"/>
          </w:tcPr>
          <w:p>
            <w:pPr>
              <w:spacing w:after="20"/>
              <w:jc w:val="right"/>
            </w:pPr>
            <w:r>
              <w:rPr>
                <w:color w:val="1C3A36"/>
                <w:sz w:val="16"/>
              </w:rPr>
              <w:t>(4,523)</w:t>
            </w:r>
          </w:p>
        </w:tc>
        <w:tc>
          <w:tcPr>
            <w:tcW w:type="dxa" w:w="1382"/>
          </w:tcPr>
          <w:p>
            <w:pPr>
              <w:spacing w:after="20"/>
              <w:jc w:val="right"/>
            </w:pPr>
            <w:r>
              <w:rPr>
                <w:color w:val="1C3A36"/>
                <w:sz w:val="16"/>
              </w:rPr>
              <w:t>(4,290)</w:t>
            </w:r>
          </w:p>
        </w:tc>
        <w:tc>
          <w:tcPr>
            <w:tcW w:type="dxa" w:w="1382"/>
          </w:tcPr>
          <w:p>
            <w:pPr>
              <w:spacing w:after="20"/>
              <w:jc w:val="right"/>
            </w:pPr>
            <w:r>
              <w:rPr>
                <w:color w:val="1C3A36"/>
                <w:sz w:val="16"/>
              </w:rPr>
              <w:t>(4,010)</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2,716</w:t>
            </w:r>
          </w:p>
        </w:tc>
        <w:tc>
          <w:tcPr>
            <w:tcW w:type="dxa" w:w="1382"/>
          </w:tcPr>
          <w:p>
            <w:pPr>
              <w:spacing w:after="20"/>
              <w:jc w:val="right"/>
            </w:pPr>
            <w:r>
              <w:rPr>
                <w:color w:val="1C3A36"/>
                <w:sz w:val="16"/>
              </w:rPr>
              <w:t>3,140</w:t>
            </w:r>
          </w:p>
        </w:tc>
        <w:tc>
          <w:tcPr>
            <w:tcW w:type="dxa" w:w="1382"/>
          </w:tcPr>
          <w:p>
            <w:pPr>
              <w:spacing w:after="20"/>
              <w:jc w:val="right"/>
            </w:pPr>
            <w:r>
              <w:rPr>
                <w:color w:val="1C3A36"/>
                <w:sz w:val="16"/>
              </w:rPr>
              <w:t>2,924</w:t>
            </w:r>
          </w:p>
        </w:tc>
        <w:tc>
          <w:tcPr>
            <w:tcW w:type="dxa" w:w="1382"/>
          </w:tcPr>
          <w:p>
            <w:pPr>
              <w:spacing w:after="20"/>
              <w:jc w:val="right"/>
            </w:pPr>
            <w:r>
              <w:rPr>
                <w:color w:val="1C3A36"/>
                <w:sz w:val="16"/>
              </w:rPr>
              <w:t>2,426</w:t>
            </w:r>
          </w:p>
        </w:tc>
        <w:tc>
          <w:tcPr>
            <w:tcW w:type="dxa" w:w="1382"/>
          </w:tcPr>
          <w:p>
            <w:pPr>
              <w:spacing w:after="20"/>
              <w:jc w:val="right"/>
            </w:pPr>
            <w:r>
              <w:rPr>
                <w:color w:val="1C3A36"/>
                <w:sz w:val="16"/>
              </w:rPr>
              <w:t>1,880</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38.9%</w:t>
            </w:r>
          </w:p>
        </w:tc>
        <w:tc>
          <w:tcPr>
            <w:tcW w:type="dxa" w:w="1382"/>
          </w:tcPr>
          <w:p>
            <w:pPr>
              <w:spacing w:after="20"/>
              <w:jc w:val="right"/>
            </w:pPr>
            <w:r>
              <w:rPr>
                <w:color w:val="1C3A36"/>
                <w:sz w:val="16"/>
              </w:rPr>
              <w:t>40.8%</w:t>
            </w:r>
          </w:p>
        </w:tc>
        <w:tc>
          <w:tcPr>
            <w:tcW w:type="dxa" w:w="1382"/>
          </w:tcPr>
          <w:p>
            <w:pPr>
              <w:spacing w:after="20"/>
              <w:jc w:val="right"/>
            </w:pPr>
            <w:r>
              <w:rPr>
                <w:color w:val="1C3A36"/>
                <w:sz w:val="16"/>
              </w:rPr>
              <w:t>39.3%</w:t>
            </w:r>
          </w:p>
        </w:tc>
        <w:tc>
          <w:tcPr>
            <w:tcW w:type="dxa" w:w="1382"/>
          </w:tcPr>
          <w:p>
            <w:pPr>
              <w:spacing w:after="20"/>
              <w:jc w:val="right"/>
            </w:pPr>
            <w:r>
              <w:rPr>
                <w:color w:val="1C3A36"/>
                <w:sz w:val="16"/>
              </w:rPr>
              <w:t>36.1%</w:t>
            </w:r>
          </w:p>
        </w:tc>
        <w:tc>
          <w:tcPr>
            <w:tcW w:type="dxa" w:w="1382"/>
          </w:tcPr>
          <w:p>
            <w:pPr>
              <w:spacing w:after="20"/>
              <w:jc w:val="right"/>
            </w:pPr>
            <w:r>
              <w:rPr>
                <w:color w:val="1C3A36"/>
                <w:sz w:val="16"/>
              </w:rPr>
              <w:t>31.9%</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(587)</w:t>
            </w:r>
          </w:p>
        </w:tc>
        <w:tc>
          <w:tcPr>
            <w:tcW w:type="dxa" w:w="1382"/>
          </w:tcPr>
          <w:p>
            <w:pPr>
              <w:spacing w:after="20"/>
              <w:jc w:val="right"/>
            </w:pPr>
            <w:r>
              <w:rPr>
                <w:color w:val="1C3A36"/>
                <w:sz w:val="16"/>
              </w:rPr>
              <w:t>(675)</w:t>
            </w:r>
          </w:p>
        </w:tc>
        <w:tc>
          <w:tcPr>
            <w:tcW w:type="dxa" w:w="1382"/>
          </w:tcPr>
          <w:p>
            <w:pPr>
              <w:spacing w:after="20"/>
              <w:jc w:val="right"/>
            </w:pPr>
            <w:r>
              <w:rPr>
                <w:color w:val="1C3A36"/>
                <w:sz w:val="16"/>
              </w:rPr>
              <w:t>(717)</w:t>
            </w:r>
          </w:p>
        </w:tc>
        <w:tc>
          <w:tcPr>
            <w:tcW w:type="dxa" w:w="1382"/>
          </w:tcPr>
          <w:p>
            <w:pPr>
              <w:spacing w:after="20"/>
              <w:jc w:val="right"/>
            </w:pPr>
            <w:r>
              <w:rPr>
                <w:color w:val="1C3A36"/>
                <w:sz w:val="16"/>
              </w:rPr>
              <w:t>(741)</w:t>
            </w:r>
          </w:p>
        </w:tc>
        <w:tc>
          <w:tcPr>
            <w:tcW w:type="dxa" w:w="1382"/>
          </w:tcPr>
          <w:p>
            <w:pPr>
              <w:spacing w:after="20"/>
              <w:jc w:val="right"/>
            </w:pPr>
            <w:r>
              <w:rPr>
                <w:color w:val="1C3A36"/>
                <w:sz w:val="16"/>
              </w:rPr>
              <w:t>(747)</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2,129</w:t>
            </w:r>
          </w:p>
        </w:tc>
        <w:tc>
          <w:tcPr>
            <w:tcW w:type="dxa" w:w="1382"/>
          </w:tcPr>
          <w:p>
            <w:pPr>
              <w:spacing w:after="20"/>
              <w:jc w:val="right"/>
            </w:pPr>
            <w:r>
              <w:rPr>
                <w:color w:val="1C3A36"/>
                <w:sz w:val="16"/>
              </w:rPr>
              <w:t>2,465</w:t>
            </w:r>
          </w:p>
        </w:tc>
        <w:tc>
          <w:tcPr>
            <w:tcW w:type="dxa" w:w="1382"/>
          </w:tcPr>
          <w:p>
            <w:pPr>
              <w:spacing w:after="20"/>
              <w:jc w:val="right"/>
            </w:pPr>
            <w:r>
              <w:rPr>
                <w:color w:val="1C3A36"/>
                <w:sz w:val="16"/>
              </w:rPr>
              <w:t>2,207</w:t>
            </w:r>
          </w:p>
        </w:tc>
        <w:tc>
          <w:tcPr>
            <w:tcW w:type="dxa" w:w="1382"/>
          </w:tcPr>
          <w:p>
            <w:pPr>
              <w:spacing w:after="20"/>
              <w:jc w:val="right"/>
            </w:pPr>
            <w:r>
              <w:rPr>
                <w:color w:val="1C3A36"/>
                <w:sz w:val="16"/>
              </w:rPr>
              <w:t>1,685</w:t>
            </w:r>
          </w:p>
        </w:tc>
        <w:tc>
          <w:tcPr>
            <w:tcW w:type="dxa" w:w="1382"/>
          </w:tcPr>
          <w:p>
            <w:pPr>
              <w:spacing w:after="20"/>
              <w:jc w:val="right"/>
            </w:pPr>
            <w:r>
              <w:rPr>
                <w:color w:val="1C3A36"/>
                <w:sz w:val="16"/>
              </w:rPr>
              <w:t>1,134</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2.7%</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4.6%</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2,077</w:t>
            </w:r>
          </w:p>
        </w:tc>
        <w:tc>
          <w:tcPr>
            <w:tcW w:type="dxa" w:w="1382"/>
          </w:tcPr>
          <w:p>
            <w:pPr>
              <w:spacing w:after="20"/>
              <w:jc w:val="right"/>
            </w:pPr>
            <w:r>
              <w:rPr>
                <w:color w:val="1C3A36"/>
                <w:sz w:val="16"/>
              </w:rPr>
              <w:t>2,405</w:t>
            </w:r>
          </w:p>
        </w:tc>
        <w:tc>
          <w:tcPr>
            <w:tcW w:type="dxa" w:w="1382"/>
          </w:tcPr>
          <w:p>
            <w:pPr>
              <w:spacing w:after="20"/>
              <w:jc w:val="right"/>
            </w:pPr>
            <w:r>
              <w:rPr>
                <w:color w:val="1C3A36"/>
                <w:sz w:val="16"/>
              </w:rPr>
              <w:t>2,148</w:t>
            </w:r>
          </w:p>
        </w:tc>
        <w:tc>
          <w:tcPr>
            <w:tcW w:type="dxa" w:w="1382"/>
          </w:tcPr>
          <w:p>
            <w:pPr>
              <w:spacing w:after="20"/>
              <w:jc w:val="right"/>
            </w:pPr>
            <w:r>
              <w:rPr>
                <w:color w:val="1C3A36"/>
                <w:sz w:val="16"/>
              </w:rPr>
              <w:t>1,630</w:t>
            </w:r>
          </w:p>
        </w:tc>
        <w:tc>
          <w:tcPr>
            <w:tcW w:type="dxa" w:w="1382"/>
          </w:tcPr>
          <w:p>
            <w:pPr>
              <w:spacing w:after="20"/>
              <w:jc w:val="right"/>
            </w:pPr>
            <w:r>
              <w:rPr>
                <w:color w:val="1C3A36"/>
                <w:sz w:val="16"/>
              </w:rPr>
              <w:t>1,081</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587</w:t>
            </w:r>
          </w:p>
        </w:tc>
        <w:tc>
          <w:tcPr>
            <w:tcW w:type="dxa" w:w="1382"/>
          </w:tcPr>
          <w:p>
            <w:pPr>
              <w:spacing w:after="20"/>
              <w:jc w:val="right"/>
            </w:pPr>
            <w:r>
              <w:rPr>
                <w:color w:val="1C3A36"/>
                <w:sz w:val="16"/>
              </w:rPr>
              <w:t>675</w:t>
            </w:r>
          </w:p>
        </w:tc>
        <w:tc>
          <w:tcPr>
            <w:tcW w:type="dxa" w:w="1382"/>
          </w:tcPr>
          <w:p>
            <w:pPr>
              <w:spacing w:after="20"/>
              <w:jc w:val="right"/>
            </w:pPr>
            <w:r>
              <w:rPr>
                <w:color w:val="1C3A36"/>
                <w:sz w:val="16"/>
              </w:rPr>
              <w:t>717</w:t>
            </w:r>
          </w:p>
        </w:tc>
        <w:tc>
          <w:tcPr>
            <w:tcW w:type="dxa" w:w="1382"/>
          </w:tcPr>
          <w:p>
            <w:pPr>
              <w:spacing w:after="20"/>
              <w:jc w:val="right"/>
            </w:pPr>
            <w:r>
              <w:rPr>
                <w:color w:val="1C3A36"/>
                <w:sz w:val="16"/>
              </w:rPr>
              <w:t>741</w:t>
            </w:r>
          </w:p>
        </w:tc>
        <w:tc>
          <w:tcPr>
            <w:tcW w:type="dxa" w:w="1382"/>
          </w:tcPr>
          <w:p>
            <w:pPr>
              <w:spacing w:after="20"/>
              <w:jc w:val="right"/>
            </w:pPr>
            <w:r>
              <w:rPr>
                <w:color w:val="1C3A36"/>
                <w:sz w:val="16"/>
              </w:rPr>
              <w:t>747</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Movement in working capital — a release adds, a build subtracts</w:t>
            </w:r>
          </w:p>
        </w:tc>
        <w:tc>
          <w:tcPr>
            <w:tcW w:type="dxa" w:w="1382"/>
          </w:tcPr>
          <w:p>
            <w:pPr>
              <w:spacing w:after="20"/>
              <w:jc w:val="right"/>
            </w:pPr>
            <w:r>
              <w:rPr>
                <w:color w:val="1C3A36"/>
                <w:sz w:val="16"/>
              </w:rPr>
              <w:t>(385)</w:t>
            </w:r>
          </w:p>
        </w:tc>
        <w:tc>
          <w:tcPr>
            <w:tcW w:type="dxa" w:w="1382"/>
          </w:tcPr>
          <w:p>
            <w:pPr>
              <w:spacing w:after="20"/>
              <w:jc w:val="right"/>
            </w:pPr>
            <w:r>
              <w:rPr>
                <w:color w:val="1C3A36"/>
                <w:sz w:val="16"/>
              </w:rPr>
              <w:t>(122)</w:t>
            </w:r>
          </w:p>
        </w:tc>
        <w:tc>
          <w:tcPr>
            <w:tcW w:type="dxa" w:w="1382"/>
          </w:tcPr>
          <w:p>
            <w:pPr>
              <w:spacing w:after="20"/>
              <w:jc w:val="right"/>
            </w:pPr>
            <w:r>
              <w:rPr>
                <w:color w:val="1C3A36"/>
                <w:sz w:val="16"/>
              </w:rPr>
              <w:t>65</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159</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903</w:t>
            </w:r>
          </w:p>
        </w:tc>
        <w:tc>
          <w:tcPr>
            <w:tcW w:type="dxa" w:w="1382"/>
            <w:shd w:val="clear" w:color="auto" w:fill="F6F1E6"/>
          </w:tcPr>
          <w:p>
            <w:pPr>
              <w:spacing w:after="20"/>
              <w:jc w:val="right"/>
            </w:pPr>
            <w:r>
              <w:rPr>
                <w:b/>
                <w:color w:val="1C3A36"/>
                <w:sz w:val="16"/>
              </w:rPr>
              <w:t>1,713</w:t>
            </w:r>
          </w:p>
        </w:tc>
        <w:tc>
          <w:tcPr>
            <w:tcW w:type="dxa" w:w="1382"/>
            <w:shd w:val="clear" w:color="auto" w:fill="F6F1E6"/>
          </w:tcPr>
          <w:p>
            <w:pPr>
              <w:spacing w:after="20"/>
              <w:jc w:val="right"/>
            </w:pPr>
            <w:r>
              <w:rPr>
                <w:b/>
                <w:color w:val="1C3A36"/>
                <w:sz w:val="16"/>
              </w:rPr>
              <w:t>1,685</w:t>
            </w:r>
          </w:p>
        </w:tc>
        <w:tc>
          <w:tcPr>
            <w:tcW w:type="dxa" w:w="1382"/>
            <w:shd w:val="clear" w:color="auto" w:fill="F6F1E6"/>
          </w:tcPr>
          <w:p>
            <w:pPr>
              <w:spacing w:after="20"/>
              <w:jc w:val="right"/>
            </w:pPr>
            <w:r>
              <w:rPr>
                <w:b/>
                <w:color w:val="1C3A36"/>
                <w:sz w:val="16"/>
              </w:rPr>
              <w:t>1,816</w:t>
            </w:r>
          </w:p>
        </w:tc>
        <w:tc>
          <w:tcPr>
            <w:tcW w:type="dxa" w:w="1382"/>
            <w:shd w:val="clear" w:color="auto" w:fill="F6F1E6"/>
          </w:tcPr>
          <w:p>
            <w:pPr>
              <w:spacing w:after="20"/>
              <w:jc w:val="right"/>
            </w:pPr>
            <w:r>
              <w:rPr>
                <w:b/>
                <w:color w:val="1C3A36"/>
                <w:sz w:val="16"/>
              </w:rPr>
              <w:t>1,337</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(598)</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305</w:t>
            </w:r>
          </w:p>
        </w:tc>
        <w:tc>
          <w:tcPr>
            <w:tcW w:type="dxa" w:w="1382"/>
          </w:tcPr>
          <w:p>
            <w:pPr>
              <w:spacing w:after="20"/>
              <w:jc w:val="right"/>
            </w:pPr>
            <w:r>
              <w:rPr>
                <w:color w:val="1C3A36"/>
                <w:sz w:val="16"/>
              </w:rPr>
              <w:t>1,713</w:t>
            </w:r>
          </w:p>
        </w:tc>
        <w:tc>
          <w:tcPr>
            <w:tcW w:type="dxa" w:w="1382"/>
          </w:tcPr>
          <w:p>
            <w:pPr>
              <w:spacing w:after="20"/>
              <w:jc w:val="right"/>
            </w:pPr>
            <w:r>
              <w:rPr>
                <w:color w:val="1C3A36"/>
                <w:sz w:val="16"/>
              </w:rPr>
              <w:t>1,685</w:t>
            </w:r>
          </w:p>
        </w:tc>
        <w:tc>
          <w:tcPr>
            <w:tcW w:type="dxa" w:w="1382"/>
          </w:tcPr>
          <w:p>
            <w:pPr>
              <w:spacing w:after="20"/>
              <w:jc w:val="right"/>
            </w:pPr>
            <w:r>
              <w:rPr>
                <w:color w:val="1C3A36"/>
                <w:sz w:val="16"/>
              </w:rPr>
              <w:t>1,816</w:t>
            </w:r>
          </w:p>
        </w:tc>
        <w:tc>
          <w:tcPr>
            <w:tcW w:type="dxa" w:w="1382"/>
          </w:tcPr>
          <w:p>
            <w:pPr>
              <w:spacing w:after="20"/>
              <w:jc w:val="right"/>
            </w:pPr>
            <w:r>
              <w:rPr>
                <w:color w:val="1C3A36"/>
                <w:sz w:val="16"/>
              </w:rPr>
              <w:t>1,337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8.70%</w:t>
            </w:r>
          </w:p>
        </w:tc>
        <w:tc>
          <w:tcPr>
            <w:tcW w:type="dxa" w:w="1382"/>
          </w:tcPr>
          <w:p>
            <w:pPr>
              <w:spacing w:after="20"/>
              <w:jc w:val="right"/>
            </w:pPr>
            <w:r>
              <w:rPr>
                <w:color w:val="1C3A36"/>
                <w:sz w:val="16"/>
              </w:rPr>
              <w:t>8.70%</w:t>
            </w:r>
          </w:p>
        </w:tc>
        <w:tc>
          <w:tcPr>
            <w:tcW w:type="dxa" w:w="1382"/>
          </w:tcPr>
          <w:p>
            <w:pPr>
              <w:spacing w:after="20"/>
              <w:jc w:val="right"/>
            </w:pPr>
            <w:r>
              <w:rPr>
                <w:color w:val="1C3A36"/>
                <w:sz w:val="16"/>
              </w:rPr>
              <w:t>8.69%</w:t>
            </w:r>
          </w:p>
        </w:tc>
        <w:tc>
          <w:tcPr>
            <w:tcW w:type="dxa" w:w="1382"/>
          </w:tcPr>
          <w:p>
            <w:pPr>
              <w:spacing w:after="20"/>
              <w:jc w:val="right"/>
            </w:pPr>
            <w:r>
              <w:rPr>
                <w:color w:val="1C3A36"/>
                <w:sz w:val="16"/>
              </w:rPr>
              <w:t>8.68%</w:t>
            </w:r>
          </w:p>
        </w:tc>
        <w:tc>
          <w:tcPr>
            <w:tcW w:type="dxa" w:w="1382"/>
          </w:tcPr>
          <w:p>
            <w:pPr>
              <w:spacing w:after="20"/>
              <w:jc w:val="right"/>
            </w:pPr>
            <w:r>
              <w:rPr>
                <w:color w:val="1C3A36"/>
                <w:sz w:val="16"/>
              </w:rPr>
              <w:t>8.68%</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0.9591</w:t>
            </w:r>
          </w:p>
        </w:tc>
        <w:tc>
          <w:tcPr>
            <w:tcW w:type="dxa" w:w="1382"/>
          </w:tcPr>
          <w:p>
            <w:pPr>
              <w:spacing w:after="20"/>
              <w:jc w:val="right"/>
            </w:pPr>
            <w:r>
              <w:rPr>
                <w:color w:val="1C3A36"/>
                <w:sz w:val="16"/>
              </w:rPr>
              <w:t>0.8824</w:t>
            </w:r>
          </w:p>
        </w:tc>
        <w:tc>
          <w:tcPr>
            <w:tcW w:type="dxa" w:w="1382"/>
          </w:tcPr>
          <w:p>
            <w:pPr>
              <w:spacing w:after="20"/>
              <w:jc w:val="right"/>
            </w:pPr>
            <w:r>
              <w:rPr>
                <w:color w:val="1C3A36"/>
                <w:sz w:val="16"/>
              </w:rPr>
              <w:t>0.8118</w:t>
            </w:r>
          </w:p>
        </w:tc>
        <w:tc>
          <w:tcPr>
            <w:tcW w:type="dxa" w:w="1382"/>
          </w:tcPr>
          <w:p>
            <w:pPr>
              <w:spacing w:after="20"/>
              <w:jc w:val="right"/>
            </w:pPr>
            <w:r>
              <w:rPr>
                <w:color w:val="1C3A36"/>
                <w:sz w:val="16"/>
              </w:rPr>
              <w:t>0.7470</w:t>
            </w:r>
          </w:p>
        </w:tc>
        <w:tc>
          <w:tcPr>
            <w:tcW w:type="dxa" w:w="1382"/>
          </w:tcPr>
          <w:p>
            <w:pPr>
              <w:spacing w:after="20"/>
              <w:jc w:val="right"/>
            </w:pPr>
            <w:r>
              <w:rPr>
                <w:color w:val="1C3A36"/>
                <w:sz w:val="16"/>
              </w:rPr>
              <w:t>0.6874</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293</w:t>
            </w:r>
          </w:p>
        </w:tc>
        <w:tc>
          <w:tcPr>
            <w:tcW w:type="dxa" w:w="1382"/>
            <w:shd w:val="clear" w:color="auto" w:fill="F6F1E6"/>
          </w:tcPr>
          <w:p>
            <w:pPr>
              <w:spacing w:after="20"/>
              <w:jc w:val="right"/>
            </w:pPr>
            <w:r>
              <w:rPr>
                <w:b/>
                <w:color w:val="1C3A36"/>
                <w:sz w:val="16"/>
              </w:rPr>
              <w:t>1,512</w:t>
            </w:r>
          </w:p>
        </w:tc>
        <w:tc>
          <w:tcPr>
            <w:tcW w:type="dxa" w:w="1382"/>
            <w:shd w:val="clear" w:color="auto" w:fill="F6F1E6"/>
          </w:tcPr>
          <w:p>
            <w:pPr>
              <w:spacing w:after="20"/>
              <w:jc w:val="right"/>
            </w:pPr>
            <w:r>
              <w:rPr>
                <w:b/>
                <w:color w:val="1C3A36"/>
                <w:sz w:val="16"/>
              </w:rPr>
              <w:t>1,368</w:t>
            </w:r>
          </w:p>
        </w:tc>
        <w:tc>
          <w:tcPr>
            <w:tcW w:type="dxa" w:w="1382"/>
            <w:shd w:val="clear" w:color="auto" w:fill="F6F1E6"/>
          </w:tcPr>
          <w:p>
            <w:pPr>
              <w:spacing w:after="20"/>
              <w:jc w:val="right"/>
            </w:pPr>
            <w:r>
              <w:rPr>
                <w:b/>
                <w:color w:val="1C3A36"/>
                <w:sz w:val="16"/>
              </w:rPr>
              <w:t>1,357</w:t>
            </w:r>
          </w:p>
        </w:tc>
        <w:tc>
          <w:tcPr>
            <w:tcW w:type="dxa" w:w="1382"/>
            <w:shd w:val="clear" w:color="auto" w:fill="F6F1E6"/>
          </w:tcPr>
          <w:p>
            <w:pPr>
              <w:spacing w:after="20"/>
              <w:jc w:val="right"/>
            </w:pPr>
            <w:r>
              <w:rPr>
                <w:b/>
                <w:color w:val="1C3A36"/>
                <w:sz w:val="16"/>
              </w:rPr>
              <w:t>919</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2026-06-30, so only the second half of 2026 is discounted and the reviewed first half's own free cash flow of USD 598 million is removed rather than counted twice — it is already inside the net debt the bridge subtracts. And tax is charged unit by unit at each unit's own disclosed effective rate, which is why the group rate runs near 2.5%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5.91%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110.1 days</w:t>
            </w:r>
          </w:p>
        </w:tc>
        <w:tc>
          <w:tcPr>
            <w:tcW w:type="dxa" w:w="6192"/>
          </w:tcPr>
          <w:p>
            <w:pPr>
              <w:spacing w:after="20"/>
              <w:jc w:val="left"/>
            </w:pPr>
            <w:r>
              <w:rPr>
                <w:color w:val="1C3A36"/>
                <w:sz w:val="16"/>
              </w:rPr>
              <w:t>Receivables over revenue in the FY2025 statements is 108.4 days. But FY2025 revenue carries a gross-up of 2.73× over the owned tanker fleet's own charter-equivalent revenue, from chartered-in and relet trading, while the forecast is built at 2.61×. A day count calibrated on the first and applied to the second understates the receivable balance by the whole difference between the two conventions. Re-based onto the revenue the forecast actually produces, 108.4 days becomes 110.1.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5,447</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877</w:t>
            </w:r>
          </w:p>
        </w:tc>
        <w:tc>
          <w:tcPr>
            <w:tcW w:type="dxa" w:w="5040"/>
          </w:tcPr>
          <w:p>
            <w:pPr>
              <w:spacing w:after="20"/>
              <w:jc w:val="left"/>
            </w:pPr>
            <w:r>
              <w:rPr>
                <w:color w:val="1C3A36"/>
                <w:sz w:val="16"/>
              </w:rPr>
              <w:t>2030E net operating profit after tax grown 2% and multiplied by one less the reinvestment rate of 20.5%; that reinvestment rate is forced to equal growth divided by the terminal return on invested capital of 9.8%,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9,027</w:t>
            </w:r>
          </w:p>
        </w:tc>
        <w:tc>
          <w:tcPr>
            <w:tcW w:type="dxa" w:w="5040"/>
          </w:tcPr>
          <w:p>
            <w:pPr>
              <w:spacing w:after="20"/>
              <w:jc w:val="left"/>
            </w:pPr>
            <w:r>
              <w:rPr>
                <w:color w:val="1C3A36"/>
                <w:sz w:val="16"/>
              </w:rPr>
              <w:t>the terminal cash flow capitalised at 8.7% less 2% = USD 13,133 million, discounted at the same year-five factor of 0.6874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14,474</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62.4%</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523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14,997</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(257)</w:t>
            </w:r>
          </w:p>
        </w:tc>
        <w:tc>
          <w:tcPr>
            <w:tcW w:type="dxa" w:w="5040"/>
          </w:tcPr>
          <w:p>
            <w:pPr>
              <w:spacing w:after="20"/>
              <w:jc w:val="left"/>
            </w:pPr>
            <w:r>
              <w:rPr>
                <w:color w:val="1C3A36"/>
                <w:sz w:val="16"/>
              </w:rPr>
              <w:t>the reviewed 30 June 2026 figure: the parent facility, third-party borrowings and lease liabilities less cash. It is USD 163 million lower than the 31 March figure the previous edition stood on, the company having generated USD 598 million of free cash flow in the half and repaid the parent term facility</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(304)</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12.0%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(317)</w:t>
            </w:r>
          </w:p>
        </w:tc>
        <w:tc>
          <w:tcPr>
            <w:tcW w:type="dxa" w:w="5040"/>
          </w:tcPr>
          <w:p>
            <w:pPr>
              <w:spacing w:after="20"/>
              <w:jc w:val="left"/>
            </w:pPr>
            <w:r>
              <w:rPr>
                <w:color w:val="1C3A36"/>
                <w:sz w:val="16"/>
              </w:rPr>
              <w:t>NOT the book value of USD 289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37 million of book is lifted to its share of value. That lift costs AED 0.01 a share, against the AED 0.11 it would cost to apply the 4.5% profit share to the whole equity value and net nothing off</w:t>
            </w:r>
          </w:p>
        </w:tc>
      </w:tr>
      <w:tr>
        <w:trPr>
          <w:cantSplit/>
        </w:trPr>
        <w:tc>
          <w:tcPr>
            <w:tcW w:type="dxa" w:w="3672"/>
            <w:shd w:val="clear" w:color="auto" w:fill="F6F1E6"/>
          </w:tcPr>
          <w:p>
            <w:pPr>
              <w:spacing w:after="20"/>
            </w:pPr>
            <w:r>
              <w:rPr>
                <w:b/>
                <w:color w:val="1C3A36"/>
                <w:sz w:val="16"/>
              </w:rPr>
              <w:t>Less the interim dividend declared after the balance-sheet date</w:t>
            </w:r>
          </w:p>
        </w:tc>
        <w:tc>
          <w:tcPr>
            <w:tcW w:type="dxa" w:w="1368"/>
            <w:shd w:val="clear" w:color="auto" w:fill="F6F1E6"/>
          </w:tcPr>
          <w:p>
            <w:pPr>
              <w:spacing w:after="20"/>
              <w:jc w:val="right"/>
            </w:pPr>
            <w:r>
              <w:rPr>
                <w:b/>
                <w:color w:val="1C3A36"/>
                <w:sz w:val="16"/>
              </w:rPr>
              <w:t>(85)</w:t>
            </w:r>
          </w:p>
        </w:tc>
        <w:tc>
          <w:tcPr>
            <w:tcW w:type="dxa" w:w="5040"/>
            <w:shd w:val="clear" w:color="auto" w:fill="F6F1E6"/>
          </w:tcPr>
          <w:p>
            <w:pPr>
              <w:spacing w:after="20"/>
              <w:jc w:val="left"/>
            </w:pPr>
            <w:r>
              <w:rPr>
                <w:b/>
                <w:color w:val="1C3A36"/>
                <w:sz w:val="16"/>
              </w:rPr>
              <w:t>the board approved an interim cash dividend of USD 85 million for the second quarter on a record date of 20 August 2026 — after the sheet this bridge stands on and before the price this study is delivered against, so a buyer at that price does not receive it and it is not in the equity being bought</w:t>
            </w:r>
          </w:p>
        </w:tc>
      </w:tr>
      <w:tr>
        <w:trPr>
          <w:cantSplit/>
        </w:trPr>
        <w:tc>
          <w:tcPr>
            <w:tcW w:type="dxa" w:w="3672"/>
          </w:tcPr>
          <w:p>
            <w:pPr>
              <w:spacing w:after="20"/>
            </w:pPr>
            <w:r>
              <w:rPr>
                <w:color w:val="1C3A36"/>
                <w:sz w:val="16"/>
              </w:rPr>
              <w:t>Equity value attributable to ordinary shareholders</w:t>
            </w:r>
          </w:p>
        </w:tc>
        <w:tc>
          <w:tcPr>
            <w:tcW w:type="dxa" w:w="1368"/>
          </w:tcPr>
          <w:p>
            <w:pPr>
              <w:spacing w:after="20"/>
              <w:jc w:val="right"/>
            </w:pPr>
            <w:r>
              <w:rPr>
                <w:color w:val="1C3A36"/>
                <w:sz w:val="16"/>
              </w:rPr>
              <w:t>10,755</w:t>
            </w:r>
          </w:p>
        </w:tc>
        <w:tc>
          <w:tcPr>
            <w:tcW w:type="dxa" w:w="5040"/>
          </w:tcPr>
          <w:p>
            <w:pPr>
              <w:spacing w:after="20"/>
              <w:jc w:val="left"/>
            </w:pPr>
            <w:r>
              <w:rPr>
                <w:color w:val="1C3A36"/>
                <w:sz w:val="16"/>
              </w:rPr>
            </w:r>
          </w:p>
        </w:tc>
      </w:tr>
      <w:tr>
        <w:trPr>
          <w:cantSplit/>
        </w:trPr>
        <w:tc>
          <w:tcPr>
            <w:tcW w:type="dxa" w:w="3672"/>
            <w:shd w:val="clear" w:color="auto" w:fill="F6F1E6"/>
          </w:tcPr>
          <w:p>
            <w:pPr>
              <w:spacing w:after="20"/>
            </w:pPr>
            <w:r>
              <w:rPr>
                <w:b/>
                <w:color w:val="1C3A36"/>
                <w:sz w:val="16"/>
              </w:rPr>
              <w:t>Fair value per share (USD)</w:t>
            </w:r>
          </w:p>
        </w:tc>
        <w:tc>
          <w:tcPr>
            <w:tcW w:type="dxa" w:w="1368"/>
            <w:shd w:val="clear" w:color="auto" w:fill="F6F1E6"/>
          </w:tcPr>
          <w:p>
            <w:pPr>
              <w:spacing w:after="20"/>
              <w:jc w:val="right"/>
            </w:pPr>
            <w:r>
              <w:rPr>
                <w:b/>
                <w:color w:val="1C3A36"/>
                <w:sz w:val="16"/>
              </w:rPr>
              <w:t>1.45</w:t>
            </w:r>
          </w:p>
        </w:tc>
        <w:tc>
          <w:tcPr>
            <w:tcW w:type="dxa" w:w="5040"/>
            <w:shd w:val="clear" w:color="auto" w:fill="F6F1E6"/>
          </w:tcPr>
          <w:p>
            <w:pPr>
              <w:spacing w:after="20"/>
              <w:jc w:val="left"/>
            </w:pPr>
            <w:r>
              <w:rPr>
                <w:b/>
                <w:color w:val="1C3A36"/>
                <w:sz w:val="16"/>
              </w:rPr>
              <w:t>against a market price of USD 1.85</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5.34</w:t>
            </w:r>
          </w:p>
        </w:tc>
        <w:tc>
          <w:tcPr>
            <w:tcW w:type="dxa" w:w="5040"/>
            <w:shd w:val="clear" w:color="auto" w:fill="F6F1E6"/>
          </w:tcPr>
          <w:p>
            <w:pPr>
              <w:spacing w:after="20"/>
              <w:jc w:val="left"/>
            </w:pPr>
            <w:r>
              <w:rPr>
                <w:b/>
                <w:color w:val="1C3A36"/>
                <w:sz w:val="16"/>
              </w:rPr>
              <w:t>against a market price of AED 6.80 (-21%)</w:t>
            </w:r>
          </w:p>
        </w:tc>
      </w:tr>
      <w:tr>
        <w:trPr>
          <w:cantSplit/>
        </w:trPr>
        <w:tc>
          <w:tcPr>
            <w:tcW w:type="dxa" w:w="3672"/>
          </w:tcPr>
          <w:p>
            <w:pPr>
              <w:spacing w:after="20"/>
            </w:pPr>
            <w:r>
              <w:rPr>
                <w:color w:val="1C3A36"/>
                <w:sz w:val="16"/>
              </w:rPr>
              <w:t>ALTERNATIVE — perpetual securities at the present value of their coupon</w:t>
            </w:r>
          </w:p>
        </w:tc>
        <w:tc>
          <w:tcPr>
            <w:tcW w:type="dxa" w:w="1368"/>
          </w:tcPr>
          <w:p>
            <w:pPr>
              <w:spacing w:after="20"/>
              <w:jc w:val="right"/>
            </w:pPr>
            <w:r>
              <w:rPr>
                <w:color w:val="1C3A36"/>
                <w:sz w:val="16"/>
              </w:rPr>
              <w:t>5.77</w:t>
            </w:r>
          </w:p>
        </w:tc>
        <w:tc>
          <w:tcPr>
            <w:tcW w:type="dxa" w:w="5040"/>
          </w:tcPr>
          <w:p>
            <w:pPr>
              <w:spacing w:after="20"/>
              <w:jc w:val="left"/>
            </w:pPr>
            <w:r>
              <w:rPr>
                <w:color w:val="1C3A36"/>
                <w:sz w:val="16"/>
              </w:rPr>
              <w:t>deducting USD 1,118 million, the coupon capitalised at the terminal cost of capital, instead of the USD 1,979 million carrying value. Worth AED 0.43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378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0.690 instead. Two qualifications before the explanation. The first is that the runs are not quite the identical regression: the published-index run pairs 159 weekly observations and the composite run pairs 165, because the index series obtained stops earlier than the exchange's own price history does and because the two series are screened and aligned to the exchange's trading week before they are paired. The samples differ by 6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0.690</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9.43%</w:t>
            </w:r>
          </w:p>
        </w:tc>
        <w:tc>
          <w:tcPr>
            <w:tcW w:type="dxa" w:w="2808"/>
          </w:tcPr>
          <w:p>
            <w:pPr>
              <w:spacing w:after="20"/>
              <w:jc w:val="right"/>
            </w:pPr>
            <w:r>
              <w:rPr>
                <w:color w:val="1C3A36"/>
                <w:sz w:val="17"/>
              </w:rPr>
              <w:t>7.42%</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8.71%</w:t>
            </w:r>
          </w:p>
        </w:tc>
        <w:tc>
          <w:tcPr>
            <w:tcW w:type="dxa" w:w="2808"/>
          </w:tcPr>
          <w:p>
            <w:pPr>
              <w:spacing w:after="20"/>
              <w:jc w:val="right"/>
            </w:pPr>
            <w:r>
              <w:rPr>
                <w:color w:val="1C3A36"/>
                <w:sz w:val="17"/>
              </w:rPr>
              <w:t>7.04%</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8.68%</w:t>
            </w:r>
          </w:p>
        </w:tc>
        <w:tc>
          <w:tcPr>
            <w:tcW w:type="dxa" w:w="2808"/>
          </w:tcPr>
          <w:p>
            <w:pPr>
              <w:spacing w:after="20"/>
              <w:jc w:val="right"/>
            </w:pPr>
            <w:r>
              <w:rPr>
                <w:color w:val="1C3A36"/>
                <w:sz w:val="17"/>
              </w:rPr>
              <w:t>7.00%</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5,447</w:t>
            </w:r>
          </w:p>
        </w:tc>
        <w:tc>
          <w:tcPr>
            <w:tcW w:type="dxa" w:w="2808"/>
          </w:tcPr>
          <w:p>
            <w:pPr>
              <w:spacing w:after="20"/>
              <w:jc w:val="right"/>
            </w:pPr>
            <w:r>
              <w:rPr>
                <w:color w:val="1C3A36"/>
                <w:sz w:val="17"/>
              </w:rPr>
              <w:t>5,682</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9,027</w:t>
            </w:r>
          </w:p>
        </w:tc>
        <w:tc>
          <w:tcPr>
            <w:tcW w:type="dxa" w:w="2808"/>
          </w:tcPr>
          <w:p>
            <w:pPr>
              <w:spacing w:after="20"/>
              <w:jc w:val="right"/>
            </w:pPr>
            <w:r>
              <w:rPr>
                <w:color w:val="1C3A36"/>
                <w:sz w:val="17"/>
              </w:rPr>
              <w:t>12,916</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62.4%</w:t>
            </w:r>
          </w:p>
        </w:tc>
        <w:tc>
          <w:tcPr>
            <w:tcW w:type="dxa" w:w="2808"/>
          </w:tcPr>
          <w:p>
            <w:pPr>
              <w:spacing w:after="20"/>
              <w:jc w:val="right"/>
            </w:pPr>
            <w:r>
              <w:rPr>
                <w:color w:val="1C3A36"/>
                <w:sz w:val="17"/>
              </w:rPr>
              <w:t>69.5%</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14,997</w:t>
            </w:r>
          </w:p>
        </w:tc>
        <w:tc>
          <w:tcPr>
            <w:tcW w:type="dxa" w:w="2808"/>
          </w:tcPr>
          <w:p>
            <w:pPr>
              <w:spacing w:after="20"/>
              <w:jc w:val="right"/>
            </w:pPr>
            <w:r>
              <w:rPr>
                <w:color w:val="1C3A36"/>
                <w:sz w:val="17"/>
              </w:rPr>
              <w:t>19,121</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10,755</w:t>
            </w:r>
          </w:p>
        </w:tc>
        <w:tc>
          <w:tcPr>
            <w:tcW w:type="dxa" w:w="2808"/>
          </w:tcPr>
          <w:p>
            <w:pPr>
              <w:spacing w:after="20"/>
              <w:jc w:val="right"/>
            </w:pPr>
            <w:r>
              <w:rPr>
                <w:color w:val="1C3A36"/>
                <w:sz w:val="17"/>
              </w:rPr>
              <w:t>14,854</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5.34</w:t>
            </w:r>
          </w:p>
        </w:tc>
        <w:tc>
          <w:tcPr>
            <w:tcW w:type="dxa" w:w="2808"/>
            <w:shd w:val="clear" w:color="auto" w:fill="F6F1E6"/>
          </w:tcPr>
          <w:p>
            <w:pPr>
              <w:spacing w:after="20"/>
              <w:jc w:val="right"/>
            </w:pPr>
            <w:r>
              <w:rPr>
                <w:b/>
                <w:color w:val="1C3A36"/>
                <w:sz w:val="17"/>
              </w:rPr>
              <w:t>7.37</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-21%</w:t>
            </w:r>
          </w:p>
        </w:tc>
        <w:tc>
          <w:tcPr>
            <w:tcW w:type="dxa" w:w="2808"/>
            <w:shd w:val="clear" w:color="auto" w:fill="F6F1E6"/>
          </w:tcPr>
          <w:p>
            <w:pPr>
              <w:spacing w:after="20"/>
              <w:jc w:val="right"/>
            </w:pPr>
            <w:r>
              <w:rPr>
                <w:b/>
                <w:color w:val="1C3A36"/>
                <w:sz w:val="17"/>
              </w:rPr>
              <w:t>+8%</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2.03 between the two columns is the beta, and most of it lands in the terminal value: a 167 basis point difference in the terminal cost of capital changes the capitalisation factor on a perpetuity by roughly a quarter, which is also why the terminal value falls from 69% of enterprise value to 62%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8% above the market price to 21%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5,883 million at 30 June 2026, or AED 2.92 a share — the figure excludes the perpetual capital securities, which the accounts include inside total equity but which do not belong to the ordinary shareholder. The return earned on that equity, struck after the coupon those securities take ahead of it, runs 24.1% in 2026E and falls to 8.5% by 2030E as the rate cycle normalises and the capital base grows; across the five years it averages 17.3%.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25.4% · 24.3% · 19.0% · 13.6% · 9.3%, averaging 18.3%.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28.2% · 26.8% · 20.5% · 14.3% · 9.5%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19.9% and growth of 2%, the payout that steady state requires is 90% of earnings. This company pays out 16% to 36% and retains the rest, which compounds its book at about 15.3% a year — above the cost of equity of 9.43%,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-417 million of the USD 7,872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5,883</w:t>
            </w:r>
          </w:p>
        </w:tc>
        <w:tc>
          <w:tcPr>
            <w:tcW w:type="dxa" w:w="1152"/>
          </w:tcPr>
          <w:p>
            <w:pPr>
              <w:spacing w:after="20"/>
              <w:jc w:val="right"/>
            </w:pPr>
            <w:r>
              <w:rPr>
                <w:color w:val="1C3A36"/>
                <w:sz w:val="16"/>
              </w:rPr>
              <w:t>24.1%</w:t>
            </w:r>
          </w:p>
        </w:tc>
        <w:tc>
          <w:tcPr>
            <w:tcW w:type="dxa" w:w="1354"/>
          </w:tcPr>
          <w:p>
            <w:pPr>
              <w:spacing w:after="20"/>
              <w:jc w:val="right"/>
            </w:pPr>
            <w:r>
              <w:rPr>
                <w:color w:val="1C3A36"/>
                <w:sz w:val="16"/>
              </w:rPr>
              <w:t>+14.69pp</w:t>
            </w:r>
          </w:p>
        </w:tc>
        <w:tc>
          <w:tcPr>
            <w:tcW w:type="dxa" w:w="1584"/>
          </w:tcPr>
          <w:p>
            <w:pPr>
              <w:spacing w:after="20"/>
              <w:jc w:val="right"/>
            </w:pPr>
            <w:r>
              <w:rPr>
                <w:color w:val="1C3A36"/>
                <w:sz w:val="16"/>
              </w:rPr>
              <w:t>864</w:t>
            </w:r>
          </w:p>
        </w:tc>
        <w:tc>
          <w:tcPr>
            <w:tcW w:type="dxa" w:w="1267"/>
          </w:tcPr>
          <w:p>
            <w:pPr>
              <w:spacing w:after="20"/>
              <w:jc w:val="right"/>
            </w:pPr>
            <w:r>
              <w:rPr>
                <w:color w:val="1C3A36"/>
                <w:sz w:val="16"/>
              </w:rPr>
              <w:t>0.9138</w:t>
            </w:r>
          </w:p>
        </w:tc>
        <w:tc>
          <w:tcPr>
            <w:tcW w:type="dxa" w:w="1584"/>
          </w:tcPr>
          <w:p>
            <w:pPr>
              <w:spacing w:after="20"/>
              <w:jc w:val="right"/>
            </w:pPr>
            <w:r>
              <w:rPr>
                <w:color w:val="1C3A36"/>
                <w:sz w:val="16"/>
              </w:rPr>
              <w:t>790</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7,304</w:t>
            </w:r>
          </w:p>
        </w:tc>
        <w:tc>
          <w:tcPr>
            <w:tcW w:type="dxa" w:w="1152"/>
          </w:tcPr>
          <w:p>
            <w:pPr>
              <w:spacing w:after="20"/>
              <w:jc w:val="right"/>
            </w:pPr>
            <w:r>
              <w:rPr>
                <w:color w:val="1C3A36"/>
                <w:sz w:val="16"/>
              </w:rPr>
              <w:t>23.2%</w:t>
            </w:r>
          </w:p>
        </w:tc>
        <w:tc>
          <w:tcPr>
            <w:tcW w:type="dxa" w:w="1354"/>
          </w:tcPr>
          <w:p>
            <w:pPr>
              <w:spacing w:after="20"/>
              <w:jc w:val="right"/>
            </w:pPr>
            <w:r>
              <w:rPr>
                <w:color w:val="1C3A36"/>
                <w:sz w:val="16"/>
              </w:rPr>
              <w:t>+13.75pp</w:t>
            </w:r>
          </w:p>
        </w:tc>
        <w:tc>
          <w:tcPr>
            <w:tcW w:type="dxa" w:w="1584"/>
          </w:tcPr>
          <w:p>
            <w:pPr>
              <w:spacing w:after="20"/>
              <w:jc w:val="right"/>
            </w:pPr>
            <w:r>
              <w:rPr>
                <w:color w:val="1C3A36"/>
                <w:sz w:val="16"/>
              </w:rPr>
              <w:t>1,004</w:t>
            </w:r>
          </w:p>
        </w:tc>
        <w:tc>
          <w:tcPr>
            <w:tcW w:type="dxa" w:w="1267"/>
          </w:tcPr>
          <w:p>
            <w:pPr>
              <w:spacing w:after="20"/>
              <w:jc w:val="right"/>
            </w:pPr>
            <w:r>
              <w:rPr>
                <w:color w:val="1C3A36"/>
                <w:sz w:val="16"/>
              </w:rPr>
              <w:t>0.8350</w:t>
            </w:r>
          </w:p>
        </w:tc>
        <w:tc>
          <w:tcPr>
            <w:tcW w:type="dxa" w:w="1584"/>
          </w:tcPr>
          <w:p>
            <w:pPr>
              <w:spacing w:after="20"/>
              <w:jc w:val="right"/>
            </w:pPr>
            <w:r>
              <w:rPr>
                <w:color w:val="1C3A36"/>
                <w:sz w:val="16"/>
              </w:rPr>
              <w:t>838</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9,041</w:t>
            </w:r>
          </w:p>
        </w:tc>
        <w:tc>
          <w:tcPr>
            <w:tcW w:type="dxa" w:w="1152"/>
          </w:tcPr>
          <w:p>
            <w:pPr>
              <w:spacing w:after="20"/>
              <w:jc w:val="right"/>
            </w:pPr>
            <w:r>
              <w:rPr>
                <w:color w:val="1C3A36"/>
                <w:sz w:val="16"/>
              </w:rPr>
              <w:t>18.1%</w:t>
            </w:r>
          </w:p>
        </w:tc>
        <w:tc>
          <w:tcPr>
            <w:tcW w:type="dxa" w:w="1354"/>
          </w:tcPr>
          <w:p>
            <w:pPr>
              <w:spacing w:after="20"/>
              <w:jc w:val="right"/>
            </w:pPr>
            <w:r>
              <w:rPr>
                <w:color w:val="1C3A36"/>
                <w:sz w:val="16"/>
              </w:rPr>
              <w:t>+8.70pp</w:t>
            </w:r>
          </w:p>
        </w:tc>
        <w:tc>
          <w:tcPr>
            <w:tcW w:type="dxa" w:w="1584"/>
          </w:tcPr>
          <w:p>
            <w:pPr>
              <w:spacing w:after="20"/>
              <w:jc w:val="right"/>
            </w:pPr>
            <w:r>
              <w:rPr>
                <w:color w:val="1C3A36"/>
                <w:sz w:val="16"/>
              </w:rPr>
              <w:t>786</w:t>
            </w:r>
          </w:p>
        </w:tc>
        <w:tc>
          <w:tcPr>
            <w:tcW w:type="dxa" w:w="1267"/>
          </w:tcPr>
          <w:p>
            <w:pPr>
              <w:spacing w:after="20"/>
              <w:jc w:val="right"/>
            </w:pPr>
            <w:r>
              <w:rPr>
                <w:color w:val="1C3A36"/>
                <w:sz w:val="16"/>
              </w:rPr>
              <w:t>0.7631</w:t>
            </w:r>
          </w:p>
        </w:tc>
        <w:tc>
          <w:tcPr>
            <w:tcW w:type="dxa" w:w="1584"/>
          </w:tcPr>
          <w:p>
            <w:pPr>
              <w:spacing w:after="20"/>
              <w:jc w:val="right"/>
            </w:pPr>
            <w:r>
              <w:rPr>
                <w:color w:val="1C3A36"/>
                <w:sz w:val="16"/>
              </w:rPr>
              <w:t>600</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10,584</w:t>
            </w:r>
          </w:p>
        </w:tc>
        <w:tc>
          <w:tcPr>
            <w:tcW w:type="dxa" w:w="1152"/>
          </w:tcPr>
          <w:p>
            <w:pPr>
              <w:spacing w:after="20"/>
              <w:jc w:val="right"/>
            </w:pPr>
            <w:r>
              <w:rPr>
                <w:color w:val="1C3A36"/>
                <w:sz w:val="16"/>
              </w:rPr>
              <w:t>12.8%</w:t>
            </w:r>
          </w:p>
        </w:tc>
        <w:tc>
          <w:tcPr>
            <w:tcW w:type="dxa" w:w="1354"/>
          </w:tcPr>
          <w:p>
            <w:pPr>
              <w:spacing w:after="20"/>
              <w:jc w:val="right"/>
            </w:pPr>
            <w:r>
              <w:rPr>
                <w:color w:val="1C3A36"/>
                <w:sz w:val="16"/>
              </w:rPr>
              <w:t>+3.35pp</w:t>
            </w:r>
          </w:p>
        </w:tc>
        <w:tc>
          <w:tcPr>
            <w:tcW w:type="dxa" w:w="1584"/>
          </w:tcPr>
          <w:p>
            <w:pPr>
              <w:spacing w:after="20"/>
              <w:jc w:val="right"/>
            </w:pPr>
            <w:r>
              <w:rPr>
                <w:color w:val="1C3A36"/>
                <w:sz w:val="16"/>
              </w:rPr>
              <w:t>354</w:t>
            </w:r>
          </w:p>
        </w:tc>
        <w:tc>
          <w:tcPr>
            <w:tcW w:type="dxa" w:w="1267"/>
          </w:tcPr>
          <w:p>
            <w:pPr>
              <w:spacing w:after="20"/>
              <w:jc w:val="right"/>
            </w:pPr>
            <w:r>
              <w:rPr>
                <w:color w:val="1C3A36"/>
                <w:sz w:val="16"/>
              </w:rPr>
              <w:t>0.6973</w:t>
            </w:r>
          </w:p>
        </w:tc>
        <w:tc>
          <w:tcPr>
            <w:tcW w:type="dxa" w:w="1584"/>
          </w:tcPr>
          <w:p>
            <w:pPr>
              <w:spacing w:after="20"/>
              <w:jc w:val="right"/>
            </w:pPr>
            <w:r>
              <w:rPr>
                <w:color w:val="1C3A36"/>
                <w:sz w:val="16"/>
              </w:rPr>
              <w:t>247</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11,683</w:t>
            </w:r>
          </w:p>
        </w:tc>
        <w:tc>
          <w:tcPr>
            <w:tcW w:type="dxa" w:w="1152"/>
          </w:tcPr>
          <w:p>
            <w:pPr>
              <w:spacing w:after="20"/>
              <w:jc w:val="right"/>
            </w:pPr>
            <w:r>
              <w:rPr>
                <w:color w:val="1C3A36"/>
                <w:sz w:val="16"/>
              </w:rPr>
              <w:t>8.5%</w:t>
            </w:r>
          </w:p>
        </w:tc>
        <w:tc>
          <w:tcPr>
            <w:tcW w:type="dxa" w:w="1354"/>
          </w:tcPr>
          <w:p>
            <w:pPr>
              <w:spacing w:after="20"/>
              <w:jc w:val="right"/>
            </w:pPr>
            <w:r>
              <w:rPr>
                <w:color w:val="1C3A36"/>
                <w:sz w:val="16"/>
              </w:rPr>
              <w:t>-0.93pp</w:t>
            </w:r>
          </w:p>
        </w:tc>
        <w:tc>
          <w:tcPr>
            <w:tcW w:type="dxa" w:w="1584"/>
          </w:tcPr>
          <w:p>
            <w:pPr>
              <w:spacing w:after="20"/>
              <w:jc w:val="right"/>
            </w:pPr>
            <w:r>
              <w:rPr>
                <w:color w:val="1C3A36"/>
                <w:sz w:val="16"/>
              </w:rPr>
              <w:t>-108</w:t>
            </w:r>
          </w:p>
        </w:tc>
        <w:tc>
          <w:tcPr>
            <w:tcW w:type="dxa" w:w="1267"/>
          </w:tcPr>
          <w:p>
            <w:pPr>
              <w:spacing w:after="20"/>
              <w:jc w:val="right"/>
            </w:pPr>
            <w:r>
              <w:rPr>
                <w:color w:val="1C3A36"/>
                <w:sz w:val="16"/>
              </w:rPr>
              <w:t>0.6372</w:t>
            </w:r>
          </w:p>
        </w:tc>
        <w:tc>
          <w:tcPr>
            <w:tcW w:type="dxa" w:w="1584"/>
          </w:tcPr>
          <w:p>
            <w:pPr>
              <w:spacing w:after="20"/>
              <w:jc w:val="right"/>
            </w:pPr>
            <w:r>
              <w:rPr>
                <w:color w:val="1C3A36"/>
                <w:sz w:val="16"/>
              </w:rPr>
              <w:t>-69</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2,406</w:t>
            </w:r>
          </w:p>
        </w:tc>
      </w:tr>
    </w:tbl>
    <w:p>
      <w:pPr>
        <w:spacing w:after="40"/>
      </w:pPr>
    </w:p>
    <w:p>
      <w:pPr>
        <w:spacing w:after="200" w:before="0"/>
      </w:pPr>
      <w:r>
        <w:rPr>
          <w:b w:val="0"/>
          <w:i/>
          <w:color w:val="6E7B77"/>
          <w:sz w:val="17"/>
        </w:rPr>
        <w:t>Residual income is what the ordinary shareholder earns above the 9.43%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30 June 2026 (USD mn)</w:t>
            </w:r>
          </w:p>
        </w:tc>
        <w:tc>
          <w:tcPr>
            <w:tcW w:type="dxa" w:w="3024"/>
          </w:tcPr>
          <w:p>
            <w:pPr>
              <w:spacing w:after="20"/>
              <w:jc w:val="right"/>
            </w:pPr>
            <w:r>
              <w:rPr>
                <w:color w:val="1C3A36"/>
                <w:sz w:val="17"/>
              </w:rPr>
              <w:t>5,883</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0.7952</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2.92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2,406</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-417</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7,872</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1.34×</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3.91</w:t>
            </w:r>
          </w:p>
        </w:tc>
      </w:tr>
      <w:tr>
        <w:trPr>
          <w:cantSplit/>
        </w:trPr>
        <w:tc>
          <w:tcPr>
            <w:tcW w:type="dxa" w:w="7056"/>
          </w:tcPr>
          <w:p>
            <w:pPr>
              <w:spacing w:after="20"/>
            </w:pPr>
            <w:r>
              <w:rPr>
                <w:color w:val="1C3A36"/>
                <w:sz w:val="17"/>
              </w:rPr>
              <w:t>Range — bear at the top of the beta's 90% interval (1.621, cost of equity 11.95%) with the return on that book scaled down; bull at the bottom of it (0.586, 6.91%) with the same scaling applied upward</w:t>
            </w:r>
          </w:p>
        </w:tc>
        <w:tc>
          <w:tcPr>
            <w:tcW w:type="dxa" w:w="3024"/>
          </w:tcPr>
          <w:p>
            <w:pPr>
              <w:spacing w:after="20"/>
              <w:jc w:val="right"/>
            </w:pPr>
            <w:r>
              <w:rPr>
                <w:color w:val="1C3A36"/>
                <w:sz w:val="17"/>
              </w:rPr>
              <w:t>2.46 – 5.90</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2.33×</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1.74×</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2.92 a share, excluding the perpetual capital securities — so the market multiple has to be struck on the same denominator. On that basis the market pays 2.33× book against the 1.34× this lens justifies, which says the share is EXPENSIVE on the asset lens. Struck on the wider book that also counts the perpetual securities the market appears to pay 1.74×,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2.46 takes a cost of equity of 11.95%, built on the upper end 1.621 of the beta's own 90% confidence interval, together with a proportionally lower return on that book; the bull bound of AED 5.90 takes 6.91% on the lower end 0.586 of the same interval with the same proportion applied upward. Only the cost of equity in those bounds comes from the estimate's own statistical uncertainty; the return stress beside it is a judgement, as it is in the cash-flow lens. THIS READ IS A DISCLOSED FLOOR AND CARRIES NO WEIGHT IN THE ANSWER AT ALL, which is a change from an earlier edition where it carried 15% of a blend. It inherits the same cost of equity as the cash-flow model rather than testing it independently, and carrying value is a poor description of what a fleet is worth; a floor is what it is good for.</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10.27× trailing / 5.73× on 2026E</w:t>
            </w:r>
          </w:p>
        </w:tc>
        <w:tc>
          <w:tcPr>
            <w:tcW w:type="dxa" w:w="1786"/>
            <w:shd w:val="clear" w:color="auto" w:fill="F6F1E6"/>
          </w:tcPr>
          <w:p>
            <w:pPr>
              <w:spacing w:after="20"/>
              <w:jc w:val="right"/>
            </w:pPr>
            <w:r>
              <w:rPr>
                <w:b/>
                <w:color w:val="1C3A36"/>
                <w:sz w:val="16"/>
              </w:rPr>
              <w:t>7.78× / 17.63×</w:t>
            </w:r>
          </w:p>
        </w:tc>
        <w:tc>
          <w:tcPr>
            <w:tcW w:type="dxa" w:w="1123"/>
            <w:shd w:val="clear" w:color="auto" w:fill="F6F1E6"/>
          </w:tcPr>
          <w:p>
            <w:pPr>
              <w:spacing w:after="20"/>
              <w:jc w:val="right"/>
            </w:pPr>
            <w:r>
              <w:rPr>
                <w:b/>
                <w:color w:val="1C3A36"/>
                <w:sz w:val="16"/>
              </w:rPr>
              <w:t>2.33×</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6.56× rather than 5.73×.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15,561</w:t>
            </w:r>
          </w:p>
        </w:tc>
        <w:tc>
          <w:tcPr>
            <w:tcW w:type="dxa" w:w="1368"/>
          </w:tcPr>
          <w:p>
            <w:pPr>
              <w:spacing w:after="20"/>
              <w:jc w:val="right"/>
            </w:pPr>
            <w:r>
              <w:rPr>
                <w:color w:val="1C3A36"/>
                <w:sz w:val="16"/>
              </w:rPr>
              <w:t>5.73×</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17,828</w:t>
            </w:r>
          </w:p>
        </w:tc>
        <w:tc>
          <w:tcPr>
            <w:tcW w:type="dxa" w:w="1368"/>
          </w:tcPr>
          <w:p>
            <w:pPr>
              <w:spacing w:after="20"/>
              <w:jc w:val="right"/>
            </w:pPr>
            <w:r>
              <w:rPr>
                <w:color w:val="1C3A36"/>
                <w:sz w:val="16"/>
              </w:rPr>
              <w:t>6.56×</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2,268</w:t>
            </w:r>
          </w:p>
        </w:tc>
        <w:tc>
          <w:tcPr>
            <w:tcW w:type="dxa" w:w="1368"/>
          </w:tcPr>
          <w:p>
            <w:pPr>
              <w:spacing w:after="20"/>
              <w:jc w:val="right"/>
            </w:pPr>
            <w:r>
              <w:rPr>
                <w:color w:val="1C3A36"/>
                <w:sz w:val="16"/>
              </w:rPr>
              <w:t>+0.83 turns</w:t>
            </w:r>
          </w:p>
        </w:tc>
        <w:tc>
          <w:tcPr>
            <w:tcW w:type="dxa" w:w="4176"/>
          </w:tcPr>
          <w:p>
            <w:pPr>
              <w:spacing w:after="20"/>
              <w:jc w:val="left"/>
            </w:pPr>
            <w:r>
              <w:rPr>
                <w:color w:val="1C3A36"/>
                <w:sz w:val="16"/>
              </w:rPr>
              <w:t>87%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2,716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1,762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7.78× forward and 17.63×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13.08</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10.17</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12.21</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9.63 – 14.63</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12.21 does not sit in the middle of its own published span. It sits at about the 52th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631</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7,737</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2,035</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22,591</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51</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620</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2,716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30,947</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523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(1,862)</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(289)</w:t>
            </w:r>
          </w:p>
        </w:tc>
        <w:tc>
          <w:tcPr>
            <w:tcW w:type="dxa" w:w="3456"/>
          </w:tcPr>
          <w:p>
            <w:pPr>
              <w:spacing w:after="20"/>
              <w:jc w:val="left"/>
            </w:pPr>
            <w:r>
              <w:rPr>
                <w:color w:val="1C3A36"/>
                <w:sz w:val="16"/>
              </w:rPr>
              <w:t>at book value. The cash-flow bridge in section 1.1 lifts the non-contracted slice of this to its share of value, worth AED 0.01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27,255</w:t>
            </w:r>
          </w:p>
        </w:tc>
        <w:tc>
          <w:tcPr>
            <w:tcW w:type="dxa" w:w="3456"/>
            <w:shd w:val="clear" w:color="auto" w:fill="F6F1E6"/>
          </w:tcPr>
          <w:p>
            <w:pPr>
              <w:spacing w:after="20"/>
              <w:jc w:val="left"/>
            </w:pPr>
            <w:r>
              <w:rPr>
                <w:b/>
                <w:color w:val="1C3A36"/>
                <w:sz w:val="16"/>
              </w:rPr>
              <w:t>AED 13.53 a share, 99%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10.72×</w:t>
            </w:r>
          </w:p>
        </w:tc>
        <w:tc>
          <w:tcPr>
            <w:tcW w:type="dxa" w:w="1598"/>
          </w:tcPr>
          <w:p>
            <w:pPr>
              <w:spacing w:after="20"/>
              <w:jc w:val="right"/>
            </w:pPr>
            <w:r>
              <w:rPr>
                <w:color w:val="1C3A36"/>
                <w:sz w:val="16"/>
              </w:rPr>
              <w:t>30,159</w:t>
            </w:r>
          </w:p>
        </w:tc>
        <w:tc>
          <w:tcPr>
            <w:tcW w:type="dxa" w:w="3456"/>
          </w:tcPr>
          <w:p>
            <w:pPr>
              <w:spacing w:after="20"/>
              <w:jc w:val="left"/>
            </w:pPr>
            <w:r>
              <w:rPr>
                <w:color w:val="1C3A36"/>
                <w:sz w:val="16"/>
              </w:rPr>
              <w:t>AED 13.18 a share. The 31% weight in the row above is the company's disclosed share of GROUP earnings exposed to spot rates, and every dollar of that exposure sits inside Shipping. Measured against Shipping's own 2026E earnings rather than the group's it is 41%, which lowers the leg multiple to 10.72× and the cross-check by AED 0.35 a share</w:t>
            </w:r>
          </w:p>
        </w:tc>
      </w:tr>
    </w:tbl>
    <w:p>
      <w:pPr>
        <w:spacing w:after="40"/>
      </w:pPr>
    </w:p>
    <w:p>
      <w:pPr>
        <w:spacing w:after="200" w:before="0"/>
      </w:pPr>
      <w:r>
        <w:rPr>
          <w:b w:val="0"/>
          <w:i/>
          <w:color w:val="6E7B77"/>
          <w:sz w:val="17"/>
        </w:rPr>
        <w:t>The sum of the parts lands at AED 13.53 against the blended relative lens at AED 12.21,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central, which rests on the cash-flow model and the three lenses beside it. On the exposure share re-based to the leg it is applied to — the memorandum row above, and the more defensible construction of the two — the cross-check reads AED 13.18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2,617 million and attributable profit after the perpetual coupon of USD 1,663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2,617</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2,716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1,663</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0.2248</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12.54</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9.61</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11.07</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9.21 – 14.03</w:t>
            </w:r>
          </w:p>
        </w:tc>
      </w:tr>
    </w:tbl>
    <w:p>
      <w:pPr>
        <w:spacing w:after="40"/>
      </w:pPr>
    </w:p>
    <w:p>
      <w:pPr>
        <w:spacing w:after="200" w:before="0"/>
      </w:pPr>
      <w:r>
        <w:rPr>
          <w:b w:val="0"/>
          <w:i/>
          <w:color w:val="6E7B77"/>
          <w:sz w:val="17"/>
        </w:rPr>
        <w:t>The two constructions disagree by a wide margin — AED 12.54 against AED 9.61 — and the gap is depreciation and the perpetual coupon. This is a young fleet: depreciation runs from 21.5% of earnings before interest, tax, depreciation and amortisation in the lightest forecast year to 39.7% in the heaviest, averaging 27.6%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THIS READ IS RETIRED AS A LENS FOR THIS COMPANY accordingly — it carried 20% of an earlier edition's blend and carries none of the answer now. The published range flexes the enterprise reading between the spot and contracted multiples; the base is the average of that reading and the earnings reading, so it sits at about the 39th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centrals, against the market price of AED 6.80. Each central is the CASH-FLOW LENS on its own regressor rather than an average of the bars beside it.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Role in this study</w:t>
            </w:r>
          </w:p>
        </w:tc>
        <w:tc>
          <w:tcPr>
            <w:tcW w:type="dxa" w:w="1642"/>
            <w:shd w:val="clear" w:color="auto" w:fill="EAF0EE"/>
          </w:tcPr>
          <w:p>
            <w:pPr>
              <w:spacing w:after="20"/>
            </w:pPr>
            <w:r>
              <w:rPr>
                <w:b/>
                <w:color w:val="1C3A36"/>
                <w:sz w:val="17"/>
              </w:rPr>
              <w:t>Weight in the RETIRED blend</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2.76</w:t>
            </w:r>
          </w:p>
        </w:tc>
        <w:tc>
          <w:tcPr>
            <w:tcW w:type="dxa" w:w="1238"/>
          </w:tcPr>
          <w:p>
            <w:pPr>
              <w:spacing w:after="20"/>
              <w:jc w:val="right"/>
            </w:pPr>
            <w:r>
              <w:rPr>
                <w:color w:val="1C3A36"/>
                <w:sz w:val="17"/>
              </w:rPr>
              <w:t>5.34</w:t>
            </w:r>
          </w:p>
        </w:tc>
        <w:tc>
          <w:tcPr>
            <w:tcW w:type="dxa" w:w="1238"/>
          </w:tcPr>
          <w:p>
            <w:pPr>
              <w:spacing w:after="20"/>
              <w:jc w:val="right"/>
            </w:pPr>
            <w:r>
              <w:rPr>
                <w:color w:val="1C3A36"/>
                <w:sz w:val="17"/>
              </w:rPr>
              <w:t>9.98</w:t>
            </w:r>
          </w:p>
        </w:tc>
        <w:tc>
          <w:tcPr>
            <w:tcW w:type="dxa" w:w="1238"/>
          </w:tcPr>
          <w:p>
            <w:pPr>
              <w:spacing w:after="20"/>
              <w:jc w:val="right"/>
            </w:pPr>
            <w:r>
              <w:rPr>
                <w:color w:val="1C3A36"/>
                <w:sz w:val="17"/>
              </w:rPr>
              <w:t>PRIMARY — this is the central</w:t>
            </w:r>
          </w:p>
        </w:tc>
        <w:tc>
          <w:tcPr>
            <w:tcW w:type="dxa" w:w="1642"/>
          </w:tcPr>
          <w:p>
            <w:pPr>
              <w:spacing w:after="20"/>
              <w:jc w:val="right"/>
            </w:pPr>
            <w:r>
              <w:rPr>
                <w:color w:val="1C3A36"/>
                <w:sz w:val="17"/>
              </w:rPr>
              <w:t>40%</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9.63</w:t>
            </w:r>
          </w:p>
        </w:tc>
        <w:tc>
          <w:tcPr>
            <w:tcW w:type="dxa" w:w="1238"/>
          </w:tcPr>
          <w:p>
            <w:pPr>
              <w:spacing w:after="20"/>
              <w:jc w:val="right"/>
            </w:pPr>
            <w:r>
              <w:rPr>
                <w:color w:val="1C3A36"/>
                <w:sz w:val="17"/>
              </w:rPr>
              <w:t>12.21</w:t>
            </w:r>
          </w:p>
        </w:tc>
        <w:tc>
          <w:tcPr>
            <w:tcW w:type="dxa" w:w="1238"/>
          </w:tcPr>
          <w:p>
            <w:pPr>
              <w:spacing w:after="20"/>
              <w:jc w:val="right"/>
            </w:pPr>
            <w:r>
              <w:rPr>
                <w:color w:val="1C3A36"/>
                <w:sz w:val="17"/>
              </w:rPr>
              <w:t>14.63</w:t>
            </w:r>
          </w:p>
        </w:tc>
        <w:tc>
          <w:tcPr>
            <w:tcW w:type="dxa" w:w="1238"/>
          </w:tcPr>
          <w:p>
            <w:pPr>
              <w:spacing w:after="20"/>
              <w:jc w:val="right"/>
            </w:pPr>
            <w:r>
              <w:rPr>
                <w:color w:val="1C3A36"/>
                <w:sz w:val="17"/>
              </w:rPr>
              <w:t>cross-check</w:t>
            </w:r>
          </w:p>
        </w:tc>
        <w:tc>
          <w:tcPr>
            <w:tcW w:type="dxa" w:w="1642"/>
          </w:tcPr>
          <w:p>
            <w:pPr>
              <w:spacing w:after="20"/>
              <w:jc w:val="right"/>
            </w:pPr>
            <w:r>
              <w:rPr>
                <w:color w:val="1C3A36"/>
                <w:sz w:val="17"/>
              </w:rPr>
              <w:t>25%</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9.21</w:t>
            </w:r>
          </w:p>
        </w:tc>
        <w:tc>
          <w:tcPr>
            <w:tcW w:type="dxa" w:w="1238"/>
          </w:tcPr>
          <w:p>
            <w:pPr>
              <w:spacing w:after="20"/>
              <w:jc w:val="right"/>
            </w:pPr>
            <w:r>
              <w:rPr>
                <w:color w:val="1C3A36"/>
                <w:sz w:val="17"/>
              </w:rPr>
              <w:t>11.07</w:t>
            </w:r>
          </w:p>
        </w:tc>
        <w:tc>
          <w:tcPr>
            <w:tcW w:type="dxa" w:w="1238"/>
          </w:tcPr>
          <w:p>
            <w:pPr>
              <w:spacing w:after="20"/>
              <w:jc w:val="right"/>
            </w:pPr>
            <w:r>
              <w:rPr>
                <w:color w:val="1C3A36"/>
                <w:sz w:val="17"/>
              </w:rPr>
              <w:t>14.03</w:t>
            </w:r>
          </w:p>
        </w:tc>
        <w:tc>
          <w:tcPr>
            <w:tcW w:type="dxa" w:w="1238"/>
          </w:tcPr>
          <w:p>
            <w:pPr>
              <w:spacing w:after="20"/>
              <w:jc w:val="right"/>
            </w:pPr>
            <w:r>
              <w:rPr>
                <w:color w:val="1C3A36"/>
                <w:sz w:val="17"/>
              </w:rPr>
              <w:t>RETIRED for this class</w:t>
            </w:r>
          </w:p>
        </w:tc>
        <w:tc>
          <w:tcPr>
            <w:tcW w:type="dxa" w:w="1642"/>
          </w:tcPr>
          <w:p>
            <w:pPr>
              <w:spacing w:after="20"/>
              <w:jc w:val="right"/>
            </w:pPr>
            <w:r>
              <w:rPr>
                <w:color w:val="1C3A36"/>
                <w:sz w:val="17"/>
              </w:rPr>
              <w:t>20%</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2.46</w:t>
            </w:r>
          </w:p>
        </w:tc>
        <w:tc>
          <w:tcPr>
            <w:tcW w:type="dxa" w:w="1238"/>
          </w:tcPr>
          <w:p>
            <w:pPr>
              <w:spacing w:after="20"/>
              <w:jc w:val="right"/>
            </w:pPr>
            <w:r>
              <w:rPr>
                <w:color w:val="1C3A36"/>
                <w:sz w:val="17"/>
              </w:rPr>
              <w:t>3.91</w:t>
            </w:r>
          </w:p>
        </w:tc>
        <w:tc>
          <w:tcPr>
            <w:tcW w:type="dxa" w:w="1238"/>
          </w:tcPr>
          <w:p>
            <w:pPr>
              <w:spacing w:after="20"/>
              <w:jc w:val="right"/>
            </w:pPr>
            <w:r>
              <w:rPr>
                <w:color w:val="1C3A36"/>
                <w:sz w:val="17"/>
              </w:rPr>
              <w:t>5.90</w:t>
            </w:r>
          </w:p>
        </w:tc>
        <w:tc>
          <w:tcPr>
            <w:tcW w:type="dxa" w:w="1238"/>
          </w:tcPr>
          <w:p>
            <w:pPr>
              <w:spacing w:after="20"/>
              <w:jc w:val="right"/>
            </w:pPr>
            <w:r>
              <w:rPr>
                <w:color w:val="1C3A36"/>
                <w:sz w:val="17"/>
              </w:rPr>
              <w:t>disclosed floor, never weighted</w:t>
            </w:r>
          </w:p>
        </w:tc>
        <w:tc>
          <w:tcPr>
            <w:tcW w:type="dxa" w:w="1642"/>
          </w:tcPr>
          <w:p>
            <w:pPr>
              <w:spacing w:after="20"/>
              <w:jc w:val="right"/>
            </w:pPr>
            <w:r>
              <w:rPr>
                <w:color w:val="1C3A36"/>
                <w:sz w:val="17"/>
              </w:rPr>
              <w:t>15%</w:t>
            </w:r>
          </w:p>
        </w:tc>
      </w:tr>
      <w:tr>
        <w:trPr>
          <w:cantSplit/>
        </w:trPr>
        <w:tc>
          <w:tcPr>
            <w:tcW w:type="dxa" w:w="3485"/>
            <w:shd w:val="clear" w:color="auto" w:fill="F6F1E6"/>
          </w:tcPr>
          <w:p>
            <w:pPr>
              <w:spacing w:after="20"/>
            </w:pPr>
            <w:r>
              <w:rPr>
                <w:b/>
                <w:color w:val="1C3A36"/>
                <w:sz w:val="17"/>
              </w:rPr>
              <w:t>Central — published index</w:t>
            </w:r>
          </w:p>
        </w:tc>
        <w:tc>
          <w:tcPr>
            <w:tcW w:type="dxa" w:w="1238"/>
            <w:shd w:val="clear" w:color="auto" w:fill="F6F1E6"/>
          </w:tcPr>
          <w:p>
            <w:pPr>
              <w:spacing w:after="20"/>
              <w:jc w:val="right"/>
            </w:pPr>
            <w:r>
              <w:rPr>
                <w:b/>
                <w:color w:val="1C3A36"/>
                <w:sz w:val="17"/>
              </w:rPr>
              <w:t>2.76</w:t>
            </w:r>
          </w:p>
        </w:tc>
        <w:tc>
          <w:tcPr>
            <w:tcW w:type="dxa" w:w="1238"/>
            <w:shd w:val="clear" w:color="auto" w:fill="F6F1E6"/>
          </w:tcPr>
          <w:p>
            <w:pPr>
              <w:spacing w:after="20"/>
              <w:jc w:val="right"/>
            </w:pPr>
            <w:r>
              <w:rPr>
                <w:b/>
                <w:color w:val="1C3A36"/>
                <w:sz w:val="17"/>
              </w:rPr>
              <w:t>5.34</w:t>
            </w:r>
          </w:p>
        </w:tc>
        <w:tc>
          <w:tcPr>
            <w:tcW w:type="dxa" w:w="1238"/>
            <w:shd w:val="clear" w:color="auto" w:fill="F6F1E6"/>
          </w:tcPr>
          <w:p>
            <w:pPr>
              <w:spacing w:after="20"/>
              <w:jc w:val="right"/>
            </w:pPr>
            <w:r>
              <w:rPr>
                <w:b/>
                <w:color w:val="1C3A36"/>
                <w:sz w:val="17"/>
              </w:rPr>
              <w:t>9.98</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7.37</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the same lens on the other regressor</w:t>
            </w:r>
          </w:p>
        </w:tc>
        <w:tc>
          <w:tcPr>
            <w:tcW w:type="dxa" w:w="1642"/>
          </w:tcPr>
          <w:p>
            <w:pPr>
              <w:spacing w:after="20"/>
              <w:jc w:val="right"/>
            </w:pPr>
            <w:r>
              <w:rPr>
                <w:color w:val="1C3A36"/>
                <w:sz w:val="17"/>
              </w:rPr>
              <w:t>—</w:t>
            </w:r>
          </w:p>
        </w:tc>
      </w:tr>
      <w:tr>
        <w:trPr>
          <w:cantSplit/>
        </w:trPr>
        <w:tc>
          <w:tcPr>
            <w:tcW w:type="dxa" w:w="3485"/>
            <w:shd w:val="clear" w:color="auto" w:fill="F6F1E6"/>
          </w:tcPr>
          <w:p>
            <w:pPr>
              <w:spacing w:after="20"/>
            </w:pPr>
            <w:r>
              <w:rPr>
                <w:b/>
                <w:color w:val="1C3A36"/>
                <w:sz w:val="17"/>
              </w:rPr>
              <w:t>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7.37</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MEMO — the retired blend at its typed weights</w:t>
            </w:r>
          </w:p>
        </w:tc>
        <w:tc>
          <w:tcPr>
            <w:tcW w:type="dxa" w:w="1238"/>
          </w:tcPr>
          <w:p>
            <w:pPr>
              <w:spacing w:after="20"/>
              <w:jc w:val="right"/>
            </w:pPr>
            <w:r>
              <w:rPr>
                <w:color w:val="1C3A36"/>
                <w:sz w:val="17"/>
              </w:rPr>
              <w:t>—</w:t>
            </w:r>
          </w:p>
        </w:tc>
        <w:tc>
          <w:tcPr>
            <w:tcW w:type="dxa" w:w="1238"/>
          </w:tcPr>
          <w:p>
            <w:pPr>
              <w:spacing w:after="20"/>
              <w:jc w:val="right"/>
            </w:pPr>
            <w:r>
              <w:rPr>
                <w:color w:val="1C3A36"/>
                <w:sz w:val="17"/>
              </w:rPr>
              <w:t>7.99</w:t>
            </w:r>
          </w:p>
        </w:tc>
        <w:tc>
          <w:tcPr>
            <w:tcW w:type="dxa" w:w="1238"/>
          </w:tcPr>
          <w:p>
            <w:pPr>
              <w:spacing w:after="20"/>
              <w:jc w:val="right"/>
            </w:pPr>
            <w:r>
              <w:rPr>
                <w:color w:val="1C3A36"/>
                <w:sz w:val="17"/>
              </w:rPr>
              <w:t>—</w:t>
            </w:r>
          </w:p>
        </w:tc>
        <w:tc>
          <w:tcPr>
            <w:tcW w:type="dxa" w:w="1238"/>
          </w:tcPr>
          <w:p>
            <w:pPr>
              <w:spacing w:after="20"/>
              <w:jc w:val="right"/>
            </w:pPr>
            <w:r>
              <w:rPr>
                <w:color w:val="1C3A36"/>
                <w:sz w:val="17"/>
              </w:rPr>
              <w:t>RETIRED: two of its four weights are forbidden outright</w:t>
            </w:r>
          </w:p>
        </w:tc>
        <w:tc>
          <w:tcPr>
            <w:tcW w:type="dxa" w:w="1642"/>
          </w:tcPr>
          <w:p>
            <w:pPr>
              <w:spacing w:after="20"/>
              <w:jc w:val="right"/>
            </w:pPr>
            <w:r>
              <w:rPr>
                <w:color w:val="1C3A36"/>
                <w:sz w:val="17"/>
              </w:rPr>
              <w:t>100%</w:t>
            </w:r>
          </w:p>
        </w:tc>
      </w:tr>
    </w:tbl>
    <w:p>
      <w:pPr>
        <w:spacing w:after="40"/>
      </w:pPr>
    </w:p>
    <w:p>
      <w:pPr>
        <w:spacing w:after="200" w:before="0"/>
      </w:pPr>
      <w:r>
        <w:rPr>
          <w:b w:val="0"/>
          <w:i/>
          <w:color w:val="6E7B77"/>
          <w:sz w:val="17"/>
        </w:rPr>
        <w:t>THE LAST COLUMN DOES NOT BUILD THE CENTRAL AND IS PRINTED SO THAT A READER CAN SEE WHAT WAS RETIRED. The central is the cash-flow lens on its own; the other three reads are cross-checks published beside it, and the memo row at the foot shows where the retired blend of those weights would have landed. Two of its four weights were forbidden outright rather than merely unevidenced — book value is a disclosed floor that is never weighted, and normalised earnings is not a lens for a fleet whose day rates are this cyclical.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0.690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12.21 and AED 11.07, the furthest above the market of the four. The two that state a cost of equity rather than importing one land lower: the cash-flow model at AED 5.34, close to the screen, and the book lens at AED 3.91,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5.34, 21% below the market price. Measuring the market as an equal-weight composite instead lifts that to AED 7.37, 8% above the market price. Neither figure supports a claim that this share is materially mispriced: on the adopted construction the centre of the evidence sits about 21%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11 sit on charters out at disclosed fixed rates running to dates between 2026 and 2028; each of those earns its own rate for exactly the days its own contract covers, and no other. The remaining 41 earn the open-market rate, which is not assumed but solved out of the company's own published class average by removing the chartered vessels from it — section 1.7 shows the arithmetic. 2026 is the six months the company has REPORTED plus a second half built at the rates it has published for it: the third quarter to 11 August on the share of vessel days already contracted, with the balance at the mid-cycle rate, and a fourth quarter stepped halfway back from there. From 2027E the market rate glides over four years to that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The cost side is a STACK rather than one solved number: a fixed base of USD 530 million a year, escalated 2% a year on wages and technical management — a services escalator, not a commodity index — and a variable component of 1.05× for every dollar the owned fleet earns on a charter-equivalent basis, which is the voyage cost, the charter-in hire and the cost of the relet book. BOTH ARE SOLVED FROM TWO DISCLOSED PERIODS TOGETHER — the audited FY2025 year and the reviewed six months to 30 June 2026 — and the reviewed six months to 30 June 2025 are HELD OUT: the stack reproduces that period's earnings to within 10.7%, understating them. A single running cost solved on one year cannot reproduce this business: at the published rates the owned fleet's charter-equivalent revenue in the reviewed half was USD 806 million and the unit reported earnings of USD 994 million, MORE than the ships it owns can earn before any cost at all, because it also trades chartered-in tonnage and serves the parent group</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The reviewed half as reported plus a second half at the same revenue and the same margin, then 5% a year on the support-vessel fleet growth already under way. The margin is the half's own.</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The reviewed half as reported plus a second half on the same terms, then 4% a year. The margin is the reviewed half’s own and reflects the warehouse activity moved into this unit. The group’s share of the bunkering associate is NOT in this line: it is taken out of the unit before the forecast starts — at the half’s own annualised figure rather than last year’s, because it more than trebled —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2,080</w:t>
            </w:r>
          </w:p>
        </w:tc>
        <w:tc>
          <w:tcPr>
            <w:tcW w:type="dxa" w:w="1382"/>
          </w:tcPr>
          <w:p>
            <w:pPr>
              <w:spacing w:after="20"/>
              <w:jc w:val="right"/>
            </w:pPr>
            <w:r>
              <w:rPr>
                <w:color w:val="1C3A36"/>
                <w:sz w:val="16"/>
              </w:rPr>
              <w:t>2,171</w:t>
            </w:r>
          </w:p>
        </w:tc>
        <w:tc>
          <w:tcPr>
            <w:tcW w:type="dxa" w:w="1382"/>
          </w:tcPr>
          <w:p>
            <w:pPr>
              <w:spacing w:after="20"/>
              <w:jc w:val="right"/>
            </w:pPr>
            <w:r>
              <w:rPr>
                <w:color w:val="1C3A36"/>
                <w:sz w:val="16"/>
              </w:rPr>
              <w:t>2,265</w:t>
            </w:r>
          </w:p>
        </w:tc>
        <w:tc>
          <w:tcPr>
            <w:tcW w:type="dxa" w:w="1382"/>
          </w:tcPr>
          <w:p>
            <w:pPr>
              <w:spacing w:after="20"/>
              <w:jc w:val="right"/>
            </w:pPr>
            <w:r>
              <w:rPr>
                <w:color w:val="1C3A36"/>
                <w:sz w:val="16"/>
              </w:rPr>
              <w:t>2,364</w:t>
            </w:r>
          </w:p>
        </w:tc>
        <w:tc>
          <w:tcPr>
            <w:tcW w:type="dxa" w:w="1382"/>
          </w:tcPr>
          <w:p>
            <w:pPr>
              <w:spacing w:after="20"/>
              <w:jc w:val="right"/>
            </w:pPr>
            <w:r>
              <w:rPr>
                <w:color w:val="1C3A36"/>
                <w:sz w:val="16"/>
              </w:rPr>
              <w:t>2,467</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33%</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4,524</w:t>
            </w:r>
          </w:p>
        </w:tc>
        <w:tc>
          <w:tcPr>
            <w:tcW w:type="dxa" w:w="1382"/>
          </w:tcPr>
          <w:p>
            <w:pPr>
              <w:spacing w:after="20"/>
              <w:jc w:val="right"/>
            </w:pPr>
            <w:r>
              <w:rPr>
                <w:color w:val="1C3A36"/>
                <w:sz w:val="16"/>
              </w:rPr>
              <w:t>5,126</w:t>
            </w:r>
          </w:p>
        </w:tc>
        <w:tc>
          <w:tcPr>
            <w:tcW w:type="dxa" w:w="1382"/>
          </w:tcPr>
          <w:p>
            <w:pPr>
              <w:spacing w:after="20"/>
              <w:jc w:val="right"/>
            </w:pPr>
            <w:r>
              <w:rPr>
                <w:color w:val="1C3A36"/>
                <w:sz w:val="16"/>
              </w:rPr>
              <w:t>4,773</w:t>
            </w:r>
          </w:p>
        </w:tc>
        <w:tc>
          <w:tcPr>
            <w:tcW w:type="dxa" w:w="1382"/>
          </w:tcPr>
          <w:p>
            <w:pPr>
              <w:spacing w:after="20"/>
              <w:jc w:val="right"/>
            </w:pPr>
            <w:r>
              <w:rPr>
                <w:color w:val="1C3A36"/>
                <w:sz w:val="16"/>
              </w:rPr>
              <w:t>3,927</w:t>
            </w:r>
          </w:p>
        </w:tc>
        <w:tc>
          <w:tcPr>
            <w:tcW w:type="dxa" w:w="1382"/>
          </w:tcPr>
          <w:p>
            <w:pPr>
              <w:spacing w:after="20"/>
              <w:jc w:val="right"/>
            </w:pPr>
            <w:r>
              <w:rPr>
                <w:color w:val="1C3A36"/>
                <w:sz w:val="16"/>
              </w:rPr>
              <w:t>2,981</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45%</w:t>
            </w:r>
          </w:p>
        </w:tc>
        <w:tc>
          <w:tcPr>
            <w:tcW w:type="dxa" w:w="1382"/>
          </w:tcPr>
          <w:p>
            <w:pPr>
              <w:spacing w:after="20"/>
              <w:jc w:val="right"/>
            </w:pPr>
            <w:r>
              <w:rPr>
                <w:color w:val="1C3A36"/>
                <w:sz w:val="16"/>
              </w:rPr>
              <w:t>46%</w:t>
            </w:r>
          </w:p>
        </w:tc>
        <w:tc>
          <w:tcPr>
            <w:tcW w:type="dxa" w:w="1382"/>
          </w:tcPr>
          <w:p>
            <w:pPr>
              <w:spacing w:after="20"/>
              <w:jc w:val="right"/>
            </w:pPr>
            <w:r>
              <w:rPr>
                <w:color w:val="1C3A36"/>
                <w:sz w:val="16"/>
              </w:rPr>
              <w:t>44%</w:t>
            </w:r>
          </w:p>
        </w:tc>
        <w:tc>
          <w:tcPr>
            <w:tcW w:type="dxa" w:w="1382"/>
          </w:tcPr>
          <w:p>
            <w:pPr>
              <w:spacing w:after="20"/>
              <w:jc w:val="right"/>
            </w:pPr>
            <w:r>
              <w:rPr>
                <w:color w:val="1C3A36"/>
                <w:sz w:val="16"/>
              </w:rPr>
              <w:t>40%</w:t>
            </w:r>
          </w:p>
        </w:tc>
        <w:tc>
          <w:tcPr>
            <w:tcW w:type="dxa" w:w="1382"/>
          </w:tcPr>
          <w:p>
            <w:pPr>
              <w:spacing w:after="20"/>
              <w:jc w:val="right"/>
            </w:pPr>
            <w:r>
              <w:rPr>
                <w:color w:val="1C3A36"/>
                <w:sz w:val="16"/>
              </w:rPr>
              <w:t>33%</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378</w:t>
            </w:r>
          </w:p>
        </w:tc>
        <w:tc>
          <w:tcPr>
            <w:tcW w:type="dxa" w:w="1382"/>
          </w:tcPr>
          <w:p>
            <w:pPr>
              <w:spacing w:after="20"/>
              <w:jc w:val="right"/>
            </w:pPr>
            <w:r>
              <w:rPr>
                <w:color w:val="1C3A36"/>
                <w:sz w:val="16"/>
              </w:rPr>
              <w:t>393</w:t>
            </w:r>
          </w:p>
        </w:tc>
        <w:tc>
          <w:tcPr>
            <w:tcW w:type="dxa" w:w="1382"/>
          </w:tcPr>
          <w:p>
            <w:pPr>
              <w:spacing w:after="20"/>
              <w:jc w:val="right"/>
            </w:pPr>
            <w:r>
              <w:rPr>
                <w:color w:val="1C3A36"/>
                <w:sz w:val="16"/>
              </w:rPr>
              <w:t>409</w:t>
            </w:r>
          </w:p>
        </w:tc>
        <w:tc>
          <w:tcPr>
            <w:tcW w:type="dxa" w:w="1382"/>
          </w:tcPr>
          <w:p>
            <w:pPr>
              <w:spacing w:after="20"/>
              <w:jc w:val="right"/>
            </w:pPr>
            <w:r>
              <w:rPr>
                <w:color w:val="1C3A36"/>
                <w:sz w:val="16"/>
              </w:rPr>
              <w:t>425</w:t>
            </w:r>
          </w:p>
        </w:tc>
        <w:tc>
          <w:tcPr>
            <w:tcW w:type="dxa" w:w="1382"/>
          </w:tcPr>
          <w:p>
            <w:pPr>
              <w:spacing w:after="20"/>
              <w:jc w:val="right"/>
            </w:pPr>
            <w:r>
              <w:rPr>
                <w:color w:val="1C3A36"/>
                <w:sz w:val="16"/>
              </w:rPr>
              <w:t>442</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13%</w:t>
            </w:r>
          </w:p>
        </w:tc>
        <w:tc>
          <w:tcPr>
            <w:tcW w:type="dxa" w:w="1382"/>
          </w:tcPr>
          <w:p>
            <w:pPr>
              <w:spacing w:after="20"/>
              <w:jc w:val="right"/>
            </w:pPr>
            <w:r>
              <w:rPr>
                <w:color w:val="1C3A36"/>
                <w:sz w:val="16"/>
              </w:rPr>
              <w:t>14%</w:t>
            </w:r>
          </w:p>
        </w:tc>
        <w:tc>
          <w:tcPr>
            <w:tcW w:type="dxa" w:w="1382"/>
          </w:tcPr>
          <w:p>
            <w:pPr>
              <w:spacing w:after="20"/>
              <w:jc w:val="right"/>
            </w:pPr>
            <w:r>
              <w:rPr>
                <w:color w:val="1C3A36"/>
                <w:sz w:val="16"/>
              </w:rPr>
              <w:t>14%</w:t>
            </w:r>
          </w:p>
        </w:tc>
        <w:tc>
          <w:tcPr>
            <w:tcW w:type="dxa" w:w="1382"/>
          </w:tcPr>
          <w:p>
            <w:pPr>
              <w:spacing w:after="20"/>
              <w:jc w:val="right"/>
            </w:pPr>
            <w:r>
              <w:rPr>
                <w:color w:val="1C3A36"/>
                <w:sz w:val="16"/>
              </w:rPr>
              <w:t>14%</w:t>
            </w:r>
          </w:p>
        </w:tc>
        <w:tc>
          <w:tcPr>
            <w:tcW w:type="dxa" w:w="1382"/>
          </w:tcPr>
          <w:p>
            <w:pPr>
              <w:spacing w:after="20"/>
              <w:jc w:val="right"/>
            </w:pPr>
            <w:r>
              <w:rPr>
                <w:color w:val="1C3A36"/>
                <w:sz w:val="16"/>
              </w:rPr>
              <w:t>14%</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6,982</w:t>
            </w:r>
          </w:p>
        </w:tc>
        <w:tc>
          <w:tcPr>
            <w:tcW w:type="dxa" w:w="1382"/>
            <w:shd w:val="clear" w:color="auto" w:fill="F6F1E6"/>
          </w:tcPr>
          <w:p>
            <w:pPr>
              <w:spacing w:after="20"/>
              <w:jc w:val="right"/>
            </w:pPr>
            <w:r>
              <w:rPr>
                <w:b/>
                <w:color w:val="1C3A36"/>
                <w:sz w:val="16"/>
              </w:rPr>
              <w:t>7,690</w:t>
            </w:r>
          </w:p>
        </w:tc>
        <w:tc>
          <w:tcPr>
            <w:tcW w:type="dxa" w:w="1382"/>
            <w:shd w:val="clear" w:color="auto" w:fill="F6F1E6"/>
          </w:tcPr>
          <w:p>
            <w:pPr>
              <w:spacing w:after="20"/>
              <w:jc w:val="right"/>
            </w:pPr>
            <w:r>
              <w:rPr>
                <w:b/>
                <w:color w:val="1C3A36"/>
                <w:sz w:val="16"/>
              </w:rPr>
              <w:t>7,447</w:t>
            </w:r>
          </w:p>
        </w:tc>
        <w:tc>
          <w:tcPr>
            <w:tcW w:type="dxa" w:w="1382"/>
            <w:shd w:val="clear" w:color="auto" w:fill="F6F1E6"/>
          </w:tcPr>
          <w:p>
            <w:pPr>
              <w:spacing w:after="20"/>
              <w:jc w:val="right"/>
            </w:pPr>
            <w:r>
              <w:rPr>
                <w:b/>
                <w:color w:val="1C3A36"/>
                <w:sz w:val="16"/>
              </w:rPr>
              <w:t>6,716</w:t>
            </w:r>
          </w:p>
        </w:tc>
        <w:tc>
          <w:tcPr>
            <w:tcW w:type="dxa" w:w="1382"/>
            <w:shd w:val="clear" w:color="auto" w:fill="F6F1E6"/>
          </w:tcPr>
          <w:p>
            <w:pPr>
              <w:spacing w:after="20"/>
              <w:jc w:val="right"/>
            </w:pPr>
            <w:r>
              <w:rPr>
                <w:b/>
                <w:color w:val="1C3A36"/>
                <w:sz w:val="16"/>
              </w:rPr>
              <w:t>5,890</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2,716</w:t>
            </w:r>
          </w:p>
        </w:tc>
        <w:tc>
          <w:tcPr>
            <w:tcW w:type="dxa" w:w="1382"/>
            <w:shd w:val="clear" w:color="auto" w:fill="F6F1E6"/>
          </w:tcPr>
          <w:p>
            <w:pPr>
              <w:spacing w:after="20"/>
              <w:jc w:val="right"/>
            </w:pPr>
            <w:r>
              <w:rPr>
                <w:b/>
                <w:color w:val="1C3A36"/>
                <w:sz w:val="16"/>
              </w:rPr>
              <w:t>3,140</w:t>
            </w:r>
          </w:p>
        </w:tc>
        <w:tc>
          <w:tcPr>
            <w:tcW w:type="dxa" w:w="1382"/>
            <w:shd w:val="clear" w:color="auto" w:fill="F6F1E6"/>
          </w:tcPr>
          <w:p>
            <w:pPr>
              <w:spacing w:after="20"/>
              <w:jc w:val="right"/>
            </w:pPr>
            <w:r>
              <w:rPr>
                <w:b/>
                <w:color w:val="1C3A36"/>
                <w:sz w:val="16"/>
              </w:rPr>
              <w:t>2,924</w:t>
            </w:r>
          </w:p>
        </w:tc>
        <w:tc>
          <w:tcPr>
            <w:tcW w:type="dxa" w:w="1382"/>
            <w:shd w:val="clear" w:color="auto" w:fill="F6F1E6"/>
          </w:tcPr>
          <w:p>
            <w:pPr>
              <w:spacing w:after="20"/>
              <w:jc w:val="right"/>
            </w:pPr>
            <w:r>
              <w:rPr>
                <w:b/>
                <w:color w:val="1C3A36"/>
                <w:sz w:val="16"/>
              </w:rPr>
              <w:t>2,426</w:t>
            </w:r>
          </w:p>
        </w:tc>
        <w:tc>
          <w:tcPr>
            <w:tcW w:type="dxa" w:w="1382"/>
            <w:shd w:val="clear" w:color="auto" w:fill="F6F1E6"/>
          </w:tcPr>
          <w:p>
            <w:pPr>
              <w:spacing w:after="20"/>
              <w:jc w:val="right"/>
            </w:pPr>
            <w:r>
              <w:rPr>
                <w:b/>
                <w:color w:val="1C3A36"/>
                <w:sz w:val="16"/>
              </w:rPr>
              <w:t>1,880</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38.9%</w:t>
            </w:r>
          </w:p>
        </w:tc>
        <w:tc>
          <w:tcPr>
            <w:tcW w:type="dxa" w:w="1382"/>
            <w:shd w:val="clear" w:color="auto" w:fill="F6F1E6"/>
          </w:tcPr>
          <w:p>
            <w:pPr>
              <w:spacing w:after="20"/>
              <w:jc w:val="right"/>
            </w:pPr>
            <w:r>
              <w:rPr>
                <w:b/>
                <w:color w:val="1C3A36"/>
                <w:sz w:val="16"/>
              </w:rPr>
              <w:t>40.8%</w:t>
            </w:r>
          </w:p>
        </w:tc>
        <w:tc>
          <w:tcPr>
            <w:tcW w:type="dxa" w:w="1382"/>
            <w:shd w:val="clear" w:color="auto" w:fill="F6F1E6"/>
          </w:tcPr>
          <w:p>
            <w:pPr>
              <w:spacing w:after="20"/>
              <w:jc w:val="right"/>
            </w:pPr>
            <w:r>
              <w:rPr>
                <w:b/>
                <w:color w:val="1C3A36"/>
                <w:sz w:val="16"/>
              </w:rPr>
              <w:t>39.3%</w:t>
            </w:r>
          </w:p>
        </w:tc>
        <w:tc>
          <w:tcPr>
            <w:tcW w:type="dxa" w:w="1382"/>
            <w:shd w:val="clear" w:color="auto" w:fill="F6F1E6"/>
          </w:tcPr>
          <w:p>
            <w:pPr>
              <w:spacing w:after="20"/>
              <w:jc w:val="right"/>
            </w:pPr>
            <w:r>
              <w:rPr>
                <w:b/>
                <w:color w:val="1C3A36"/>
                <w:sz w:val="16"/>
              </w:rPr>
              <w:t>36.1%</w:t>
            </w:r>
          </w:p>
        </w:tc>
        <w:tc>
          <w:tcPr>
            <w:tcW w:type="dxa" w:w="1382"/>
            <w:shd w:val="clear" w:color="auto" w:fill="F6F1E6"/>
          </w:tcPr>
          <w:p>
            <w:pPr>
              <w:spacing w:after="20"/>
              <w:jc w:val="right"/>
            </w:pPr>
            <w:r>
              <w:rPr>
                <w:b/>
                <w:color w:val="1C3A36"/>
                <w:sz w:val="16"/>
              </w:rPr>
              <w:t>31.9%</w:t>
            </w:r>
          </w:p>
        </w:tc>
      </w:tr>
    </w:tbl>
    <w:p>
      <w:pPr>
        <w:spacing w:after="40"/>
      </w:pPr>
    </w:p>
    <w:p>
      <w:pPr>
        <w:spacing w:after="200" w:before="0"/>
      </w:pPr>
      <w:r>
        <w:rPr>
          <w:b w:val="0"/>
          <w:i/>
          <w:color w:val="6E7B77"/>
          <w:sz w:val="17"/>
        </w:rPr>
        <w:t>No margin in this table is an assumption applied to the group. For the tanker unit that carries most of the rate risk, the margin is an arithmetic output: charter-equivalent revenue times a gross-up MEASURED on the reviewed half, less a fixed cost base and a variable cost per unit of that revenue, both SOLVED from the audited FY2025 year and the reviewed half together. For every other unit the 2026 figure is the REPORTED first half plus a second half at the margin that half itself delivered, and the years after it grow on the unit's own driver. The group margin — which moves from 38.9% to 31.9% across the forecast — is an output of the changing mix, not a path anyone chose. It sits above FY2025's 29.3% because the reviewed half printed 40.2% and the forecast opens 38.9%, and it falls back as the charter rates the half earned revert.</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-25.0%</w:t>
            </w:r>
          </w:p>
        </w:tc>
        <w:tc>
          <w:tcPr>
            <w:tcW w:type="dxa" w:w="2160"/>
          </w:tcPr>
          <w:p>
            <w:pPr>
              <w:spacing w:after="20"/>
              <w:jc w:val="right"/>
            </w:pPr>
            <w:r>
              <w:rPr>
                <w:color w:val="1C3A36"/>
                <w:sz w:val="16"/>
              </w:rPr>
              <w:t>1,897</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+85.0%</w:t>
            </w:r>
          </w:p>
        </w:tc>
        <w:tc>
          <w:tcPr>
            <w:tcW w:type="dxa" w:w="2160"/>
          </w:tcPr>
          <w:p>
            <w:pPr>
              <w:spacing w:after="20"/>
              <w:jc w:val="right"/>
            </w:pPr>
            <w:r>
              <w:rPr>
                <w:color w:val="1C3A36"/>
                <w:sz w:val="16"/>
              </w:rPr>
              <w:t>3,930</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+5.0%</w:t>
            </w:r>
          </w:p>
        </w:tc>
        <w:tc>
          <w:tcPr>
            <w:tcW w:type="dxa" w:w="2160"/>
          </w:tcPr>
          <w:p>
            <w:pPr>
              <w:spacing w:after="20"/>
              <w:jc w:val="right"/>
            </w:pPr>
            <w:r>
              <w:rPr>
                <w:color w:val="1C3A36"/>
                <w:sz w:val="16"/>
              </w:rPr>
              <w:t>381</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6,208</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6,270</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+62</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-25.0%</w:t>
            </w:r>
          </w:p>
        </w:tc>
        <w:tc>
          <w:tcPr>
            <w:tcW w:type="dxa" w:w="2160"/>
          </w:tcPr>
          <w:p>
            <w:pPr>
              <w:spacing w:after="20"/>
              <w:jc w:val="right"/>
            </w:pPr>
            <w:r>
              <w:rPr>
                <w:color w:val="1C3A36"/>
                <w:sz w:val="16"/>
              </w:rPr>
              <w:t>622</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+190.0%</w:t>
            </w:r>
          </w:p>
        </w:tc>
        <w:tc>
          <w:tcPr>
            <w:tcW w:type="dxa" w:w="2160"/>
          </w:tcPr>
          <w:p>
            <w:pPr>
              <w:spacing w:after="20"/>
              <w:jc w:val="right"/>
            </w:pPr>
            <w:r>
              <w:rPr>
                <w:color w:val="1C3A36"/>
                <w:sz w:val="16"/>
              </w:rPr>
              <w:t>1,794</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+20.0%</w:t>
            </w:r>
          </w:p>
        </w:tc>
        <w:tc>
          <w:tcPr>
            <w:tcW w:type="dxa" w:w="2160"/>
          </w:tcPr>
          <w:p>
            <w:pPr>
              <w:spacing w:after="20"/>
              <w:jc w:val="right"/>
            </w:pPr>
            <w:r>
              <w:rPr>
                <w:color w:val="1C3A36"/>
                <w:sz w:val="16"/>
              </w:rPr>
              <w:t>72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2,488</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2,499</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+11</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6,208 million against a group band implying USD 6,270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1,897</w:t>
            </w:r>
          </w:p>
        </w:tc>
        <w:tc>
          <w:tcPr>
            <w:tcW w:type="dxa" w:w="1555"/>
          </w:tcPr>
          <w:p>
            <w:pPr>
              <w:spacing w:after="20"/>
              <w:jc w:val="right"/>
            </w:pPr>
            <w:r>
              <w:rPr>
                <w:color w:val="1C3A36"/>
                <w:sz w:val="16"/>
              </w:rPr>
              <w:t>2,080</w:t>
            </w:r>
          </w:p>
        </w:tc>
        <w:tc>
          <w:tcPr>
            <w:tcW w:type="dxa" w:w="1555"/>
          </w:tcPr>
          <w:p>
            <w:pPr>
              <w:spacing w:after="20"/>
              <w:jc w:val="right"/>
            </w:pPr>
            <w:r>
              <w:rPr>
                <w:color w:val="1C3A36"/>
                <w:sz w:val="16"/>
              </w:rPr>
              <w:t>622</w:t>
            </w:r>
          </w:p>
        </w:tc>
        <w:tc>
          <w:tcPr>
            <w:tcW w:type="dxa" w:w="1555"/>
          </w:tcPr>
          <w:p>
            <w:pPr>
              <w:spacing w:after="20"/>
              <w:jc w:val="right"/>
            </w:pPr>
            <w:r>
              <w:rPr>
                <w:color w:val="1C3A36"/>
                <w:sz w:val="16"/>
              </w:rPr>
              <w:t>631</w:t>
            </w:r>
          </w:p>
        </w:tc>
        <w:tc>
          <w:tcPr>
            <w:tcW w:type="dxa" w:w="1555"/>
          </w:tcPr>
          <w:p>
            <w:pPr>
              <w:spacing w:after="20"/>
              <w:jc w:val="right"/>
            </w:pPr>
            <w:r>
              <w:rPr>
                <w:color w:val="1C3A36"/>
                <w:sz w:val="16"/>
              </w:rPr>
              <w:t>+1%</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3,930</w:t>
            </w:r>
          </w:p>
        </w:tc>
        <w:tc>
          <w:tcPr>
            <w:tcW w:type="dxa" w:w="1555"/>
          </w:tcPr>
          <w:p>
            <w:pPr>
              <w:spacing w:after="20"/>
              <w:jc w:val="right"/>
            </w:pPr>
            <w:r>
              <w:rPr>
                <w:color w:val="1C3A36"/>
                <w:sz w:val="16"/>
              </w:rPr>
              <w:t>4,524</w:t>
            </w:r>
          </w:p>
        </w:tc>
        <w:tc>
          <w:tcPr>
            <w:tcW w:type="dxa" w:w="1555"/>
          </w:tcPr>
          <w:p>
            <w:pPr>
              <w:spacing w:after="20"/>
              <w:jc w:val="right"/>
            </w:pPr>
            <w:r>
              <w:rPr>
                <w:color w:val="1C3A36"/>
                <w:sz w:val="16"/>
              </w:rPr>
              <w:t>1,794</w:t>
            </w:r>
          </w:p>
        </w:tc>
        <w:tc>
          <w:tcPr>
            <w:tcW w:type="dxa" w:w="1555"/>
          </w:tcPr>
          <w:p>
            <w:pPr>
              <w:spacing w:after="20"/>
              <w:jc w:val="right"/>
            </w:pPr>
            <w:r>
              <w:rPr>
                <w:color w:val="1C3A36"/>
                <w:sz w:val="16"/>
              </w:rPr>
              <w:t>2,035</w:t>
            </w:r>
          </w:p>
        </w:tc>
        <w:tc>
          <w:tcPr>
            <w:tcW w:type="dxa" w:w="1555"/>
          </w:tcPr>
          <w:p>
            <w:pPr>
              <w:spacing w:after="20"/>
              <w:jc w:val="right"/>
            </w:pPr>
            <w:r>
              <w:rPr>
                <w:color w:val="1C3A36"/>
                <w:sz w:val="16"/>
              </w:rPr>
              <w:t>+13%</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381</w:t>
            </w:r>
          </w:p>
        </w:tc>
        <w:tc>
          <w:tcPr>
            <w:tcW w:type="dxa" w:w="1555"/>
          </w:tcPr>
          <w:p>
            <w:pPr>
              <w:spacing w:after="20"/>
              <w:jc w:val="right"/>
            </w:pPr>
            <w:r>
              <w:rPr>
                <w:color w:val="1C3A36"/>
                <w:sz w:val="16"/>
              </w:rPr>
              <w:t>378</w:t>
            </w:r>
          </w:p>
        </w:tc>
        <w:tc>
          <w:tcPr>
            <w:tcW w:type="dxa" w:w="1555"/>
          </w:tcPr>
          <w:p>
            <w:pPr>
              <w:spacing w:after="20"/>
              <w:jc w:val="right"/>
            </w:pPr>
            <w:r>
              <w:rPr>
                <w:color w:val="1C3A36"/>
                <w:sz w:val="16"/>
              </w:rPr>
              <w:t>72</w:t>
            </w:r>
          </w:p>
        </w:tc>
        <w:tc>
          <w:tcPr>
            <w:tcW w:type="dxa" w:w="1555"/>
          </w:tcPr>
          <w:p>
            <w:pPr>
              <w:spacing w:after="20"/>
              <w:jc w:val="right"/>
            </w:pPr>
            <w:r>
              <w:rPr>
                <w:color w:val="1C3A36"/>
                <w:sz w:val="16"/>
              </w:rPr>
              <w:t>51</w:t>
            </w:r>
          </w:p>
        </w:tc>
        <w:tc>
          <w:tcPr>
            <w:tcW w:type="dxa" w:w="1555"/>
          </w:tcPr>
          <w:p>
            <w:pPr>
              <w:spacing w:after="20"/>
              <w:jc w:val="right"/>
            </w:pPr>
            <w:r>
              <w:rPr>
                <w:color w:val="1C3A36"/>
                <w:sz w:val="16"/>
              </w:rPr>
              <w:t>-30%</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6,270</w:t>
            </w:r>
          </w:p>
        </w:tc>
        <w:tc>
          <w:tcPr>
            <w:tcW w:type="dxa" w:w="1555"/>
            <w:shd w:val="clear" w:color="auto" w:fill="F6F1E6"/>
          </w:tcPr>
          <w:p>
            <w:pPr>
              <w:spacing w:after="20"/>
              <w:jc w:val="right"/>
            </w:pPr>
            <w:r>
              <w:rPr>
                <w:b/>
                <w:color w:val="1C3A36"/>
                <w:sz w:val="16"/>
              </w:rPr>
              <w:t>6,982</w:t>
            </w:r>
          </w:p>
        </w:tc>
        <w:tc>
          <w:tcPr>
            <w:tcW w:type="dxa" w:w="1555"/>
            <w:shd w:val="clear" w:color="auto" w:fill="F6F1E6"/>
          </w:tcPr>
          <w:p>
            <w:pPr>
              <w:spacing w:after="20"/>
              <w:jc w:val="right"/>
            </w:pPr>
            <w:r>
              <w:rPr>
                <w:b/>
                <w:color w:val="1C3A36"/>
                <w:sz w:val="16"/>
              </w:rPr>
              <w:t>2,499</w:t>
            </w:r>
          </w:p>
        </w:tc>
        <w:tc>
          <w:tcPr>
            <w:tcW w:type="dxa" w:w="1555"/>
            <w:shd w:val="clear" w:color="auto" w:fill="F6F1E6"/>
          </w:tcPr>
          <w:p>
            <w:pPr>
              <w:spacing w:after="20"/>
              <w:jc w:val="right"/>
            </w:pPr>
            <w:r>
              <w:rPr>
                <w:b/>
                <w:color w:val="1C3A36"/>
                <w:sz w:val="16"/>
              </w:rPr>
              <w:t>2,716</w:t>
            </w:r>
          </w:p>
        </w:tc>
        <w:tc>
          <w:tcPr>
            <w:tcW w:type="dxa" w:w="1555"/>
            <w:shd w:val="clear" w:color="auto" w:fill="F6F1E6"/>
          </w:tcPr>
          <w:p>
            <w:pPr>
              <w:spacing w:after="20"/>
              <w:jc w:val="right"/>
            </w:pPr>
            <w:r>
              <w:rPr>
                <w:b/>
                <w:color w:val="1C3A36"/>
                <w:sz w:val="16"/>
              </w:rPr>
              <w:t>+9%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6,208</w:t>
            </w:r>
          </w:p>
        </w:tc>
        <w:tc>
          <w:tcPr>
            <w:tcW w:type="dxa" w:w="1555"/>
            <w:shd w:val="clear" w:color="auto" w:fill="F6F1E6"/>
          </w:tcPr>
          <w:p>
            <w:pPr>
              <w:spacing w:after="20"/>
              <w:jc w:val="right"/>
            </w:pPr>
            <w:r>
              <w:rPr>
                <w:b/>
                <w:color w:val="1C3A36"/>
                <w:sz w:val="16"/>
              </w:rPr>
              <w:t>6,982</w:t>
            </w:r>
          </w:p>
        </w:tc>
        <w:tc>
          <w:tcPr>
            <w:tcW w:type="dxa" w:w="1555"/>
            <w:shd w:val="clear" w:color="auto" w:fill="F6F1E6"/>
          </w:tcPr>
          <w:p>
            <w:pPr>
              <w:spacing w:after="20"/>
              <w:jc w:val="right"/>
            </w:pPr>
            <w:r>
              <w:rPr>
                <w:b/>
                <w:color w:val="1C3A36"/>
                <w:sz w:val="16"/>
              </w:rPr>
              <w:t>2,488</w:t>
            </w:r>
          </w:p>
        </w:tc>
        <w:tc>
          <w:tcPr>
            <w:tcW w:type="dxa" w:w="1555"/>
            <w:shd w:val="clear" w:color="auto" w:fill="F6F1E6"/>
          </w:tcPr>
          <w:p>
            <w:pPr>
              <w:spacing w:after="20"/>
              <w:jc w:val="right"/>
            </w:pPr>
            <w:r>
              <w:rPr>
                <w:b/>
                <w:color w:val="1C3A36"/>
                <w:sz w:val="16"/>
              </w:rPr>
              <w:t>2,716</w:t>
            </w:r>
          </w:p>
        </w:tc>
        <w:tc>
          <w:tcPr>
            <w:tcW w:type="dxa" w:w="1555"/>
            <w:shd w:val="clear" w:color="auto" w:fill="F6F1E6"/>
          </w:tcPr>
          <w:p>
            <w:pPr>
              <w:spacing w:after="20"/>
              <w:jc w:val="right"/>
            </w:pPr>
            <w:r>
              <w:rPr>
                <w:b/>
                <w:color w:val="1C3A36"/>
                <w:sz w:val="16"/>
              </w:rPr>
              <w:t>+9%</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+9% against the group band, +9% against the sum of the unit bands. Both are published. The built figures are the output of the unit model in this section.</w:t>
      </w:r>
    </w:p>
    <w:p>
      <w:pPr>
        <w:spacing w:after="120" w:before="0"/>
      </w:pPr>
      <w:r>
        <w:rPr>
          <w:b w:val="0"/>
          <w:i w:val="0"/>
          <w:color w:val="1C3A36"/>
          <w:sz w:val="21"/>
        </w:rPr>
        <w:t>The group gap is +9%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+9% is carried openly through every lens in this study. Note also that the gap runs the other way in Integrated Logistics on revenue, where the build is above guidance on both lines, and is largest in Shipping at +13%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18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Jul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27 Aug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7 Oct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7 Dec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18 Apr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 Jun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Jan 2028</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Jan 2028</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 Apr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May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Jul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2026-06-30, 11 of these were running, leaving 41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151,440.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151,440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52,466</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151,440</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5</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36,475</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65,718</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24,510</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291,145 was indicated for the second. Take out the 4 of 8 vessels in that class already on charter out and the free vessels earned USD 151,440 in the first quarter, and the indicated second quarter implies USD 449,713 — roughly 3.2 times the mid-cycle anchor this study reverts to, against the 3.0 times the published figure suggests. Against 41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151,440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232,877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7.46 a share against the base case's AED 5.34.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2.83 a share — and that range is NOT wide enough to carry fair value across the market price: the highest anchor tested, 120.0% of the base, still gives AED 6.75 a share against a market price of AED 6.80. Widening the beta across the 0.690-to-1.621 range tested in section 1.9 moves it by AED 3.51, which is 1.2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3.98%</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0.690</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9.43%</w:t>
            </w:r>
          </w:p>
        </w:tc>
        <w:tc>
          <w:tcPr>
            <w:tcW w:type="dxa" w:w="1037"/>
            <w:shd w:val="clear" w:color="auto" w:fill="F6F1E6"/>
          </w:tcPr>
          <w:p>
            <w:pPr>
              <w:spacing w:after="20"/>
              <w:jc w:val="right"/>
            </w:pPr>
            <w:r>
              <w:rPr>
                <w:b/>
                <w:color w:val="1C3A36"/>
                <w:sz w:val="16"/>
              </w:rPr>
              <w:t>9.35%</w:t>
            </w:r>
          </w:p>
        </w:tc>
        <w:tc>
          <w:tcPr>
            <w:tcW w:type="dxa" w:w="5371"/>
            <w:shd w:val="clear" w:color="auto" w:fill="F6F1E6"/>
          </w:tcPr>
          <w:p>
            <w:pPr>
              <w:spacing w:after="20"/>
              <w:jc w:val="left"/>
            </w:pPr>
            <w:r>
              <w:rPr>
                <w:b/>
                <w:color w:val="1C3A36"/>
                <w:sz w:val="16"/>
              </w:rPr>
              <w:t>adjusted risk-free rate plus beta times the premium. On the equal-weight composite's 0.690 it would be 7.42%; on the measured slope shrunk toward the market at 1.069, 9.27%</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6.35%</w:t>
            </w:r>
          </w:p>
        </w:tc>
        <w:tc>
          <w:tcPr>
            <w:tcW w:type="dxa" w:w="1037"/>
          </w:tcPr>
          <w:p>
            <w:pPr>
              <w:spacing w:after="20"/>
              <w:jc w:val="right"/>
            </w:pPr>
            <w:r>
              <w:rPr>
                <w:color w:val="1C3A36"/>
                <w:sz w:val="16"/>
              </w:rPr>
              <w:t>6.26%</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6.35%,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5.78%</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2.5%, and a shield taken at 9% is larger than the relief the group in fact receives. It is inconsistent, it is disclosed, and it is worth almost nothing — debt is 4.9%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5.23%</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83.1%</w:t>
            </w:r>
          </w:p>
        </w:tc>
        <w:tc>
          <w:tcPr>
            <w:tcW w:type="dxa" w:w="1037"/>
          </w:tcPr>
          <w:p>
            <w:pPr>
              <w:spacing w:after="20"/>
              <w:jc w:val="right"/>
            </w:pPr>
            <w:r>
              <w:rPr>
                <w:color w:val="1C3A36"/>
                <w:sz w:val="16"/>
              </w:rPr>
              <w:t>83.1%</w:t>
            </w:r>
          </w:p>
        </w:tc>
        <w:tc>
          <w:tcPr>
            <w:tcW w:type="dxa" w:w="5371"/>
          </w:tcPr>
          <w:p>
            <w:pPr>
              <w:spacing w:after="20"/>
              <w:jc w:val="left"/>
            </w:pPr>
            <w:r>
              <w:rPr>
                <w:color w:val="1C3A36"/>
                <w:sz w:val="16"/>
              </w:rPr>
              <w:t>market capitalisation of USD 13,699 million against gross debt of USD 800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4.9%</w:t>
            </w:r>
          </w:p>
        </w:tc>
        <w:tc>
          <w:tcPr>
            <w:tcW w:type="dxa" w:w="1037"/>
            <w:shd w:val="clear" w:color="auto" w:fill="F6F1E6"/>
          </w:tcPr>
          <w:p>
            <w:pPr>
              <w:spacing w:after="20"/>
              <w:jc w:val="right"/>
            </w:pPr>
            <w:r>
              <w:rPr>
                <w:b/>
                <w:color w:val="1C3A36"/>
                <w:sz w:val="16"/>
              </w:rPr>
              <w:t>4.9%</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12.0%</w:t>
            </w:r>
          </w:p>
        </w:tc>
        <w:tc>
          <w:tcPr>
            <w:tcW w:type="dxa" w:w="1037"/>
          </w:tcPr>
          <w:p>
            <w:pPr>
              <w:spacing w:after="20"/>
              <w:jc w:val="right"/>
            </w:pPr>
            <w:r>
              <w:rPr>
                <w:color w:val="1C3A36"/>
                <w:sz w:val="16"/>
              </w:rPr>
              <w:t>12.0%</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9.23% to 8.71% and the terminal rate from 9.15% to 8.68%</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8.71%</w:t>
            </w:r>
          </w:p>
        </w:tc>
        <w:tc>
          <w:tcPr>
            <w:tcW w:type="dxa" w:w="1037"/>
          </w:tcPr>
          <w:p>
            <w:pPr>
              <w:spacing w:after="20"/>
              <w:jc w:val="right"/>
            </w:pPr>
            <w:r>
              <w:rPr>
                <w:color w:val="1C3A36"/>
                <w:sz w:val="16"/>
              </w:rPr>
              <w:t>8.68%</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8.70% · 8.70% · 8.69% · 8.68% · 8.68%</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0.690</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0.167 on 165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0.802</w:t>
            </w:r>
          </w:p>
        </w:tc>
        <w:tc>
          <w:tcPr>
            <w:tcW w:type="dxa" w:w="6019"/>
          </w:tcPr>
          <w:p>
            <w:pPr>
              <w:spacing w:after="20"/>
              <w:jc w:val="left"/>
            </w:pPr>
            <w:r>
              <w:rPr>
                <w:color w:val="1C3A36"/>
                <w:sz w:val="16"/>
              </w:rPr>
              <w:t>ADX + DFM equal-weight composite; disclosed, not adopted. R-squared 0.196 across 27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0.413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0.202,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6.35%</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6.35%</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6.35%, is one of the three being averaged, and is shown above so that a reader who wants it can take it directly; the two are 0 basis points apart on a tranche that is 4.9%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0.690 — cost of equity 7.42% instead of 9.43%</w:t>
            </w:r>
          </w:p>
        </w:tc>
        <w:tc>
          <w:tcPr>
            <w:tcW w:type="dxa" w:w="1843"/>
          </w:tcPr>
          <w:p>
            <w:pPr>
              <w:spacing w:after="20"/>
            </w:pPr>
            <w:r>
              <w:rPr>
                <w:color w:val="1C3A36"/>
                <w:sz w:val="15"/>
              </w:rPr>
              <w:t>AED 7.37 against 5.34</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5.77, +0.43 against 5.34</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3.98% long-run anchor used</w:t>
            </w:r>
          </w:p>
        </w:tc>
        <w:tc>
          <w:tcPr>
            <w:tcW w:type="dxa" w:w="1843"/>
          </w:tcPr>
          <w:p>
            <w:pPr>
              <w:spacing w:after="20"/>
            </w:pPr>
            <w:r>
              <w:rPr>
                <w:color w:val="1C3A36"/>
                <w:sz w:val="15"/>
              </w:rPr>
              <w:t>raises the terminal risk-free rate by 8 basis points and the value with it. It has no row of its own in the grid overleaf, so the closest read-across is the beta: a step of 0.203 in the beta moves the cost of equity by about the same amount and is worth AED 0.86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4.25 against 5.34</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6.80 is crossed in the beta grid between the 0.690 and 0.900 rows, and not reached anywhere in the rate-anchor range tested.</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0.690</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6.94</w:t>
            </w:r>
          </w:p>
        </w:tc>
        <w:tc>
          <w:tcPr>
            <w:tcW w:type="dxa" w:w="1555"/>
          </w:tcPr>
          <w:p>
            <w:pPr>
              <w:spacing w:after="20"/>
              <w:jc w:val="right"/>
            </w:pPr>
            <w:r>
              <w:rPr>
                <w:color w:val="1C3A36"/>
                <w:sz w:val="16"/>
              </w:rPr>
              <w:t>5.96</w:t>
            </w:r>
          </w:p>
        </w:tc>
        <w:tc>
          <w:tcPr>
            <w:tcW w:type="dxa" w:w="1555"/>
          </w:tcPr>
          <w:p>
            <w:pPr>
              <w:spacing w:after="20"/>
              <w:jc w:val="right"/>
            </w:pPr>
            <w:r>
              <w:rPr>
                <w:color w:val="1C3A36"/>
                <w:sz w:val="16"/>
              </w:rPr>
              <w:t>5.22</w:t>
            </w:r>
          </w:p>
        </w:tc>
        <w:tc>
          <w:tcPr>
            <w:tcW w:type="dxa" w:w="1555"/>
          </w:tcPr>
          <w:p>
            <w:pPr>
              <w:spacing w:after="20"/>
              <w:jc w:val="right"/>
            </w:pPr>
            <w:r>
              <w:rPr>
                <w:color w:val="1C3A36"/>
                <w:sz w:val="16"/>
              </w:rPr>
              <w:t>4.50</w:t>
            </w:r>
          </w:p>
        </w:tc>
        <w:tc>
          <w:tcPr>
            <w:tcW w:type="dxa" w:w="1555"/>
          </w:tcPr>
          <w:p>
            <w:pPr>
              <w:spacing w:after="20"/>
              <w:jc w:val="right"/>
            </w:pPr>
            <w:r>
              <w:rPr>
                <w:color w:val="1C3A36"/>
                <w:sz w:val="16"/>
              </w:rPr>
              <w:t>3.87</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7.14</w:t>
            </w:r>
          </w:p>
        </w:tc>
        <w:tc>
          <w:tcPr>
            <w:tcW w:type="dxa" w:w="1555"/>
          </w:tcPr>
          <w:p>
            <w:pPr>
              <w:spacing w:after="20"/>
              <w:jc w:val="right"/>
            </w:pPr>
            <w:r>
              <w:rPr>
                <w:color w:val="1C3A36"/>
                <w:sz w:val="16"/>
              </w:rPr>
              <w:t>6.07</w:t>
            </w:r>
          </w:p>
        </w:tc>
        <w:tc>
          <w:tcPr>
            <w:tcW w:type="dxa" w:w="1555"/>
          </w:tcPr>
          <w:p>
            <w:pPr>
              <w:spacing w:after="20"/>
              <w:jc w:val="right"/>
            </w:pPr>
            <w:r>
              <w:rPr>
                <w:color w:val="1C3A36"/>
                <w:sz w:val="16"/>
              </w:rPr>
              <w:t>5.27</w:t>
            </w:r>
          </w:p>
        </w:tc>
        <w:tc>
          <w:tcPr>
            <w:tcW w:type="dxa" w:w="1555"/>
          </w:tcPr>
          <w:p>
            <w:pPr>
              <w:spacing w:after="20"/>
              <w:jc w:val="right"/>
            </w:pPr>
            <w:r>
              <w:rPr>
                <w:color w:val="1C3A36"/>
                <w:sz w:val="16"/>
              </w:rPr>
              <w:t>4.52</w:t>
            </w:r>
          </w:p>
        </w:tc>
        <w:tc>
          <w:tcPr>
            <w:tcW w:type="dxa" w:w="1555"/>
          </w:tcPr>
          <w:p>
            <w:pPr>
              <w:spacing w:after="20"/>
              <w:jc w:val="right"/>
            </w:pPr>
            <w:r>
              <w:rPr>
                <w:color w:val="1C3A36"/>
                <w:sz w:val="16"/>
              </w:rPr>
              <w:t>3.87</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7.37</w:t>
            </w:r>
          </w:p>
        </w:tc>
        <w:tc>
          <w:tcPr>
            <w:tcW w:type="dxa" w:w="1555"/>
          </w:tcPr>
          <w:p>
            <w:pPr>
              <w:spacing w:after="20"/>
              <w:jc w:val="right"/>
            </w:pPr>
            <w:r>
              <w:rPr>
                <w:color w:val="1C3A36"/>
                <w:sz w:val="16"/>
              </w:rPr>
              <w:t>6.20</w:t>
            </w:r>
          </w:p>
        </w:tc>
        <w:tc>
          <w:tcPr>
            <w:tcW w:type="dxa" w:w="1555"/>
          </w:tcPr>
          <w:p>
            <w:pPr>
              <w:spacing w:after="20"/>
              <w:jc w:val="right"/>
            </w:pPr>
            <w:r>
              <w:rPr>
                <w:color w:val="1C3A36"/>
                <w:sz w:val="16"/>
              </w:rPr>
              <w:t>5.34</w:t>
            </w:r>
          </w:p>
        </w:tc>
        <w:tc>
          <w:tcPr>
            <w:tcW w:type="dxa" w:w="1555"/>
          </w:tcPr>
          <w:p>
            <w:pPr>
              <w:spacing w:after="20"/>
              <w:jc w:val="right"/>
            </w:pPr>
            <w:r>
              <w:rPr>
                <w:color w:val="1C3A36"/>
                <w:sz w:val="16"/>
              </w:rPr>
              <w:t>4.54</w:t>
            </w:r>
          </w:p>
        </w:tc>
        <w:tc>
          <w:tcPr>
            <w:tcW w:type="dxa" w:w="1555"/>
          </w:tcPr>
          <w:p>
            <w:pPr>
              <w:spacing w:after="20"/>
              <w:jc w:val="right"/>
            </w:pPr>
            <w:r>
              <w:rPr>
                <w:color w:val="1C3A36"/>
                <w:sz w:val="16"/>
              </w:rPr>
              <w:t>3.86</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7.66</w:t>
            </w:r>
          </w:p>
        </w:tc>
        <w:tc>
          <w:tcPr>
            <w:tcW w:type="dxa" w:w="1555"/>
          </w:tcPr>
          <w:p>
            <w:pPr>
              <w:spacing w:after="20"/>
              <w:jc w:val="right"/>
            </w:pPr>
            <w:r>
              <w:rPr>
                <w:color w:val="1C3A36"/>
                <w:sz w:val="16"/>
              </w:rPr>
              <w:t>6.34</w:t>
            </w:r>
          </w:p>
        </w:tc>
        <w:tc>
          <w:tcPr>
            <w:tcW w:type="dxa" w:w="1555"/>
          </w:tcPr>
          <w:p>
            <w:pPr>
              <w:spacing w:after="20"/>
              <w:jc w:val="right"/>
            </w:pPr>
            <w:r>
              <w:rPr>
                <w:color w:val="1C3A36"/>
                <w:sz w:val="16"/>
              </w:rPr>
              <w:t>5.41</w:t>
            </w:r>
          </w:p>
        </w:tc>
        <w:tc>
          <w:tcPr>
            <w:tcW w:type="dxa" w:w="1555"/>
          </w:tcPr>
          <w:p>
            <w:pPr>
              <w:spacing w:after="20"/>
              <w:jc w:val="right"/>
            </w:pPr>
            <w:r>
              <w:rPr>
                <w:color w:val="1C3A36"/>
                <w:sz w:val="16"/>
              </w:rPr>
              <w:t>4.56</w:t>
            </w:r>
          </w:p>
        </w:tc>
        <w:tc>
          <w:tcPr>
            <w:tcW w:type="dxa" w:w="1555"/>
          </w:tcPr>
          <w:p>
            <w:pPr>
              <w:spacing w:after="20"/>
              <w:jc w:val="right"/>
            </w:pPr>
            <w:r>
              <w:rPr>
                <w:color w:val="1C3A36"/>
                <w:sz w:val="16"/>
              </w:rPr>
              <w:t>3.85</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5.34 exactly. The bear case is struck at 1.621, the top of the regression's own 90% confidence interval and the right-hand column here; the bull case is struck at the bottom of that interval, 0.586, which falls outside the grid, below its left-hand 0.690 column. The equal-weight composite alternative is the 0.690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2.76 and 9.98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0.690 – 1.621</w:t>
            </w:r>
          </w:p>
        </w:tc>
        <w:tc>
          <w:tcPr>
            <w:tcW w:type="dxa" w:w="2304"/>
          </w:tcPr>
          <w:p>
            <w:pPr>
              <w:spacing w:after="20"/>
              <w:jc w:val="left"/>
            </w:pPr>
            <w:r>
              <w:rPr>
                <w:color w:val="1C3A36"/>
                <w:sz w:val="16"/>
              </w:rPr>
              <w:t>3.86 – 7.37</w:t>
            </w:r>
          </w:p>
        </w:tc>
        <w:tc>
          <w:tcPr>
            <w:tcW w:type="dxa" w:w="1944"/>
          </w:tcPr>
          <w:p>
            <w:pPr>
              <w:spacing w:after="20"/>
              <w:jc w:val="right"/>
            </w:pPr>
            <w:r>
              <w:rPr>
                <w:color w:val="1C3A36"/>
                <w:sz w:val="16"/>
              </w:rPr>
              <w:t>3.51</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3.92 – 6.75</w:t>
            </w:r>
          </w:p>
        </w:tc>
        <w:tc>
          <w:tcPr>
            <w:tcW w:type="dxa" w:w="1944"/>
          </w:tcPr>
          <w:p>
            <w:pPr>
              <w:spacing w:after="20"/>
              <w:jc w:val="right"/>
            </w:pPr>
            <w:r>
              <w:rPr>
                <w:color w:val="1C3A36"/>
                <w:sz w:val="16"/>
              </w:rPr>
              <w:t>2.83</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4.57 – 5.72</w:t>
            </w:r>
          </w:p>
        </w:tc>
        <w:tc>
          <w:tcPr>
            <w:tcW w:type="dxa" w:w="1944"/>
          </w:tcPr>
          <w:p>
            <w:pPr>
              <w:spacing w:after="20"/>
              <w:jc w:val="right"/>
            </w:pPr>
            <w:r>
              <w:rPr>
                <w:color w:val="1C3A36"/>
                <w:sz w:val="16"/>
              </w:rPr>
              <w:t>1.15</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4.25 – 5.23</w:t>
            </w:r>
          </w:p>
        </w:tc>
        <w:tc>
          <w:tcPr>
            <w:tcW w:type="dxa" w:w="1944"/>
          </w:tcPr>
          <w:p>
            <w:pPr>
              <w:spacing w:after="20"/>
              <w:jc w:val="right"/>
            </w:pPr>
            <w:r>
              <w:rPr>
                <w:color w:val="1C3A36"/>
                <w:sz w:val="16"/>
              </w:rPr>
              <w:t>0.98</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5.22 – 5.41</w:t>
            </w:r>
          </w:p>
        </w:tc>
        <w:tc>
          <w:tcPr>
            <w:tcW w:type="dxa" w:w="1944"/>
          </w:tcPr>
          <w:p>
            <w:pPr>
              <w:spacing w:after="20"/>
              <w:jc w:val="right"/>
            </w:pPr>
            <w:r>
              <w:rPr>
                <w:color w:val="1C3A36"/>
                <w:sz w:val="16"/>
              </w:rPr>
              <w:t>0.20</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2.76 – 9.98</w:t>
            </w:r>
          </w:p>
        </w:tc>
        <w:tc>
          <w:tcPr>
            <w:tcW w:type="dxa" w:w="1944"/>
          </w:tcPr>
          <w:p>
            <w:pPr>
              <w:spacing w:after="20"/>
              <w:jc w:val="right"/>
            </w:pPr>
            <w:r>
              <w:rPr>
                <w:color w:val="1C3A36"/>
                <w:sz w:val="16"/>
              </w:rPr>
              <w:t>7.22</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3.86 against a published bear of 2.76</w:t>
            </w:r>
          </w:p>
        </w:tc>
        <w:tc>
          <w:tcPr>
            <w:tcW w:type="dxa" w:w="1944"/>
          </w:tcPr>
          <w:p>
            <w:pPr>
              <w:spacing w:after="20"/>
              <w:jc w:val="right"/>
            </w:pPr>
            <w:r>
              <w:rPr>
                <w:color w:val="1C3A36"/>
                <w:sz w:val="16"/>
              </w:rPr>
              <w:t>1.10</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0.690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4.25, a loss of AED 1.09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central of AED 5.34 sits between the computed levels of 5.26 and 5.56, the cash-flow lens on its own, at AED 5.34, sits between the computed levels of 5.26 and 5.56, the equal-weight composite reading of AED 7.37 sits above every computed level, the highest of which is 6.60, and the asset lens at AED 3.91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8 independent non-overlapping three-month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Pooling 91 three-month windows that start on staggered dates and therefore overlap one another gives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5.34 on the beta measured against the published index, and AED 7.37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5.34, -21%</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7.37, +8%</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5.34, -21%</w:t>
            </w:r>
          </w:p>
        </w:tc>
        <w:tc>
          <w:tcPr>
            <w:tcW w:type="dxa" w:w="4464"/>
          </w:tcPr>
          <w:p>
            <w:pPr>
              <w:spacing w:after="20"/>
            </w:pPr>
            <w:r>
              <w:rPr>
                <w:color w:val="1C3A36"/>
                <w:sz w:val="16"/>
              </w:rPr>
              <w:t>a cost of capital gliding 8.71% to 8.7%</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7.37, +8%</w:t>
            </w:r>
          </w:p>
        </w:tc>
        <w:tc>
          <w:tcPr>
            <w:tcW w:type="dxa" w:w="4464"/>
          </w:tcPr>
          <w:p>
            <w:pPr>
              <w:spacing w:after="20"/>
            </w:pPr>
            <w:r>
              <w:rPr>
                <w:color w:val="1C3A36"/>
                <w:sz w:val="16"/>
              </w:rPr>
              <w:t>the same, gliding 7.04% to 7.0%</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12.21, +80%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13.53, +99%</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7.46, +10%</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6.80</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5.34, 21% below the market price; the expert panel in Appendix C, which prices mid-cycle earnings and capitalises no terminal value at all, centres at AED 7.97, 17% above the market price. Two constructions that share no machinery land within AED 2.63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0.690 and the central rises to AED 7.37 — a difference of AED 2.03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0.690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291,145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2.83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0.56× earnings in 2026E to net cash by 2028E,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1.09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4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0.43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-27% move and a +14%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central sits</w:t>
            </w:r>
          </w:p>
        </w:tc>
        <w:tc>
          <w:tcPr>
            <w:tcW w:type="dxa" w:w="2448"/>
          </w:tcPr>
          <w:p>
            <w:pPr>
              <w:spacing w:after="20"/>
              <w:jc w:val="right"/>
            </w:pPr>
            <w:r>
              <w:rPr>
                <w:color w:val="1C3A36"/>
                <w:sz w:val="16"/>
              </w:rPr>
              <w:t>5.34</w:t>
            </w:r>
          </w:p>
        </w:tc>
        <w:tc>
          <w:tcPr>
            <w:tcW w:type="dxa" w:w="5040"/>
          </w:tcPr>
          <w:p>
            <w:pPr>
              <w:spacing w:after="20"/>
              <w:jc w:val="left"/>
            </w:pPr>
            <w:r>
              <w:rPr>
                <w:color w:val="1C3A36"/>
                <w:sz w:val="16"/>
              </w:rPr>
              <w:t>between the 5th and 25th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5.34</w:t>
            </w:r>
          </w:p>
        </w:tc>
        <w:tc>
          <w:tcPr>
            <w:tcW w:type="dxa" w:w="5040"/>
          </w:tcPr>
          <w:p>
            <w:pPr>
              <w:spacing w:after="20"/>
              <w:jc w:val="left"/>
            </w:pPr>
            <w:r>
              <w:rPr>
                <w:color w:val="1C3A36"/>
                <w:sz w:val="16"/>
              </w:rPr>
              <w:t>between the 5th and 25th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7.97</w:t>
            </w:r>
          </w:p>
        </w:tc>
        <w:tc>
          <w:tcPr>
            <w:tcW w:type="dxa" w:w="5040"/>
          </w:tcPr>
          <w:p>
            <w:pPr>
              <w:spacing w:after="20"/>
              <w:jc w:val="left"/>
            </w:pPr>
            <w:r>
              <w:rPr>
                <w:color w:val="1C3A36"/>
                <w:sz w:val="16"/>
              </w:rPr>
              <w:t>above the 95th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7.37</w:t>
            </w:r>
          </w:p>
        </w:tc>
        <w:tc>
          <w:tcPr>
            <w:tcW w:type="dxa" w:w="5040"/>
          </w:tcPr>
          <w:p>
            <w:pPr>
              <w:spacing w:after="20"/>
              <w:jc w:val="left"/>
            </w:pPr>
            <w:r>
              <w:rPr>
                <w:color w:val="1C3A36"/>
                <w:sz w:val="16"/>
              </w:rPr>
              <w:t>between the 75th and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3.91</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0.690, worth AED 2.03 a share on the cash-flow lens. Across the beta range tested in section 1.9 the swing is AED 3.51,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62% of the cash-flow model's enterprise value is the terminal value on the adopted construction, 69% on the equal-weight composite. That is high, and it is the arithmetic consequence of discounting a business whose explicit years are depressed by a heavy capital programme — capital expenditure runs USD 1,375 million in 2026E against earnings of USD 2,716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+9% above the guided group earnings midpoint — +13%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0.56× earnings in 2026E to -0.28× in 2028E and turns to net cash of USD 3,114 million by 2030E, against a stated medium-term target of 2.0× to 2.5×. At the low end of that target the 2030E balance sheet would carry about USD 3,760 million of net debt, so the modelled path leaves roughly USD 6,874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read stands in for them AS A DISCLOSED FLOOR rather than as a weighted lens — an earlier edition gave it 15% of a blend.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291,145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151,440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-417 million of the USD 7,872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READ CARRIES NO WEIGHT IN THE ANSWER, which is partly for this reason; an earlier edition gave it 15%.</w:t>
      </w:r>
    </w:p>
    <w:p>
      <w:pPr>
        <w:pStyle w:val="ListBullet"/>
        <w:spacing w:after="60"/>
      </w:pPr>
      <w:r>
        <w:rPr>
          <w:b/>
          <w:color w:val="1C3A36"/>
          <w:sz w:val="21"/>
        </w:rPr>
        <w:t xml:space="preserve">Three unit inputs are solved rather than sourced. </w:t>
      </w:r>
      <w:r>
        <w:rPr>
          <w:color w:val="1C3A36"/>
          <w:sz w:val="21"/>
        </w:rPr>
        <w:t>The tanker cost stack is two of them: a fixed base of USD 530 million a year and a variable component of 1.05× for every dollar of the owned fleet's charter-equivalent revenue, solved TOGETHER from two disclosed periods — the audited FY2025 year and the reviewed six months to 30 June 2026. The reviewed six months to 30 June 2025 are held out and the stack reproduces their earnings to within 10.7%, understating them. The third is the gas carrier day rate of USD 61,573, solved from reported FY2025 revenue over consolidated vessel-years; the same solve on the reviewed half gives USD 108,552 and is NOT adopted, because its denominator counts CONTRACTED vessels while its numerator is the whole unit's revenue, so between the two periods the ratio rose for a reason that is a MIX rather than a rate. None of the three is disclosed at a finer level anywhere in the filings. All are labelled as solved wherever they appear, and all are anchored on reported outcomes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2.73× the owned fleet's own charter-equivalent revenue in FY2025, because of chartered-in and relet trading that carries almost no margin. The forecast sets that ratio at 2.61×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2.73× gross-up, and then applied to a forecast revenue line built at 2.61×. Two different conventions on the two sides of one ratio understate the receivable balance, and the change in working capital is a line in the free-cash-flow waterfall. Re-based onto the revenue the forecast actually produces, 108.4 days becomes 110.1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cross-checks are less independent of one another than four separate reads sound. </w:t>
      </w:r>
      <w:r>
        <w:rPr>
          <w:color w:val="1C3A36"/>
          <w:sz w:val="21"/>
        </w:rPr>
        <w:t>The relative lens and the normalised lens apply the SAME three multiples to two different earnings denominators — the first forecast year in one, the five-year average of the same forecast in the other. An earlier edition weighted them 45% of its blended central, SO THAT MUCH OF THE HEADLINE RESTED ON ONE METHOD PRESENTED AS TWO READS. Neither carries any of the answer now, which removes the overlap from the central without removing the reads from the page.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4.25.</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Central (AED)</w:t>
            </w:r>
          </w:p>
        </w:tc>
        <w:tc>
          <w:tcPr>
            <w:tcW w:type="dxa" w:w="2232"/>
            <w:shd w:val="clear" w:color="auto" w:fill="EAF0EE"/>
          </w:tcPr>
          <w:p>
            <w:pPr>
              <w:spacing w:after="20"/>
            </w:pPr>
            <w:r>
              <w:rPr>
                <w:b/>
                <w:color w:val="1C3A36"/>
                <w:sz w:val="17"/>
              </w:rPr>
              <w:t>Against the market price of 6.80</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-3%</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-3%</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5.34</w:t>
            </w:r>
          </w:p>
        </w:tc>
        <w:tc>
          <w:tcPr>
            <w:tcW w:type="dxa" w:w="2304"/>
            <w:shd w:val="clear" w:color="auto" w:fill="F6F1E6"/>
          </w:tcPr>
          <w:p>
            <w:pPr>
              <w:spacing w:after="20"/>
              <w:jc w:val="right"/>
            </w:pPr>
            <w:r>
              <w:rPr>
                <w:b/>
                <w:color w:val="1C3A36"/>
                <w:sz w:val="17"/>
              </w:rPr>
              <w:t>5.34</w:t>
            </w:r>
          </w:p>
        </w:tc>
        <w:tc>
          <w:tcPr>
            <w:tcW w:type="dxa" w:w="2232"/>
            <w:shd w:val="clear" w:color="auto" w:fill="F6F1E6"/>
          </w:tcPr>
          <w:p>
            <w:pPr>
              <w:spacing w:after="20"/>
              <w:jc w:val="right"/>
            </w:pPr>
            <w:r>
              <w:rPr>
                <w:b/>
                <w:color w:val="1C3A36"/>
                <w:sz w:val="17"/>
              </w:rPr>
              <w:t>-21%</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-1.24,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151,440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12.0% at their own coupon of 4.90%, beside ordinary equity at 83.1% and debt at 4.9%, and that cost normalises with the risk-free rate in the terminal because the coupon floats. The cost of capital falls from 9.23% to 8.71% and the terminal rate from 9.15% to 8.68%.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523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90% of earnings. It pays out 16% to 36%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2.41× book, or AED 7.02 a share; residual income gives AED 3.91. The difference no longer reaches the answer at all — at the 15% weight an earlier edition gave this read it was worth about AED 0.47 of the published figure.</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5.2%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4.5% of profit.</w:t>
            </w:r>
          </w:p>
        </w:tc>
        <w:tc>
          <w:tcPr>
            <w:tcW w:type="dxa" w:w="2966"/>
          </w:tcPr>
          <w:p>
            <w:pPr>
              <w:spacing w:after="20"/>
            </w:pPr>
            <w:r>
              <w:rPr>
                <w:color w:val="1C3A36"/>
                <w:sz w:val="15"/>
              </w:rPr>
              <w:t>The fleet is 52 owned tankers at the valuation date. The minorities are deducted at USD 317 million: the USD 252 million arising on the tanker combination stays at book because that stake is contracted for purchase in mid-2027 at a price already deducted as deferred consideration, and only the remaining USD 37 million is lifted to its share of value. Sections 1.1 and 1.7.</w:t>
            </w:r>
          </w:p>
        </w:tc>
        <w:tc>
          <w:tcPr>
            <w:tcW w:type="dxa" w:w="2218"/>
          </w:tcPr>
          <w:p>
            <w:pPr>
              <w:spacing w:after="20"/>
            </w:pPr>
            <w:r>
              <w:rPr>
                <w:color w:val="1C3A36"/>
                <w:sz w:val="15"/>
              </w:rPr>
              <w:t>DOWN, marginally, on both. The minority treatment costs AED 0.01 a share, not the AED 0.11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2.73× gross-up over the owned fleet's own charter-equivalent revenue, and then applied to a forecast revenue line built at 2.61×. Two conventions on the two sides of one ratio.</w:t>
            </w:r>
          </w:p>
        </w:tc>
        <w:tc>
          <w:tcPr>
            <w:tcW w:type="dxa" w:w="2966"/>
          </w:tcPr>
          <w:p>
            <w:pPr>
              <w:spacing w:after="20"/>
            </w:pPr>
            <w:r>
              <w:rPr>
                <w:color w:val="1C3A36"/>
                <w:sz w:val="15"/>
              </w:rPr>
              <w:t>Re-based onto the basis the forecast uses: 108.4 days becomes 110.1.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6.35%, with the genuinely balance-weighted construction shown beside it at 6.35%. Section 1.8.</w:t>
            </w:r>
          </w:p>
        </w:tc>
        <w:tc>
          <w:tcPr>
            <w:tcW w:type="dxa" w:w="2218"/>
          </w:tcPr>
          <w:p>
            <w:pPr>
              <w:spacing w:after="20"/>
            </w:pPr>
            <w:r>
              <w:rPr>
                <w:color w:val="1C3A36"/>
                <w:sz w:val="15"/>
              </w:rPr>
              <w:t>NO MOVEMENT — the figure did not change, only the description of it. The two constructions are 0 basis points apart on a tranche that is 4.9%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5.91%,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7.78× forward beside 17.63×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w:t>
      </w:r>
    </w:p>
    <w:p>
      <w:pPr>
        <w:keepNext/>
        <w:spacing w:after="80" w:before="200"/>
      </w:pPr>
      <w:r>
        <w:rPr>
          <w:b/>
          <w:i w:val="0"/>
          <w:color w:val="1C3A36"/>
          <w:sz w:val="24"/>
        </w:rPr>
        <w:t>Since the second round — the beta re-measured</w:t>
      </w:r>
    </w:p>
    <w:p>
      <w:pPr>
        <w:spacing w:after="120" w:before="0"/>
      </w:pPr>
      <w:r>
        <w:rPr>
          <w:b w:val="0"/>
          <w:i w:val="0"/>
          <w:color w:val="1C3A36"/>
          <w:sz w:val="21"/>
        </w:rPr>
        <w:t>One further change has been made since the corrections above, and it comes from method rather than from a reviewer.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spacing w:after="120" w:before="0"/>
      </w:pPr>
      <w:r>
        <w:rPr>
          <w:b w:val="0"/>
          <w:i w:val="0"/>
          <w:color w:val="1C3A36"/>
          <w:sz w:val="21"/>
        </w:rPr>
        <w:t>Two consequences, both of which make this document say LESS than the last one rather than more. The cash-flow lens falls to AED 5.34 and the central with it — they are the same number, the central being that lens rather than a blend of several — because a higher beta discounts harder. And the bear and bull cases widen, because they are taken from that interval directly rather than chosen: the published range on the cash-flow lens is now AED 2.76 to AED 9.98. An interval that widens on re-measurement is information about how much a three-year price history can settle, and the answer is: less than the previous edition implied. The equal-weight composite reading of 0.690 continues to be published beside the adopted figure at full size throughout, and one thing said about it in the last edition is no longer true: it sits inside the adopted estimate's own 90% interval, where against the narrower interval of the last edition it sat outside it.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An earlier edition weighted them 45% of a blended central, so that much of the headline rested on one method presented as two reads. THE ARCHITECTURE RATHER THAN THE READS IS WHAT CHANGED: neither carries any of the answer now, and both are published beside it, so the overlap is visible instead of compounded. Both denominators remain legitimate questions and neither read is redundant on its own terms. It is not neutral in direction — those are the two reads that sit highest — and that is now something a reader can see rather than something buried in a weight.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6,982</w:t>
            </w:r>
          </w:p>
        </w:tc>
        <w:tc>
          <w:tcPr>
            <w:tcW w:type="dxa" w:w="950"/>
          </w:tcPr>
          <w:p>
            <w:pPr>
              <w:spacing w:after="20"/>
              <w:jc w:val="right"/>
            </w:pPr>
            <w:r>
              <w:rPr>
                <w:color w:val="1C3A36"/>
                <w:sz w:val="15"/>
              </w:rPr>
              <w:t>7,690</w:t>
            </w:r>
          </w:p>
        </w:tc>
        <w:tc>
          <w:tcPr>
            <w:tcW w:type="dxa" w:w="950"/>
          </w:tcPr>
          <w:p>
            <w:pPr>
              <w:spacing w:after="20"/>
              <w:jc w:val="right"/>
            </w:pPr>
            <w:r>
              <w:rPr>
                <w:color w:val="1C3A36"/>
                <w:sz w:val="15"/>
              </w:rPr>
              <w:t>7,447</w:t>
            </w:r>
          </w:p>
        </w:tc>
        <w:tc>
          <w:tcPr>
            <w:tcW w:type="dxa" w:w="950"/>
          </w:tcPr>
          <w:p>
            <w:pPr>
              <w:spacing w:after="20"/>
              <w:jc w:val="right"/>
            </w:pPr>
            <w:r>
              <w:rPr>
                <w:color w:val="1C3A36"/>
                <w:sz w:val="15"/>
              </w:rPr>
              <w:t>6,716</w:t>
            </w:r>
          </w:p>
        </w:tc>
        <w:tc>
          <w:tcPr>
            <w:tcW w:type="dxa" w:w="950"/>
          </w:tcPr>
          <w:p>
            <w:pPr>
              <w:spacing w:after="20"/>
              <w:jc w:val="right"/>
            </w:pPr>
            <w:r>
              <w:rPr>
                <w:color w:val="1C3A36"/>
                <w:sz w:val="15"/>
              </w:rPr>
              <w:t>5,890</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(4,266)</w:t>
            </w:r>
          </w:p>
        </w:tc>
        <w:tc>
          <w:tcPr>
            <w:tcW w:type="dxa" w:w="950"/>
          </w:tcPr>
          <w:p>
            <w:pPr>
              <w:spacing w:after="20"/>
              <w:jc w:val="right"/>
            </w:pPr>
            <w:r>
              <w:rPr>
                <w:color w:val="1C3A36"/>
                <w:sz w:val="15"/>
              </w:rPr>
              <w:t>(4,550)</w:t>
            </w:r>
          </w:p>
        </w:tc>
        <w:tc>
          <w:tcPr>
            <w:tcW w:type="dxa" w:w="950"/>
          </w:tcPr>
          <w:p>
            <w:pPr>
              <w:spacing w:after="20"/>
              <w:jc w:val="right"/>
            </w:pPr>
            <w:r>
              <w:rPr>
                <w:color w:val="1C3A36"/>
                <w:sz w:val="15"/>
              </w:rPr>
              <w:t>(4,523)</w:t>
            </w:r>
          </w:p>
        </w:tc>
        <w:tc>
          <w:tcPr>
            <w:tcW w:type="dxa" w:w="950"/>
          </w:tcPr>
          <w:p>
            <w:pPr>
              <w:spacing w:after="20"/>
              <w:jc w:val="right"/>
            </w:pPr>
            <w:r>
              <w:rPr>
                <w:color w:val="1C3A36"/>
                <w:sz w:val="15"/>
              </w:rPr>
              <w:t>(4,290)</w:t>
            </w:r>
          </w:p>
        </w:tc>
        <w:tc>
          <w:tcPr>
            <w:tcW w:type="dxa" w:w="950"/>
          </w:tcPr>
          <w:p>
            <w:pPr>
              <w:spacing w:after="20"/>
              <w:jc w:val="right"/>
            </w:pPr>
            <w:r>
              <w:rPr>
                <w:color w:val="1C3A36"/>
                <w:sz w:val="15"/>
              </w:rPr>
              <w:t>(4,010)</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2,716</w:t>
            </w:r>
          </w:p>
        </w:tc>
        <w:tc>
          <w:tcPr>
            <w:tcW w:type="dxa" w:w="950"/>
            <w:shd w:val="clear" w:color="auto" w:fill="F6F1E6"/>
          </w:tcPr>
          <w:p>
            <w:pPr>
              <w:spacing w:after="20"/>
              <w:jc w:val="right"/>
            </w:pPr>
            <w:r>
              <w:rPr>
                <w:b/>
                <w:color w:val="1C3A36"/>
                <w:sz w:val="15"/>
              </w:rPr>
              <w:t>3,140</w:t>
            </w:r>
          </w:p>
        </w:tc>
        <w:tc>
          <w:tcPr>
            <w:tcW w:type="dxa" w:w="950"/>
            <w:shd w:val="clear" w:color="auto" w:fill="F6F1E6"/>
          </w:tcPr>
          <w:p>
            <w:pPr>
              <w:spacing w:after="20"/>
              <w:jc w:val="right"/>
            </w:pPr>
            <w:r>
              <w:rPr>
                <w:b/>
                <w:color w:val="1C3A36"/>
                <w:sz w:val="15"/>
              </w:rPr>
              <w:t>2,924</w:t>
            </w:r>
          </w:p>
        </w:tc>
        <w:tc>
          <w:tcPr>
            <w:tcW w:type="dxa" w:w="950"/>
            <w:shd w:val="clear" w:color="auto" w:fill="F6F1E6"/>
          </w:tcPr>
          <w:p>
            <w:pPr>
              <w:spacing w:after="20"/>
              <w:jc w:val="right"/>
            </w:pPr>
            <w:r>
              <w:rPr>
                <w:b/>
                <w:color w:val="1C3A36"/>
                <w:sz w:val="15"/>
              </w:rPr>
              <w:t>2,426</w:t>
            </w:r>
          </w:p>
        </w:tc>
        <w:tc>
          <w:tcPr>
            <w:tcW w:type="dxa" w:w="950"/>
            <w:shd w:val="clear" w:color="auto" w:fill="F6F1E6"/>
          </w:tcPr>
          <w:p>
            <w:pPr>
              <w:spacing w:after="20"/>
              <w:jc w:val="right"/>
            </w:pPr>
            <w:r>
              <w:rPr>
                <w:b/>
                <w:color w:val="1C3A36"/>
                <w:sz w:val="15"/>
              </w:rPr>
              <w:t>1,880</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38.9%</w:t>
            </w:r>
          </w:p>
        </w:tc>
        <w:tc>
          <w:tcPr>
            <w:tcW w:type="dxa" w:w="950"/>
          </w:tcPr>
          <w:p>
            <w:pPr>
              <w:spacing w:after="20"/>
              <w:jc w:val="right"/>
            </w:pPr>
            <w:r>
              <w:rPr>
                <w:color w:val="1C3A36"/>
                <w:sz w:val="15"/>
              </w:rPr>
              <w:t>40.8%</w:t>
            </w:r>
          </w:p>
        </w:tc>
        <w:tc>
          <w:tcPr>
            <w:tcW w:type="dxa" w:w="950"/>
          </w:tcPr>
          <w:p>
            <w:pPr>
              <w:spacing w:after="20"/>
              <w:jc w:val="right"/>
            </w:pPr>
            <w:r>
              <w:rPr>
                <w:color w:val="1C3A36"/>
                <w:sz w:val="15"/>
              </w:rPr>
              <w:t>39.3%</w:t>
            </w:r>
          </w:p>
        </w:tc>
        <w:tc>
          <w:tcPr>
            <w:tcW w:type="dxa" w:w="950"/>
          </w:tcPr>
          <w:p>
            <w:pPr>
              <w:spacing w:after="20"/>
              <w:jc w:val="right"/>
            </w:pPr>
            <w:r>
              <w:rPr>
                <w:color w:val="1C3A36"/>
                <w:sz w:val="15"/>
              </w:rPr>
              <w:t>36.1%</w:t>
            </w:r>
          </w:p>
        </w:tc>
        <w:tc>
          <w:tcPr>
            <w:tcW w:type="dxa" w:w="950"/>
          </w:tcPr>
          <w:p>
            <w:pPr>
              <w:spacing w:after="20"/>
              <w:jc w:val="right"/>
            </w:pPr>
            <w:r>
              <w:rPr>
                <w:color w:val="1C3A36"/>
                <w:sz w:val="15"/>
              </w:rPr>
              <w:t>31.9%</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(587)</w:t>
            </w:r>
          </w:p>
        </w:tc>
        <w:tc>
          <w:tcPr>
            <w:tcW w:type="dxa" w:w="950"/>
          </w:tcPr>
          <w:p>
            <w:pPr>
              <w:spacing w:after="20"/>
              <w:jc w:val="right"/>
            </w:pPr>
            <w:r>
              <w:rPr>
                <w:color w:val="1C3A36"/>
                <w:sz w:val="15"/>
              </w:rPr>
              <w:t>(675)</w:t>
            </w:r>
          </w:p>
        </w:tc>
        <w:tc>
          <w:tcPr>
            <w:tcW w:type="dxa" w:w="950"/>
          </w:tcPr>
          <w:p>
            <w:pPr>
              <w:spacing w:after="20"/>
              <w:jc w:val="right"/>
            </w:pPr>
            <w:r>
              <w:rPr>
                <w:color w:val="1C3A36"/>
                <w:sz w:val="15"/>
              </w:rPr>
              <w:t>(717)</w:t>
            </w:r>
          </w:p>
        </w:tc>
        <w:tc>
          <w:tcPr>
            <w:tcW w:type="dxa" w:w="950"/>
          </w:tcPr>
          <w:p>
            <w:pPr>
              <w:spacing w:after="20"/>
              <w:jc w:val="right"/>
            </w:pPr>
            <w:r>
              <w:rPr>
                <w:color w:val="1C3A36"/>
                <w:sz w:val="15"/>
              </w:rPr>
              <w:t>(741)</w:t>
            </w:r>
          </w:p>
        </w:tc>
        <w:tc>
          <w:tcPr>
            <w:tcW w:type="dxa" w:w="950"/>
          </w:tcPr>
          <w:p>
            <w:pPr>
              <w:spacing w:after="20"/>
              <w:jc w:val="right"/>
            </w:pPr>
            <w:r>
              <w:rPr>
                <w:color w:val="1C3A36"/>
                <w:sz w:val="15"/>
              </w:rPr>
              <w:t>(747)</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2,129</w:t>
            </w:r>
          </w:p>
        </w:tc>
        <w:tc>
          <w:tcPr>
            <w:tcW w:type="dxa" w:w="950"/>
          </w:tcPr>
          <w:p>
            <w:pPr>
              <w:spacing w:after="20"/>
              <w:jc w:val="right"/>
            </w:pPr>
            <w:r>
              <w:rPr>
                <w:color w:val="1C3A36"/>
                <w:sz w:val="15"/>
              </w:rPr>
              <w:t>2,465</w:t>
            </w:r>
          </w:p>
        </w:tc>
        <w:tc>
          <w:tcPr>
            <w:tcW w:type="dxa" w:w="950"/>
          </w:tcPr>
          <w:p>
            <w:pPr>
              <w:spacing w:after="20"/>
              <w:jc w:val="right"/>
            </w:pPr>
            <w:r>
              <w:rPr>
                <w:color w:val="1C3A36"/>
                <w:sz w:val="15"/>
              </w:rPr>
              <w:t>2,207</w:t>
            </w:r>
          </w:p>
        </w:tc>
        <w:tc>
          <w:tcPr>
            <w:tcW w:type="dxa" w:w="950"/>
          </w:tcPr>
          <w:p>
            <w:pPr>
              <w:spacing w:after="20"/>
              <w:jc w:val="right"/>
            </w:pPr>
            <w:r>
              <w:rPr>
                <w:color w:val="1C3A36"/>
                <w:sz w:val="15"/>
              </w:rPr>
              <w:t>1,685</w:t>
            </w:r>
          </w:p>
        </w:tc>
        <w:tc>
          <w:tcPr>
            <w:tcW w:type="dxa" w:w="950"/>
          </w:tcPr>
          <w:p>
            <w:pPr>
              <w:spacing w:after="20"/>
              <w:jc w:val="right"/>
            </w:pPr>
            <w:r>
              <w:rPr>
                <w:color w:val="1C3A36"/>
                <w:sz w:val="15"/>
              </w:rPr>
              <w:t>1,134</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(111)</w:t>
            </w:r>
          </w:p>
        </w:tc>
        <w:tc>
          <w:tcPr>
            <w:tcW w:type="dxa" w:w="950"/>
          </w:tcPr>
          <w:p>
            <w:pPr>
              <w:spacing w:after="20"/>
              <w:jc w:val="right"/>
            </w:pPr>
            <w:r>
              <w:rPr>
                <w:color w:val="1C3A36"/>
                <w:sz w:val="15"/>
              </w:rPr>
              <w:t>(38)</w:t>
            </w:r>
          </w:p>
        </w:tc>
        <w:tc>
          <w:tcPr>
            <w:tcW w:type="dxa" w:w="950"/>
          </w:tcPr>
          <w:p>
            <w:pPr>
              <w:spacing w:after="20"/>
              <w:jc w:val="right"/>
            </w:pPr>
            <w:r>
              <w:rPr>
                <w:color w:val="1C3A36"/>
                <w:sz w:val="15"/>
              </w:rPr>
              <w:t>(-37)</w:t>
            </w:r>
          </w:p>
        </w:tc>
        <w:tc>
          <w:tcPr>
            <w:tcW w:type="dxa" w:w="950"/>
          </w:tcPr>
          <w:p>
            <w:pPr>
              <w:spacing w:after="20"/>
              <w:jc w:val="right"/>
            </w:pPr>
            <w:r>
              <w:rPr>
                <w:color w:val="1C3A36"/>
                <w:sz w:val="15"/>
              </w:rPr>
              <w:t>(-124)</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1,996</w:t>
            </w:r>
          </w:p>
        </w:tc>
        <w:tc>
          <w:tcPr>
            <w:tcW w:type="dxa" w:w="950"/>
          </w:tcPr>
          <w:p>
            <w:pPr>
              <w:spacing w:after="20"/>
              <w:jc w:val="right"/>
            </w:pPr>
            <w:r>
              <w:rPr>
                <w:color w:val="1C3A36"/>
                <w:sz w:val="15"/>
              </w:rPr>
              <w:t>2,354</w:t>
            </w:r>
          </w:p>
        </w:tc>
        <w:tc>
          <w:tcPr>
            <w:tcW w:type="dxa" w:w="950"/>
          </w:tcPr>
          <w:p>
            <w:pPr>
              <w:spacing w:after="20"/>
              <w:jc w:val="right"/>
            </w:pPr>
            <w:r>
              <w:rPr>
                <w:color w:val="1C3A36"/>
                <w:sz w:val="15"/>
              </w:rPr>
              <w:t>2,169</w:t>
            </w:r>
          </w:p>
        </w:tc>
        <w:tc>
          <w:tcPr>
            <w:tcW w:type="dxa" w:w="950"/>
          </w:tcPr>
          <w:p>
            <w:pPr>
              <w:spacing w:after="20"/>
              <w:jc w:val="right"/>
            </w:pPr>
            <w:r>
              <w:rPr>
                <w:color w:val="1C3A36"/>
                <w:sz w:val="15"/>
              </w:rPr>
              <w:t>1,722</w:t>
            </w:r>
          </w:p>
        </w:tc>
        <w:tc>
          <w:tcPr>
            <w:tcW w:type="dxa" w:w="950"/>
          </w:tcPr>
          <w:p>
            <w:pPr>
              <w:spacing w:after="20"/>
              <w:jc w:val="right"/>
            </w:pPr>
            <w:r>
              <w:rPr>
                <w:color w:val="1C3A36"/>
                <w:sz w:val="15"/>
              </w:rPr>
              <w:t>1,257</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(49)</w:t>
            </w:r>
          </w:p>
        </w:tc>
        <w:tc>
          <w:tcPr>
            <w:tcW w:type="dxa" w:w="950"/>
          </w:tcPr>
          <w:p>
            <w:pPr>
              <w:spacing w:after="20"/>
              <w:jc w:val="right"/>
            </w:pPr>
            <w:r>
              <w:rPr>
                <w:color w:val="1C3A36"/>
                <w:sz w:val="15"/>
              </w:rPr>
              <w:t>(57)</w:t>
            </w:r>
          </w:p>
        </w:tc>
        <w:tc>
          <w:tcPr>
            <w:tcW w:type="dxa" w:w="950"/>
          </w:tcPr>
          <w:p>
            <w:pPr>
              <w:spacing w:after="20"/>
              <w:jc w:val="right"/>
            </w:pPr>
            <w:r>
              <w:rPr>
                <w:color w:val="1C3A36"/>
                <w:sz w:val="15"/>
              </w:rPr>
              <w:t>(58)</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1,947</w:t>
            </w:r>
          </w:p>
        </w:tc>
        <w:tc>
          <w:tcPr>
            <w:tcW w:type="dxa" w:w="950"/>
          </w:tcPr>
          <w:p>
            <w:pPr>
              <w:spacing w:after="20"/>
              <w:jc w:val="right"/>
            </w:pPr>
            <w:r>
              <w:rPr>
                <w:color w:val="1C3A36"/>
                <w:sz w:val="15"/>
              </w:rPr>
              <w:t>2,297</w:t>
            </w:r>
          </w:p>
        </w:tc>
        <w:tc>
          <w:tcPr>
            <w:tcW w:type="dxa" w:w="950"/>
          </w:tcPr>
          <w:p>
            <w:pPr>
              <w:spacing w:after="20"/>
              <w:jc w:val="right"/>
            </w:pPr>
            <w:r>
              <w:rPr>
                <w:color w:val="1C3A36"/>
                <w:sz w:val="15"/>
              </w:rPr>
              <w:t>2,112</w:t>
            </w:r>
          </w:p>
        </w:tc>
        <w:tc>
          <w:tcPr>
            <w:tcW w:type="dxa" w:w="950"/>
          </w:tcPr>
          <w:p>
            <w:pPr>
              <w:spacing w:after="20"/>
              <w:jc w:val="right"/>
            </w:pPr>
            <w:r>
              <w:rPr>
                <w:color w:val="1C3A36"/>
                <w:sz w:val="15"/>
              </w:rPr>
              <w:t>1,666</w:t>
            </w:r>
          </w:p>
        </w:tc>
        <w:tc>
          <w:tcPr>
            <w:tcW w:type="dxa" w:w="950"/>
          </w:tcPr>
          <w:p>
            <w:pPr>
              <w:spacing w:after="20"/>
              <w:jc w:val="right"/>
            </w:pPr>
            <w:r>
              <w:rPr>
                <w:color w:val="1C3A36"/>
                <w:sz w:val="15"/>
              </w:rPr>
              <w:t>1,199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(88)</w:t>
            </w:r>
          </w:p>
        </w:tc>
        <w:tc>
          <w:tcPr>
            <w:tcW w:type="dxa" w:w="950"/>
          </w:tcPr>
          <w:p>
            <w:pPr>
              <w:spacing w:after="20"/>
              <w:jc w:val="right"/>
            </w:pPr>
            <w:r>
              <w:rPr>
                <w:color w:val="1C3A36"/>
                <w:sz w:val="15"/>
              </w:rPr>
              <w:t>(104)</w:t>
            </w:r>
          </w:p>
        </w:tc>
        <w:tc>
          <w:tcPr>
            <w:tcW w:type="dxa" w:w="950"/>
          </w:tcPr>
          <w:p>
            <w:pPr>
              <w:spacing w:after="20"/>
              <w:jc w:val="right"/>
            </w:pPr>
            <w:r>
              <w:rPr>
                <w:color w:val="1C3A36"/>
                <w:sz w:val="15"/>
              </w:rPr>
              <w:t>(96)</w:t>
            </w:r>
          </w:p>
        </w:tc>
        <w:tc>
          <w:tcPr>
            <w:tcW w:type="dxa" w:w="950"/>
          </w:tcPr>
          <w:p>
            <w:pPr>
              <w:spacing w:after="20"/>
              <w:jc w:val="right"/>
            </w:pPr>
            <w:r>
              <w:rPr>
                <w:color w:val="1C3A36"/>
                <w:sz w:val="15"/>
              </w:rPr>
              <w:t>(76)</w:t>
            </w:r>
          </w:p>
        </w:tc>
        <w:tc>
          <w:tcPr>
            <w:tcW w:type="dxa" w:w="950"/>
          </w:tcPr>
          <w:p>
            <w:pPr>
              <w:spacing w:after="20"/>
              <w:jc w:val="right"/>
            </w:pPr>
            <w:r>
              <w:rPr>
                <w:color w:val="1C3A36"/>
                <w:sz w:val="15"/>
              </w:rPr>
              <w:t>(54)</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1,859</w:t>
            </w:r>
          </w:p>
        </w:tc>
        <w:tc>
          <w:tcPr>
            <w:tcW w:type="dxa" w:w="950"/>
            <w:shd w:val="clear" w:color="auto" w:fill="F6F1E6"/>
          </w:tcPr>
          <w:p>
            <w:pPr>
              <w:spacing w:after="20"/>
              <w:jc w:val="right"/>
            </w:pPr>
            <w:r>
              <w:rPr>
                <w:b/>
                <w:color w:val="1C3A36"/>
                <w:sz w:val="15"/>
              </w:rPr>
              <w:t>2,193</w:t>
            </w:r>
          </w:p>
        </w:tc>
        <w:tc>
          <w:tcPr>
            <w:tcW w:type="dxa" w:w="950"/>
            <w:shd w:val="clear" w:color="auto" w:fill="F6F1E6"/>
          </w:tcPr>
          <w:p>
            <w:pPr>
              <w:spacing w:after="20"/>
              <w:jc w:val="right"/>
            </w:pPr>
            <w:r>
              <w:rPr>
                <w:b/>
                <w:color w:val="1C3A36"/>
                <w:sz w:val="15"/>
              </w:rPr>
              <w:t>2,016</w:t>
            </w:r>
          </w:p>
        </w:tc>
        <w:tc>
          <w:tcPr>
            <w:tcW w:type="dxa" w:w="950"/>
            <w:shd w:val="clear" w:color="auto" w:fill="F6F1E6"/>
          </w:tcPr>
          <w:p>
            <w:pPr>
              <w:spacing w:after="20"/>
              <w:jc w:val="right"/>
            </w:pPr>
            <w:r>
              <w:rPr>
                <w:b/>
                <w:color w:val="1C3A36"/>
                <w:sz w:val="15"/>
              </w:rPr>
              <w:t>1,590</w:t>
            </w:r>
          </w:p>
        </w:tc>
        <w:tc>
          <w:tcPr>
            <w:tcW w:type="dxa" w:w="950"/>
            <w:shd w:val="clear" w:color="auto" w:fill="F6F1E6"/>
          </w:tcPr>
          <w:p>
            <w:pPr>
              <w:spacing w:after="20"/>
              <w:jc w:val="right"/>
            </w:pPr>
            <w:r>
              <w:rPr>
                <w:b/>
                <w:color w:val="1C3A36"/>
                <w:sz w:val="15"/>
              </w:rPr>
              <w:t>1,145</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1,762</w:t>
            </w:r>
          </w:p>
        </w:tc>
        <w:tc>
          <w:tcPr>
            <w:tcW w:type="dxa" w:w="950"/>
          </w:tcPr>
          <w:p>
            <w:pPr>
              <w:spacing w:after="20"/>
              <w:jc w:val="right"/>
            </w:pPr>
            <w:r>
              <w:rPr>
                <w:color w:val="1C3A36"/>
                <w:sz w:val="15"/>
              </w:rPr>
              <w:t>2,096</w:t>
            </w:r>
          </w:p>
        </w:tc>
        <w:tc>
          <w:tcPr>
            <w:tcW w:type="dxa" w:w="950"/>
          </w:tcPr>
          <w:p>
            <w:pPr>
              <w:spacing w:after="20"/>
              <w:jc w:val="right"/>
            </w:pPr>
            <w:r>
              <w:rPr>
                <w:color w:val="1C3A36"/>
                <w:sz w:val="15"/>
              </w:rPr>
              <w:t>1,919</w:t>
            </w:r>
          </w:p>
        </w:tc>
        <w:tc>
          <w:tcPr>
            <w:tcW w:type="dxa" w:w="950"/>
          </w:tcPr>
          <w:p>
            <w:pPr>
              <w:spacing w:after="20"/>
              <w:jc w:val="right"/>
            </w:pPr>
            <w:r>
              <w:rPr>
                <w:color w:val="1C3A36"/>
                <w:sz w:val="15"/>
              </w:rPr>
              <w:t>1,493</w:t>
            </w:r>
          </w:p>
        </w:tc>
        <w:tc>
          <w:tcPr>
            <w:tcW w:type="dxa" w:w="950"/>
          </w:tcPr>
          <w:p>
            <w:pPr>
              <w:spacing w:after="20"/>
              <w:jc w:val="right"/>
            </w:pPr>
            <w:r>
              <w:rPr>
                <w:color w:val="1C3A36"/>
                <w:sz w:val="15"/>
              </w:rPr>
              <w:t>1,048</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0.238</w:t>
            </w:r>
          </w:p>
        </w:tc>
        <w:tc>
          <w:tcPr>
            <w:tcW w:type="dxa" w:w="950"/>
            <w:shd w:val="clear" w:color="auto" w:fill="F6F1E6"/>
          </w:tcPr>
          <w:p>
            <w:pPr>
              <w:spacing w:after="20"/>
              <w:jc w:val="right"/>
            </w:pPr>
            <w:r>
              <w:rPr>
                <w:b/>
                <w:color w:val="1C3A36"/>
                <w:sz w:val="15"/>
              </w:rPr>
              <w:t>0.283</w:t>
            </w:r>
          </w:p>
        </w:tc>
        <w:tc>
          <w:tcPr>
            <w:tcW w:type="dxa" w:w="950"/>
            <w:shd w:val="clear" w:color="auto" w:fill="F6F1E6"/>
          </w:tcPr>
          <w:p>
            <w:pPr>
              <w:spacing w:after="20"/>
              <w:jc w:val="right"/>
            </w:pPr>
            <w:r>
              <w:rPr>
                <w:b/>
                <w:color w:val="1C3A36"/>
                <w:sz w:val="15"/>
              </w:rPr>
              <w:t>0.259</w:t>
            </w:r>
          </w:p>
        </w:tc>
        <w:tc>
          <w:tcPr>
            <w:tcW w:type="dxa" w:w="950"/>
            <w:shd w:val="clear" w:color="auto" w:fill="F6F1E6"/>
          </w:tcPr>
          <w:p>
            <w:pPr>
              <w:spacing w:after="20"/>
              <w:jc w:val="right"/>
            </w:pPr>
            <w:r>
              <w:rPr>
                <w:b/>
                <w:color w:val="1C3A36"/>
                <w:sz w:val="15"/>
              </w:rPr>
              <w:t>0.202</w:t>
            </w:r>
          </w:p>
        </w:tc>
        <w:tc>
          <w:tcPr>
            <w:tcW w:type="dxa" w:w="950"/>
            <w:shd w:val="clear" w:color="auto" w:fill="F6F1E6"/>
          </w:tcPr>
          <w:p>
            <w:pPr>
              <w:spacing w:after="20"/>
              <w:jc w:val="right"/>
            </w:pPr>
            <w:r>
              <w:rPr>
                <w:b/>
                <w:color w:val="1C3A36"/>
                <w:sz w:val="15"/>
              </w:rPr>
              <w:t>0.142</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0.251</w:t>
            </w:r>
          </w:p>
        </w:tc>
        <w:tc>
          <w:tcPr>
            <w:tcW w:type="dxa" w:w="950"/>
          </w:tcPr>
          <w:p>
            <w:pPr>
              <w:spacing w:after="20"/>
              <w:jc w:val="right"/>
            </w:pPr>
            <w:r>
              <w:rPr>
                <w:color w:val="1C3A36"/>
                <w:sz w:val="15"/>
              </w:rPr>
              <w:t>0.296</w:t>
            </w:r>
          </w:p>
        </w:tc>
        <w:tc>
          <w:tcPr>
            <w:tcW w:type="dxa" w:w="950"/>
          </w:tcPr>
          <w:p>
            <w:pPr>
              <w:spacing w:after="20"/>
              <w:jc w:val="right"/>
            </w:pPr>
            <w:r>
              <w:rPr>
                <w:color w:val="1C3A36"/>
                <w:sz w:val="15"/>
              </w:rPr>
              <w:t>0.272</w:t>
            </w:r>
          </w:p>
        </w:tc>
        <w:tc>
          <w:tcPr>
            <w:tcW w:type="dxa" w:w="950"/>
          </w:tcPr>
          <w:p>
            <w:pPr>
              <w:spacing w:after="20"/>
              <w:jc w:val="right"/>
            </w:pPr>
            <w:r>
              <w:rPr>
                <w:color w:val="1C3A36"/>
                <w:sz w:val="15"/>
              </w:rPr>
              <w:t>0.215</w:t>
            </w:r>
          </w:p>
        </w:tc>
        <w:tc>
          <w:tcPr>
            <w:tcW w:type="dxa" w:w="950"/>
          </w:tcPr>
          <w:p>
            <w:pPr>
              <w:spacing w:after="20"/>
              <w:jc w:val="right"/>
            </w:pPr>
            <w:r>
              <w:rPr>
                <w:color w:val="1C3A36"/>
                <w:sz w:val="15"/>
              </w:rPr>
              <w:t>0.155</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5.5%;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9,088</w:t>
            </w:r>
          </w:p>
        </w:tc>
        <w:tc>
          <w:tcPr>
            <w:tcW w:type="dxa" w:w="950"/>
          </w:tcPr>
          <w:p>
            <w:pPr>
              <w:spacing w:after="20"/>
              <w:jc w:val="right"/>
            </w:pPr>
            <w:r>
              <w:rPr>
                <w:color w:val="1C3A36"/>
                <w:sz w:val="15"/>
              </w:rPr>
              <w:t>9,776</w:t>
            </w:r>
          </w:p>
        </w:tc>
        <w:tc>
          <w:tcPr>
            <w:tcW w:type="dxa" w:w="950"/>
          </w:tcPr>
          <w:p>
            <w:pPr>
              <w:spacing w:after="20"/>
              <w:jc w:val="right"/>
            </w:pPr>
            <w:r>
              <w:rPr>
                <w:color w:val="1C3A36"/>
                <w:sz w:val="15"/>
              </w:rPr>
              <w:t>10,424</w:t>
            </w:r>
          </w:p>
        </w:tc>
        <w:tc>
          <w:tcPr>
            <w:tcW w:type="dxa" w:w="950"/>
          </w:tcPr>
          <w:p>
            <w:pPr>
              <w:spacing w:after="20"/>
              <w:jc w:val="right"/>
            </w:pPr>
            <w:r>
              <w:rPr>
                <w:color w:val="1C3A36"/>
                <w:sz w:val="15"/>
              </w:rPr>
              <w:t>10,506</w:t>
            </w:r>
          </w:p>
        </w:tc>
        <w:tc>
          <w:tcPr>
            <w:tcW w:type="dxa" w:w="950"/>
          </w:tcPr>
          <w:p>
            <w:pPr>
              <w:spacing w:after="20"/>
              <w:jc w:val="right"/>
            </w:pPr>
            <w:r>
              <w:rPr>
                <w:color w:val="1C3A36"/>
                <w:sz w:val="15"/>
              </w:rPr>
              <w:t>10,535</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732</w:t>
            </w:r>
          </w:p>
        </w:tc>
        <w:tc>
          <w:tcPr>
            <w:tcW w:type="dxa" w:w="950"/>
            <w:shd w:val="clear" w:color="auto" w:fill="F6F1E6"/>
          </w:tcPr>
          <w:p>
            <w:pPr>
              <w:spacing w:after="20"/>
              <w:jc w:val="right"/>
            </w:pPr>
            <w:r>
              <w:rPr>
                <w:b/>
                <w:color w:val="1C3A36"/>
                <w:sz w:val="15"/>
              </w:rPr>
              <w:t>854</w:t>
            </w:r>
          </w:p>
        </w:tc>
        <w:tc>
          <w:tcPr>
            <w:tcW w:type="dxa" w:w="950"/>
            <w:shd w:val="clear" w:color="auto" w:fill="F6F1E6"/>
          </w:tcPr>
          <w:p>
            <w:pPr>
              <w:spacing w:after="20"/>
              <w:jc w:val="right"/>
            </w:pPr>
            <w:r>
              <w:rPr>
                <w:b/>
                <w:color w:val="1C3A36"/>
                <w:sz w:val="15"/>
              </w:rPr>
              <w:t>789</w:t>
            </w:r>
          </w:p>
        </w:tc>
        <w:tc>
          <w:tcPr>
            <w:tcW w:type="dxa" w:w="950"/>
            <w:shd w:val="clear" w:color="auto" w:fill="F6F1E6"/>
          </w:tcPr>
          <w:p>
            <w:pPr>
              <w:spacing w:after="20"/>
              <w:jc w:val="right"/>
            </w:pPr>
            <w:r>
              <w:rPr>
                <w:b/>
                <w:color w:val="1C3A36"/>
                <w:sz w:val="15"/>
              </w:rPr>
              <w:t>644</w:t>
            </w:r>
          </w:p>
        </w:tc>
        <w:tc>
          <w:tcPr>
            <w:tcW w:type="dxa" w:w="950"/>
            <w:shd w:val="clear" w:color="auto" w:fill="F6F1E6"/>
          </w:tcPr>
          <w:p>
            <w:pPr>
              <w:spacing w:after="20"/>
              <w:jc w:val="right"/>
            </w:pPr>
            <w:r>
              <w:rPr>
                <w:b/>
                <w:color w:val="1C3A36"/>
                <w:sz w:val="15"/>
              </w:rPr>
              <w:t>485</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2,404</w:t>
            </w:r>
          </w:p>
        </w:tc>
        <w:tc>
          <w:tcPr>
            <w:tcW w:type="dxa" w:w="950"/>
          </w:tcPr>
          <w:p>
            <w:pPr>
              <w:spacing w:after="20"/>
              <w:jc w:val="right"/>
            </w:pPr>
            <w:r>
              <w:rPr>
                <w:color w:val="1C3A36"/>
                <w:sz w:val="15"/>
              </w:rPr>
              <w:t>2,060</w:t>
            </w:r>
          </w:p>
        </w:tc>
        <w:tc>
          <w:tcPr>
            <w:tcW w:type="dxa" w:w="950"/>
          </w:tcPr>
          <w:p>
            <w:pPr>
              <w:spacing w:after="20"/>
              <w:jc w:val="right"/>
            </w:pPr>
            <w:r>
              <w:rPr>
                <w:color w:val="1C3A36"/>
                <w:sz w:val="15"/>
              </w:rPr>
              <w:t>903</w:t>
            </w:r>
          </w:p>
        </w:tc>
        <w:tc>
          <w:tcPr>
            <w:tcW w:type="dxa" w:w="950"/>
          </w:tcPr>
          <w:p>
            <w:pPr>
              <w:spacing w:after="20"/>
              <w:jc w:val="right"/>
            </w:pPr>
            <w:r>
              <w:rPr>
                <w:color w:val="1C3A36"/>
                <w:sz w:val="15"/>
              </w:rPr>
              <w:t>-275</w:t>
            </w:r>
          </w:p>
        </w:tc>
        <w:tc>
          <w:tcPr>
            <w:tcW w:type="dxa" w:w="950"/>
          </w:tcPr>
          <w:p>
            <w:pPr>
              <w:spacing w:after="20"/>
              <w:jc w:val="right"/>
            </w:pPr>
            <w:r>
              <w:rPr>
                <w:color w:val="1C3A36"/>
                <w:sz w:val="15"/>
              </w:rPr>
              <w:t>-1,633</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1,517</w:t>
            </w:r>
          </w:p>
        </w:tc>
        <w:tc>
          <w:tcPr>
            <w:tcW w:type="dxa" w:w="950"/>
          </w:tcPr>
          <w:p>
            <w:pPr>
              <w:spacing w:after="20"/>
              <w:jc w:val="right"/>
            </w:pPr>
            <w:r>
              <w:rPr>
                <w:color w:val="1C3A36"/>
                <w:sz w:val="15"/>
              </w:rPr>
              <w:t>360</w:t>
            </w:r>
          </w:p>
        </w:tc>
        <w:tc>
          <w:tcPr>
            <w:tcW w:type="dxa" w:w="950"/>
          </w:tcPr>
          <w:p>
            <w:pPr>
              <w:spacing w:after="20"/>
              <w:jc w:val="right"/>
            </w:pPr>
            <w:r>
              <w:rPr>
                <w:color w:val="1C3A36"/>
                <w:sz w:val="15"/>
              </w:rPr>
              <w:t>(818)</w:t>
            </w:r>
          </w:p>
        </w:tc>
        <w:tc>
          <w:tcPr>
            <w:tcW w:type="dxa" w:w="950"/>
          </w:tcPr>
          <w:p>
            <w:pPr>
              <w:spacing w:after="20"/>
              <w:jc w:val="right"/>
            </w:pPr>
            <w:r>
              <w:rPr>
                <w:color w:val="1C3A36"/>
                <w:sz w:val="15"/>
              </w:rPr>
              <w:t>(2,176)</w:t>
            </w:r>
          </w:p>
        </w:tc>
        <w:tc>
          <w:tcPr>
            <w:tcW w:type="dxa" w:w="950"/>
          </w:tcPr>
          <w:p>
            <w:pPr>
              <w:spacing w:after="20"/>
              <w:jc w:val="right"/>
            </w:pPr>
            <w:r>
              <w:rPr>
                <w:color w:val="1C3A36"/>
                <w:sz w:val="15"/>
              </w:rPr>
              <w:t>(3,114)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7,304</w:t>
            </w:r>
          </w:p>
        </w:tc>
        <w:tc>
          <w:tcPr>
            <w:tcW w:type="dxa" w:w="950"/>
            <w:shd w:val="clear" w:color="auto" w:fill="F6F1E6"/>
          </w:tcPr>
          <w:p>
            <w:pPr>
              <w:spacing w:after="20"/>
              <w:jc w:val="right"/>
            </w:pPr>
            <w:r>
              <w:rPr>
                <w:b/>
                <w:color w:val="1C3A36"/>
                <w:sz w:val="15"/>
              </w:rPr>
              <w:t>9,041</w:t>
            </w:r>
          </w:p>
        </w:tc>
        <w:tc>
          <w:tcPr>
            <w:tcW w:type="dxa" w:w="950"/>
            <w:shd w:val="clear" w:color="auto" w:fill="F6F1E6"/>
          </w:tcPr>
          <w:p>
            <w:pPr>
              <w:spacing w:after="20"/>
              <w:jc w:val="right"/>
            </w:pPr>
            <w:r>
              <w:rPr>
                <w:b/>
                <w:color w:val="1C3A36"/>
                <w:sz w:val="15"/>
              </w:rPr>
              <w:t>10,584</w:t>
            </w:r>
          </w:p>
        </w:tc>
        <w:tc>
          <w:tcPr>
            <w:tcW w:type="dxa" w:w="950"/>
            <w:shd w:val="clear" w:color="auto" w:fill="F6F1E6"/>
          </w:tcPr>
          <w:p>
            <w:pPr>
              <w:spacing w:after="20"/>
              <w:jc w:val="right"/>
            </w:pPr>
            <w:r>
              <w:rPr>
                <w:b/>
                <w:color w:val="1C3A36"/>
                <w:sz w:val="15"/>
              </w:rPr>
              <w:t>11,683</w:t>
            </w:r>
          </w:p>
        </w:tc>
        <w:tc>
          <w:tcPr>
            <w:tcW w:type="dxa" w:w="950"/>
            <w:shd w:val="clear" w:color="auto" w:fill="F6F1E6"/>
          </w:tcPr>
          <w:p>
            <w:pPr>
              <w:spacing w:after="20"/>
              <w:jc w:val="right"/>
            </w:pPr>
            <w:r>
              <w:rPr>
                <w:b/>
                <w:color w:val="1C3A36"/>
                <w:sz w:val="15"/>
              </w:rPr>
              <w:t>12,316</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0.9872</w:t>
            </w:r>
          </w:p>
        </w:tc>
        <w:tc>
          <w:tcPr>
            <w:tcW w:type="dxa" w:w="950"/>
          </w:tcPr>
          <w:p>
            <w:pPr>
              <w:spacing w:after="20"/>
              <w:jc w:val="right"/>
            </w:pPr>
            <w:r>
              <w:rPr>
                <w:color w:val="1C3A36"/>
                <w:sz w:val="15"/>
              </w:rPr>
              <w:t>1.2220</w:t>
            </w:r>
          </w:p>
        </w:tc>
        <w:tc>
          <w:tcPr>
            <w:tcW w:type="dxa" w:w="950"/>
          </w:tcPr>
          <w:p>
            <w:pPr>
              <w:spacing w:after="20"/>
              <w:jc w:val="right"/>
            </w:pPr>
            <w:r>
              <w:rPr>
                <w:color w:val="1C3A36"/>
                <w:sz w:val="15"/>
              </w:rPr>
              <w:t>1.4306</w:t>
            </w:r>
          </w:p>
        </w:tc>
        <w:tc>
          <w:tcPr>
            <w:tcW w:type="dxa" w:w="950"/>
          </w:tcPr>
          <w:p>
            <w:pPr>
              <w:spacing w:after="20"/>
              <w:jc w:val="right"/>
            </w:pPr>
            <w:r>
              <w:rPr>
                <w:color w:val="1C3A36"/>
                <w:sz w:val="15"/>
              </w:rPr>
              <w:t>1.5791</w:t>
            </w:r>
          </w:p>
        </w:tc>
        <w:tc>
          <w:tcPr>
            <w:tcW w:type="dxa" w:w="950"/>
          </w:tcPr>
          <w:p>
            <w:pPr>
              <w:spacing w:after="20"/>
              <w:jc w:val="right"/>
            </w:pPr>
            <w:r>
              <w:rPr>
                <w:color w:val="1C3A36"/>
                <w:sz w:val="15"/>
              </w:rPr>
              <w:t>1.6646</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0.56×</w:t>
            </w:r>
          </w:p>
        </w:tc>
        <w:tc>
          <w:tcPr>
            <w:tcW w:type="dxa" w:w="950"/>
          </w:tcPr>
          <w:p>
            <w:pPr>
              <w:spacing w:after="20"/>
              <w:jc w:val="right"/>
            </w:pPr>
            <w:r>
              <w:rPr>
                <w:color w:val="1C3A36"/>
                <w:sz w:val="15"/>
              </w:rPr>
              <w:t>0.11×</w:t>
            </w:r>
          </w:p>
        </w:tc>
        <w:tc>
          <w:tcPr>
            <w:tcW w:type="dxa" w:w="950"/>
          </w:tcPr>
          <w:p>
            <w:pPr>
              <w:spacing w:after="20"/>
              <w:jc w:val="right"/>
            </w:pPr>
            <w:r>
              <w:rPr>
                <w:color w:val="1C3A36"/>
                <w:sz w:val="15"/>
              </w:rPr>
              <w:t>-0.28×</w:t>
            </w:r>
          </w:p>
        </w:tc>
        <w:tc>
          <w:tcPr>
            <w:tcW w:type="dxa" w:w="950"/>
          </w:tcPr>
          <w:p>
            <w:pPr>
              <w:spacing w:after="20"/>
              <w:jc w:val="right"/>
            </w:pPr>
            <w:r>
              <w:rPr>
                <w:color w:val="1C3A36"/>
                <w:sz w:val="15"/>
              </w:rPr>
              <w:t>-0.90×</w:t>
            </w:r>
          </w:p>
        </w:tc>
        <w:tc>
          <w:tcPr>
            <w:tcW w:type="dxa" w:w="950"/>
          </w:tcPr>
          <w:p>
            <w:pPr>
              <w:spacing w:after="20"/>
              <w:jc w:val="right"/>
            </w:pPr>
            <w:r>
              <w:rPr>
                <w:color w:val="1C3A36"/>
                <w:sz w:val="15"/>
              </w:rPr>
              <w:t>-1.66×</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25.4%</w:t>
            </w:r>
          </w:p>
        </w:tc>
        <w:tc>
          <w:tcPr>
            <w:tcW w:type="dxa" w:w="950"/>
          </w:tcPr>
          <w:p>
            <w:pPr>
              <w:spacing w:after="20"/>
              <w:jc w:val="right"/>
            </w:pPr>
            <w:r>
              <w:rPr>
                <w:color w:val="1C3A36"/>
                <w:sz w:val="15"/>
              </w:rPr>
              <w:t>24.3%</w:t>
            </w:r>
          </w:p>
        </w:tc>
        <w:tc>
          <w:tcPr>
            <w:tcW w:type="dxa" w:w="950"/>
          </w:tcPr>
          <w:p>
            <w:pPr>
              <w:spacing w:after="20"/>
              <w:jc w:val="right"/>
            </w:pPr>
            <w:r>
              <w:rPr>
                <w:color w:val="1C3A36"/>
                <w:sz w:val="15"/>
              </w:rPr>
              <w:t>19.0%</w:t>
            </w:r>
          </w:p>
        </w:tc>
        <w:tc>
          <w:tcPr>
            <w:tcW w:type="dxa" w:w="950"/>
          </w:tcPr>
          <w:p>
            <w:pPr>
              <w:spacing w:after="20"/>
              <w:jc w:val="right"/>
            </w:pPr>
            <w:r>
              <w:rPr>
                <w:color w:val="1C3A36"/>
                <w:sz w:val="15"/>
              </w:rPr>
              <w:t>13.6%</w:t>
            </w:r>
          </w:p>
        </w:tc>
        <w:tc>
          <w:tcPr>
            <w:tcW w:type="dxa" w:w="950"/>
          </w:tcPr>
          <w:p>
            <w:pPr>
              <w:spacing w:after="20"/>
              <w:jc w:val="right"/>
            </w:pPr>
            <w:r>
              <w:rPr>
                <w:color w:val="1C3A36"/>
                <w:sz w:val="15"/>
              </w:rPr>
              <w:t>9.3%</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28.2% · 26.8% · 20.5% · 14.3% · 9.5%,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(385)</w:t>
            </w:r>
          </w:p>
        </w:tc>
        <w:tc>
          <w:tcPr>
            <w:tcW w:type="dxa" w:w="1382"/>
          </w:tcPr>
          <w:p>
            <w:pPr>
              <w:spacing w:after="20"/>
              <w:jc w:val="right"/>
            </w:pPr>
            <w:r>
              <w:rPr>
                <w:color w:val="1C3A36"/>
                <w:sz w:val="16"/>
              </w:rPr>
              <w:t>(122)</w:t>
            </w:r>
          </w:p>
        </w:tc>
        <w:tc>
          <w:tcPr>
            <w:tcW w:type="dxa" w:w="1382"/>
          </w:tcPr>
          <w:p>
            <w:pPr>
              <w:spacing w:after="20"/>
              <w:jc w:val="right"/>
            </w:pPr>
            <w:r>
              <w:rPr>
                <w:color w:val="1C3A36"/>
                <w:sz w:val="16"/>
              </w:rPr>
              <w:t>65</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159</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903</w:t>
            </w:r>
          </w:p>
        </w:tc>
        <w:tc>
          <w:tcPr>
            <w:tcW w:type="dxa" w:w="1382"/>
            <w:shd w:val="clear" w:color="auto" w:fill="F6F1E6"/>
          </w:tcPr>
          <w:p>
            <w:pPr>
              <w:spacing w:after="20"/>
              <w:jc w:val="right"/>
            </w:pPr>
            <w:r>
              <w:rPr>
                <w:b/>
                <w:color w:val="1C3A36"/>
                <w:sz w:val="16"/>
              </w:rPr>
              <w:t>1,713</w:t>
            </w:r>
          </w:p>
        </w:tc>
        <w:tc>
          <w:tcPr>
            <w:tcW w:type="dxa" w:w="1382"/>
            <w:shd w:val="clear" w:color="auto" w:fill="F6F1E6"/>
          </w:tcPr>
          <w:p>
            <w:pPr>
              <w:spacing w:after="20"/>
              <w:jc w:val="right"/>
            </w:pPr>
            <w:r>
              <w:rPr>
                <w:b/>
                <w:color w:val="1C3A36"/>
                <w:sz w:val="16"/>
              </w:rPr>
              <w:t>1,685</w:t>
            </w:r>
          </w:p>
        </w:tc>
        <w:tc>
          <w:tcPr>
            <w:tcW w:type="dxa" w:w="1382"/>
            <w:shd w:val="clear" w:color="auto" w:fill="F6F1E6"/>
          </w:tcPr>
          <w:p>
            <w:pPr>
              <w:spacing w:after="20"/>
              <w:jc w:val="right"/>
            </w:pPr>
            <w:r>
              <w:rPr>
                <w:b/>
                <w:color w:val="1C3A36"/>
                <w:sz w:val="16"/>
              </w:rPr>
              <w:t>1,816</w:t>
            </w:r>
          </w:p>
        </w:tc>
        <w:tc>
          <w:tcPr>
            <w:tcW w:type="dxa" w:w="1382"/>
            <w:shd w:val="clear" w:color="auto" w:fill="F6F1E6"/>
          </w:tcPr>
          <w:p>
            <w:pPr>
              <w:spacing w:after="20"/>
              <w:jc w:val="right"/>
            </w:pPr>
            <w:r>
              <w:rPr>
                <w:b/>
                <w:color w:val="1C3A36"/>
                <w:sz w:val="16"/>
              </w:rPr>
              <w:t>1,337</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(153)</w:t>
            </w:r>
          </w:p>
        </w:tc>
        <w:tc>
          <w:tcPr>
            <w:tcW w:type="dxa" w:w="1382"/>
          </w:tcPr>
          <w:p>
            <w:pPr>
              <w:spacing w:after="20"/>
              <w:jc w:val="right"/>
            </w:pPr>
            <w:r>
              <w:rPr>
                <w:color w:val="1C3A36"/>
                <w:sz w:val="16"/>
              </w:rPr>
              <w:t>(131)</w:t>
            </w:r>
          </w:p>
        </w:tc>
        <w:tc>
          <w:tcPr>
            <w:tcW w:type="dxa" w:w="1382"/>
          </w:tcPr>
          <w:p>
            <w:pPr>
              <w:spacing w:after="20"/>
              <w:jc w:val="right"/>
            </w:pPr>
            <w:r>
              <w:rPr>
                <w:color w:val="1C3A36"/>
                <w:sz w:val="16"/>
              </w:rPr>
              <w:t>(57)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(-104)</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18%</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19%</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36%</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2,404</w:t>
            </w:r>
          </w:p>
        </w:tc>
        <w:tc>
          <w:tcPr>
            <w:tcW w:type="dxa" w:w="1382"/>
          </w:tcPr>
          <w:p>
            <w:pPr>
              <w:spacing w:after="20"/>
              <w:jc w:val="right"/>
            </w:pPr>
            <w:r>
              <w:rPr>
                <w:color w:val="1C3A36"/>
                <w:sz w:val="16"/>
              </w:rPr>
              <w:t>2,060</w:t>
            </w:r>
          </w:p>
        </w:tc>
        <w:tc>
          <w:tcPr>
            <w:tcW w:type="dxa" w:w="1382"/>
          </w:tcPr>
          <w:p>
            <w:pPr>
              <w:spacing w:after="20"/>
              <w:jc w:val="right"/>
            </w:pPr>
            <w:r>
              <w:rPr>
                <w:color w:val="1C3A36"/>
                <w:sz w:val="16"/>
              </w:rPr>
              <w:t>903</w:t>
            </w:r>
          </w:p>
        </w:tc>
        <w:tc>
          <w:tcPr>
            <w:tcW w:type="dxa" w:w="1382"/>
          </w:tcPr>
          <w:p>
            <w:pPr>
              <w:spacing w:after="20"/>
              <w:jc w:val="right"/>
            </w:pPr>
            <w:r>
              <w:rPr>
                <w:color w:val="1C3A36"/>
                <w:sz w:val="16"/>
              </w:rPr>
              <w:t>-275</w:t>
            </w:r>
          </w:p>
        </w:tc>
        <w:tc>
          <w:tcPr>
            <w:tcW w:type="dxa" w:w="1382"/>
          </w:tcPr>
          <w:p>
            <w:pPr>
              <w:spacing w:after="20"/>
              <w:jc w:val="right"/>
            </w:pPr>
            <w:r>
              <w:rPr>
                <w:color w:val="1C3A36"/>
                <w:sz w:val="16"/>
              </w:rPr>
              <w:t>-1,633</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1,517</w:t>
            </w:r>
          </w:p>
        </w:tc>
        <w:tc>
          <w:tcPr>
            <w:tcW w:type="dxa" w:w="1382"/>
          </w:tcPr>
          <w:p>
            <w:pPr>
              <w:spacing w:after="20"/>
              <w:jc w:val="right"/>
            </w:pPr>
            <w:r>
              <w:rPr>
                <w:color w:val="1C3A36"/>
                <w:sz w:val="16"/>
              </w:rPr>
              <w:t>360</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(2,176)</w:t>
            </w:r>
          </w:p>
        </w:tc>
        <w:tc>
          <w:tcPr>
            <w:tcW w:type="dxa" w:w="1382"/>
          </w:tcPr>
          <w:p>
            <w:pPr>
              <w:spacing w:after="20"/>
              <w:jc w:val="right"/>
            </w:pPr>
            <w:r>
              <w:rPr>
                <w:color w:val="1C3A36"/>
                <w:sz w:val="16"/>
              </w:rPr>
              <w:t>(3,114)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0.56×</w:t>
            </w:r>
          </w:p>
        </w:tc>
        <w:tc>
          <w:tcPr>
            <w:tcW w:type="dxa" w:w="1382"/>
            <w:shd w:val="clear" w:color="auto" w:fill="F6F1E6"/>
          </w:tcPr>
          <w:p>
            <w:pPr>
              <w:spacing w:after="20"/>
              <w:jc w:val="right"/>
            </w:pPr>
            <w:r>
              <w:rPr>
                <w:b/>
                <w:color w:val="1C3A36"/>
                <w:sz w:val="16"/>
              </w:rPr>
              <w:t>0.11×</w:t>
            </w:r>
          </w:p>
        </w:tc>
        <w:tc>
          <w:tcPr>
            <w:tcW w:type="dxa" w:w="1382"/>
            <w:shd w:val="clear" w:color="auto" w:fill="F6F1E6"/>
          </w:tcPr>
          <w:p>
            <w:pPr>
              <w:spacing w:after="20"/>
              <w:jc w:val="right"/>
            </w:pPr>
            <w:r>
              <w:rPr>
                <w:b/>
                <w:color w:val="1C3A36"/>
                <w:sz w:val="16"/>
              </w:rPr>
              <w:t>-0.28×</w:t>
            </w:r>
          </w:p>
        </w:tc>
        <w:tc>
          <w:tcPr>
            <w:tcW w:type="dxa" w:w="1382"/>
            <w:shd w:val="clear" w:color="auto" w:fill="F6F1E6"/>
          </w:tcPr>
          <w:p>
            <w:pPr>
              <w:spacing w:after="20"/>
              <w:jc w:val="right"/>
            </w:pPr>
            <w:r>
              <w:rPr>
                <w:b/>
                <w:color w:val="1C3A36"/>
                <w:sz w:val="16"/>
              </w:rPr>
              <w:t>-0.90×</w:t>
            </w:r>
          </w:p>
        </w:tc>
        <w:tc>
          <w:tcPr>
            <w:tcW w:type="dxa" w:w="1382"/>
            <w:shd w:val="clear" w:color="auto" w:fill="F6F1E6"/>
          </w:tcPr>
          <w:p>
            <w:pPr>
              <w:spacing w:after="20"/>
              <w:jc w:val="right"/>
            </w:pPr>
            <w:r>
              <w:rPr>
                <w:b/>
                <w:color w:val="1C3A36"/>
                <w:sz w:val="16"/>
              </w:rPr>
              <w:t>-1.66×</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9,887</w:t>
            </w:r>
          </w:p>
        </w:tc>
        <w:tc>
          <w:tcPr>
            <w:tcW w:type="dxa" w:w="1382"/>
          </w:tcPr>
          <w:p>
            <w:pPr>
              <w:spacing w:after="20"/>
              <w:jc w:val="right"/>
            </w:pPr>
            <w:r>
              <w:rPr>
                <w:color w:val="1C3A36"/>
                <w:sz w:val="16"/>
              </w:rPr>
              <w:t>10,697</w:t>
            </w:r>
          </w:p>
        </w:tc>
        <w:tc>
          <w:tcPr>
            <w:tcW w:type="dxa" w:w="1382"/>
          </w:tcPr>
          <w:p>
            <w:pPr>
              <w:spacing w:after="20"/>
              <w:jc w:val="right"/>
            </w:pPr>
            <w:r>
              <w:rPr>
                <w:color w:val="1C3A36"/>
                <w:sz w:val="16"/>
              </w:rPr>
              <w:t>11,281</w:t>
            </w:r>
          </w:p>
        </w:tc>
        <w:tc>
          <w:tcPr>
            <w:tcW w:type="dxa" w:w="1382"/>
          </w:tcPr>
          <w:p>
            <w:pPr>
              <w:spacing w:after="20"/>
              <w:jc w:val="right"/>
            </w:pPr>
            <w:r>
              <w:rPr>
                <w:color w:val="1C3A36"/>
                <w:sz w:val="16"/>
              </w:rPr>
              <w:t>11,218</w:t>
            </w:r>
          </w:p>
        </w:tc>
        <w:tc>
          <w:tcPr>
            <w:tcW w:type="dxa" w:w="1382"/>
          </w:tcPr>
          <w:p>
            <w:pPr>
              <w:spacing w:after="20"/>
              <w:jc w:val="right"/>
            </w:pPr>
            <w:r>
              <w:rPr>
                <w:color w:val="1C3A36"/>
                <w:sz w:val="16"/>
              </w:rPr>
              <w:t>11,088</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21.0%</w:t>
            </w:r>
          </w:p>
        </w:tc>
        <w:tc>
          <w:tcPr>
            <w:tcW w:type="dxa" w:w="1382"/>
          </w:tcPr>
          <w:p>
            <w:pPr>
              <w:spacing w:after="20"/>
              <w:jc w:val="right"/>
            </w:pPr>
            <w:r>
              <w:rPr>
                <w:color w:val="1C3A36"/>
                <w:sz w:val="16"/>
              </w:rPr>
              <w:t>22.5%</w:t>
            </w:r>
          </w:p>
        </w:tc>
        <w:tc>
          <w:tcPr>
            <w:tcW w:type="dxa" w:w="1382"/>
          </w:tcPr>
          <w:p>
            <w:pPr>
              <w:spacing w:after="20"/>
              <w:jc w:val="right"/>
            </w:pPr>
            <w:r>
              <w:rPr>
                <w:color w:val="1C3A36"/>
                <w:sz w:val="16"/>
              </w:rPr>
              <w:t>19.0%</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9.8%</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8.70%</w:t>
            </w:r>
          </w:p>
        </w:tc>
        <w:tc>
          <w:tcPr>
            <w:tcW w:type="dxa" w:w="1382"/>
          </w:tcPr>
          <w:p>
            <w:pPr>
              <w:spacing w:after="20"/>
              <w:jc w:val="right"/>
            </w:pPr>
            <w:r>
              <w:rPr>
                <w:color w:val="1C3A36"/>
                <w:sz w:val="16"/>
              </w:rPr>
              <w:t>8.70%</w:t>
            </w:r>
          </w:p>
        </w:tc>
        <w:tc>
          <w:tcPr>
            <w:tcW w:type="dxa" w:w="1382"/>
          </w:tcPr>
          <w:p>
            <w:pPr>
              <w:spacing w:after="20"/>
              <w:jc w:val="right"/>
            </w:pPr>
            <w:r>
              <w:rPr>
                <w:color w:val="1C3A36"/>
                <w:sz w:val="16"/>
              </w:rPr>
              <w:t>8.69%</w:t>
            </w:r>
          </w:p>
        </w:tc>
        <w:tc>
          <w:tcPr>
            <w:tcW w:type="dxa" w:w="1382"/>
          </w:tcPr>
          <w:p>
            <w:pPr>
              <w:spacing w:after="20"/>
              <w:jc w:val="right"/>
            </w:pPr>
            <w:r>
              <w:rPr>
                <w:color w:val="1C3A36"/>
                <w:sz w:val="16"/>
              </w:rPr>
              <w:t>8.68%</w:t>
            </w:r>
          </w:p>
        </w:tc>
        <w:tc>
          <w:tcPr>
            <w:tcW w:type="dxa" w:w="1382"/>
          </w:tcPr>
          <w:p>
            <w:pPr>
              <w:spacing w:after="20"/>
              <w:jc w:val="right"/>
            </w:pPr>
            <w:r>
              <w:rPr>
                <w:color w:val="1C3A36"/>
                <w:sz w:val="16"/>
              </w:rPr>
              <w:t>8.68%</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+12.3pp</w:t>
            </w:r>
          </w:p>
        </w:tc>
        <w:tc>
          <w:tcPr>
            <w:tcW w:type="dxa" w:w="1382"/>
            <w:shd w:val="clear" w:color="auto" w:fill="F6F1E6"/>
          </w:tcPr>
          <w:p>
            <w:pPr>
              <w:spacing w:after="20"/>
              <w:jc w:val="right"/>
            </w:pPr>
            <w:r>
              <w:rPr>
                <w:b/>
                <w:color w:val="1C3A36"/>
                <w:sz w:val="16"/>
              </w:rPr>
              <w:t>+13.8pp</w:t>
            </w:r>
          </w:p>
        </w:tc>
        <w:tc>
          <w:tcPr>
            <w:tcW w:type="dxa" w:w="1382"/>
            <w:shd w:val="clear" w:color="auto" w:fill="F6F1E6"/>
          </w:tcPr>
          <w:p>
            <w:pPr>
              <w:spacing w:after="20"/>
              <w:jc w:val="right"/>
            </w:pPr>
            <w:r>
              <w:rPr>
                <w:b/>
                <w:color w:val="1C3A36"/>
                <w:sz w:val="16"/>
              </w:rPr>
              <w:t>+10.4pp</w:t>
            </w:r>
          </w:p>
        </w:tc>
        <w:tc>
          <w:tcPr>
            <w:tcW w:type="dxa" w:w="1382"/>
            <w:shd w:val="clear" w:color="auto" w:fill="F6F1E6"/>
          </w:tcPr>
          <w:p>
            <w:pPr>
              <w:spacing w:after="20"/>
              <w:jc w:val="right"/>
            </w:pPr>
            <w:r>
              <w:rPr>
                <w:b/>
                <w:color w:val="1C3A36"/>
                <w:sz w:val="16"/>
              </w:rPr>
              <w:t>+5.8pp</w:t>
            </w:r>
          </w:p>
        </w:tc>
        <w:tc>
          <w:tcPr>
            <w:tcW w:type="dxa" w:w="1382"/>
            <w:shd w:val="clear" w:color="auto" w:fill="F6F1E6"/>
          </w:tcPr>
          <w:p>
            <w:pPr>
              <w:spacing w:after="20"/>
              <w:jc w:val="right"/>
            </w:pPr>
            <w:r>
              <w:rPr>
                <w:b/>
                <w:color w:val="1C3A36"/>
                <w:sz w:val="16"/>
              </w:rPr>
              <w:t>+1.1pp</w:t>
            </w:r>
          </w:p>
        </w:tc>
      </w:tr>
    </w:tbl>
    <w:p>
      <w:pPr>
        <w:spacing w:after="40"/>
      </w:pPr>
    </w:p>
    <w:p>
      <w:pPr>
        <w:spacing w:after="120" w:before="0"/>
      </w:pPr>
      <w:r>
        <w:rPr>
          <w:b w:val="0"/>
          <w:i w:val="0"/>
          <w:color w:val="1C3A36"/>
          <w:sz w:val="21"/>
        </w:rPr>
        <w:t>Three things in that table are worth reading together. Free cash flow to the firm is only USD 903 million in 2026E — on earnings of USD 2,716 million — because the capital programme peaks at USD 1,375 million and working capital builds by USD 385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+12.3 percentage points to +1.1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2.83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2.03 a share between the two published constructions, and AED 3.51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8,780 million</w:t>
            </w:r>
          </w:p>
        </w:tc>
        <w:tc>
          <w:tcPr>
            <w:tcW w:type="dxa" w:w="3528"/>
          </w:tcPr>
          <w:p>
            <w:pPr>
              <w:spacing w:after="20"/>
            </w:pPr>
            <w:r>
              <w:rPr>
                <w:color w:val="1C3A36"/>
                <w:sz w:val="16"/>
              </w:rPr>
              <w:t>the capital-expenditure row spans AED 1.15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1.09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0.43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cost stack used — a fixed base of USD 530 million a year and 1.05× of charter-equivalent revenue — is solved from the audited FY2025 year and the reviewed six months to 30 June 2026 together, and tested on the reviewed six months to 30 June 2025, which are held out.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reads that rest on it are cross-checks rather than parts of the answer, where an earlier edition gave them 45% of a blend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2,617</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(693)</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1,924</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(59)</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(44)</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20</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1,840</w:t>
            </w:r>
          </w:p>
        </w:tc>
      </w:tr>
      <w:tr>
        <w:trPr>
          <w:cantSplit/>
        </w:trPr>
        <w:tc>
          <w:tcPr>
            <w:tcW w:type="dxa" w:w="6912"/>
          </w:tcPr>
          <w:p>
            <w:pPr>
              <w:spacing w:after="20"/>
            </w:pPr>
            <w:r>
              <w:rPr>
                <w:color w:val="1C3A36"/>
                <w:sz w:val="16"/>
              </w:rPr>
              <w:t>Less non-controlling interests at 4.5% (USD mn)</w:t>
            </w:r>
          </w:p>
        </w:tc>
        <w:tc>
          <w:tcPr>
            <w:tcW w:type="dxa" w:w="3168"/>
          </w:tcPr>
          <w:p>
            <w:pPr>
              <w:spacing w:after="20"/>
              <w:jc w:val="right"/>
            </w:pPr>
            <w:r>
              <w:rPr>
                <w:color w:val="1C3A36"/>
                <w:sz w:val="16"/>
              </w:rPr>
              <w:t>(84)</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1,660</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0.2243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9.89</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7.42 – 12.36</w:t>
            </w:r>
          </w:p>
        </w:tc>
      </w:tr>
    </w:tbl>
    <w:p>
      <w:pPr>
        <w:spacing w:after="40"/>
      </w:pPr>
    </w:p>
    <w:p>
      <w:pPr>
        <w:spacing w:after="120" w:before="0"/>
      </w:pPr>
      <w:r>
        <w:rPr>
          <w:b w:val="0"/>
          <w:i w:val="0"/>
          <w:color w:val="1C3A36"/>
          <w:sz w:val="21"/>
        </w:rPr>
        <w:t>Named sensitivity: each single turn of the multiple is worth AED 0.82 a share, so the 9×-to-15× range above spans AED 4.94. And every USD 100 million of mid-cycle earnings before interest, tax, depreciation and amortisation — about 3.8% of the base — is worth roughly AED 0.57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1,491</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(40)</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18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1,372</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(9.43%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18,827</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9.35</w:t>
            </w:r>
          </w:p>
        </w:tc>
      </w:tr>
      <w:tr>
        <w:trPr>
          <w:cantSplit/>
        </w:trPr>
        <w:tc>
          <w:tcPr>
            <w:tcW w:type="dxa" w:w="6912"/>
          </w:tcPr>
          <w:p>
            <w:pPr>
              <w:spacing w:after="20"/>
            </w:pPr>
            <w:r>
              <w:rPr>
                <w:color w:val="1C3A36"/>
                <w:sz w:val="16"/>
              </w:rPr>
              <w:t>Range — the low end at a cost of equity of 11.95%, built on the top of the beta's 90% interval (1.621), with lower growth; the high end at 6.91% on the bottom of it (0.586) with higher growth</w:t>
            </w:r>
          </w:p>
        </w:tc>
        <w:tc>
          <w:tcPr>
            <w:tcW w:type="dxa" w:w="3168"/>
          </w:tcPr>
          <w:p>
            <w:pPr>
              <w:spacing w:after="20"/>
              <w:jc w:val="right"/>
            </w:pPr>
            <w:r>
              <w:rPr>
                <w:color w:val="1C3A36"/>
                <w:sz w:val="16"/>
              </w:rPr>
              <w:t>6.28 – 15.82</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4.5%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9.18 rather than AED 9.35, a move of AED -0.16.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9.35, below the study's own central of AED 5.34, and the reason is specific: the five-year average free cash flow of USD 1,491 million is dragged down by the investment years. Free cash flow to the firm is USD 903 million in 2026E and USD 1,816 million in 2029E; averaging a business across a period when it is building the assets that produce the later number is a real charge against it. That is the method doing what it says it does, and it is why the range extends as high as AED 15.82.</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7.42% instead of 9.43% — and the answer is roughly AED 12.81 a share, a rise of about 37%.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9.54.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7,827</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3,979</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1,212</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13,018</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(3,607)</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9,411</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4.67</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3.58 – 5.50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21.0%</w:t>
            </w:r>
          </w:p>
        </w:tc>
        <w:tc>
          <w:tcPr>
            <w:tcW w:type="dxa" w:w="1382"/>
          </w:tcPr>
          <w:p>
            <w:pPr>
              <w:spacing w:after="20"/>
              <w:jc w:val="right"/>
            </w:pPr>
            <w:r>
              <w:rPr>
                <w:color w:val="1C3A36"/>
                <w:sz w:val="16"/>
              </w:rPr>
              <w:t>22.5%</w:t>
            </w:r>
          </w:p>
        </w:tc>
        <w:tc>
          <w:tcPr>
            <w:tcW w:type="dxa" w:w="1382"/>
          </w:tcPr>
          <w:p>
            <w:pPr>
              <w:spacing w:after="20"/>
              <w:jc w:val="right"/>
            </w:pPr>
            <w:r>
              <w:rPr>
                <w:color w:val="1C3A36"/>
                <w:sz w:val="16"/>
              </w:rPr>
              <w:t>19.0%</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9.8%</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8.71%</w:t>
            </w:r>
          </w:p>
        </w:tc>
        <w:tc>
          <w:tcPr>
            <w:tcW w:type="dxa" w:w="1382"/>
          </w:tcPr>
          <w:p>
            <w:pPr>
              <w:spacing w:after="20"/>
              <w:jc w:val="right"/>
            </w:pPr>
            <w:r>
              <w:rPr>
                <w:color w:val="1C3A36"/>
                <w:sz w:val="16"/>
              </w:rPr>
              <w:t>8.71%</w:t>
            </w:r>
          </w:p>
        </w:tc>
        <w:tc>
          <w:tcPr>
            <w:tcW w:type="dxa" w:w="1382"/>
          </w:tcPr>
          <w:p>
            <w:pPr>
              <w:spacing w:after="20"/>
              <w:jc w:val="right"/>
            </w:pPr>
            <w:r>
              <w:rPr>
                <w:color w:val="1C3A36"/>
                <w:sz w:val="16"/>
              </w:rPr>
              <w:t>8.71%</w:t>
            </w:r>
          </w:p>
        </w:tc>
        <w:tc>
          <w:tcPr>
            <w:tcW w:type="dxa" w:w="1382"/>
          </w:tcPr>
          <w:p>
            <w:pPr>
              <w:spacing w:after="20"/>
              <w:jc w:val="right"/>
            </w:pPr>
            <w:r>
              <w:rPr>
                <w:color w:val="1C3A36"/>
                <w:sz w:val="16"/>
              </w:rPr>
              <w:t>8.71%</w:t>
            </w:r>
          </w:p>
        </w:tc>
        <w:tc>
          <w:tcPr>
            <w:tcW w:type="dxa" w:w="1382"/>
          </w:tcPr>
          <w:p>
            <w:pPr>
              <w:spacing w:after="20"/>
              <w:jc w:val="right"/>
            </w:pPr>
            <w:r>
              <w:rPr>
                <w:color w:val="1C3A36"/>
                <w:sz w:val="16"/>
              </w:rPr>
              <w:t>8.71%</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+12.3pp</w:t>
            </w:r>
          </w:p>
        </w:tc>
        <w:tc>
          <w:tcPr>
            <w:tcW w:type="dxa" w:w="1382"/>
            <w:shd w:val="clear" w:color="auto" w:fill="F6F1E6"/>
          </w:tcPr>
          <w:p>
            <w:pPr>
              <w:spacing w:after="20"/>
              <w:jc w:val="right"/>
            </w:pPr>
            <w:r>
              <w:rPr>
                <w:b/>
                <w:color w:val="1C3A36"/>
                <w:sz w:val="16"/>
              </w:rPr>
              <w:t>+13.8pp</w:t>
            </w:r>
          </w:p>
        </w:tc>
        <w:tc>
          <w:tcPr>
            <w:tcW w:type="dxa" w:w="1382"/>
            <w:shd w:val="clear" w:color="auto" w:fill="F6F1E6"/>
          </w:tcPr>
          <w:p>
            <w:pPr>
              <w:spacing w:after="20"/>
              <w:jc w:val="right"/>
            </w:pPr>
            <w:r>
              <w:rPr>
                <w:b/>
                <w:color w:val="1C3A36"/>
                <w:sz w:val="16"/>
              </w:rPr>
              <w:t>+10.3pp</w:t>
            </w:r>
          </w:p>
        </w:tc>
        <w:tc>
          <w:tcPr>
            <w:tcW w:type="dxa" w:w="1382"/>
            <w:shd w:val="clear" w:color="auto" w:fill="F6F1E6"/>
          </w:tcPr>
          <w:p>
            <w:pPr>
              <w:spacing w:after="20"/>
              <w:jc w:val="right"/>
            </w:pPr>
            <w:r>
              <w:rPr>
                <w:b/>
                <w:color w:val="1C3A36"/>
                <w:sz w:val="16"/>
              </w:rPr>
              <w:t>+5.8pp</w:t>
            </w:r>
          </w:p>
        </w:tc>
        <w:tc>
          <w:tcPr>
            <w:tcW w:type="dxa" w:w="1382"/>
            <w:shd w:val="clear" w:color="auto" w:fill="F6F1E6"/>
          </w:tcPr>
          <w:p>
            <w:pPr>
              <w:spacing w:after="20"/>
              <w:jc w:val="right"/>
            </w:pPr>
            <w:r>
              <w:rPr>
                <w:b/>
                <w:color w:val="1C3A36"/>
                <w:sz w:val="16"/>
              </w:rPr>
              <w:t>+1.0pp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1,215</w:t>
            </w:r>
          </w:p>
        </w:tc>
        <w:tc>
          <w:tcPr>
            <w:tcW w:type="dxa" w:w="1382"/>
          </w:tcPr>
          <w:p>
            <w:pPr>
              <w:spacing w:after="20"/>
              <w:jc w:val="right"/>
            </w:pPr>
            <w:r>
              <w:rPr>
                <w:color w:val="1C3A36"/>
                <w:sz w:val="16"/>
              </w:rPr>
              <w:t>1,473</w:t>
            </w:r>
          </w:p>
        </w:tc>
        <w:tc>
          <w:tcPr>
            <w:tcW w:type="dxa" w:w="1382"/>
          </w:tcPr>
          <w:p>
            <w:pPr>
              <w:spacing w:after="20"/>
              <w:jc w:val="right"/>
            </w:pPr>
            <w:r>
              <w:rPr>
                <w:color w:val="1C3A36"/>
                <w:sz w:val="16"/>
              </w:rPr>
              <w:t>1,166</w:t>
            </w:r>
          </w:p>
        </w:tc>
        <w:tc>
          <w:tcPr>
            <w:tcW w:type="dxa" w:w="1382"/>
          </w:tcPr>
          <w:p>
            <w:pPr>
              <w:spacing w:after="20"/>
              <w:jc w:val="right"/>
            </w:pPr>
            <w:r>
              <w:rPr>
                <w:color w:val="1C3A36"/>
                <w:sz w:val="16"/>
              </w:rPr>
              <w:t>652</w:t>
            </w:r>
          </w:p>
        </w:tc>
        <w:tc>
          <w:tcPr>
            <w:tcW w:type="dxa" w:w="1382"/>
          </w:tcPr>
          <w:p>
            <w:pPr>
              <w:spacing w:after="20"/>
              <w:jc w:val="right"/>
            </w:pPr>
            <w:r>
              <w:rPr>
                <w:color w:val="1C3A36"/>
                <w:sz w:val="16"/>
              </w:rPr>
              <w:t>115</w:t>
            </w:r>
          </w:p>
        </w:tc>
      </w:tr>
    </w:tbl>
    <w:p>
      <w:pPr>
        <w:spacing w:after="40"/>
      </w:pPr>
    </w:p>
    <w:p>
      <w:pPr>
        <w:spacing w:after="200" w:before="0"/>
      </w:pPr>
      <w:r>
        <w:rPr>
          <w:b w:val="0"/>
          <w:i/>
          <w:color w:val="6E7B77"/>
          <w:sz w:val="17"/>
        </w:rPr>
        <w:t>This is the most revealing exhibit in the study. The spread is positive in every forecast year — the business earns 21% on capital in 2026E against a cost of 9%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8.71% held flat across all five years rather than the declining schedule the cash-flow model discounts at, so the spread row is exactly the return row less 8.71% and the economic-profit row is exactly that spread on the same closing capital. Appendix A.3 shows the spread on the declining schedule instead, which is why the two tables give different spreads from the same returns. Note also that this leg's enterprise value of USD 13,018 million differs from the cash-flow model's USD 14,997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4.67 that already sits 31% below the market price, and takes the fifth-year spread of +1.0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903 million to USD 1,816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9.54,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7.97, the vertical line the market price of AED 6.80.</w:t>
      </w:r>
    </w:p>
    <w:p>
      <w:pPr>
        <w:spacing w:after="120" w:before="0"/>
      </w:pPr>
      <w:r>
        <w:rPr>
          <w:b w:val="0"/>
          <w:i w:val="0"/>
          <w:color w:val="1C3A36"/>
          <w:sz w:val="21"/>
        </w:rPr>
        <w:t>The panel spans AED 4.67 to 9.89 — a factor of 2.12 between the most and least generous base case, which is a narrow disagreement by the standards of this series. That narrowness is itself informative: three methods that share almost nothing methodologically land within AED 5.22 of one another. The market price of AED 6.80 falls inside that span, and so does this study's own cash-flow lens; the central of AED 5.34 sits inside it as well.</w:t>
      </w:r>
    </w:p>
    <w:p>
      <w:pPr>
        <w:spacing w:after="120" w:before="0"/>
      </w:pPr>
      <w:r>
        <w:rPr>
          <w:b w:val="0"/>
          <w:i w:val="0"/>
          <w:color w:val="1C3A36"/>
          <w:sz w:val="21"/>
        </w:rPr>
        <w:t>The panel centre of AED 7.97 sits 17% above the market price and +49% against this study's central. That gap is real and it has a single explanation: every one of the three experts works from mid-cycle or five-year-average earnings, and none of them capitalises a terminal value the way the cash-flow model does. The cash-flow model puts 62%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9.43%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0.54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62%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0.43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4.5%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-0.16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7.37 appears throughout this document beside the adopted AED 5.34.</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