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30 August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3"/>
        <w:gridCol w:w="2493"/>
        <w:gridCol w:w="2493"/>
        <w:gridCol w:w="2493"/>
      </w:tblGrid>
      <w:tr>
        <w:trPr>
          <w:tblHeader w:val="true"/>
        </w:trP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c>
          <w:tcPr>
            <w:tcW w:type="dxa" w:w="2494"/>
          </w:tcPr>
          <w:p>
            <w:r/>
            <w:r>
              <w:rPr>
                <w:color w:val="1A1D21"/>
                <w:sz w:val="17"/>
              </w:rPr>
              <w:t>Consolidated financial statements</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the most recent reported quarter</w:t>
            </w:r>
          </w:p>
        </w:tc>
      </w:tr>
      <w:t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accounts receivable</w:t>
            </w:r>
          </w:p>
        </w:tc>
        <w:tc>
          <w:tcPr>
            <w:tcW w:type="dxa" w:w="1191"/>
          </w:tcPr>
          <w:p>
            <w:pPr>
              <w:jc w:val="right"/>
            </w:pPr>
            <w:r/>
            <w:r>
              <w:rPr>
                <w:color w:val="1A1D21"/>
                <w:sz w:val="15"/>
              </w:rPr>
              <w:t>28,118.1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advances customers</w:t>
            </w:r>
          </w:p>
        </w:tc>
        <w:tc>
          <w:tcPr>
            <w:tcW w:type="dxa" w:w="1191"/>
          </w:tcPr>
          <w:p>
            <w:pPr>
              <w:jc w:val="right"/>
            </w:pPr>
            <w:r/>
            <w:r>
              <w:rPr>
                <w:color w:val="1A1D21"/>
                <w:sz w:val="15"/>
              </w:rPr>
              <w:t>69,354.1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cash</w:t>
            </w:r>
          </w:p>
        </w:tc>
        <w:tc>
          <w:tcPr>
            <w:tcW w:type="dxa" w:w="1191"/>
          </w:tcPr>
          <w:p>
            <w:pPr>
              <w:jc w:val="right"/>
            </w:pPr>
            <w:r/>
            <w:r>
              <w:rPr>
                <w:color w:val="1A1D21"/>
                <w:sz w:val="15"/>
              </w:rPr>
              <w:t>9,419.5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checks undelivered</w:t>
            </w:r>
          </w:p>
        </w:tc>
        <w:tc>
          <w:tcPr>
            <w:tcW w:type="dxa" w:w="1191"/>
          </w:tcPr>
          <w:p>
            <w:pPr>
              <w:jc w:val="right"/>
            </w:pPr>
            <w:r/>
            <w:r>
              <w:rPr>
                <w:color w:val="1A1D21"/>
                <w:sz w:val="15"/>
              </w:rPr>
              <w:t>2,453.7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creditors other</w:t>
            </w:r>
          </w:p>
        </w:tc>
        <w:tc>
          <w:tcPr>
            <w:tcW w:type="dxa" w:w="1191"/>
          </w:tcPr>
          <w:p>
            <w:pPr>
              <w:jc w:val="right"/>
            </w:pPr>
            <w:r/>
            <w:r>
              <w:rPr>
                <w:color w:val="1A1D21"/>
                <w:sz w:val="15"/>
              </w:rPr>
              <w:t>5,121.7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debtors other</w:t>
            </w:r>
          </w:p>
        </w:tc>
        <w:tc>
          <w:tcPr>
            <w:tcW w:type="dxa" w:w="1191"/>
          </w:tcPr>
          <w:p>
            <w:pPr>
              <w:jc w:val="right"/>
            </w:pPr>
            <w:r/>
            <w:r>
              <w:rPr>
                <w:color w:val="1A1D21"/>
                <w:sz w:val="15"/>
              </w:rPr>
              <w:t>12,922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deferred revenue</w:t>
            </w:r>
          </w:p>
        </w:tc>
        <w:tc>
          <w:tcPr>
            <w:tcW w:type="dxa" w:w="1191"/>
          </w:tcPr>
          <w:p>
            <w:pPr>
              <w:jc w:val="right"/>
            </w:pPr>
            <w:r/>
            <w:r>
              <w:rPr>
                <w:color w:val="1A1D21"/>
                <w:sz w:val="15"/>
              </w:rPr>
              <w:t>731.2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due from related</w:t>
            </w:r>
          </w:p>
        </w:tc>
        <w:tc>
          <w:tcPr>
            <w:tcW w:type="dxa" w:w="1191"/>
          </w:tcPr>
          <w:p>
            <w:pPr>
              <w:jc w:val="right"/>
            </w:pPr>
            <w:r/>
            <w:r>
              <w:rPr>
                <w:color w:val="1A1D21"/>
                <w:sz w:val="15"/>
              </w:rPr>
              <w:t>335.7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equity parent</w:t>
            </w:r>
          </w:p>
        </w:tc>
        <w:tc>
          <w:tcPr>
            <w:tcW w:type="dxa" w:w="1191"/>
          </w:tcPr>
          <w:p>
            <w:pPr>
              <w:jc w:val="right"/>
            </w:pPr>
            <w:r/>
            <w:r>
              <w:rPr>
                <w:color w:val="1A1D21"/>
                <w:sz w:val="15"/>
              </w:rPr>
              <w:t>17,431.4</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fin inv amortised</w:t>
            </w:r>
          </w:p>
        </w:tc>
        <w:tc>
          <w:tcPr>
            <w:tcW w:type="dxa" w:w="1191"/>
          </w:tcPr>
          <w:p>
            <w:pPr>
              <w:jc w:val="right"/>
            </w:pPr>
            <w:r/>
            <w:r>
              <w:rPr>
                <w:color w:val="1A1D21"/>
                <w:sz w:val="15"/>
              </w:rPr>
              <w:t>9,581.5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fixed assets</w:t>
            </w:r>
          </w:p>
        </w:tc>
        <w:tc>
          <w:tcPr>
            <w:tcW w:type="dxa" w:w="1191"/>
          </w:tcPr>
          <w:p>
            <w:pPr>
              <w:jc w:val="right"/>
            </w:pPr>
            <w:r/>
            <w:r>
              <w:rPr>
                <w:color w:val="1A1D21"/>
                <w:sz w:val="15"/>
              </w:rPr>
              <w:t>4,522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inv fair value</w:t>
            </w:r>
          </w:p>
        </w:tc>
        <w:tc>
          <w:tcPr>
            <w:tcW w:type="dxa" w:w="1191"/>
          </w:tcPr>
          <w:p>
            <w:pPr>
              <w:jc w:val="right"/>
            </w:pPr>
            <w:r/>
            <w:r>
              <w:rPr>
                <w:color w:val="1A1D21"/>
                <w:sz w:val="15"/>
              </w:rPr>
              <w:t>152.7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investment property</w:t>
            </w:r>
          </w:p>
        </w:tc>
        <w:tc>
          <w:tcPr>
            <w:tcW w:type="dxa" w:w="1191"/>
          </w:tcPr>
          <w:p>
            <w:pPr>
              <w:jc w:val="right"/>
            </w:pPr>
            <w:r/>
            <w:r>
              <w:rPr>
                <w:color w:val="1A1D21"/>
                <w:sz w:val="15"/>
              </w:rPr>
              <w:t>1,032.5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investments assoc</w:t>
            </w:r>
          </w:p>
        </w:tc>
        <w:tc>
          <w:tcPr>
            <w:tcW w:type="dxa" w:w="1191"/>
          </w:tcPr>
          <w:p>
            <w:pPr>
              <w:jc w:val="right"/>
            </w:pPr>
            <w:r/>
            <w:r>
              <w:rPr>
                <w:color w:val="1A1D21"/>
                <w:sz w:val="15"/>
              </w:rPr>
              <w:t>3,611.6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nci equity</w:t>
            </w:r>
          </w:p>
        </w:tc>
        <w:tc>
          <w:tcPr>
            <w:tcW w:type="dxa" w:w="1191"/>
          </w:tcPr>
          <w:p>
            <w:pPr>
              <w:jc w:val="right"/>
            </w:pPr>
            <w:r/>
            <w:r>
              <w:rPr>
                <w:color w:val="1A1D21"/>
                <w:sz w:val="15"/>
              </w:rPr>
              <w:t>1,334.3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recv lt</w:t>
            </w:r>
          </w:p>
        </w:tc>
        <w:tc>
          <w:tcPr>
            <w:tcW w:type="dxa" w:w="1191"/>
          </w:tcPr>
          <w:p>
            <w:pPr>
              <w:jc w:val="right"/>
            </w:pPr>
            <w:r/>
            <w:r>
              <w:rPr>
                <w:color w:val="1A1D21"/>
                <w:sz w:val="15"/>
              </w:rPr>
              <w:t>54,801.3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recv lt undel</w:t>
            </w:r>
          </w:p>
        </w:tc>
        <w:tc>
          <w:tcPr>
            <w:tcW w:type="dxa" w:w="1191"/>
          </w:tcPr>
          <w:p>
            <w:pPr>
              <w:jc w:val="right"/>
            </w:pPr>
            <w:r/>
            <w:r>
              <w:rPr>
                <w:color w:val="1A1D21"/>
                <w:sz w:val="15"/>
              </w:rPr>
              <w:t>1,518.5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recv st</w:t>
            </w:r>
          </w:p>
        </w:tc>
        <w:tc>
          <w:tcPr>
            <w:tcW w:type="dxa" w:w="1191"/>
          </w:tcPr>
          <w:p>
            <w:pPr>
              <w:jc w:val="right"/>
            </w:pPr>
            <w:r/>
            <w:r>
              <w:rPr>
                <w:color w:val="1A1D21"/>
                <w:sz w:val="15"/>
              </w:rPr>
              <w:t>18,137.7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recv st undel</w:t>
            </w:r>
          </w:p>
        </w:tc>
        <w:tc>
          <w:tcPr>
            <w:tcW w:type="dxa" w:w="1191"/>
          </w:tcPr>
          <w:p>
            <w:pPr>
              <w:jc w:val="right"/>
            </w:pPr>
            <w:r/>
            <w:r>
              <w:rPr>
                <w:color w:val="1A1D21"/>
                <w:sz w:val="15"/>
              </w:rPr>
              <w:t>935.3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suppliers</w:t>
            </w:r>
          </w:p>
        </w:tc>
        <w:tc>
          <w:tcPr>
            <w:tcW w:type="dxa" w:w="1191"/>
          </w:tcPr>
          <w:p>
            <w:pPr>
              <w:jc w:val="right"/>
            </w:pPr>
            <w:r/>
            <w:r>
              <w:rPr>
                <w:color w:val="1A1D21"/>
                <w:sz w:val="15"/>
              </w:rPr>
              <w:t>3,807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suppliers advances</w:t>
            </w:r>
          </w:p>
        </w:tc>
        <w:tc>
          <w:tcPr>
            <w:tcW w:type="dxa" w:w="1191"/>
          </w:tcPr>
          <w:p>
            <w:pPr>
              <w:jc w:val="right"/>
            </w:pPr>
            <w:r/>
            <w:r>
              <w:rPr>
                <w:color w:val="1A1D21"/>
                <w:sz w:val="15"/>
              </w:rPr>
              <w:t>9,056.2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assets</w:t>
            </w:r>
          </w:p>
        </w:tc>
        <w:tc>
          <w:tcPr>
            <w:tcW w:type="dxa" w:w="1191"/>
          </w:tcPr>
          <w:p>
            <w:pPr>
              <w:jc w:val="right"/>
            </w:pPr>
            <w:r/>
            <w:r>
              <w:rPr>
                <w:color w:val="1A1D21"/>
                <w:sz w:val="15"/>
              </w:rPr>
              <w:t>172,129.8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current assets</w:t>
            </w:r>
          </w:p>
        </w:tc>
        <w:tc>
          <w:tcPr>
            <w:tcW w:type="dxa" w:w="1191"/>
          </w:tcPr>
          <w:p>
            <w:pPr>
              <w:jc w:val="right"/>
            </w:pPr>
            <w:r/>
            <w:r>
              <w:rPr>
                <w:color w:val="1A1D21"/>
                <w:sz w:val="15"/>
              </w:rPr>
              <w:t>106,229.6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equity</w:t>
            </w:r>
          </w:p>
        </w:tc>
        <w:tc>
          <w:tcPr>
            <w:tcW w:type="dxa" w:w="1191"/>
          </w:tcPr>
          <w:p>
            <w:pPr>
              <w:jc w:val="right"/>
            </w:pPr>
            <w:r/>
            <w:r>
              <w:rPr>
                <w:color w:val="1A1D21"/>
                <w:sz w:val="15"/>
              </w:rPr>
              <w:t>18,765.8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liabilities</w:t>
            </w:r>
          </w:p>
        </w:tc>
        <w:tc>
          <w:tcPr>
            <w:tcW w:type="dxa" w:w="1191"/>
          </w:tcPr>
          <w:p>
            <w:pPr>
              <w:jc w:val="right"/>
            </w:pPr>
            <w:r/>
            <w:r>
              <w:rPr>
                <w:color w:val="1A1D21"/>
                <w:sz w:val="15"/>
              </w:rPr>
              <w:t>153,364.1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noncurrent assets</w:t>
            </w:r>
          </w:p>
        </w:tc>
        <w:tc>
          <w:tcPr>
            <w:tcW w:type="dxa" w:w="1191"/>
          </w:tcPr>
          <w:p>
            <w:pPr>
              <w:jc w:val="right"/>
            </w:pPr>
            <w:r/>
            <w:r>
              <w:rPr>
                <w:color w:val="1A1D21"/>
                <w:sz w:val="15"/>
              </w:rPr>
              <w:t>65,900.2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work in progress</w:t>
            </w:r>
          </w:p>
        </w:tc>
        <w:tc>
          <w:tcPr>
            <w:tcW w:type="dxa" w:w="1191"/>
          </w:tcPr>
          <w:p>
            <w:pPr>
              <w:jc w:val="right"/>
            </w:pPr>
            <w:r/>
            <w:r>
              <w:rPr>
                <w:color w:val="1A1D21"/>
                <w:sz w:val="15"/>
              </w:rPr>
              <w:t>17,570.9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banks credit balances</w:t>
            </w:r>
          </w:p>
        </w:tc>
        <w:tc>
          <w:tcPr>
            <w:tcW w:type="dxa" w:w="1191"/>
          </w:tcPr>
          <w:p>
            <w:pPr>
              <w:jc w:val="right"/>
            </w:pPr>
            <w:r/>
            <w:r>
              <w:rPr>
                <w:color w:val="1A1D21"/>
                <w:sz w:val="15"/>
              </w:rPr>
              <w:t>938.8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credit facilities</w:t>
            </w:r>
          </w:p>
        </w:tc>
        <w:tc>
          <w:tcPr>
            <w:tcW w:type="dxa" w:w="1191"/>
          </w:tcPr>
          <w:p>
            <w:pPr>
              <w:jc w:val="right"/>
            </w:pPr>
            <w:r/>
            <w:r>
              <w:rPr>
                <w:color w:val="1A1D21"/>
                <w:sz w:val="15"/>
              </w:rPr>
              <w:t>11,337.5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current portion st loans</w:t>
            </w:r>
          </w:p>
        </w:tc>
        <w:tc>
          <w:tcPr>
            <w:tcW w:type="dxa" w:w="1191"/>
          </w:tcPr>
          <w:p>
            <w:pPr>
              <w:jc w:val="right"/>
            </w:pPr>
            <w:r/>
            <w:r>
              <w:rPr>
                <w:color w:val="1A1D21"/>
                <w:sz w:val="15"/>
              </w:rPr>
              <w:t>1,250</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lease liabilities lt</w:t>
            </w:r>
          </w:p>
        </w:tc>
        <w:tc>
          <w:tcPr>
            <w:tcW w:type="dxa" w:w="1191"/>
          </w:tcPr>
          <w:p>
            <w:pPr>
              <w:jc w:val="right"/>
            </w:pPr>
            <w:r/>
            <w:r>
              <w:rPr>
                <w:color w:val="1A1D21"/>
                <w:sz w:val="15"/>
              </w:rPr>
              <w:t>60.7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lease liabilities st</w:t>
            </w:r>
          </w:p>
        </w:tc>
        <w:tc>
          <w:tcPr>
            <w:tcW w:type="dxa" w:w="1191"/>
          </w:tcPr>
          <w:p>
            <w:pPr>
              <w:jc w:val="right"/>
            </w:pPr>
            <w:r/>
            <w:r>
              <w:rPr>
                <w:color w:val="1A1D21"/>
                <w:sz w:val="15"/>
              </w:rPr>
              <w:t>41.9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loans long term</w:t>
            </w:r>
          </w:p>
        </w:tc>
        <w:tc>
          <w:tcPr>
            <w:tcW w:type="dxa" w:w="1191"/>
          </w:tcPr>
          <w:p>
            <w:pPr>
              <w:jc w:val="right"/>
            </w:pPr>
            <w:r/>
            <w:r>
              <w:rPr>
                <w:color w:val="1A1D21"/>
                <w:sz w:val="15"/>
              </w:rPr>
              <w:t>10,543.1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payable long term</w:t>
            </w:r>
          </w:p>
        </w:tc>
        <w:tc>
          <w:tcPr>
            <w:tcW w:type="dxa" w:w="1191"/>
          </w:tcPr>
          <w:p>
            <w:pPr>
              <w:jc w:val="right"/>
            </w:pPr>
            <w:r/>
            <w:r>
              <w:rPr>
                <w:color w:val="1A1D21"/>
                <w:sz w:val="15"/>
              </w:rPr>
              <w:t>4,505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payable short term</w:t>
            </w:r>
          </w:p>
        </w:tc>
        <w:tc>
          <w:tcPr>
            <w:tcW w:type="dxa" w:w="1191"/>
          </w:tcPr>
          <w:p>
            <w:pPr>
              <w:jc w:val="right"/>
            </w:pPr>
            <w:r/>
            <w:r>
              <w:rPr>
                <w:color w:val="1A1D21"/>
                <w:sz w:val="15"/>
              </w:rPr>
              <w:t>4,875.7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cff fy25</w:t>
            </w:r>
          </w:p>
        </w:tc>
        <w:tc>
          <w:tcPr>
            <w:tcW w:type="dxa" w:w="1191"/>
          </w:tcPr>
          <w:p>
            <w:pPr>
              <w:jc w:val="right"/>
            </w:pPr>
            <w:r/>
            <w:r>
              <w:rPr>
                <w:color w:val="1A1D21"/>
                <w:sz w:val="15"/>
              </w:rPr>
              <w:t>5,628.8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c>
          <w:tcPr>
            <w:tcW w:type="dxa" w:w="1814"/>
          </w:tcPr>
          <w:p>
            <w:r/>
            <w:r>
              <w:rPr>
                <w:color w:val="1A1D21"/>
                <w:sz w:val="15"/>
              </w:rPr>
              <w:t>cfi fy25</w:t>
            </w:r>
          </w:p>
        </w:tc>
        <w:tc>
          <w:tcPr>
            <w:tcW w:type="dxa" w:w="1191"/>
          </w:tcPr>
          <w:p>
            <w:pPr>
              <w:jc w:val="right"/>
            </w:pPr>
            <w:r/>
            <w:r>
              <w:rPr>
                <w:color w:val="1A1D21"/>
                <w:sz w:val="15"/>
              </w:rPr>
              <w:t>-4,031.7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c>
          <w:tcPr>
            <w:tcW w:type="dxa" w:w="1814"/>
          </w:tcPr>
          <w:p>
            <w:r/>
            <w:r>
              <w:rPr>
                <w:color w:val="1A1D21"/>
                <w:sz w:val="15"/>
              </w:rPr>
              <w:t>cfo fy23</w:t>
            </w:r>
          </w:p>
        </w:tc>
        <w:tc>
          <w:tcPr>
            <w:tcW w:type="dxa" w:w="1191"/>
          </w:tcPr>
          <w:p>
            <w:pPr>
              <w:jc w:val="right"/>
            </w:pPr>
            <w:r/>
            <w:r>
              <w:rPr>
                <w:color w:val="1A1D21"/>
                <w:sz w:val="15"/>
              </w:rPr>
              <w:t>756.7</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c>
          <w:tcPr>
            <w:tcW w:type="dxa" w:w="1814"/>
          </w:tcPr>
          <w:p>
            <w:r/>
            <w:r>
              <w:rPr>
                <w:color w:val="1A1D21"/>
                <w:sz w:val="15"/>
              </w:rPr>
              <w:t>cfo fy24</w:t>
            </w:r>
          </w:p>
        </w:tc>
        <w:tc>
          <w:tcPr>
            <w:tcW w:type="dxa" w:w="1191"/>
          </w:tcPr>
          <w:p>
            <w:pPr>
              <w:jc w:val="right"/>
            </w:pPr>
            <w:r/>
            <w:r>
              <w:rPr>
                <w:color w:val="1A1D21"/>
                <w:sz w:val="15"/>
              </w:rPr>
              <w:t>4,854.8</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 comparative) — NOTE this RESTATES the EGP 3,</w:t>
            </w:r>
          </w:p>
        </w:tc>
      </w:tr>
      <w:tr>
        <w:tc>
          <w:tcPr>
            <w:tcW w:type="dxa" w:w="1814"/>
          </w:tcPr>
          <w:p>
            <w:r/>
            <w:r>
              <w:rPr>
                <w:color w:val="1A1D21"/>
                <w:sz w:val="15"/>
              </w:rPr>
              <w:t>cfo fy25</w:t>
            </w:r>
          </w:p>
        </w:tc>
        <w:tc>
          <w:tcPr>
            <w:tcW w:type="dxa" w:w="1191"/>
          </w:tcPr>
          <w:p>
            <w:pPr>
              <w:jc w:val="right"/>
            </w:pPr>
            <w:r/>
            <w:r>
              <w:rPr>
                <w:color w:val="1A1D21"/>
                <w:sz w:val="15"/>
              </w:rPr>
              <w:t>1,424.2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bl>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cogs fy24</w:t>
            </w:r>
          </w:p>
        </w:tc>
        <w:tc>
          <w:tcPr>
            <w:tcW w:type="dxa" w:w="1191"/>
          </w:tcPr>
          <w:p>
            <w:pPr>
              <w:jc w:val="right"/>
            </w:pPr>
            <w:r/>
            <w:r>
              <w:rPr>
                <w:color w:val="1A1D21"/>
                <w:sz w:val="15"/>
              </w:rPr>
              <w:t>17,837.2</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c>
          <w:tcPr>
            <w:tcW w:type="dxa" w:w="1814"/>
          </w:tcPr>
          <w:p>
            <w:r/>
            <w:r>
              <w:rPr>
                <w:color w:val="1A1D21"/>
                <w:sz w:val="15"/>
              </w:rPr>
              <w:t>cogs fy25</w:t>
            </w:r>
          </w:p>
        </w:tc>
        <w:tc>
          <w:tcPr>
            <w:tcW w:type="dxa" w:w="1191"/>
          </w:tcPr>
          <w:p>
            <w:pPr>
              <w:jc w:val="right"/>
            </w:pPr>
            <w:r/>
            <w:r>
              <w:rPr>
                <w:color w:val="1A1D21"/>
                <w:sz w:val="15"/>
              </w:rPr>
              <w:t>21,118.9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da fy25</w:t>
            </w:r>
          </w:p>
        </w:tc>
        <w:tc>
          <w:tcPr>
            <w:tcW w:type="dxa" w:w="1191"/>
          </w:tcPr>
          <w:p>
            <w:pPr>
              <w:jc w:val="right"/>
            </w:pPr>
            <w:r/>
            <w:r>
              <w:rPr>
                <w:color w:val="1A1D21"/>
                <w:sz w:val="15"/>
              </w:rPr>
              <w:t>353.7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finance cost fy25</w:t>
            </w:r>
          </w:p>
        </w:tc>
        <w:tc>
          <w:tcPr>
            <w:tcW w:type="dxa" w:w="1191"/>
          </w:tcPr>
          <w:p>
            <w:pPr>
              <w:jc w:val="right"/>
            </w:pPr>
            <w:r/>
            <w:r>
              <w:rPr>
                <w:color w:val="1A1D21"/>
                <w:sz w:val="15"/>
              </w:rPr>
              <w:t>3,347.5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gross profit 1q26</w:t>
            </w:r>
          </w:p>
        </w:tc>
        <w:tc>
          <w:tcPr>
            <w:tcW w:type="dxa" w:w="1191"/>
          </w:tcPr>
          <w:p>
            <w:pPr>
              <w:jc w:val="right"/>
            </w:pPr>
            <w:r/>
            <w:r>
              <w:rPr>
                <w:color w:val="1A1D21"/>
                <w:sz w:val="15"/>
              </w:rPr>
              <w:t>3,300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margin 35% versus 44% in 1Q2025</w:t>
            </w:r>
          </w:p>
        </w:tc>
      </w:tr>
      <w:tr>
        <w:tc>
          <w:tcPr>
            <w:tcW w:type="dxa" w:w="1814"/>
          </w:tcPr>
          <w:p>
            <w:r/>
            <w:r>
              <w:rPr>
                <w:color w:val="1A1D21"/>
                <w:sz w:val="15"/>
              </w:rPr>
              <w:t>gross profit fy25</w:t>
            </w:r>
          </w:p>
        </w:tc>
        <w:tc>
          <w:tcPr>
            <w:tcW w:type="dxa" w:w="1191"/>
          </w:tcPr>
          <w:p>
            <w:pPr>
              <w:jc w:val="right"/>
            </w:pPr>
            <w:r/>
            <w:r>
              <w:rPr>
                <w:color w:val="1A1D21"/>
                <w:sz w:val="15"/>
              </w:rPr>
              <w:t>14,887.6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npat 1q26</w:t>
            </w:r>
          </w:p>
        </w:tc>
        <w:tc>
          <w:tcPr>
            <w:tcW w:type="dxa" w:w="1191"/>
          </w:tcPr>
          <w:p>
            <w:pPr>
              <w:jc w:val="right"/>
            </w:pPr>
            <w:r/>
            <w:r>
              <w:rPr>
                <w:color w:val="1A1D21"/>
                <w:sz w:val="15"/>
              </w:rPr>
              <w:t>1,200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c>
          <w:tcPr>
            <w:tcW w:type="dxa" w:w="1814"/>
          </w:tcPr>
          <w:p>
            <w:r/>
            <w:r>
              <w:rPr>
                <w:color w:val="1A1D21"/>
                <w:sz w:val="15"/>
              </w:rPr>
              <w:t>npat mi fy25</w:t>
            </w:r>
          </w:p>
        </w:tc>
        <w:tc>
          <w:tcPr>
            <w:tcW w:type="dxa" w:w="1191"/>
          </w:tcPr>
          <w:p>
            <w:pPr>
              <w:jc w:val="right"/>
            </w:pPr>
            <w:r/>
            <w:r>
              <w:rPr>
                <w:color w:val="1A1D21"/>
                <w:sz w:val="15"/>
              </w:rPr>
              <w:t>4,216.7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npbt fy25</w:t>
            </w:r>
          </w:p>
        </w:tc>
        <w:tc>
          <w:tcPr>
            <w:tcW w:type="dxa" w:w="1191"/>
          </w:tcPr>
          <w:p>
            <w:pPr>
              <w:jc w:val="right"/>
            </w:pPr>
            <w:r/>
            <w:r>
              <w:rPr>
                <w:color w:val="1A1D21"/>
                <w:sz w:val="15"/>
              </w:rPr>
              <w:t>6,251.1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revenue fy23</w:t>
            </w:r>
          </w:p>
        </w:tc>
        <w:tc>
          <w:tcPr>
            <w:tcW w:type="dxa" w:w="1191"/>
          </w:tcPr>
          <w:p>
            <w:pPr>
              <w:jc w:val="right"/>
            </w:pPr>
            <w:r/>
            <w:r>
              <w:rPr>
                <w:color w:val="1A1D21"/>
                <w:sz w:val="15"/>
              </w:rPr>
              <w:t>17,462.1</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consolidated financial statements</w:t>
            </w:r>
          </w:p>
        </w:tc>
      </w:tr>
      <w:tr>
        <w:tc>
          <w:tcPr>
            <w:tcW w:type="dxa" w:w="1814"/>
          </w:tcPr>
          <w:p>
            <w:r/>
            <w:r>
              <w:rPr>
                <w:color w:val="1A1D21"/>
                <w:sz w:val="15"/>
              </w:rPr>
              <w:t>revenue fy24</w:t>
            </w:r>
          </w:p>
        </w:tc>
        <w:tc>
          <w:tcPr>
            <w:tcW w:type="dxa" w:w="1191"/>
          </w:tcPr>
          <w:p>
            <w:pPr>
              <w:jc w:val="right"/>
            </w:pPr>
            <w:r/>
            <w:r>
              <w:rPr>
                <w:color w:val="1A1D21"/>
                <w:sz w:val="15"/>
              </w:rPr>
              <w:t>27,167.3</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(comparative column)</w:t>
            </w:r>
          </w:p>
        </w:tc>
      </w:tr>
      <w:tr>
        <w:tc>
          <w:tcPr>
            <w:tcW w:type="dxa" w:w="1814"/>
          </w:tcPr>
          <w:p>
            <w:r/>
            <w:r>
              <w:rPr>
                <w:color w:val="1A1D21"/>
                <w:sz w:val="15"/>
              </w:rPr>
              <w:t>revenue fy25</w:t>
            </w:r>
          </w:p>
        </w:tc>
        <w:tc>
          <w:tcPr>
            <w:tcW w:type="dxa" w:w="1191"/>
          </w:tcPr>
          <w:p>
            <w:pPr>
              <w:jc w:val="right"/>
            </w:pPr>
            <w:r/>
            <w:r>
              <w:rPr>
                <w:color w:val="1A1D21"/>
                <w:sz w:val="15"/>
              </w:rPr>
              <w:t>36,169.3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sga fy25</w:t>
            </w:r>
          </w:p>
        </w:tc>
        <w:tc>
          <w:tcPr>
            <w:tcW w:type="dxa" w:w="1191"/>
          </w:tcPr>
          <w:p>
            <w:pPr>
              <w:jc w:val="right"/>
            </w:pPr>
            <w:r/>
            <w:r>
              <w:rPr>
                <w:color w:val="1A1D21"/>
                <w:sz w:val="15"/>
              </w:rPr>
              <w:t>6,365.6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tax fy25</w:t>
            </w:r>
          </w:p>
        </w:tc>
        <w:tc>
          <w:tcPr>
            <w:tcW w:type="dxa" w:w="1191"/>
          </w:tcPr>
          <w:p>
            <w:pPr>
              <w:jc w:val="right"/>
            </w:pPr>
            <w:r/>
            <w:r>
              <w:rPr>
                <w:color w:val="1A1D21"/>
                <w:sz w:val="15"/>
              </w:rPr>
              <w:t>1,827.2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backlog 1q26</w:t>
            </w:r>
          </w:p>
        </w:tc>
        <w:tc>
          <w:tcPr>
            <w:tcW w:type="dxa" w:w="1191"/>
          </w:tcPr>
          <w:p>
            <w:pPr>
              <w:jc w:val="right"/>
            </w:pPr>
            <w:r/>
            <w:r>
              <w:rPr>
                <w:color w:val="1A1D21"/>
                <w:sz w:val="15"/>
              </w:rPr>
              <w:t>263,000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company's backlog of units sold and not yet delivered reached EGP263 billion up f</w:t>
            </w:r>
          </w:p>
        </w:tc>
      </w:tr>
      <w:tr>
        <w:tc>
          <w:tcPr>
            <w:tcW w:type="dxa" w:w="1814"/>
          </w:tcPr>
          <w:p>
            <w:r/>
            <w:r>
              <w:rPr>
                <w:color w:val="1A1D21"/>
                <w:sz w:val="15"/>
              </w:rPr>
              <w:t>backlog fy23</w:t>
            </w:r>
          </w:p>
        </w:tc>
        <w:tc>
          <w:tcPr>
            <w:tcW w:type="dxa" w:w="1191"/>
          </w:tcPr>
          <w:p>
            <w:pPr>
              <w:jc w:val="right"/>
            </w:pPr>
            <w:r/>
            <w:r>
              <w:rPr>
                <w:color w:val="1A1D21"/>
                <w:sz w:val="15"/>
              </w:rPr>
              <w:t>60,000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c>
          <w:tcPr>
            <w:tcW w:type="dxa" w:w="1814"/>
          </w:tcPr>
          <w:p>
            <w:r/>
            <w:r>
              <w:rPr>
                <w:color w:val="1A1D21"/>
                <w:sz w:val="15"/>
              </w:rPr>
              <w:t>backlog fy24</w:t>
            </w:r>
          </w:p>
        </w:tc>
        <w:tc>
          <w:tcPr>
            <w:tcW w:type="dxa" w:w="1191"/>
          </w:tcPr>
          <w:p>
            <w:pPr>
              <w:jc w:val="right"/>
            </w:pPr>
            <w:r/>
            <w:r>
              <w:rPr>
                <w:color w:val="1A1D21"/>
                <w:sz w:val="15"/>
              </w:rPr>
              <w:t>147,000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c>
          <w:tcPr>
            <w:tcW w:type="dxa" w:w="1814"/>
          </w:tcPr>
          <w:p>
            <w:r/>
            <w:r>
              <w:rPr>
                <w:color w:val="1A1D21"/>
                <w:sz w:val="15"/>
              </w:rPr>
              <w:t>collections fy24</w:t>
            </w:r>
          </w:p>
        </w:tc>
        <w:tc>
          <w:tcPr>
            <w:tcW w:type="dxa" w:w="1191"/>
          </w:tcPr>
          <w:p>
            <w:pPr>
              <w:jc w:val="right"/>
            </w:pPr>
            <w:r/>
            <w:r>
              <w:rPr>
                <w:color w:val="1A1D21"/>
                <w:sz w:val="15"/>
              </w:rPr>
              <w:t>25,400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c>
          <w:tcPr>
            <w:tcW w:type="dxa" w:w="1814"/>
          </w:tcPr>
          <w:p>
            <w:r/>
            <w:r>
              <w:rPr>
                <w:color w:val="1A1D21"/>
                <w:sz w:val="15"/>
              </w:rPr>
              <w:t>construction fy23</w:t>
            </w:r>
          </w:p>
        </w:tc>
        <w:tc>
          <w:tcPr>
            <w:tcW w:type="dxa" w:w="1191"/>
          </w:tcPr>
          <w:p>
            <w:pPr>
              <w:jc w:val="right"/>
            </w:pPr>
            <w:r/>
            <w:r>
              <w:rPr>
                <w:color w:val="1A1D21"/>
                <w:sz w:val="15"/>
              </w:rPr>
              <w:t>7,500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c>
          <w:tcPr>
            <w:tcW w:type="dxa" w:w="1814"/>
          </w:tcPr>
          <w:p>
            <w:r/>
            <w:r>
              <w:rPr>
                <w:color w:val="1A1D21"/>
                <w:sz w:val="15"/>
              </w:rPr>
              <w:t>construction fy24</w:t>
            </w:r>
          </w:p>
        </w:tc>
        <w:tc>
          <w:tcPr>
            <w:tcW w:type="dxa" w:w="1191"/>
          </w:tcPr>
          <w:p>
            <w:pPr>
              <w:jc w:val="right"/>
            </w:pPr>
            <w:r/>
            <w:r>
              <w:rPr>
                <w:color w:val="1A1D21"/>
                <w:sz w:val="15"/>
              </w:rPr>
              <w:t>8,500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"The Company spent EGP8.5 billion on construction activities during FY2024"</w:t>
            </w:r>
          </w:p>
        </w:tc>
      </w:tr>
      <w:tr>
        <w:tc>
          <w:tcPr>
            <w:tcW w:type="dxa" w:w="1814"/>
          </w:tcPr>
          <w:p>
            <w:r/>
            <w:r>
              <w:rPr>
                <w:color w:val="1A1D21"/>
                <w:sz w:val="15"/>
              </w:rPr>
              <w:t>land bank sqm mn</w:t>
            </w:r>
          </w:p>
        </w:tc>
        <w:tc>
          <w:tcPr>
            <w:tcW w:type="dxa" w:w="1191"/>
          </w:tcPr>
          <w:p>
            <w:pPr>
              <w:jc w:val="right"/>
            </w:pPr>
            <w:r/>
            <w:r>
              <w:rPr>
                <w:color w:val="1A1D21"/>
                <w:sz w:val="15"/>
              </w:rPr>
              <w:t>33</w:t>
            </w:r>
          </w:p>
        </w:tc>
        <w:tc>
          <w:tcPr>
            <w:tcW w:type="dxa" w:w="907"/>
          </w:tcPr>
          <w:p>
            <w:r/>
            <w:r>
              <w:rPr>
                <w:color w:val="1A1D21"/>
                <w:sz w:val="15"/>
              </w:rPr>
              <w:t>mn sqm</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land bank "spreading over 33 million square meters"</w:t>
            </w:r>
          </w:p>
        </w:tc>
      </w:tr>
      <w:tr>
        <w:tc>
          <w:tcPr>
            <w:tcW w:type="dxa" w:w="1814"/>
          </w:tcPr>
          <w:p>
            <w:r/>
            <w:r>
              <w:rPr>
                <w:color w:val="1A1D21"/>
                <w:sz w:val="15"/>
              </w:rPr>
              <w:t>new sales 1q26</w:t>
            </w:r>
          </w:p>
        </w:tc>
        <w:tc>
          <w:tcPr>
            <w:tcW w:type="dxa" w:w="1191"/>
          </w:tcPr>
          <w:p>
            <w:pPr>
              <w:jc w:val="right"/>
            </w:pPr>
            <w:r/>
            <w:r>
              <w:rPr>
                <w:color w:val="1A1D21"/>
                <w:sz w:val="15"/>
              </w:rPr>
              <w:t>52,000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"New sales recorded EGP 52 billion in 1Q2026"</w:t>
            </w:r>
          </w:p>
        </w:tc>
      </w:tr>
      <w:tr>
        <w:tc>
          <w:tcPr>
            <w:tcW w:type="dxa" w:w="1814"/>
          </w:tcPr>
          <w:p>
            <w:r/>
            <w:r>
              <w:rPr>
                <w:color w:val="1A1D21"/>
                <w:sz w:val="15"/>
              </w:rPr>
              <w:t>new sales fy24</w:t>
            </w:r>
          </w:p>
        </w:tc>
        <w:tc>
          <w:tcPr>
            <w:tcW w:type="dxa" w:w="1191"/>
          </w:tcPr>
          <w:p>
            <w:pPr>
              <w:jc w:val="right"/>
            </w:pPr>
            <w:r/>
            <w:r>
              <w:rPr>
                <w:color w:val="1A1D21"/>
                <w:sz w:val="15"/>
              </w:rPr>
              <w:t>151,016</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chart series</w:t>
            </w:r>
          </w:p>
        </w:tc>
      </w:tr>
      <w:tr>
        <w:tc>
          <w:tcPr>
            <w:tcW w:type="dxa" w:w="1814"/>
          </w:tcPr>
          <w:p>
            <w:r/>
            <w:r>
              <w:rPr>
                <w:color w:val="1A1D21"/>
                <w:sz w:val="15"/>
              </w:rPr>
              <w:t>revenue 1q26</w:t>
            </w:r>
          </w:p>
        </w:tc>
        <w:tc>
          <w:tcPr>
            <w:tcW w:type="dxa" w:w="1191"/>
          </w:tcPr>
          <w:p>
            <w:pPr>
              <w:jc w:val="right"/>
            </w:pPr>
            <w:r/>
            <w:r>
              <w:rPr>
                <w:color w:val="1A1D21"/>
                <w:sz w:val="15"/>
              </w:rPr>
              <w:t>9,300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c>
          <w:tcPr>
            <w:tcW w:type="dxa" w:w="1814"/>
          </w:tcPr>
          <w:p>
            <w:r/>
            <w:r>
              <w:rPr>
                <w:color w:val="1A1D21"/>
                <w:sz w:val="15"/>
              </w:rPr>
              <w:t>revenue 1q26 yoy</w:t>
            </w:r>
          </w:p>
        </w:tc>
        <w:tc>
          <w:tcPr>
            <w:tcW w:type="dxa" w:w="1191"/>
          </w:tcPr>
          <w:p>
            <w:pPr>
              <w:jc w:val="right"/>
            </w:pPr>
            <w:r/>
            <w:r>
              <w:rPr>
                <w:color w:val="1A1D21"/>
                <w:sz w:val="15"/>
              </w:rPr>
              <w:t>0.11</w:t>
            </w:r>
          </w:p>
        </w:tc>
        <w:tc>
          <w:tcPr>
            <w:tcW w:type="dxa" w:w="907"/>
          </w:tcPr>
          <w:p>
            <w:r/>
            <w:r>
              <w:rPr>
                <w:color w:val="1A1D21"/>
                <w:sz w:val="15"/>
              </w:rPr>
              <w:t>YoY</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"Revenue reached EGP 9.3 billion in 1Q2026, up 11% YoY"</w:t>
            </w:r>
          </w:p>
        </w:tc>
      </w:tr>
      <w:tr>
        <w:tc>
          <w:tcPr>
            <w:tcW w:type="dxa" w:w="1814"/>
          </w:tcPr>
          <w:p>
            <w:r/>
            <w:r>
              <w:rPr>
                <w:color w:val="1A1D21"/>
                <w:sz w:val="15"/>
              </w:rPr>
              <w:t>units delivered fy23</w:t>
            </w:r>
          </w:p>
        </w:tc>
        <w:tc>
          <w:tcPr>
            <w:tcW w:type="dxa" w:w="1191"/>
          </w:tcPr>
          <w:p>
            <w:pPr>
              <w:jc w:val="right"/>
            </w:pPr>
            <w:r/>
            <w:r>
              <w:rPr>
                <w:color w:val="1A1D21"/>
                <w:sz w:val="15"/>
              </w:rPr>
              <w:t>1,500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c>
          <w:tcPr>
            <w:tcW w:type="dxa" w:w="1814"/>
          </w:tcPr>
          <w:p>
            <w:r/>
            <w:r>
              <w:rPr>
                <w:color w:val="1A1D21"/>
                <w:sz w:val="15"/>
              </w:rPr>
              <w:t>units sold fy23</w:t>
            </w:r>
          </w:p>
        </w:tc>
        <w:tc>
          <w:tcPr>
            <w:tcW w:type="dxa" w:w="1191"/>
          </w:tcPr>
          <w:p>
            <w:pPr>
              <w:jc w:val="right"/>
            </w:pPr>
            <w:r/>
            <w:r>
              <w:rPr>
                <w:color w:val="1A1D21"/>
                <w:sz w:val="15"/>
              </w:rPr>
              <w:t>5,300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 chart series</w:t>
            </w:r>
          </w:p>
        </w:tc>
      </w:tr>
      <w:tr>
        <w:tc>
          <w:tcPr>
            <w:tcW w:type="dxa" w:w="1814"/>
          </w:tcPr>
          <w:p>
            <w:r/>
            <w:r>
              <w:rPr>
                <w:color w:val="1A1D21"/>
                <w:sz w:val="15"/>
              </w:rPr>
              <w:t>vdlc launch 1q26</w:t>
            </w:r>
          </w:p>
        </w:tc>
        <w:tc>
          <w:tcPr>
            <w:tcW w:type="dxa" w:w="1191"/>
          </w:tcPr>
          <w:p>
            <w:pPr>
              <w:jc w:val="right"/>
            </w:pPr>
            <w:r/>
            <w:r>
              <w:rPr>
                <w:color w:val="1A1D21"/>
                <w:sz w:val="15"/>
              </w:rPr>
              <w:t>24,000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 launched its strategic land plot Village de La Capitale in New administra</w:t>
            </w:r>
          </w:p>
        </w:tc>
      </w:tr>
    </w:tbl>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shares outstanding bn</w:t>
            </w:r>
          </w:p>
        </w:tc>
        <w:tc>
          <w:tcPr>
            <w:tcW w:type="dxa" w:w="1191"/>
          </w:tcPr>
          <w:p>
            <w:pPr>
              <w:jc w:val="right"/>
            </w:pPr>
            <w:r/>
            <w:r>
              <w:rPr>
                <w:color w:val="1A1D21"/>
                <w:sz w:val="15"/>
              </w:rPr>
              <w:t>2.8599</w:t>
            </w:r>
          </w:p>
        </w:tc>
        <w:tc>
          <w:tcPr>
            <w:tcW w:type="dxa" w:w="907"/>
          </w:tcPr>
          <w:p>
            <w:r/>
            <w:r>
              <w:rPr>
                <w:color w:val="1A1D21"/>
                <w:sz w:val="15"/>
              </w:rPr>
              <w:t>bn shares</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Share capital per FY2025 balance sheet and the share count carried on the covered-name record</w:t>
            </w:r>
          </w:p>
        </w:tc>
      </w:tr>
      <w:tr>
        <w:tc>
          <w:tcPr>
            <w:tcW w:type="dxa" w:w="1814"/>
          </w:tcPr>
          <w:p>
            <w:r/>
            <w:r>
              <w:rPr>
                <w:color w:val="1A1D21"/>
                <w:sz w:val="15"/>
              </w:rPr>
              <w:t>spot</w:t>
            </w:r>
          </w:p>
        </w:tc>
        <w:tc>
          <w:tcPr>
            <w:tcW w:type="dxa" w:w="1191"/>
          </w:tcPr>
          <w:p>
            <w:pPr>
              <w:jc w:val="right"/>
            </w:pPr>
            <w:r/>
            <w:r>
              <w:rPr>
                <w:color w:val="1A1D21"/>
                <w:sz w:val="15"/>
              </w:rPr>
              <w:t>15.2</w:t>
            </w:r>
          </w:p>
        </w:tc>
        <w:tc>
          <w:tcPr>
            <w:tcW w:type="dxa" w:w="907"/>
          </w:tcPr>
          <w:p>
            <w:r/>
            <w:r>
              <w:rPr>
                <w:color w:val="1A1D21"/>
                <w:sz w:val="15"/>
              </w:rPr>
              <w:t>EGP/share</w:t>
            </w:r>
          </w:p>
        </w:tc>
        <w:tc>
          <w:tcPr>
            <w:tcW w:type="dxa" w:w="1077"/>
          </w:tcPr>
          <w:p>
            <w:pPr>
              <w:jc w:val="right"/>
            </w:pPr>
            <w:r/>
            <w:r>
              <w:rPr>
                <w:color w:val="1A1D21"/>
                <w:sz w:val="15"/>
              </w:rPr>
              <w:t>2026-08-23</w:t>
            </w:r>
          </w:p>
        </w:tc>
        <w:tc>
          <w:tcPr>
            <w:tcW w:type="dxa" w:w="794"/>
          </w:tcPr>
          <w:p>
            <w:r/>
            <w:r>
              <w:rPr>
                <w:color w:val="1A1D21"/>
                <w:sz w:val="15"/>
              </w:rPr>
              <w:t>B</w:t>
            </w:r>
          </w:p>
        </w:tc>
        <w:tc>
          <w:tcPr>
            <w:tcW w:type="dxa" w:w="3628"/>
          </w:tcPr>
          <w:p>
            <w:r/>
            <w:r>
              <w:rPr>
                <w:color w:val="1A1D21"/>
                <w:sz w:val="15"/>
              </w:rPr>
              <w:t>Egyptian Exchange closing price for PHDC, 23 August 2026</w:t>
            </w:r>
          </w:p>
        </w:tc>
      </w:tr>
    </w:tbl>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3324"/>
        <w:gridCol w:w="3324"/>
        <w:gridCol w:w="3324"/>
      </w:tblGrid>
      <w:tr>
        <w:trPr>
          <w:tblHeader w:val="true"/>
        </w:trP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c>
          <w:tcPr>
            <w:tcW w:type="dxa" w:w="1928"/>
          </w:tcPr>
          <w:p>
            <w:r/>
            <w:r>
              <w:rPr>
                <w:color w:val="1A1D21"/>
                <w:sz w:val="17"/>
              </w:rPr>
              <w:t>Discount rate</w:t>
            </w:r>
          </w:p>
        </w:tc>
        <w:tc>
          <w:tcPr>
            <w:tcW w:type="dxa" w:w="3742"/>
          </w:tcPr>
          <w:p>
            <w:r/>
            <w:r>
              <w:rPr>
                <w:color w:val="1A1D21"/>
                <w:sz w:val="17"/>
              </w:rPr>
              <w:t>Cost of capital rebuilt bottom-up at 26.25% on the rating basis and 25.24% on the swap basis, replacing the previous edition's 18%.</w:t>
            </w:r>
          </w:p>
        </w:tc>
        <w:tc>
          <w:tcPr>
            <w:tcW w:type="dxa" w:w="3628"/>
          </w:tcPr>
          <w:p>
            <w:r/>
            <w:r>
              <w:rPr>
                <w:color w:val="1A1D21"/>
                <w:sz w:val="17"/>
              </w:rPr>
              <w:t>A sustained fall in the Egyptian sovereign yield, or evidence that the company borrows materially below sovereign plus 250 basis points.</w:t>
            </w:r>
          </w:p>
        </w:tc>
      </w:tr>
      <w:t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c>
          <w:tcPr>
            <w:tcW w:type="dxa" w:w="1928"/>
          </w:tcPr>
          <w:p>
            <w:r/>
            <w:r>
              <w:rPr>
                <w:color w:val="1A1D21"/>
                <w:sz w:val="17"/>
              </w:rPr>
              <w:t>Per-project economics are not used</w:t>
            </w:r>
          </w:p>
        </w:tc>
        <w:tc>
          <w:tcPr>
            <w:tcW w:type="dxa" w:w="3742"/>
          </w:tcPr>
          <w:p>
            <w:r/>
            <w:r>
              <w:rPr>
                <w:color w:val="1A1D21"/>
                <w:sz w:val="17"/>
              </w:rPr>
              <w:t>The previous edition's project price and cost table is not disclosed by the company and is not reused.</w:t>
            </w:r>
          </w:p>
        </w:tc>
        <w:tc>
          <w:tcPr>
            <w:tcW w:type="dxa" w:w="3628"/>
          </w:tcPr>
          <w:p>
            <w:r/>
            <w:r>
              <w:rPr>
                <w:color w:val="1A1D21"/>
                <w:sz w:val="17"/>
              </w:rPr>
              <w:t>Project-level disclosure of unit mix, area, price and cost.</w:t>
            </w:r>
          </w:p>
        </w:tc>
      </w:tr>
      <w:t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4986"/>
        <w:gridCol w:w="4986"/>
      </w:tblGrid>
      <w:tr>
        <w:trPr>
          <w:tblHeader w:val="true"/>
        </w:trPr>
        <w:tc>
          <w:tcPr>
            <w:tcW w:type="dxa" w:w="3175"/>
          </w:tcPr>
          <w:p>
            <w:r/>
            <w:r>
              <w:rPr>
                <w:b/>
                <w:color w:val="5B6570"/>
                <w:sz w:val="17"/>
              </w:rPr>
              <w:t>Attempt</w:t>
            </w:r>
          </w:p>
        </w:tc>
        <w:tc>
          <w:tcPr>
            <w:tcW w:type="dxa" w:w="6123"/>
          </w:tcPr>
          <w:p>
            <w:r/>
            <w:r>
              <w:rPr>
                <w:b/>
                <w:color w:val="5B6570"/>
                <w:sz w:val="17"/>
              </w:rPr>
              <w:t>Why it was rejected</w:t>
            </w:r>
          </w:p>
        </w:tc>
      </w:tr>
      <w:t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493"/>
        <w:gridCol w:w="2493"/>
        <w:gridCol w:w="2493"/>
        <w:gridCol w:w="2493"/>
      </w:tblGrid>
      <w:tr>
        <w:trPr>
          <w:tblHeader w:val="true"/>
        </w:trP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4986"/>
        <w:gridCol w:w="4986"/>
      </w:tblGrid>
      <w:tr>
        <w:trPr>
          <w:tblHeader w:val="true"/>
        </w:trPr>
        <w:tc>
          <w:tcPr>
            <w:tcW w:type="dxa" w:w="2268"/>
          </w:tcPr>
          <w:p>
            <w:r/>
            <w:r>
              <w:rPr>
                <w:b/>
                <w:color w:val="5B6570"/>
                <w:sz w:val="17"/>
              </w:rPr>
              <w:t>Gap</w:t>
            </w:r>
          </w:p>
        </w:tc>
        <w:tc>
          <w:tcPr>
            <w:tcW w:type="dxa" w:w="7030"/>
          </w:tcPr>
          <w:p>
            <w:r/>
            <w:r>
              <w:rPr>
                <w:b/>
                <w:color w:val="5B6570"/>
                <w:sz w:val="17"/>
              </w:rPr>
              <w:t>Statement</w:t>
            </w:r>
          </w:p>
        </w:tc>
      </w:tr>
      <w:t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c>
          <w:tcPr>
            <w:tcW w:type="dxa" w:w="2268"/>
          </w:tcPr>
          <w:p>
            <w:r/>
            <w:r>
              <w:rPr>
                <w:color w:val="1A1D21"/>
                <w:sz w:val="17"/>
              </w:rPr>
              <w:t>H1 2026 Results</w:t>
            </w:r>
          </w:p>
        </w:tc>
        <w:tc>
          <w:tcPr>
            <w:tcW w:type="dxa" w:w="7030"/>
          </w:tcPr>
          <w:p>
            <w:r/>
            <w:r>
              <w:rPr>
                <w:color w:val="1A1D21"/>
                <w:sz w:val="17"/>
              </w:rPr>
              <w:t>As at this build date (30-Aug-2026) no 2Q/H1-2026 statements or release are posted to the result centre; the newest disclosure of any kind is 1Q2026 (posted 25-Jun-2026). The study's information set therefore ends at 1Q2026. Closed by: the H1-2026 filing.</w:t>
            </w:r>
          </w:p>
        </w:tc>
      </w:tr>
      <w:t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