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77</w:t>
            </w:r>
          </w:p>
        </w:tc>
        <w:tc>
          <w:tcPr>
            <w:tcW w:type="dxa" w:w="1066"/>
          </w:tcPr>
          <w:p>
            <w:pPr>
              <w:spacing w:after="20"/>
            </w:pPr>
            <w:r>
              <w:rPr>
                <w:color w:val="1C3A36"/>
                <w:sz w:val="14"/>
              </w:rPr>
              <w:t>Market</w:t>
            </w:r>
          </w:p>
        </w:tc>
        <w:tc>
          <w:tcPr>
            <w:tcW w:type="dxa" w:w="7171"/>
          </w:tcPr>
          <w:p>
            <w:pPr>
              <w:spacing w:after="20"/>
            </w:pPr>
            <w:r>
              <w:rPr>
                <w:color w:val="1C3A36"/>
                <w:sz w:val="14"/>
              </w:rPr>
              <w:t>Closing price on the Egyptian Exchange, 3 September 2026. The previous edition was struck on the 6 August close of 59.00</w:t>
            </w:r>
          </w:p>
        </w:tc>
        <w:tc>
          <w:tcPr>
            <w:tcW w:type="dxa" w:w="1210"/>
          </w:tcPr>
          <w:p>
            <w:pPr>
              <w:spacing w:after="20"/>
            </w:pPr>
            <w:r>
              <w:rPr>
                <w:color w:val="1C3A36"/>
                <w:sz w:val="14"/>
              </w:rPr>
              <w:t>2026-09-03</w:t>
            </w:r>
          </w:p>
        </w:tc>
      </w:tr>
      <w:tr>
        <w:tc>
          <w:tcPr>
            <w:tcW w:type="dxa" w:w="432"/>
          </w:tcPr>
          <w:p>
            <w:pPr>
              <w:spacing w:after="20"/>
            </w:pPr>
            <w:r>
              <w:rPr>
                <w:color w:val="1C3A36"/>
                <w:sz w:val="14"/>
              </w:rPr>
              <w:t>2</w:t>
            </w:r>
          </w:p>
        </w:tc>
        <w:tc>
          <w:tcPr>
            <w:tcW w:type="dxa" w:w="2448"/>
          </w:tcPr>
          <w:p>
            <w:pPr>
              <w:spacing w:after="20"/>
            </w:pPr>
            <w:r>
              <w:rPr>
                <w:color w:val="1C3A36"/>
                <w:sz w:val="14"/>
              </w:rPr>
              <w:t>auc_altfuel_fy25</w:t>
            </w:r>
          </w:p>
        </w:tc>
        <w:tc>
          <w:tcPr>
            <w:tcW w:type="dxa" w:w="1325"/>
          </w:tcPr>
          <w:p>
            <w:pPr>
              <w:spacing w:after="20"/>
            </w:pPr>
            <w:r>
              <w:rPr>
                <w:color w:val="1C3A36"/>
                <w:sz w:val="14"/>
              </w:rPr>
              <w:t>240.2354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13, assets under construction: alternative-fuel system for production line 2</w:t>
            </w:r>
          </w:p>
        </w:tc>
        <w:tc>
          <w:tcPr>
            <w:tcW w:type="dxa" w:w="1210"/>
          </w:tcPr>
          <w:p>
            <w:pPr>
              <w:spacing w:after="20"/>
            </w:pPr>
            <w:r>
              <w:rPr>
                <w:color w:val="1C3A36"/>
                <w:sz w:val="14"/>
              </w:rPr>
              <w:t>2025-12-31</w:t>
            </w:r>
          </w:p>
        </w:tc>
      </w:tr>
      <w:tr>
        <w:tc>
          <w:tcPr>
            <w:tcW w:type="dxa" w:w="432"/>
          </w:tcPr>
          <w:p>
            <w:pPr>
              <w:spacing w:after="20"/>
            </w:pPr>
            <w:r>
              <w:rPr>
                <w:color w:val="1C3A36"/>
                <w:sz w:val="14"/>
              </w:rPr>
              <w:t>3</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assets under construction, note 13</w:t>
            </w:r>
          </w:p>
        </w:tc>
        <w:tc>
          <w:tcPr>
            <w:tcW w:type="dxa" w:w="1210"/>
          </w:tcPr>
          <w:p>
            <w:pPr>
              <w:spacing w:after="20"/>
            </w:pPr>
            <w:r>
              <w:rPr>
                <w:color w:val="1C3A36"/>
                <w:sz w:val="14"/>
              </w:rPr>
              <w:t>2025-12-31</w:t>
            </w:r>
          </w:p>
        </w:tc>
      </w:tr>
      <w:tr>
        <w:tc>
          <w:tcPr>
            <w:tcW w:type="dxa" w:w="432"/>
          </w:tcPr>
          <w:p>
            <w:pPr>
              <w:spacing w:after="20"/>
            </w:pPr>
            <w:r>
              <w:rPr>
                <w:color w:val="1C3A36"/>
                <w:sz w:val="14"/>
              </w:rPr>
              <w:t>4</w:t>
            </w:r>
          </w:p>
        </w:tc>
        <w:tc>
          <w:tcPr>
            <w:tcW w:type="dxa" w:w="2448"/>
          </w:tcPr>
          <w:p>
            <w:pPr>
              <w:spacing w:after="20"/>
            </w:pPr>
            <w:r>
              <w:rPr>
                <w:color w:val="1C3A36"/>
                <w:sz w:val="14"/>
              </w:rPr>
              <w:t>auc_h1_26</w:t>
            </w:r>
          </w:p>
        </w:tc>
        <w:tc>
          <w:tcPr>
            <w:tcW w:type="dxa" w:w="1325"/>
          </w:tcPr>
          <w:p>
            <w:pPr>
              <w:spacing w:after="20"/>
            </w:pPr>
            <w:r>
              <w:rPr>
                <w:color w:val="1C3A36"/>
                <w:sz w:val="14"/>
              </w:rPr>
              <w:t>897.0842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assets under construction at 30 June 2026, against 391.543753 at 31 December 2025</w:t>
            </w:r>
          </w:p>
        </w:tc>
        <w:tc>
          <w:tcPr>
            <w:tcW w:type="dxa" w:w="1210"/>
          </w:tcPr>
          <w:p>
            <w:pPr>
              <w:spacing w:after="20"/>
            </w:pPr>
            <w:r>
              <w:rPr>
                <w:color w:val="1C3A36"/>
                <w:sz w:val="14"/>
              </w:rPr>
              <w:t>2026-06-30</w:t>
            </w:r>
          </w:p>
        </w:tc>
      </w:tr>
      <w:tr>
        <w:tc>
          <w:tcPr>
            <w:tcW w:type="dxa" w:w="432"/>
          </w:tcPr>
          <w:p>
            <w:pPr>
              <w:spacing w:after="20"/>
            </w:pPr>
            <w:r>
              <w:rPr>
                <w:color w:val="1C3A36"/>
                <w:sz w:val="14"/>
              </w:rPr>
              <w:t>5</w:t>
            </w:r>
          </w:p>
        </w:tc>
        <w:tc>
          <w:tcPr>
            <w:tcW w:type="dxa" w:w="2448"/>
          </w:tcPr>
          <w:p>
            <w:pPr>
              <w:spacing w:after="20"/>
            </w:pPr>
            <w:r>
              <w:rPr>
                <w:color w:val="1C3A36"/>
                <w:sz w:val="14"/>
              </w:rPr>
              <w:t>auc_silo_fy25</w:t>
            </w:r>
          </w:p>
        </w:tc>
        <w:tc>
          <w:tcPr>
            <w:tcW w:type="dxa" w:w="1325"/>
          </w:tcPr>
          <w:p>
            <w:pPr>
              <w:spacing w:after="20"/>
            </w:pPr>
            <w:r>
              <w:rPr>
                <w:color w:val="1C3A36"/>
                <w:sz w:val="14"/>
              </w:rPr>
              <w:t>146.2385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13, assets under construction: new steel cement silo for production line 1</w:t>
            </w:r>
          </w:p>
        </w:tc>
        <w:tc>
          <w:tcPr>
            <w:tcW w:type="dxa" w:w="1210"/>
          </w:tcPr>
          <w:p>
            <w:pPr>
              <w:spacing w:after="20"/>
            </w:pPr>
            <w:r>
              <w:rPr>
                <w:color w:val="1C3A36"/>
                <w:sz w:val="14"/>
              </w:rPr>
              <w:t>2025-12-31</w:t>
            </w:r>
          </w:p>
        </w:tc>
      </w:tr>
      <w:tr>
        <w:tc>
          <w:tcPr>
            <w:tcW w:type="dxa" w:w="432"/>
          </w:tcPr>
          <w:p>
            <w:pPr>
              <w:spacing w:after="20"/>
            </w:pPr>
            <w:r>
              <w:rPr>
                <w:color w:val="1C3A36"/>
                <w:sz w:val="14"/>
              </w:rPr>
              <w:t>6</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32"/>
          </w:tcPr>
          <w:p>
            <w:pPr>
              <w:spacing w:after="20"/>
            </w:pPr>
            <w:r>
              <w:rPr>
                <w:color w:val="1C3A36"/>
                <w:sz w:val="14"/>
              </w:rPr>
              <w:t>7</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32"/>
          </w:tcPr>
          <w:p>
            <w:pPr>
              <w:spacing w:after="20"/>
            </w:pPr>
            <w:r>
              <w:rPr>
                <w:color w:val="1C3A36"/>
                <w:sz w:val="14"/>
              </w:rPr>
              <w:t>8</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32"/>
          </w:tcPr>
          <w:p>
            <w:pPr>
              <w:spacing w:after="20"/>
            </w:pPr>
            <w:r>
              <w:rPr>
                <w:color w:val="1C3A36"/>
                <w:sz w:val="14"/>
              </w:rPr>
              <w:t>9</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32"/>
          </w:tcPr>
          <w:p>
            <w:pPr>
              <w:spacing w:after="20"/>
            </w:pPr>
            <w:r>
              <w:rPr>
                <w:color w:val="1C3A36"/>
                <w:sz w:val="14"/>
              </w:rPr>
              <w:t>10</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capex_h1_26</w:t>
            </w:r>
          </w:p>
        </w:tc>
        <w:tc>
          <w:tcPr>
            <w:tcW w:type="dxa" w:w="1325"/>
          </w:tcPr>
          <w:p>
            <w:pPr>
              <w:spacing w:after="20"/>
            </w:pPr>
            <w:r>
              <w:rPr>
                <w:color w:val="1C3A36"/>
                <w:sz w:val="14"/>
              </w:rPr>
              <w:t>608.4339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payments for purchase of property, plant and equipment 102.893492 plus payments for assets under construction 505.540414</w:t>
            </w:r>
          </w:p>
        </w:tc>
        <w:tc>
          <w:tcPr>
            <w:tcW w:type="dxa" w:w="1210"/>
          </w:tcPr>
          <w:p>
            <w:pPr>
              <w:spacing w:after="20"/>
            </w:pPr>
            <w:r>
              <w:rPr>
                <w:color w:val="1C3A36"/>
                <w:sz w:val="14"/>
              </w:rPr>
              <w:t>2026-06-30</w:t>
            </w:r>
          </w:p>
        </w:tc>
      </w:tr>
      <w:tr>
        <w:tc>
          <w:tcPr>
            <w:tcW w:type="dxa" w:w="432"/>
          </w:tcPr>
          <w:p>
            <w:pPr>
              <w:spacing w:after="20"/>
            </w:pPr>
            <w:r>
              <w:rPr>
                <w:color w:val="1C3A36"/>
                <w:sz w:val="14"/>
              </w:rPr>
              <w:t>12</w:t>
            </w:r>
          </w:p>
        </w:tc>
        <w:tc>
          <w:tcPr>
            <w:tcW w:type="dxa" w:w="2448"/>
          </w:tcPr>
          <w:p>
            <w:pPr>
              <w:spacing w:after="20"/>
            </w:pPr>
            <w:r>
              <w:rPr>
                <w:color w:val="1C3A36"/>
                <w:sz w:val="14"/>
              </w:rPr>
              <w:t>capex_usd_t_cap</w:t>
            </w:r>
          </w:p>
        </w:tc>
        <w:tc>
          <w:tcPr>
            <w:tcW w:type="dxa" w:w="1325"/>
          </w:tcPr>
          <w:p>
            <w:pPr>
              <w:spacing w:after="20"/>
            </w:pPr>
            <w:r>
              <w:rPr>
                <w:color w:val="1C3A36"/>
                <w:sz w:val="14"/>
              </w:rPr>
              <w:t>3.23</w:t>
            </w:r>
          </w:p>
        </w:tc>
        <w:tc>
          <w:tcPr>
            <w:tcW w:type="dxa" w:w="1066"/>
          </w:tcPr>
          <w:p>
            <w:pPr>
              <w:spacing w:after="20"/>
            </w:pPr>
            <w:r>
              <w:rPr>
                <w:color w:val="1C3A36"/>
                <w:sz w:val="14"/>
              </w:rPr>
              <w:t>Company</w:t>
            </w:r>
          </w:p>
        </w:tc>
        <w:tc>
          <w:tcPr>
            <w:tcW w:type="dxa" w:w="7171"/>
          </w:tcPr>
          <w:p>
            <w:pPr>
              <w:spacing w:after="20"/>
            </w:pPr>
            <w:r>
              <w:rPr>
                <w:color w:val="1C3A36"/>
                <w:sz w:val="14"/>
              </w:rPr>
              <w:t>Maintenance capital expenditure in US dollars per tonne of installed capacity, SET AT THE MOST RECENT FULL YEAR'S TOTAL CAPITAL SPENDING PER TONNE — EGP 796.471mn on 5.0Mt at USD/EGP 49.26. REVISION 4 CORRECTS THE REASONING BEHIND THIS INPUT, WHICH WAS BACKWARDS. Revision 3 observed that FY2024 (USD 3.70/t) and FY2025 (USD 3.23/t) 'both carry the alternative-fuel and silo programmes' and then set maintenance at USD 4.00 — the MIDDLE of a band it had just said was inflated by growth spending, and above both observed years. If both observations INCLUDE growth capital, they are an UPPER BOUND on maintenance, so the maintenance level belongs at or below them, not above. The H1-2026 cash-flow statement settles the direction: it splits the spend into payments for property, plant and equipment of EGP 102.893mn and payments for ASSETS UNDER CONSTRUCTION of EGP 505.540mn, so 83% of six months' capital spending is the growth programme and the sustaining line is running near USD 0.8/t annualised. That is a deferral rather than a sustainable rate, so the input is NOT cut to it; it is set at the most recent full year's TOTAL, which remains an upper bound on maintenance and is still above the industry sustaining norm of about USD 3/t. Worth EGP 1.77 a share against revision 3's figure, and the whole range is published as a sensitivity</w:t>
            </w:r>
          </w:p>
        </w:tc>
        <w:tc>
          <w:tcPr>
            <w:tcW w:type="dxa" w:w="1210"/>
          </w:tcPr>
          <w:p>
            <w:pPr>
              <w:spacing w:after="20"/>
            </w:pPr>
            <w:r>
              <w:rPr>
                <w:color w:val="1C3A36"/>
                <w:sz w:val="14"/>
              </w:rPr>
              <w:t>2025-12-31</w:t>
            </w:r>
          </w:p>
        </w:tc>
      </w:tr>
      <w:tr>
        <w:tc>
          <w:tcPr>
            <w:tcW w:type="dxa" w:w="432"/>
          </w:tcPr>
          <w:p>
            <w:pPr>
              <w:spacing w:after="20"/>
            </w:pPr>
            <w:r>
              <w:rPr>
                <w:color w:val="1C3A36"/>
                <w:sz w:val="14"/>
              </w:rPr>
              <w:t>13</w:t>
            </w:r>
          </w:p>
        </w:tc>
        <w:tc>
          <w:tcPr>
            <w:tcW w:type="dxa" w:w="2448"/>
          </w:tcPr>
          <w:p>
            <w:pPr>
              <w:spacing w:after="20"/>
            </w:pPr>
            <w:r>
              <w:rPr>
                <w:color w:val="1C3A36"/>
                <w:sz w:val="14"/>
              </w:rPr>
              <w:t>capital_h1_26</w:t>
            </w:r>
          </w:p>
        </w:tc>
        <w:tc>
          <w:tcPr>
            <w:tcW w:type="dxa" w:w="1325"/>
          </w:tcPr>
          <w:p>
            <w:pPr>
              <w:spacing w:after="20"/>
            </w:pPr>
            <w:r>
              <w:rPr>
                <w:color w:val="1C3A36"/>
                <w:sz w:val="14"/>
              </w:rPr>
              <w:t>749.7349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issued and paid-up capital at 30 June 2026, against 757.479400 at 31 December 2025, the treasury shares having been CANCELLED. At the EGP 2 par value this is 374,867,445 shares — exactly the count this study already used (issued less treasury), so the cancellation confirms the share count rather than changing it</w:t>
            </w:r>
          </w:p>
        </w:tc>
        <w:tc>
          <w:tcPr>
            <w:tcW w:type="dxa" w:w="1210"/>
          </w:tcPr>
          <w:p>
            <w:pPr>
              <w:spacing w:after="20"/>
            </w:pPr>
            <w:r>
              <w:rPr>
                <w:color w:val="1C3A36"/>
                <w:sz w:val="14"/>
              </w:rPr>
              <w:t>2026-06-30</w:t>
            </w:r>
          </w:p>
        </w:tc>
      </w:tr>
      <w:tr>
        <w:tc>
          <w:tcPr>
            <w:tcW w:type="dxa" w:w="432"/>
          </w:tcPr>
          <w:p>
            <w:pPr>
              <w:spacing w:after="20"/>
            </w:pPr>
            <w:r>
              <w:rPr>
                <w:color w:val="1C3A36"/>
                <w:sz w:val="14"/>
              </w:rPr>
              <w:t>14</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32"/>
          </w:tcPr>
          <w:p>
            <w:pPr>
              <w:spacing w:after="20"/>
            </w:pPr>
            <w:r>
              <w:rPr>
                <w:color w:val="1C3A36"/>
                <w:sz w:val="14"/>
              </w:rPr>
              <w:t>15</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16</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32"/>
          </w:tcPr>
          <w:p>
            <w:pPr>
              <w:spacing w:after="20"/>
            </w:pPr>
            <w:r>
              <w:rPr>
                <w:color w:val="1C3A36"/>
                <w:sz w:val="14"/>
              </w:rPr>
              <w:t>17</w:t>
            </w:r>
          </w:p>
        </w:tc>
        <w:tc>
          <w:tcPr>
            <w:tcW w:type="dxa" w:w="2448"/>
          </w:tcPr>
          <w:p>
            <w:pPr>
              <w:spacing w:after="20"/>
            </w:pPr>
            <w:r>
              <w:rPr>
                <w:color w:val="1C3A36"/>
                <w:sz w:val="14"/>
              </w:rPr>
              <w:t>cash_h1_26</w:t>
            </w:r>
          </w:p>
        </w:tc>
        <w:tc>
          <w:tcPr>
            <w:tcW w:type="dxa" w:w="1325"/>
          </w:tcPr>
          <w:p>
            <w:pPr>
              <w:spacing w:after="20"/>
            </w:pPr>
            <w:r>
              <w:rPr>
                <w:color w:val="1C3A36"/>
                <w:sz w:val="14"/>
              </w:rPr>
              <w:t>1,970.5011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and bank balances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18</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32"/>
          </w:tcPr>
          <w:p>
            <w:pPr>
              <w:spacing w:after="20"/>
            </w:pPr>
            <w:r>
              <w:rPr>
                <w:color w:val="1C3A36"/>
                <w:sz w:val="14"/>
              </w:rPr>
              <w:t>19</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Company</w:t>
            </w:r>
          </w:p>
        </w:tc>
        <w:tc>
          <w:tcPr>
            <w:tcW w:type="dxa" w:w="7171"/>
          </w:tcPr>
          <w:p>
            <w:pPr>
              <w:spacing w:after="20"/>
            </w:pPr>
            <w:r>
              <w:rPr>
                <w:color w:val="1C3A36"/>
                <w:sz w:val="14"/>
              </w:rPr>
              <w:t>Share of cement SOLD that is exported. FY2025 is DISCLOSED: FY2025 Investor Presentation, Arabian Cement Company S.A.E., investor relations library, page 5 (sales volumes and production indicators) gives cement exports of 629.5 kt against local sales of 2,923.6 kt, i.e. 17.72% of the 3,553.1 kt of cement sold. Well inside the 30% statutory cap; revision 3's single-product build put exports at 31.5% of volume and BREACHED the cap its own text called binding</w:t>
            </w:r>
          </w:p>
        </w:tc>
        <w:tc>
          <w:tcPr>
            <w:tcW w:type="dxa" w:w="1210"/>
          </w:tcPr>
          <w:p>
            <w:pPr>
              <w:spacing w:after="20"/>
            </w:pPr>
            <w:r>
              <w:rPr>
                <w:color w:val="1C3A36"/>
                <w:sz w:val="14"/>
              </w:rPr>
              <w:t>2026-03-01</w:t>
            </w:r>
          </w:p>
        </w:tc>
      </w:tr>
      <w:tr>
        <w:tc>
          <w:tcPr>
            <w:tcW w:type="dxa" w:w="432"/>
          </w:tcPr>
          <w:p>
            <w:pPr>
              <w:spacing w:after="20"/>
            </w:pPr>
            <w:r>
              <w:rPr>
                <w:color w:val="1C3A36"/>
                <w:sz w:val="14"/>
              </w:rPr>
              <w:t>20</w:t>
            </w:r>
          </w:p>
        </w:tc>
        <w:tc>
          <w:tcPr>
            <w:tcW w:type="dxa" w:w="2448"/>
          </w:tcPr>
          <w:p>
            <w:pPr>
              <w:spacing w:after="20"/>
            </w:pPr>
            <w:r>
              <w:rPr>
                <w:color w:val="1C3A36"/>
                <w:sz w:val="14"/>
              </w:rPr>
              <w:t>cem_stock_draw</w:t>
            </w:r>
          </w:p>
        </w:tc>
        <w:tc>
          <w:tcPr>
            <w:tcW w:type="dxa" w:w="1325"/>
          </w:tcPr>
          <w:p>
            <w:pPr>
              <w:spacing w:after="20"/>
            </w:pPr>
            <w:r>
              <w:rPr>
                <w:color w:val="1C3A36"/>
                <w:sz w:val="14"/>
              </w:rPr>
              <w:t>0.0725, 0, 0, 0, 0, 0</w:t>
            </w:r>
          </w:p>
        </w:tc>
        <w:tc>
          <w:tcPr>
            <w:tcW w:type="dxa" w:w="1066"/>
          </w:tcPr>
          <w:p>
            <w:pPr>
              <w:spacing w:after="20"/>
            </w:pPr>
            <w:r>
              <w:rPr>
                <w:color w:val="1C3A36"/>
                <w:sz w:val="14"/>
              </w:rPr>
              <w:t>Company</w:t>
            </w:r>
          </w:p>
        </w:tc>
        <w:tc>
          <w:tcPr>
            <w:tcW w:type="dxa" w:w="7171"/>
          </w:tcPr>
          <w:p>
            <w:pPr>
              <w:spacing w:after="20"/>
            </w:pPr>
            <w:r>
              <w:rPr>
                <w:color w:val="1C3A36"/>
                <w:sz w:val="14"/>
              </w:rPr>
              <w:t>Cement sold LESS cement produced, in Mt. FY2025 Investor Presentation, Arabian Cement Company S.A.E., investor relations library, page 5 (sales volumes and production indicators) discloses cement production of 3,480.6 kt against sales of 3,553.1 kt (2,923.6 local plus 629.5 exported), so FY2025 drew 72.5 kt out of finished-goods inventory. Revision 4 equated sales to production and understated despatches by 1.5%. Held at zero across the forecast: a stock draw is a one-off by construction and the inventory note shows only EGP 320.8mn of finished goods at the year end</w:t>
            </w:r>
          </w:p>
        </w:tc>
        <w:tc>
          <w:tcPr>
            <w:tcW w:type="dxa" w:w="1210"/>
          </w:tcPr>
          <w:p>
            <w:pPr>
              <w:spacing w:after="20"/>
            </w:pPr>
            <w:r>
              <w:rPr>
                <w:color w:val="1C3A36"/>
                <w:sz w:val="14"/>
              </w:rPr>
              <w:t>2026-03-01</w:t>
            </w:r>
          </w:p>
        </w:tc>
      </w:tr>
      <w:tr>
        <w:tc>
          <w:tcPr>
            <w:tcW w:type="dxa" w:w="432"/>
          </w:tcPr>
          <w:p>
            <w:pPr>
              <w:spacing w:after="20"/>
            </w:pPr>
            <w:r>
              <w:rPr>
                <w:color w:val="1C3A36"/>
                <w:sz w:val="14"/>
              </w:rPr>
              <w:t>21</w:t>
            </w:r>
          </w:p>
        </w:tc>
        <w:tc>
          <w:tcPr>
            <w:tcW w:type="dxa" w:w="2448"/>
          </w:tcPr>
          <w:p>
            <w:pPr>
              <w:spacing w:after="20"/>
            </w:pPr>
            <w:r>
              <w:rPr>
                <w:color w:val="1C3A36"/>
                <w:sz w:val="14"/>
              </w:rPr>
              <w:t>clinker_factor</w:t>
            </w:r>
          </w:p>
        </w:tc>
        <w:tc>
          <w:tcPr>
            <w:tcW w:type="dxa" w:w="1325"/>
          </w:tcPr>
          <w:p>
            <w:pPr>
              <w:spacing w:after="20"/>
            </w:pPr>
            <w:r>
              <w:rPr>
                <w:color w:val="1C3A36"/>
                <w:sz w:val="14"/>
              </w:rPr>
              <w:t>0.7329</w:t>
            </w:r>
          </w:p>
        </w:tc>
        <w:tc>
          <w:tcPr>
            <w:tcW w:type="dxa" w:w="1066"/>
          </w:tcPr>
          <w:p>
            <w:pPr>
              <w:spacing w:after="20"/>
            </w:pPr>
            <w:r>
              <w:rPr>
                <w:color w:val="1C3A36"/>
                <w:sz w:val="14"/>
              </w:rPr>
              <w:t>Company</w:t>
            </w:r>
          </w:p>
        </w:tc>
        <w:tc>
          <w:tcPr>
            <w:tcW w:type="dxa" w:w="7171"/>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 FY2025 Investor Presentation, Arabian Cement Company S.A.E., investor relations library, page 5 (sales volumes and production indicators) gives clinker production 3,851.6 kt less clinker exports 1,300.5 kt = 2,551.1 kt ground into 3,480.6 kt of cement</w:t>
            </w:r>
          </w:p>
        </w:tc>
        <w:tc>
          <w:tcPr>
            <w:tcW w:type="dxa" w:w="1210"/>
          </w:tcPr>
          <w:p>
            <w:pPr>
              <w:spacing w:after="20"/>
            </w:pPr>
            <w:r>
              <w:rPr>
                <w:color w:val="1C3A36"/>
                <w:sz w:val="14"/>
              </w:rPr>
              <w:t>2026-03-01</w:t>
            </w:r>
          </w:p>
        </w:tc>
      </w:tr>
      <w:tr>
        <w:tc>
          <w:tcPr>
            <w:tcW w:type="dxa" w:w="432"/>
          </w:tcPr>
          <w:p>
            <w:pPr>
              <w:spacing w:after="20"/>
            </w:pPr>
            <w:r>
              <w:rPr>
                <w:color w:val="1C3A36"/>
                <w:sz w:val="14"/>
              </w:rPr>
              <w:t>22</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Company</w:t>
            </w:r>
          </w:p>
        </w:tc>
        <w:tc>
          <w:tcPr>
            <w:tcW w:type="dxa" w:w="7171"/>
          </w:tcPr>
          <w:p>
            <w:pPr>
              <w:spacing w:after="20"/>
            </w:pPr>
            <w:r>
              <w:rPr>
                <w:color w:val="1C3A36"/>
                <w:sz w:val="14"/>
              </w:rPr>
              <w:t>Share of clinker production sold AS CLINKER rather than ground into cement. FY2025 is DISCLOSED: FY2025 Investor Presentation, Arabian Cement Company S.A.E., investor relations library, page 5 (sales volumes and production indicators) gives clinker exports of 1,300.5 kt on production of 3,851.6 kt = 33.77%. This is the central operating lever and revision 3 could not see it at all: clinker exports and domestic cement compete for the same kiln, and a tonne of clinker realises a fraction of the tonne of cement it could have become. Note the direction of travel — clinker exports FELL 37% in FY2025 (2,074.4 kt to 1,300.5) while cement exports rose 74%, so the mix was already shifting toward the higher-value product before this forecast starts</w:t>
            </w:r>
          </w:p>
        </w:tc>
        <w:tc>
          <w:tcPr>
            <w:tcW w:type="dxa" w:w="1210"/>
          </w:tcPr>
          <w:p>
            <w:pPr>
              <w:spacing w:after="20"/>
            </w:pPr>
            <w:r>
              <w:rPr>
                <w:color w:val="1C3A36"/>
                <w:sz w:val="14"/>
              </w:rPr>
              <w:t>2026-03-01</w:t>
            </w:r>
          </w:p>
        </w:tc>
      </w:tr>
      <w:tr>
        <w:tc>
          <w:tcPr>
            <w:tcW w:type="dxa" w:w="432"/>
          </w:tcPr>
          <w:p>
            <w:pPr>
              <w:spacing w:after="20"/>
            </w:pPr>
            <w:r>
              <w:rPr>
                <w:color w:val="1C3A36"/>
                <w:sz w:val="14"/>
              </w:rPr>
              <w:t>23</w:t>
            </w:r>
          </w:p>
        </w:tc>
        <w:tc>
          <w:tcPr>
            <w:tcW w:type="dxa" w:w="2448"/>
          </w:tcPr>
          <w:p>
            <w:pPr>
              <w:spacing w:after="20"/>
            </w:pPr>
            <w:r>
              <w:rPr>
                <w:color w:val="1C3A36"/>
                <w:sz w:val="14"/>
              </w:rPr>
              <w:t>cogs_fy22</w:t>
            </w:r>
          </w:p>
        </w:tc>
        <w:tc>
          <w:tcPr>
            <w:tcW w:type="dxa" w:w="1325"/>
          </w:tcPr>
          <w:p>
            <w:pPr>
              <w:spacing w:after="20"/>
            </w:pPr>
            <w:r>
              <w:rPr>
                <w:color w:val="1C3A36"/>
                <w:sz w:val="14"/>
              </w:rPr>
              <w:t>3,789.8162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cost of sales</w:t>
            </w:r>
          </w:p>
        </w:tc>
        <w:tc>
          <w:tcPr>
            <w:tcW w:type="dxa" w:w="1210"/>
          </w:tcPr>
          <w:p>
            <w:pPr>
              <w:spacing w:after="20"/>
            </w:pPr>
            <w:r>
              <w:rPr>
                <w:color w:val="1C3A36"/>
                <w:sz w:val="14"/>
              </w:rPr>
              <w:t>2022-12-31</w:t>
            </w:r>
          </w:p>
        </w:tc>
      </w:tr>
      <w:tr>
        <w:tc>
          <w:tcPr>
            <w:tcW w:type="dxa" w:w="432"/>
          </w:tcPr>
          <w:p>
            <w:pPr>
              <w:spacing w:after="20"/>
            </w:pPr>
            <w:r>
              <w:rPr>
                <w:color w:val="1C3A36"/>
                <w:sz w:val="14"/>
              </w:rPr>
              <w:t>24</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25</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26</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32"/>
          </w:tcPr>
          <w:p>
            <w:pPr>
              <w:spacing w:after="20"/>
            </w:pPr>
            <w:r>
              <w:rPr>
                <w:color w:val="1C3A36"/>
                <w:sz w:val="14"/>
              </w:rPr>
              <w:t>27</w:t>
            </w:r>
          </w:p>
        </w:tc>
        <w:tc>
          <w:tcPr>
            <w:tcW w:type="dxa" w:w="2448"/>
          </w:tcPr>
          <w:p>
            <w:pPr>
              <w:spacing w:after="20"/>
            </w:pPr>
            <w:r>
              <w:rPr>
                <w:color w:val="1C3A36"/>
                <w:sz w:val="14"/>
              </w:rPr>
              <w:t>cogs_h1_22</w:t>
            </w:r>
          </w:p>
        </w:tc>
        <w:tc>
          <w:tcPr>
            <w:tcW w:type="dxa" w:w="1325"/>
          </w:tcPr>
          <w:p>
            <w:pPr>
              <w:spacing w:after="20"/>
            </w:pPr>
            <w:r>
              <w:rPr>
                <w:color w:val="1C3A36"/>
                <w:sz w:val="14"/>
              </w:rPr>
              <w:t>1,704.8347</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 cost of sales</w:t>
            </w:r>
          </w:p>
        </w:tc>
        <w:tc>
          <w:tcPr>
            <w:tcW w:type="dxa" w:w="1210"/>
          </w:tcPr>
          <w:p>
            <w:pPr>
              <w:spacing w:after="20"/>
            </w:pPr>
            <w:r>
              <w:rPr>
                <w:color w:val="1C3A36"/>
                <w:sz w:val="14"/>
              </w:rPr>
              <w:t>2022-06-30</w:t>
            </w:r>
          </w:p>
        </w:tc>
      </w:tr>
      <w:tr>
        <w:tc>
          <w:tcPr>
            <w:tcW w:type="dxa" w:w="432"/>
          </w:tcPr>
          <w:p>
            <w:pPr>
              <w:spacing w:after="20"/>
            </w:pPr>
            <w:r>
              <w:rPr>
                <w:color w:val="1C3A36"/>
                <w:sz w:val="14"/>
              </w:rPr>
              <w:t>28</w:t>
            </w:r>
          </w:p>
        </w:tc>
        <w:tc>
          <w:tcPr>
            <w:tcW w:type="dxa" w:w="2448"/>
          </w:tcPr>
          <w:p>
            <w:pPr>
              <w:spacing w:after="20"/>
            </w:pPr>
            <w:r>
              <w:rPr>
                <w:color w:val="1C3A36"/>
                <w:sz w:val="14"/>
              </w:rPr>
              <w:t>cogs_h1_23</w:t>
            </w:r>
          </w:p>
        </w:tc>
        <w:tc>
          <w:tcPr>
            <w:tcW w:type="dxa" w:w="1325"/>
          </w:tcPr>
          <w:p>
            <w:pPr>
              <w:spacing w:after="20"/>
            </w:pPr>
            <w:r>
              <w:rPr>
                <w:color w:val="1C3A36"/>
                <w:sz w:val="14"/>
              </w:rPr>
              <w:t>2,536.4112</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2023 — cost of sales</w:t>
            </w:r>
          </w:p>
        </w:tc>
        <w:tc>
          <w:tcPr>
            <w:tcW w:type="dxa" w:w="1210"/>
          </w:tcPr>
          <w:p>
            <w:pPr>
              <w:spacing w:after="20"/>
            </w:pPr>
            <w:r>
              <w:rPr>
                <w:color w:val="1C3A36"/>
                <w:sz w:val="14"/>
              </w:rPr>
              <w:t>2023-06-30</w:t>
            </w:r>
          </w:p>
        </w:tc>
      </w:tr>
      <w:tr>
        <w:tc>
          <w:tcPr>
            <w:tcW w:type="dxa" w:w="432"/>
          </w:tcPr>
          <w:p>
            <w:pPr>
              <w:spacing w:after="20"/>
            </w:pPr>
            <w:r>
              <w:rPr>
                <w:color w:val="1C3A36"/>
                <w:sz w:val="14"/>
              </w:rPr>
              <w:t>29</w:t>
            </w:r>
          </w:p>
        </w:tc>
        <w:tc>
          <w:tcPr>
            <w:tcW w:type="dxa" w:w="2448"/>
          </w:tcPr>
          <w:p>
            <w:pPr>
              <w:spacing w:after="20"/>
            </w:pPr>
            <w:r>
              <w:rPr>
                <w:color w:val="1C3A36"/>
                <w:sz w:val="14"/>
              </w:rPr>
              <w:t>cogs_h1_25</w:t>
            </w:r>
          </w:p>
        </w:tc>
        <w:tc>
          <w:tcPr>
            <w:tcW w:type="dxa" w:w="1325"/>
          </w:tcPr>
          <w:p>
            <w:pPr>
              <w:spacing w:after="20"/>
            </w:pPr>
            <w:r>
              <w:rPr>
                <w:color w:val="1C3A36"/>
                <w:sz w:val="14"/>
              </w:rPr>
              <w:t>3,404.817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30</w:t>
            </w:r>
          </w:p>
        </w:tc>
        <w:tc>
          <w:tcPr>
            <w:tcW w:type="dxa" w:w="2448"/>
          </w:tcPr>
          <w:p>
            <w:pPr>
              <w:spacing w:after="20"/>
            </w:pPr>
            <w:r>
              <w:rPr>
                <w:color w:val="1C3A36"/>
                <w:sz w:val="14"/>
              </w:rPr>
              <w:t>cogs_h1_26</w:t>
            </w:r>
          </w:p>
        </w:tc>
        <w:tc>
          <w:tcPr>
            <w:tcW w:type="dxa" w:w="1325"/>
          </w:tcPr>
          <w:p>
            <w:pPr>
              <w:spacing w:after="20"/>
            </w:pPr>
            <w:r>
              <w:rPr>
                <w:color w:val="1C3A36"/>
                <w:sz w:val="14"/>
              </w:rPr>
              <w:t>3,619.0396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w:t>
            </w:r>
          </w:p>
        </w:tc>
        <w:tc>
          <w:tcPr>
            <w:tcW w:type="dxa" w:w="1210"/>
          </w:tcPr>
          <w:p>
            <w:pPr>
              <w:spacing w:after="20"/>
            </w:pPr>
            <w:r>
              <w:rPr>
                <w:color w:val="1C3A36"/>
                <w:sz w:val="14"/>
              </w:rPr>
              <w:t>2026-06-30</w:t>
            </w:r>
          </w:p>
        </w:tc>
      </w:tr>
      <w:tr>
        <w:tc>
          <w:tcPr>
            <w:tcW w:type="dxa" w:w="432"/>
          </w:tcPr>
          <w:p>
            <w:pPr>
              <w:spacing w:after="20"/>
            </w:pPr>
            <w:r>
              <w:rPr>
                <w:color w:val="1C3A36"/>
                <w:sz w:val="14"/>
              </w:rPr>
              <w:t>31</w:t>
            </w:r>
          </w:p>
        </w:tc>
        <w:tc>
          <w:tcPr>
            <w:tcW w:type="dxa" w:w="2448"/>
          </w:tcPr>
          <w:p>
            <w:pPr>
              <w:spacing w:after="20"/>
            </w:pPr>
            <w:r>
              <w:rPr>
                <w:color w:val="1C3A36"/>
                <w:sz w:val="14"/>
              </w:rPr>
              <w:t>cos_intang_amort_fy25</w:t>
            </w:r>
          </w:p>
        </w:tc>
        <w:tc>
          <w:tcPr>
            <w:tcW w:type="dxa" w:w="1325"/>
          </w:tcPr>
          <w:p>
            <w:pPr>
              <w:spacing w:after="20"/>
            </w:pPr>
            <w:r>
              <w:rPr>
                <w:color w:val="1C3A36"/>
                <w:sz w:val="14"/>
              </w:rPr>
              <w:t>30.6816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amortisation of intangible assets charged to cost of sales</w:t>
            </w:r>
          </w:p>
        </w:tc>
        <w:tc>
          <w:tcPr>
            <w:tcW w:type="dxa" w:w="1210"/>
          </w:tcPr>
          <w:p>
            <w:pPr>
              <w:spacing w:after="20"/>
            </w:pPr>
            <w:r>
              <w:rPr>
                <w:color w:val="1C3A36"/>
                <w:sz w:val="14"/>
              </w:rPr>
              <w:t>2025-12-31</w:t>
            </w:r>
          </w:p>
        </w:tc>
      </w:tr>
      <w:tr>
        <w:tc>
          <w:tcPr>
            <w:tcW w:type="dxa" w:w="432"/>
          </w:tcPr>
          <w:p>
            <w:pPr>
              <w:spacing w:after="20"/>
            </w:pPr>
            <w:r>
              <w:rPr>
                <w:color w:val="1C3A36"/>
                <w:sz w:val="14"/>
              </w:rPr>
              <w:t>32</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32"/>
          </w:tcPr>
          <w:p>
            <w:pPr>
              <w:spacing w:after="20"/>
            </w:pPr>
            <w:r>
              <w:rPr>
                <w:color w:val="1C3A36"/>
                <w:sz w:val="14"/>
              </w:rPr>
              <w:t>33</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32"/>
          </w:tcPr>
          <w:p>
            <w:pPr>
              <w:spacing w:after="20"/>
            </w:pPr>
            <w:r>
              <w:rPr>
                <w:color w:val="1C3A36"/>
                <w:sz w:val="14"/>
              </w:rPr>
              <w:t>34</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32"/>
          </w:tcPr>
          <w:p>
            <w:pPr>
              <w:spacing w:after="20"/>
            </w:pPr>
            <w:r>
              <w:rPr>
                <w:color w:val="1C3A36"/>
                <w:sz w:val="14"/>
              </w:rPr>
              <w:t>35</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32"/>
          </w:tcPr>
          <w:p>
            <w:pPr>
              <w:spacing w:after="20"/>
            </w:pPr>
            <w:r>
              <w:rPr>
                <w:color w:val="1C3A36"/>
                <w:sz w:val="14"/>
              </w:rPr>
              <w:t>36</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32"/>
          </w:tcPr>
          <w:p>
            <w:pPr>
              <w:spacing w:after="20"/>
            </w:pPr>
            <w:r>
              <w:rPr>
                <w:color w:val="1C3A36"/>
                <w:sz w:val="14"/>
              </w:rPr>
              <w:t>37</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32"/>
          </w:tcPr>
          <w:p>
            <w:pPr>
              <w:spacing w:after="20"/>
            </w:pPr>
            <w:r>
              <w:rPr>
                <w:color w:val="1C3A36"/>
                <w:sz w:val="14"/>
              </w:rPr>
              <w:t>38</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32"/>
          </w:tcPr>
          <w:p>
            <w:pPr>
              <w:spacing w:after="20"/>
            </w:pPr>
            <w:r>
              <w:rPr>
                <w:color w:val="1C3A36"/>
                <w:sz w:val="14"/>
              </w:rPr>
              <w:t>39</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32"/>
          </w:tcPr>
          <w:p>
            <w:pPr>
              <w:spacing w:after="20"/>
            </w:pPr>
            <w:r>
              <w:rPr>
                <w:color w:val="1C3A36"/>
                <w:sz w:val="14"/>
              </w:rPr>
              <w:t>40</w:t>
            </w:r>
          </w:p>
        </w:tc>
        <w:tc>
          <w:tcPr>
            <w:tcW w:type="dxa" w:w="2448"/>
          </w:tcPr>
          <w:p>
            <w:pPr>
              <w:spacing w:after="20"/>
            </w:pPr>
            <w:r>
              <w:rPr>
                <w:color w:val="1C3A36"/>
                <w:sz w:val="14"/>
              </w:rPr>
              <w:t>debt_h1_26</w:t>
            </w:r>
          </w:p>
        </w:tc>
        <w:tc>
          <w:tcPr>
            <w:tcW w:type="dxa" w:w="1325"/>
          </w:tcPr>
          <w:p>
            <w:pPr>
              <w:spacing w:after="20"/>
            </w:pPr>
            <w:r>
              <w:rPr>
                <w:color w:val="1C3A36"/>
                <w:sz w:val="14"/>
              </w:rPr>
              <w:t>1,283.2884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INTEREST-BEARING borrowings only: non-current borrowings 761.097643 plus current portion of long-term borrowings 269.115255 plus credit facilities 253.075496. Trade and notes payable, creditors and other credit balances and current tax liabilities bear no interest and are excluded by construction</w:t>
            </w:r>
          </w:p>
        </w:tc>
        <w:tc>
          <w:tcPr>
            <w:tcW w:type="dxa" w:w="1210"/>
          </w:tcPr>
          <w:p>
            <w:pPr>
              <w:spacing w:after="20"/>
            </w:pPr>
            <w:r>
              <w:rPr>
                <w:color w:val="1C3A36"/>
                <w:sz w:val="14"/>
              </w:rPr>
              <w:t>2026-06-30</w:t>
            </w:r>
          </w:p>
        </w:tc>
      </w:tr>
      <w:tr>
        <w:tc>
          <w:tcPr>
            <w:tcW w:type="dxa" w:w="432"/>
          </w:tcPr>
          <w:p>
            <w:pPr>
              <w:spacing w:after="20"/>
            </w:pPr>
            <w:r>
              <w:rPr>
                <w:color w:val="1C3A36"/>
                <w:sz w:val="14"/>
              </w:rPr>
              <w:t>41</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32"/>
          </w:tcPr>
          <w:p>
            <w:pPr>
              <w:spacing w:after="20"/>
            </w:pPr>
            <w:r>
              <w:rPr>
                <w:color w:val="1C3A36"/>
                <w:sz w:val="14"/>
              </w:rPr>
              <w:t>42</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32"/>
          </w:tcPr>
          <w:p>
            <w:pPr>
              <w:spacing w:after="20"/>
            </w:pPr>
            <w:r>
              <w:rPr>
                <w:color w:val="1C3A36"/>
                <w:sz w:val="14"/>
              </w:rPr>
              <w:t>43</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32"/>
          </w:tcPr>
          <w:p>
            <w:pPr>
              <w:spacing w:after="20"/>
            </w:pPr>
            <w:r>
              <w:rPr>
                <w:color w:val="1C3A36"/>
                <w:sz w:val="14"/>
              </w:rPr>
              <w:t>44</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32"/>
          </w:tcPr>
          <w:p>
            <w:pPr>
              <w:spacing w:after="20"/>
            </w:pPr>
            <w:r>
              <w:rPr>
                <w:color w:val="1C3A36"/>
                <w:sz w:val="14"/>
              </w:rPr>
              <w:t>45</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32"/>
          </w:tcPr>
          <w:p>
            <w:pPr>
              <w:spacing w:after="20"/>
            </w:pPr>
            <w:r>
              <w:rPr>
                <w:color w:val="1C3A36"/>
                <w:sz w:val="14"/>
              </w:rPr>
              <w:t>46</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32"/>
          </w:tcPr>
          <w:p>
            <w:pPr>
              <w:spacing w:after="20"/>
            </w:pPr>
            <w:r>
              <w:rPr>
                <w:color w:val="1C3A36"/>
                <w:sz w:val="14"/>
              </w:rPr>
              <w:t>47</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32"/>
          </w:tcPr>
          <w:p>
            <w:pPr>
              <w:spacing w:after="20"/>
            </w:pPr>
            <w:r>
              <w:rPr>
                <w:color w:val="1C3A36"/>
                <w:sz w:val="14"/>
              </w:rPr>
              <w:t>48</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32"/>
          </w:tcPr>
          <w:p>
            <w:pPr>
              <w:spacing w:after="20"/>
            </w:pPr>
            <w:r>
              <w:rPr>
                <w:color w:val="1C3A36"/>
                <w:sz w:val="14"/>
              </w:rPr>
              <w:t>49</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32"/>
          </w:tcPr>
          <w:p>
            <w:pPr>
              <w:spacing w:after="20"/>
            </w:pPr>
            <w:r>
              <w:rPr>
                <w:color w:val="1C3A36"/>
                <w:sz w:val="14"/>
              </w:rPr>
              <w:t>50</w:t>
            </w:r>
          </w:p>
        </w:tc>
        <w:tc>
          <w:tcPr>
            <w:tcW w:type="dxa" w:w="2448"/>
          </w:tcPr>
          <w:p>
            <w:pPr>
              <w:spacing w:after="20"/>
            </w:pPr>
            <w:r>
              <w:rPr>
                <w:color w:val="1C3A36"/>
                <w:sz w:val="14"/>
              </w:rPr>
              <w:t>dna_h1_26</w:t>
            </w:r>
          </w:p>
        </w:tc>
        <w:tc>
          <w:tcPr>
            <w:tcW w:type="dxa" w:w="1325"/>
          </w:tcPr>
          <w:p>
            <w:pPr>
              <w:spacing w:after="20"/>
            </w:pPr>
            <w:r>
              <w:rPr>
                <w:color w:val="1C3A36"/>
                <w:sz w:val="14"/>
              </w:rPr>
              <w:t>161.2548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depreciation of property, plant and equipment 146.470318 plus amortisation of intangibles 13.962414 plus amortisation of right-of-use assets 0.822030</w:t>
            </w:r>
          </w:p>
        </w:tc>
        <w:tc>
          <w:tcPr>
            <w:tcW w:type="dxa" w:w="1210"/>
          </w:tcPr>
          <w:p>
            <w:pPr>
              <w:spacing w:after="20"/>
            </w:pPr>
            <w:r>
              <w:rPr>
                <w:color w:val="1C3A36"/>
                <w:sz w:val="14"/>
              </w:rPr>
              <w:t>2026-06-30</w:t>
            </w:r>
          </w:p>
        </w:tc>
      </w:tr>
      <w:tr>
        <w:tc>
          <w:tcPr>
            <w:tcW w:type="dxa" w:w="432"/>
          </w:tcPr>
          <w:p>
            <w:pPr>
              <w:spacing w:after="20"/>
            </w:pPr>
            <w:r>
              <w:rPr>
                <w:color w:val="1C3A36"/>
                <w:sz w:val="14"/>
              </w:rPr>
              <w:t>51</w:t>
            </w:r>
          </w:p>
        </w:tc>
        <w:tc>
          <w:tcPr>
            <w:tcW w:type="dxa" w:w="2448"/>
          </w:tcPr>
          <w:p>
            <w:pPr>
              <w:spacing w:after="20"/>
            </w:pPr>
            <w:r>
              <w:rPr>
                <w:color w:val="1C3A36"/>
                <w:sz w:val="14"/>
              </w:rPr>
              <w:t>ebrd_margin</w:t>
            </w:r>
          </w:p>
        </w:tc>
        <w:tc>
          <w:tcPr>
            <w:tcW w:type="dxa" w:w="1325"/>
          </w:tcPr>
          <w:p>
            <w:pPr>
              <w:spacing w:after="20"/>
            </w:pPr>
            <w:r>
              <w:rPr>
                <w:color w:val="1C3A36"/>
                <w:sz w:val="14"/>
              </w:rPr>
              <w:t>0.0435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10, facility schedule — the European Bank for Reconstruction and Development euro facility prices at three-month Euribor plus this margin</w:t>
            </w:r>
          </w:p>
        </w:tc>
        <w:tc>
          <w:tcPr>
            <w:tcW w:type="dxa" w:w="1210"/>
          </w:tcPr>
          <w:p>
            <w:pPr>
              <w:spacing w:after="20"/>
            </w:pPr>
            <w:r>
              <w:rPr>
                <w:color w:val="1C3A36"/>
                <w:sz w:val="14"/>
              </w:rPr>
              <w:t>2025-12-31</w:t>
            </w:r>
          </w:p>
        </w:tc>
      </w:tr>
      <w:tr>
        <w:tc>
          <w:tcPr>
            <w:tcW w:type="dxa" w:w="432"/>
          </w:tcPr>
          <w:p>
            <w:pPr>
              <w:spacing w:after="20"/>
            </w:pPr>
            <w:r>
              <w:rPr>
                <w:color w:val="1C3A36"/>
                <w:sz w:val="14"/>
              </w:rPr>
              <w:t>52</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53</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32"/>
          </w:tcPr>
          <w:p>
            <w:pPr>
              <w:spacing w:after="20"/>
            </w:pPr>
            <w:r>
              <w:rPr>
                <w:color w:val="1C3A36"/>
                <w:sz w:val="14"/>
              </w:rPr>
              <w:t>54</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32"/>
          </w:tcPr>
          <w:p>
            <w:pPr>
              <w:spacing w:after="20"/>
            </w:pPr>
            <w:r>
              <w:rPr>
                <w:color w:val="1C3A36"/>
                <w:sz w:val="14"/>
              </w:rPr>
              <w:t>55</w:t>
            </w:r>
          </w:p>
        </w:tc>
        <w:tc>
          <w:tcPr>
            <w:tcW w:type="dxa" w:w="2448"/>
          </w:tcPr>
          <w:p>
            <w:pPr>
              <w:spacing w:after="20"/>
            </w:pPr>
            <w:r>
              <w:rPr>
                <w:color w:val="1C3A36"/>
                <w:sz w:val="14"/>
              </w:rPr>
              <w:t>eff_rate_disclosed_fy24</w:t>
            </w:r>
          </w:p>
        </w:tc>
        <w:tc>
          <w:tcPr>
            <w:tcW w:type="dxa" w:w="1325"/>
          </w:tcPr>
          <w:p>
            <w:pPr>
              <w:spacing w:after="20"/>
            </w:pPr>
            <w:r>
              <w:rPr>
                <w:color w:val="1C3A36"/>
                <w:sz w:val="14"/>
              </w:rPr>
              <w:t>0.2296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note 10.2 — the same disclosure for 2024</w:t>
            </w:r>
          </w:p>
        </w:tc>
        <w:tc>
          <w:tcPr>
            <w:tcW w:type="dxa" w:w="1210"/>
          </w:tcPr>
          <w:p>
            <w:pPr>
              <w:spacing w:after="20"/>
            </w:pPr>
            <w:r>
              <w:rPr>
                <w:color w:val="1C3A36"/>
                <w:sz w:val="14"/>
              </w:rPr>
              <w:t>2024-12-31</w:t>
            </w:r>
          </w:p>
        </w:tc>
      </w:tr>
      <w:tr>
        <w:tc>
          <w:tcPr>
            <w:tcW w:type="dxa" w:w="432"/>
          </w:tcPr>
          <w:p>
            <w:pPr>
              <w:spacing w:after="20"/>
            </w:pPr>
            <w:r>
              <w:rPr>
                <w:color w:val="1C3A36"/>
                <w:sz w:val="14"/>
              </w:rPr>
              <w:t>56</w:t>
            </w:r>
          </w:p>
        </w:tc>
        <w:tc>
          <w:tcPr>
            <w:tcW w:type="dxa" w:w="2448"/>
          </w:tcPr>
          <w:p>
            <w:pPr>
              <w:spacing w:after="20"/>
            </w:pPr>
            <w:r>
              <w:rPr>
                <w:color w:val="1C3A36"/>
                <w:sz w:val="14"/>
              </w:rPr>
              <w:t>eff_rate_disclosed_fy25</w:t>
            </w:r>
          </w:p>
        </w:tc>
        <w:tc>
          <w:tcPr>
            <w:tcW w:type="dxa" w:w="1325"/>
          </w:tcPr>
          <w:p>
            <w:pPr>
              <w:spacing w:after="20"/>
            </w:pPr>
            <w:r>
              <w:rPr>
                <w:color w:val="1C3A36"/>
                <w:sz w:val="14"/>
              </w:rPr>
              <w:t>0.2333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10.2 — the average effective interest rate the company itself states for 2025, distinct from the rate this study computes from the charge and the balance</w:t>
            </w:r>
          </w:p>
        </w:tc>
        <w:tc>
          <w:tcPr>
            <w:tcW w:type="dxa" w:w="1210"/>
          </w:tcPr>
          <w:p>
            <w:pPr>
              <w:spacing w:after="20"/>
            </w:pPr>
            <w:r>
              <w:rPr>
                <w:color w:val="1C3A36"/>
                <w:sz w:val="14"/>
              </w:rPr>
              <w:t>2025-12-31</w:t>
            </w:r>
          </w:p>
        </w:tc>
      </w:tr>
      <w:tr>
        <w:tc>
          <w:tcPr>
            <w:tcW w:type="dxa" w:w="432"/>
          </w:tcPr>
          <w:p>
            <w:pPr>
              <w:spacing w:after="20"/>
            </w:pPr>
            <w:r>
              <w:rPr>
                <w:color w:val="1C3A36"/>
                <w:sz w:val="14"/>
              </w:rPr>
              <w:t>57</w:t>
            </w:r>
          </w:p>
        </w:tc>
        <w:tc>
          <w:tcPr>
            <w:tcW w:type="dxa" w:w="2448"/>
          </w:tcPr>
          <w:p>
            <w:pPr>
              <w:spacing w:after="20"/>
            </w:pPr>
            <w:r>
              <w:rPr>
                <w:color w:val="1C3A36"/>
                <w:sz w:val="14"/>
              </w:rPr>
              <w:t>eff_rate_disclosed_q126</w:t>
            </w:r>
          </w:p>
        </w:tc>
        <w:tc>
          <w:tcPr>
            <w:tcW w:type="dxa" w:w="1325"/>
          </w:tcPr>
          <w:p>
            <w:pPr>
              <w:spacing w:after="20"/>
            </w:pPr>
            <w:r>
              <w:rPr>
                <w:color w:val="1C3A36"/>
                <w:sz w:val="14"/>
              </w:rPr>
              <w:t>0.2592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the same disclosure annualised for the first quarter of 2026</w:t>
            </w:r>
          </w:p>
        </w:tc>
        <w:tc>
          <w:tcPr>
            <w:tcW w:type="dxa" w:w="1210"/>
          </w:tcPr>
          <w:p>
            <w:pPr>
              <w:spacing w:after="20"/>
            </w:pPr>
            <w:r>
              <w:rPr>
                <w:color w:val="1C3A36"/>
                <w:sz w:val="14"/>
              </w:rPr>
              <w:t>2026-03-31</w:t>
            </w:r>
          </w:p>
        </w:tc>
      </w:tr>
      <w:tr>
        <w:tc>
          <w:tcPr>
            <w:tcW w:type="dxa" w:w="432"/>
          </w:tcPr>
          <w:p>
            <w:pPr>
              <w:spacing w:after="20"/>
            </w:pPr>
            <w:r>
              <w:rPr>
                <w:color w:val="1C3A36"/>
                <w:sz w:val="14"/>
              </w:rPr>
              <w:t>58</w:t>
            </w:r>
          </w:p>
        </w:tc>
        <w:tc>
          <w:tcPr>
            <w:tcW w:type="dxa" w:w="2448"/>
          </w:tcPr>
          <w:p>
            <w:pPr>
              <w:spacing w:after="20"/>
            </w:pPr>
            <w:r>
              <w:rPr>
                <w:color w:val="1C3A36"/>
                <w:sz w:val="14"/>
              </w:rPr>
              <w:t>egy_cons_mt</w:t>
            </w:r>
          </w:p>
        </w:tc>
        <w:tc>
          <w:tcPr>
            <w:tcW w:type="dxa" w:w="1325"/>
          </w:tcPr>
          <w:p>
            <w:pPr>
              <w:spacing w:after="20"/>
            </w:pPr>
            <w:r>
              <w:rPr>
                <w:color w:val="1C3A36"/>
                <w:sz w:val="14"/>
              </w:rPr>
              <w:t>53.9929</w:t>
            </w:r>
          </w:p>
        </w:tc>
        <w:tc>
          <w:tcPr>
            <w:tcW w:type="dxa" w:w="1066"/>
          </w:tcPr>
          <w:p>
            <w:pPr>
              <w:spacing w:after="20"/>
            </w:pPr>
            <w:r>
              <w:rPr>
                <w:color w:val="1C3A36"/>
                <w:sz w:val="14"/>
              </w:rPr>
              <w:t>Company</w:t>
            </w:r>
          </w:p>
        </w:tc>
        <w:tc>
          <w:tcPr>
            <w:tcW w:type="dxa" w:w="7171"/>
          </w:tcPr>
          <w:p>
            <w:pPr>
              <w:spacing w:after="20"/>
            </w:pPr>
            <w:r>
              <w:rPr>
                <w:color w:val="1C3A36"/>
                <w:sz w:val="14"/>
              </w:rPr>
              <w:t>Egyptian domestic CEMENT sales 2025. FY2025 Investor Presentation, Arabian Cement Company S.A.E., investor relations library, page 5 (sales volumes and production indicators), Market Overview block, 'Cement Domestic Sales' 53,992.9 K Tons, against the 54.0 previously carried on trade estimate. Read at the page's own precision rather than the chart's rounded 53.9, because the utilisation ratios below are differences of large numbers</w:t>
            </w:r>
          </w:p>
        </w:tc>
        <w:tc>
          <w:tcPr>
            <w:tcW w:type="dxa" w:w="1210"/>
          </w:tcPr>
          <w:p>
            <w:pPr>
              <w:spacing w:after="20"/>
            </w:pPr>
            <w:r>
              <w:rPr>
                <w:color w:val="1C3A36"/>
                <w:sz w:val="14"/>
              </w:rPr>
              <w:t>2026-03-01</w:t>
            </w:r>
          </w:p>
        </w:tc>
      </w:tr>
      <w:tr>
        <w:tc>
          <w:tcPr>
            <w:tcW w:type="dxa" w:w="432"/>
          </w:tcPr>
          <w:p>
            <w:pPr>
              <w:spacing w:after="20"/>
            </w:pPr>
            <w:r>
              <w:rPr>
                <w:color w:val="1C3A36"/>
                <w:sz w:val="14"/>
              </w:rPr>
              <w:t>59</w:t>
            </w:r>
          </w:p>
        </w:tc>
        <w:tc>
          <w:tcPr>
            <w:tcW w:type="dxa" w:w="2448"/>
          </w:tcPr>
          <w:p>
            <w:pPr>
              <w:spacing w:after="20"/>
            </w:pPr>
            <w:r>
              <w:rPr>
                <w:color w:val="1C3A36"/>
                <w:sz w:val="14"/>
              </w:rPr>
              <w:t>egy_exports_cement_mt</w:t>
            </w:r>
          </w:p>
        </w:tc>
        <w:tc>
          <w:tcPr>
            <w:tcW w:type="dxa" w:w="1325"/>
          </w:tcPr>
          <w:p>
            <w:pPr>
              <w:spacing w:after="20"/>
            </w:pPr>
            <w:r>
              <w:rPr>
                <w:color w:val="1C3A36"/>
                <w:sz w:val="14"/>
              </w:rPr>
              <w:t>11.063</w:t>
            </w:r>
          </w:p>
        </w:tc>
        <w:tc>
          <w:tcPr>
            <w:tcW w:type="dxa" w:w="1066"/>
          </w:tcPr>
          <w:p>
            <w:pPr>
              <w:spacing w:after="20"/>
            </w:pPr>
            <w:r>
              <w:rPr>
                <w:color w:val="1C3A36"/>
                <w:sz w:val="14"/>
              </w:rPr>
              <w:t>Company</w:t>
            </w:r>
          </w:p>
        </w:tc>
        <w:tc>
          <w:tcPr>
            <w:tcW w:type="dxa" w:w="7171"/>
          </w:tcPr>
          <w:p>
            <w:pPr>
              <w:spacing w:after="20"/>
            </w:pPr>
            <w:r>
              <w:rPr>
                <w:color w:val="1C3A36"/>
                <w:sz w:val="14"/>
              </w:rPr>
              <w:t>Egyptian CEMENT export sales 2025. FY2025 Investor Presentation, Arabian Cement Company S.A.E., investor relations library, page 5 (sales volumes and production indicators), Market Overview block, 'Cement Export Sales' 11,063.0 K Tons (FY2024: 7,561.7, up 46%)</w:t>
            </w:r>
          </w:p>
        </w:tc>
        <w:tc>
          <w:tcPr>
            <w:tcW w:type="dxa" w:w="1210"/>
          </w:tcPr>
          <w:p>
            <w:pPr>
              <w:spacing w:after="20"/>
            </w:pPr>
            <w:r>
              <w:rPr>
                <w:color w:val="1C3A36"/>
                <w:sz w:val="14"/>
              </w:rPr>
              <w:t>2026-03-01</w:t>
            </w:r>
          </w:p>
        </w:tc>
      </w:tr>
      <w:tr>
        <w:tc>
          <w:tcPr>
            <w:tcW w:type="dxa" w:w="432"/>
          </w:tcPr>
          <w:p>
            <w:pPr>
              <w:spacing w:after="20"/>
            </w:pPr>
            <w:r>
              <w:rPr>
                <w:color w:val="1C3A36"/>
                <w:sz w:val="14"/>
              </w:rPr>
              <w:t>60</w:t>
            </w:r>
          </w:p>
        </w:tc>
        <w:tc>
          <w:tcPr>
            <w:tcW w:type="dxa" w:w="2448"/>
          </w:tcPr>
          <w:p>
            <w:pPr>
              <w:spacing w:after="20"/>
            </w:pPr>
            <w:r>
              <w:rPr>
                <w:color w:val="1C3A36"/>
                <w:sz w:val="14"/>
              </w:rPr>
              <w:t>egy_exports_clinker_mt</w:t>
            </w:r>
          </w:p>
        </w:tc>
        <w:tc>
          <w:tcPr>
            <w:tcW w:type="dxa" w:w="1325"/>
          </w:tcPr>
          <w:p>
            <w:pPr>
              <w:spacing w:after="20"/>
            </w:pPr>
            <w:r>
              <w:rPr>
                <w:color w:val="1C3A36"/>
                <w:sz w:val="14"/>
              </w:rPr>
              <w:t>7.5689</w:t>
            </w:r>
          </w:p>
        </w:tc>
        <w:tc>
          <w:tcPr>
            <w:tcW w:type="dxa" w:w="1066"/>
          </w:tcPr>
          <w:p>
            <w:pPr>
              <w:spacing w:after="20"/>
            </w:pPr>
            <w:r>
              <w:rPr>
                <w:color w:val="1C3A36"/>
                <w:sz w:val="14"/>
              </w:rPr>
              <w:t>Company</w:t>
            </w:r>
          </w:p>
        </w:tc>
        <w:tc>
          <w:tcPr>
            <w:tcW w:type="dxa" w:w="7171"/>
          </w:tcPr>
          <w:p>
            <w:pPr>
              <w:spacing w:after="20"/>
            </w:pPr>
            <w:r>
              <w:rPr>
                <w:color w:val="1C3A36"/>
                <w:sz w:val="14"/>
              </w:rPr>
              <w:t>Egyptian CLINKER export sales 2025. FY2025 Investor Presentation, Arabian Cement Company S.A.E., investor relations library, page 5 (sales volumes and production indicators), Market Overview block, 'Clinker Export Sales' 7,568.9 K Tons (FY2024: 12,241.4, down 38%). Leaves at the kiln, never enters a cement mill, and is therefore NOT in the cement-basis utilisation ratio</w:t>
            </w:r>
          </w:p>
        </w:tc>
        <w:tc>
          <w:tcPr>
            <w:tcW w:type="dxa" w:w="1210"/>
          </w:tcPr>
          <w:p>
            <w:pPr>
              <w:spacing w:after="20"/>
            </w:pPr>
            <w:r>
              <w:rPr>
                <w:color w:val="1C3A36"/>
                <w:sz w:val="14"/>
              </w:rPr>
              <w:t>2026-03-01</w:t>
            </w:r>
          </w:p>
        </w:tc>
      </w:tr>
      <w:tr>
        <w:tc>
          <w:tcPr>
            <w:tcW w:type="dxa" w:w="432"/>
          </w:tcPr>
          <w:p>
            <w:pPr>
              <w:spacing w:after="20"/>
            </w:pPr>
            <w:r>
              <w:rPr>
                <w:color w:val="1C3A36"/>
                <w:sz w:val="14"/>
              </w:rPr>
              <w:t>61</w:t>
            </w:r>
          </w:p>
        </w:tc>
        <w:tc>
          <w:tcPr>
            <w:tcW w:type="dxa" w:w="2448"/>
          </w:tcPr>
          <w:p>
            <w:pPr>
              <w:spacing w:after="20"/>
            </w:pPr>
            <w:r>
              <w:rPr>
                <w:color w:val="1C3A36"/>
                <w:sz w:val="14"/>
              </w:rPr>
              <w:t>egy_exports_mt</w:t>
            </w:r>
          </w:p>
        </w:tc>
        <w:tc>
          <w:tcPr>
            <w:tcW w:type="dxa" w:w="1325"/>
          </w:tcPr>
          <w:p>
            <w:pPr>
              <w:spacing w:after="20"/>
            </w:pPr>
            <w:r>
              <w:rPr>
                <w:color w:val="1C3A36"/>
                <w:sz w:val="14"/>
              </w:rPr>
              <w:t>18.6319</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export sales 2025. FY2025 Investor Presentation, Arabian Cement Company S.A.E., investor relations library, page 5 (sales volumes and production indicators), Market Overview block, 'Total Export Sales' 18,631.9 K Tons. THE TWO PRODUCTS ARE REPORTED TOGETHER AND THE SAME PAGE SPLITS THEM, which is why the earlier balance failed: it set a cement-plus-clinker export figure against a cement-only production figure. The split is now carried in the two inputs below rather than left folded up here, because a utilisation ratio built on this line has the same defect</w:t>
            </w:r>
          </w:p>
        </w:tc>
        <w:tc>
          <w:tcPr>
            <w:tcW w:type="dxa" w:w="1210"/>
          </w:tcPr>
          <w:p>
            <w:pPr>
              <w:spacing w:after="20"/>
            </w:pPr>
            <w:r>
              <w:rPr>
                <w:color w:val="1C3A36"/>
                <w:sz w:val="14"/>
              </w:rPr>
              <w:t>2026-03-01</w:t>
            </w:r>
          </w:p>
        </w:tc>
      </w:tr>
      <w:tr>
        <w:tc>
          <w:tcPr>
            <w:tcW w:type="dxa" w:w="432"/>
          </w:tcPr>
          <w:p>
            <w:pPr>
              <w:spacing w:after="20"/>
            </w:pPr>
            <w:r>
              <w:rPr>
                <w:color w:val="1C3A36"/>
                <w:sz w:val="14"/>
              </w:rPr>
              <w:t>62</w:t>
            </w:r>
          </w:p>
        </w:tc>
        <w:tc>
          <w:tcPr>
            <w:tcW w:type="dxa" w:w="2448"/>
          </w:tcPr>
          <w:p>
            <w:pPr>
              <w:spacing w:after="20"/>
            </w:pPr>
            <w:r>
              <w:rPr>
                <w:color w:val="1C3A36"/>
                <w:sz w:val="14"/>
              </w:rPr>
              <w:t>egy_prod_mt</w:t>
            </w:r>
          </w:p>
        </w:tc>
        <w:tc>
          <w:tcPr>
            <w:tcW w:type="dxa" w:w="1325"/>
          </w:tcPr>
          <w:p>
            <w:pPr>
              <w:spacing w:after="20"/>
            </w:pPr>
            <w:r>
              <w:rPr>
                <w:color w:val="1C3A36"/>
                <w:sz w:val="14"/>
              </w:rPr>
              <w:t>72.6248</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sales 2025 — local plus export. FY2025 Investor Presentation, Arabian Cement Company S.A.E., investor relations library, page 5 (sales volumes and production indicators) gives domestic cement 53,992.9, cement exports 11,063.0 and clinker exports 7,568.9 K Tons. Revisions 1 to 4 carried 65.0Mt as 'production' against exports of 18.5Mt and consumption of 54Mt, a balance that does not close: 65 less 54 is 11Mt, not 18.5. THE 65Mt THEY DISCARDED WAS THE RIGHT CEMENT-BASIS NUMBER and the balance failed because the two figures were on different bases, not because either was wrong. This total is the all-product one and it is NOT the numerator of a cement utilisation ratio</w:t>
            </w:r>
          </w:p>
        </w:tc>
        <w:tc>
          <w:tcPr>
            <w:tcW w:type="dxa" w:w="1210"/>
          </w:tcPr>
          <w:p>
            <w:pPr>
              <w:spacing w:after="20"/>
            </w:pPr>
            <w:r>
              <w:rPr>
                <w:color w:val="1C3A36"/>
                <w:sz w:val="14"/>
              </w:rPr>
              <w:t>2026-03-01</w:t>
            </w:r>
          </w:p>
        </w:tc>
      </w:tr>
      <w:tr>
        <w:tc>
          <w:tcPr>
            <w:tcW w:type="dxa" w:w="432"/>
          </w:tcPr>
          <w:p>
            <w:pPr>
              <w:spacing w:after="20"/>
            </w:pPr>
            <w:r>
              <w:rPr>
                <w:color w:val="1C3A36"/>
                <w:sz w:val="14"/>
              </w:rPr>
              <w:t>63</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32"/>
          </w:tcPr>
          <w:p>
            <w:pPr>
              <w:spacing w:after="20"/>
            </w:pPr>
            <w:r>
              <w:rPr>
                <w:color w:val="1C3A36"/>
                <w:sz w:val="14"/>
              </w:rPr>
              <w:t>64</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32"/>
          </w:tcPr>
          <w:p>
            <w:pPr>
              <w:spacing w:after="20"/>
            </w:pPr>
            <w:r>
              <w:rPr>
                <w:color w:val="1C3A36"/>
                <w:sz w:val="14"/>
              </w:rPr>
              <w:t>65</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32"/>
          </w:tcPr>
          <w:p>
            <w:pPr>
              <w:spacing w:after="20"/>
            </w:pPr>
            <w:r>
              <w:rPr>
                <w:color w:val="1C3A36"/>
                <w:sz w:val="14"/>
              </w:rPr>
              <w:t>66</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32"/>
          </w:tcPr>
          <w:p>
            <w:pPr>
              <w:spacing w:after="20"/>
            </w:pPr>
            <w:r>
              <w:rPr>
                <w:color w:val="1C3A36"/>
                <w:sz w:val="14"/>
              </w:rPr>
              <w:t>67</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32"/>
          </w:tcPr>
          <w:p>
            <w:pPr>
              <w:spacing w:after="20"/>
            </w:pPr>
            <w:r>
              <w:rPr>
                <w:color w:val="1C3A36"/>
                <w:sz w:val="14"/>
              </w:rPr>
              <w:t>68</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32"/>
          </w:tcPr>
          <w:p>
            <w:pPr>
              <w:spacing w:after="20"/>
            </w:pPr>
            <w:r>
              <w:rPr>
                <w:color w:val="1C3A36"/>
                <w:sz w:val="14"/>
              </w:rPr>
              <w:t>69</w:t>
            </w:r>
          </w:p>
        </w:tc>
        <w:tc>
          <w:tcPr>
            <w:tcW w:type="dxa" w:w="2448"/>
          </w:tcPr>
          <w:p>
            <w:pPr>
              <w:spacing w:after="20"/>
            </w:pPr>
            <w:r>
              <w:rPr>
                <w:color w:val="1C3A36"/>
                <w:sz w:val="14"/>
              </w:rPr>
              <w:t>equity_h1_26</w:t>
            </w:r>
          </w:p>
        </w:tc>
        <w:tc>
          <w:tcPr>
            <w:tcW w:type="dxa" w:w="1325"/>
          </w:tcPr>
          <w:p>
            <w:pPr>
              <w:spacing w:after="20"/>
            </w:pPr>
            <w:r>
              <w:rPr>
                <w:color w:val="1C3A36"/>
                <w:sz w:val="14"/>
              </w:rPr>
              <w:t>4,794.3034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equity attributable to owners of the Parent Company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70</w:t>
            </w:r>
          </w:p>
        </w:tc>
        <w:tc>
          <w:tcPr>
            <w:tcW w:type="dxa" w:w="2448"/>
          </w:tcPr>
          <w:p>
            <w:pPr>
              <w:spacing w:after="20"/>
            </w:pPr>
            <w:r>
              <w:rPr>
                <w:color w:val="1C3A36"/>
                <w:sz w:val="14"/>
              </w:rPr>
              <w:t>export_subsidy_fy25</w:t>
            </w:r>
          </w:p>
        </w:tc>
        <w:tc>
          <w:tcPr>
            <w:tcW w:type="dxa" w:w="1325"/>
          </w:tcPr>
          <w:p>
            <w:pPr>
              <w:spacing w:after="20"/>
            </w:pPr>
            <w:r>
              <w:rPr>
                <w:color w:val="1C3A36"/>
                <w:sz w:val="14"/>
              </w:rPr>
              <w:t>32.6426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7: other income for FY2025 'includes export subsidies amounted to EGP 32 642 586'. The comparison that makes the H1-2026 collection readable as a catch-up rather than a run rate</w:t>
            </w:r>
          </w:p>
        </w:tc>
        <w:tc>
          <w:tcPr>
            <w:tcW w:type="dxa" w:w="1210"/>
          </w:tcPr>
          <w:p>
            <w:pPr>
              <w:spacing w:after="20"/>
            </w:pPr>
            <w:r>
              <w:rPr>
                <w:color w:val="1C3A36"/>
                <w:sz w:val="14"/>
              </w:rPr>
              <w:t>2025-12-31</w:t>
            </w:r>
          </w:p>
        </w:tc>
      </w:tr>
      <w:tr>
        <w:tc>
          <w:tcPr>
            <w:tcW w:type="dxa" w:w="432"/>
          </w:tcPr>
          <w:p>
            <w:pPr>
              <w:spacing w:after="20"/>
            </w:pPr>
            <w:r>
              <w:rPr>
                <w:color w:val="1C3A36"/>
                <w:sz w:val="14"/>
              </w:rPr>
              <w:t>71</w:t>
            </w:r>
          </w:p>
        </w:tc>
        <w:tc>
          <w:tcPr>
            <w:tcW w:type="dxa" w:w="2448"/>
          </w:tcPr>
          <w:p>
            <w:pPr>
              <w:spacing w:after="20"/>
            </w:pPr>
            <w:r>
              <w:rPr>
                <w:color w:val="1C3A36"/>
                <w:sz w:val="14"/>
              </w:rPr>
              <w:t>export_subsidy_h1_26</w:t>
            </w:r>
          </w:p>
        </w:tc>
        <w:tc>
          <w:tcPr>
            <w:tcW w:type="dxa" w:w="1325"/>
          </w:tcPr>
          <w:p>
            <w:pPr>
              <w:spacing w:after="20"/>
            </w:pPr>
            <w:r>
              <w:rPr>
                <w:color w:val="1C3A36"/>
                <w:sz w:val="14"/>
              </w:rPr>
              <w:t>467.8131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29: 'The other income for the period ended June 30, 2026, includes export subsidy amounted to EGP 467 813 139 which have been collected during the three months period ended June 30, 2026.' EXCLUDED from forward operating income and left in the 30 June cash balance</w:t>
            </w:r>
          </w:p>
        </w:tc>
        <w:tc>
          <w:tcPr>
            <w:tcW w:type="dxa" w:w="1210"/>
          </w:tcPr>
          <w:p>
            <w:pPr>
              <w:spacing w:after="20"/>
            </w:pPr>
            <w:r>
              <w:rPr>
                <w:color w:val="1C3A36"/>
                <w:sz w:val="14"/>
              </w:rPr>
              <w:t>2026-06-30</w:t>
            </w:r>
          </w:p>
        </w:tc>
      </w:tr>
      <w:tr>
        <w:tc>
          <w:tcPr>
            <w:tcW w:type="dxa" w:w="432"/>
          </w:tcPr>
          <w:p>
            <w:pPr>
              <w:spacing w:after="20"/>
            </w:pPr>
            <w:r>
              <w:rPr>
                <w:color w:val="1C3A36"/>
                <w:sz w:val="14"/>
              </w:rPr>
              <w:t>72</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32"/>
          </w:tcPr>
          <w:p>
            <w:pPr>
              <w:spacing w:after="20"/>
            </w:pPr>
            <w:r>
              <w:rPr>
                <w:color w:val="1C3A36"/>
                <w:sz w:val="14"/>
              </w:rPr>
              <w:t>73</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74</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32"/>
          </w:tcPr>
          <w:p>
            <w:pPr>
              <w:spacing w:after="20"/>
            </w:pPr>
            <w:r>
              <w:rPr>
                <w:color w:val="1C3A36"/>
                <w:sz w:val="14"/>
              </w:rPr>
              <w:t>75</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32"/>
          </w:tcPr>
          <w:p>
            <w:pPr>
              <w:spacing w:after="20"/>
            </w:pPr>
            <w:r>
              <w:rPr>
                <w:color w:val="1C3A36"/>
                <w:sz w:val="14"/>
              </w:rPr>
              <w:t>76</w:t>
            </w:r>
          </w:p>
        </w:tc>
        <w:tc>
          <w:tcPr>
            <w:tcW w:type="dxa" w:w="2448"/>
          </w:tcPr>
          <w:p>
            <w:pPr>
              <w:spacing w:after="20"/>
            </w:pPr>
            <w:r>
              <w:rPr>
                <w:color w:val="1C3A36"/>
                <w:sz w:val="14"/>
              </w:rPr>
              <w:t>fincost_h1_26</w:t>
            </w:r>
          </w:p>
        </w:tc>
        <w:tc>
          <w:tcPr>
            <w:tcW w:type="dxa" w:w="1325"/>
          </w:tcPr>
          <w:p>
            <w:pPr>
              <w:spacing w:after="20"/>
            </w:pPr>
            <w:r>
              <w:rPr>
                <w:color w:val="1C3A36"/>
                <w:sz w:val="14"/>
              </w:rPr>
              <w:t>23.4718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finance costs</w:t>
            </w:r>
          </w:p>
        </w:tc>
        <w:tc>
          <w:tcPr>
            <w:tcW w:type="dxa" w:w="1210"/>
          </w:tcPr>
          <w:p>
            <w:pPr>
              <w:spacing w:after="20"/>
            </w:pPr>
            <w:r>
              <w:rPr>
                <w:color w:val="1C3A36"/>
                <w:sz w:val="14"/>
              </w:rPr>
              <w:t>2026-06-30</w:t>
            </w:r>
          </w:p>
        </w:tc>
      </w:tr>
      <w:tr>
        <w:tc>
          <w:tcPr>
            <w:tcW w:type="dxa" w:w="432"/>
          </w:tcPr>
          <w:p>
            <w:pPr>
              <w:spacing w:after="20"/>
            </w:pPr>
            <w:r>
              <w:rPr>
                <w:color w:val="1C3A36"/>
                <w:sz w:val="14"/>
              </w:rPr>
              <w:t>77</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32"/>
          </w:tcPr>
          <w:p>
            <w:pPr>
              <w:spacing w:after="20"/>
            </w:pPr>
            <w:r>
              <w:rPr>
                <w:color w:val="1C3A36"/>
                <w:sz w:val="14"/>
              </w:rPr>
              <w:t>78</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32"/>
          </w:tcPr>
          <w:p>
            <w:pPr>
              <w:spacing w:after="20"/>
            </w:pPr>
            <w:r>
              <w:rPr>
                <w:color w:val="1C3A36"/>
                <w:sz w:val="14"/>
              </w:rPr>
              <w:t>79</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32"/>
          </w:tcPr>
          <w:p>
            <w:pPr>
              <w:spacing w:after="20"/>
            </w:pPr>
            <w:r>
              <w:rPr>
                <w:color w:val="1C3A36"/>
                <w:sz w:val="14"/>
              </w:rPr>
              <w:t>80</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32"/>
          </w:tcPr>
          <w:p>
            <w:pPr>
              <w:spacing w:after="20"/>
            </w:pPr>
            <w:r>
              <w:rPr>
                <w:color w:val="1C3A36"/>
                <w:sz w:val="14"/>
              </w:rPr>
              <w:t>81</w:t>
            </w:r>
          </w:p>
        </w:tc>
        <w:tc>
          <w:tcPr>
            <w:tcW w:type="dxa" w:w="2448"/>
          </w:tcPr>
          <w:p>
            <w:pPr>
              <w:spacing w:after="20"/>
            </w:pPr>
            <w:r>
              <w:rPr>
                <w:color w:val="1C3A36"/>
                <w:sz w:val="14"/>
              </w:rPr>
              <w:t>fx_h1_26</w:t>
            </w:r>
          </w:p>
        </w:tc>
        <w:tc>
          <w:tcPr>
            <w:tcW w:type="dxa" w:w="1325"/>
          </w:tcPr>
          <w:p>
            <w:pPr>
              <w:spacing w:after="20"/>
            </w:pPr>
            <w:r>
              <w:rPr>
                <w:color w:val="1C3A36"/>
                <w:sz w:val="14"/>
              </w:rPr>
              <w:t>64.6615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foreign currency exchange gains</w:t>
            </w:r>
          </w:p>
        </w:tc>
        <w:tc>
          <w:tcPr>
            <w:tcW w:type="dxa" w:w="1210"/>
          </w:tcPr>
          <w:p>
            <w:pPr>
              <w:spacing w:after="20"/>
            </w:pPr>
            <w:r>
              <w:rPr>
                <w:color w:val="1C3A36"/>
                <w:sz w:val="14"/>
              </w:rPr>
              <w:t>2026-06-30</w:t>
            </w:r>
          </w:p>
        </w:tc>
      </w:tr>
      <w:tr>
        <w:tc>
          <w:tcPr>
            <w:tcW w:type="dxa" w:w="432"/>
          </w:tcPr>
          <w:p>
            <w:pPr>
              <w:spacing w:after="20"/>
            </w:pPr>
            <w:r>
              <w:rPr>
                <w:color w:val="1C3A36"/>
                <w:sz w:val="14"/>
              </w:rPr>
              <w:t>82</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32"/>
          </w:tcPr>
          <w:p>
            <w:pPr>
              <w:spacing w:after="20"/>
            </w:pPr>
            <w:r>
              <w:rPr>
                <w:color w:val="1C3A36"/>
                <w:sz w:val="14"/>
              </w:rPr>
              <w:t>83</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32"/>
          </w:tcPr>
          <w:p>
            <w:pPr>
              <w:spacing w:after="20"/>
            </w:pPr>
            <w:r>
              <w:rPr>
                <w:color w:val="1C3A36"/>
                <w:sz w:val="14"/>
              </w:rPr>
              <w:t>84</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32"/>
          </w:tcPr>
          <w:p>
            <w:pPr>
              <w:spacing w:after="20"/>
            </w:pPr>
            <w:r>
              <w:rPr>
                <w:color w:val="1C3A36"/>
                <w:sz w:val="14"/>
              </w:rPr>
              <w:t>85</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32"/>
          </w:tcPr>
          <w:p>
            <w:pPr>
              <w:spacing w:after="20"/>
            </w:pPr>
            <w:r>
              <w:rPr>
                <w:color w:val="1C3A36"/>
                <w:sz w:val="14"/>
              </w:rPr>
              <w:t>86</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32"/>
          </w:tcPr>
          <w:p>
            <w:pPr>
              <w:spacing w:after="20"/>
            </w:pPr>
            <w:r>
              <w:rPr>
                <w:color w:val="1C3A36"/>
                <w:sz w:val="14"/>
              </w:rPr>
              <w:t>87</w:t>
            </w:r>
          </w:p>
        </w:tc>
        <w:tc>
          <w:tcPr>
            <w:tcW w:type="dxa" w:w="2448"/>
          </w:tcPr>
          <w:p>
            <w:pPr>
              <w:spacing w:after="20"/>
            </w:pPr>
            <w:r>
              <w:rPr>
                <w:color w:val="1C3A36"/>
                <w:sz w:val="14"/>
              </w:rPr>
              <w:t>ga_h1_25</w:t>
            </w:r>
          </w:p>
        </w:tc>
        <w:tc>
          <w:tcPr>
            <w:tcW w:type="dxa" w:w="1325"/>
          </w:tcPr>
          <w:p>
            <w:pPr>
              <w:spacing w:after="20"/>
            </w:pPr>
            <w:r>
              <w:rPr>
                <w:color w:val="1C3A36"/>
                <w:sz w:val="14"/>
              </w:rPr>
              <w:t>169.8803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 comparative</w:t>
            </w:r>
          </w:p>
        </w:tc>
        <w:tc>
          <w:tcPr>
            <w:tcW w:type="dxa" w:w="1210"/>
          </w:tcPr>
          <w:p>
            <w:pPr>
              <w:spacing w:after="20"/>
            </w:pPr>
            <w:r>
              <w:rPr>
                <w:color w:val="1C3A36"/>
                <w:sz w:val="14"/>
              </w:rPr>
              <w:t>2025-06-30</w:t>
            </w:r>
          </w:p>
        </w:tc>
      </w:tr>
      <w:tr>
        <w:tc>
          <w:tcPr>
            <w:tcW w:type="dxa" w:w="432"/>
          </w:tcPr>
          <w:p>
            <w:pPr>
              <w:spacing w:after="20"/>
            </w:pPr>
            <w:r>
              <w:rPr>
                <w:color w:val="1C3A36"/>
                <w:sz w:val="14"/>
              </w:rPr>
              <w:t>88</w:t>
            </w:r>
          </w:p>
        </w:tc>
        <w:tc>
          <w:tcPr>
            <w:tcW w:type="dxa" w:w="2448"/>
          </w:tcPr>
          <w:p>
            <w:pPr>
              <w:spacing w:after="20"/>
            </w:pPr>
            <w:r>
              <w:rPr>
                <w:color w:val="1C3A36"/>
                <w:sz w:val="14"/>
              </w:rPr>
              <w:t>ga_h1_26</w:t>
            </w:r>
          </w:p>
        </w:tc>
        <w:tc>
          <w:tcPr>
            <w:tcW w:type="dxa" w:w="1325"/>
          </w:tcPr>
          <w:p>
            <w:pPr>
              <w:spacing w:after="20"/>
            </w:pPr>
            <w:r>
              <w:rPr>
                <w:color w:val="1C3A36"/>
                <w:sz w:val="14"/>
              </w:rPr>
              <w:t>225.7446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w:t>
            </w:r>
          </w:p>
        </w:tc>
        <w:tc>
          <w:tcPr>
            <w:tcW w:type="dxa" w:w="1210"/>
          </w:tcPr>
          <w:p>
            <w:pPr>
              <w:spacing w:after="20"/>
            </w:pPr>
            <w:r>
              <w:rPr>
                <w:color w:val="1C3A36"/>
                <w:sz w:val="14"/>
              </w:rPr>
              <w:t>2026-06-30</w:t>
            </w:r>
          </w:p>
        </w:tc>
      </w:tr>
      <w:tr>
        <w:tc>
          <w:tcPr>
            <w:tcW w:type="dxa" w:w="432"/>
          </w:tcPr>
          <w:p>
            <w:pPr>
              <w:spacing w:after="20"/>
            </w:pPr>
            <w:r>
              <w:rPr>
                <w:color w:val="1C3A36"/>
                <w:sz w:val="14"/>
              </w:rPr>
              <w:t>89</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32"/>
          </w:tcPr>
          <w:p>
            <w:pPr>
              <w:spacing w:after="20"/>
            </w:pPr>
            <w:r>
              <w:rPr>
                <w:color w:val="1C3A36"/>
                <w:sz w:val="14"/>
              </w:rPr>
              <w:t>90</w:t>
            </w:r>
          </w:p>
        </w:tc>
        <w:tc>
          <w:tcPr>
            <w:tcW w:type="dxa" w:w="2448"/>
          </w:tcPr>
          <w:p>
            <w:pPr>
              <w:spacing w:after="20"/>
            </w:pPr>
            <w:r>
              <w:rPr>
                <w:color w:val="1C3A36"/>
                <w:sz w:val="14"/>
              </w:rPr>
              <w:t>gp_h1_26</w:t>
            </w:r>
          </w:p>
        </w:tc>
        <w:tc>
          <w:tcPr>
            <w:tcW w:type="dxa" w:w="1325"/>
          </w:tcPr>
          <w:p>
            <w:pPr>
              <w:spacing w:after="20"/>
            </w:pPr>
            <w:r>
              <w:rPr>
                <w:color w:val="1C3A36"/>
                <w:sz w:val="14"/>
              </w:rPr>
              <w:t>2,461.5381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gross profit</w:t>
            </w:r>
          </w:p>
        </w:tc>
        <w:tc>
          <w:tcPr>
            <w:tcW w:type="dxa" w:w="1210"/>
          </w:tcPr>
          <w:p>
            <w:pPr>
              <w:spacing w:after="20"/>
            </w:pPr>
            <w:r>
              <w:rPr>
                <w:color w:val="1C3A36"/>
                <w:sz w:val="14"/>
              </w:rPr>
              <w:t>2026-06-30</w:t>
            </w:r>
          </w:p>
        </w:tc>
      </w:tr>
      <w:tr>
        <w:tc>
          <w:tcPr>
            <w:tcW w:type="dxa" w:w="432"/>
          </w:tcPr>
          <w:p>
            <w:pPr>
              <w:spacing w:after="20"/>
            </w:pPr>
            <w:r>
              <w:rPr>
                <w:color w:val="1C3A36"/>
                <w:sz w:val="14"/>
              </w:rPr>
              <w:t>91</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32"/>
          </w:tcPr>
          <w:p>
            <w:pPr>
              <w:spacing w:after="20"/>
            </w:pPr>
            <w:r>
              <w:rPr>
                <w:color w:val="1C3A36"/>
                <w:sz w:val="14"/>
              </w:rPr>
              <w:t>92</w:t>
            </w:r>
          </w:p>
        </w:tc>
        <w:tc>
          <w:tcPr>
            <w:tcW w:type="dxa" w:w="2448"/>
          </w:tcPr>
          <w:p>
            <w:pPr>
              <w:spacing w:after="20"/>
            </w:pPr>
            <w:r>
              <w:rPr>
                <w:color w:val="1C3A36"/>
                <w:sz w:val="14"/>
              </w:rPr>
              <w:t>int_inc_h1_26</w:t>
            </w:r>
          </w:p>
        </w:tc>
        <w:tc>
          <w:tcPr>
            <w:tcW w:type="dxa" w:w="1325"/>
          </w:tcPr>
          <w:p>
            <w:pPr>
              <w:spacing w:after="20"/>
            </w:pPr>
            <w:r>
              <w:rPr>
                <w:color w:val="1C3A36"/>
                <w:sz w:val="14"/>
              </w:rPr>
              <w:t>136.8619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 income</w:t>
            </w:r>
          </w:p>
        </w:tc>
        <w:tc>
          <w:tcPr>
            <w:tcW w:type="dxa" w:w="1210"/>
          </w:tcPr>
          <w:p>
            <w:pPr>
              <w:spacing w:after="20"/>
            </w:pPr>
            <w:r>
              <w:rPr>
                <w:color w:val="1C3A36"/>
                <w:sz w:val="14"/>
              </w:rPr>
              <w:t>2026-06-30</w:t>
            </w:r>
          </w:p>
        </w:tc>
      </w:tr>
      <w:tr>
        <w:tc>
          <w:tcPr>
            <w:tcW w:type="dxa" w:w="432"/>
          </w:tcPr>
          <w:p>
            <w:pPr>
              <w:spacing w:after="20"/>
            </w:pPr>
            <w:r>
              <w:rPr>
                <w:color w:val="1C3A36"/>
                <w:sz w:val="14"/>
              </w:rPr>
              <w:t>93</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32"/>
          </w:tcPr>
          <w:p>
            <w:pPr>
              <w:spacing w:after="20"/>
            </w:pPr>
            <w:r>
              <w:rPr>
                <w:color w:val="1C3A36"/>
                <w:sz w:val="14"/>
              </w:rPr>
              <w:t>94</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32"/>
          </w:tcPr>
          <w:p>
            <w:pPr>
              <w:spacing w:after="20"/>
            </w:pPr>
            <w:r>
              <w:rPr>
                <w:color w:val="1C3A36"/>
                <w:sz w:val="14"/>
              </w:rPr>
              <w:t>95</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32"/>
          </w:tcPr>
          <w:p>
            <w:pPr>
              <w:spacing w:after="20"/>
            </w:pPr>
            <w:r>
              <w:rPr>
                <w:color w:val="1C3A36"/>
                <w:sz w:val="14"/>
              </w:rPr>
              <w:t>96</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71"/>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32"/>
          </w:tcPr>
          <w:p>
            <w:pPr>
              <w:spacing w:after="20"/>
            </w:pPr>
            <w:r>
              <w:rPr>
                <w:color w:val="1C3A36"/>
                <w:sz w:val="14"/>
              </w:rPr>
              <w:t>97</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Company</w:t>
            </w:r>
          </w:p>
        </w:tc>
        <w:tc>
          <w:tcPr>
            <w:tcW w:type="dxa" w:w="7171"/>
          </w:tcPr>
          <w:p>
            <w:pPr>
              <w:spacing w:after="20"/>
            </w:pPr>
            <w:r>
              <w:rPr>
                <w:color w:val="1C3A36"/>
                <w:sz w:val="14"/>
              </w:rPr>
              <w:t>Clinker-kiln utilisation, FY2025A then FY2026E-FY2030E, and the primary volume driver. FY2025 is now DISCLOSED, not inferred: FY2025 Investor Presentation, Arabian Cement Company S.A.E., investor relations library, page 5 (sales volumes and production indicators) gives clinker production of 3,851.6 kt, which is 91.70% of the audited 4.2Mt kiln, and the company states the rate as 92%. The plant has run 92-94% in three of the last five years, so the path rises only modestly — the kiln is the binding asset and there is little room above here</w:t>
            </w:r>
          </w:p>
        </w:tc>
        <w:tc>
          <w:tcPr>
            <w:tcW w:type="dxa" w:w="1210"/>
          </w:tcPr>
          <w:p>
            <w:pPr>
              <w:spacing w:after="20"/>
            </w:pPr>
            <w:r>
              <w:rPr>
                <w:color w:val="1C3A36"/>
                <w:sz w:val="14"/>
              </w:rPr>
              <w:t>2026-03-01</w:t>
            </w:r>
          </w:p>
        </w:tc>
      </w:tr>
      <w:tr>
        <w:tc>
          <w:tcPr>
            <w:tcW w:type="dxa" w:w="432"/>
          </w:tcPr>
          <w:p>
            <w:pPr>
              <w:spacing w:after="20"/>
            </w:pPr>
            <w:r>
              <w:rPr>
                <w:color w:val="1C3A36"/>
                <w:sz w:val="14"/>
              </w:rPr>
              <w:t>98</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32"/>
          </w:tcPr>
          <w:p>
            <w:pPr>
              <w:spacing w:after="20"/>
            </w:pPr>
            <w:r>
              <w:rPr>
                <w:color w:val="1C3A36"/>
                <w:sz w:val="14"/>
              </w:rPr>
              <w:t>99</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32"/>
          </w:tcPr>
          <w:p>
            <w:pPr>
              <w:spacing w:after="20"/>
            </w:pPr>
            <w:r>
              <w:rPr>
                <w:color w:val="1C3A36"/>
                <w:sz w:val="14"/>
              </w:rPr>
              <w:t>100</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101</w:t>
            </w:r>
          </w:p>
        </w:tc>
        <w:tc>
          <w:tcPr>
            <w:tcW w:type="dxa" w:w="2448"/>
          </w:tcPr>
          <w:p>
            <w:pPr>
              <w:spacing w:after="20"/>
            </w:pPr>
            <w:r>
              <w:rPr>
                <w:color w:val="1C3A36"/>
                <w:sz w:val="14"/>
              </w:rPr>
              <w:t>maj_h1_26</w:t>
            </w:r>
          </w:p>
        </w:tc>
        <w:tc>
          <w:tcPr>
            <w:tcW w:type="dxa" w:w="1325"/>
          </w:tcPr>
          <w:p>
            <w:pPr>
              <w:spacing w:after="20"/>
            </w:pPr>
            <w:r>
              <w:rPr>
                <w:color w:val="1C3A36"/>
                <w:sz w:val="14"/>
              </w:rPr>
              <w:t>2,172.3954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profit attributable to owners of the Parent</w:t>
            </w:r>
          </w:p>
        </w:tc>
        <w:tc>
          <w:tcPr>
            <w:tcW w:type="dxa" w:w="1210"/>
          </w:tcPr>
          <w:p>
            <w:pPr>
              <w:spacing w:after="20"/>
            </w:pPr>
            <w:r>
              <w:rPr>
                <w:color w:val="1C3A36"/>
                <w:sz w:val="14"/>
              </w:rPr>
              <w:t>2026-06-30</w:t>
            </w:r>
          </w:p>
        </w:tc>
      </w:tr>
      <w:tr>
        <w:tc>
          <w:tcPr>
            <w:tcW w:type="dxa" w:w="432"/>
          </w:tcPr>
          <w:p>
            <w:pPr>
              <w:spacing w:after="20"/>
            </w:pPr>
            <w:r>
              <w:rPr>
                <w:color w:val="1C3A36"/>
                <w:sz w:val="14"/>
              </w:rPr>
              <w:t>102</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949 times smaller and immaterial to the bridge</w:t>
            </w:r>
          </w:p>
        </w:tc>
        <w:tc>
          <w:tcPr>
            <w:tcW w:type="dxa" w:w="1210"/>
          </w:tcPr>
          <w:p>
            <w:pPr>
              <w:spacing w:after="20"/>
            </w:pPr>
            <w:r>
              <w:rPr>
                <w:color w:val="1C3A36"/>
                <w:sz w:val="14"/>
              </w:rPr>
              <w:t>2025-12-31</w:t>
            </w:r>
          </w:p>
        </w:tc>
      </w:tr>
      <w:tr>
        <w:tc>
          <w:tcPr>
            <w:tcW w:type="dxa" w:w="432"/>
          </w:tcPr>
          <w:p>
            <w:pPr>
              <w:spacing w:after="20"/>
            </w:pPr>
            <w:r>
              <w:rPr>
                <w:color w:val="1C3A36"/>
                <w:sz w:val="14"/>
              </w:rPr>
              <w:t>103</w:t>
            </w:r>
          </w:p>
        </w:tc>
        <w:tc>
          <w:tcPr>
            <w:tcW w:type="dxa" w:w="2448"/>
          </w:tcPr>
          <w:p>
            <w:pPr>
              <w:spacing w:after="20"/>
            </w:pPr>
            <w:r>
              <w:rPr>
                <w:color w:val="1C3A36"/>
                <w:sz w:val="14"/>
              </w:rPr>
              <w:t>nci_h1_26</w:t>
            </w:r>
          </w:p>
        </w:tc>
        <w:tc>
          <w:tcPr>
            <w:tcW w:type="dxa" w:w="1325"/>
          </w:tcPr>
          <w:p>
            <w:pPr>
              <w:spacing w:after="20"/>
            </w:pPr>
            <w:r>
              <w:rPr>
                <w:color w:val="1C3A36"/>
                <w:sz w:val="14"/>
              </w:rPr>
              <w:t>0.2161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non-controlling interest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104</w:t>
            </w:r>
          </w:p>
        </w:tc>
        <w:tc>
          <w:tcPr>
            <w:tcW w:type="dxa" w:w="2448"/>
          </w:tcPr>
          <w:p>
            <w:pPr>
              <w:spacing w:after="20"/>
            </w:pPr>
            <w:r>
              <w:rPr>
                <w:color w:val="1C3A36"/>
                <w:sz w:val="14"/>
              </w:rPr>
              <w:t>oth_inc_fy25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of which EGP 32.642586mn is disclosed export subsidies. REVISION 4 CONSUMES THIS LINE. Revisions 1-3 registered it, quoted it, and let no line of the model use it — which is [L-018] exactly: a registered input that nothing consumes is money the valuation has quietly ignored</w:t>
            </w:r>
          </w:p>
        </w:tc>
        <w:tc>
          <w:tcPr>
            <w:tcW w:type="dxa" w:w="1210"/>
          </w:tcPr>
          <w:p>
            <w:pPr>
              <w:spacing w:after="20"/>
            </w:pPr>
            <w:r>
              <w:rPr>
                <w:color w:val="1C3A36"/>
                <w:sz w:val="14"/>
              </w:rPr>
              <w:t>2025-12-31</w:t>
            </w:r>
          </w:p>
        </w:tc>
      </w:tr>
      <w:tr>
        <w:tc>
          <w:tcPr>
            <w:tcW w:type="dxa" w:w="432"/>
          </w:tcPr>
          <w:p>
            <w:pPr>
              <w:spacing w:after="20"/>
            </w:pPr>
            <w:r>
              <w:rPr>
                <w:color w:val="1C3A36"/>
                <w:sz w:val="14"/>
              </w:rPr>
              <w:t>105</w:t>
            </w:r>
          </w:p>
        </w:tc>
        <w:tc>
          <w:tcPr>
            <w:tcW w:type="dxa" w:w="2448"/>
          </w:tcPr>
          <w:p>
            <w:pPr>
              <w:spacing w:after="20"/>
            </w:pPr>
            <w:r>
              <w:rPr>
                <w:color w:val="1C3A36"/>
                <w:sz w:val="14"/>
              </w:rPr>
              <w:t>oth_inc_h1_26</w:t>
            </w:r>
          </w:p>
        </w:tc>
        <w:tc>
          <w:tcPr>
            <w:tcW w:type="dxa" w:w="1325"/>
          </w:tcPr>
          <w:p>
            <w:pPr>
              <w:spacing w:after="20"/>
            </w:pPr>
            <w:r>
              <w:rPr>
                <w:color w:val="1C3A36"/>
                <w:sz w:val="14"/>
              </w:rPr>
              <w:t>480.3361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other income</w:t>
            </w:r>
          </w:p>
        </w:tc>
        <w:tc>
          <w:tcPr>
            <w:tcW w:type="dxa" w:w="1210"/>
          </w:tcPr>
          <w:p>
            <w:pPr>
              <w:spacing w:after="20"/>
            </w:pPr>
            <w:r>
              <w:rPr>
                <w:color w:val="1C3A36"/>
                <w:sz w:val="14"/>
              </w:rPr>
              <w:t>2026-06-30</w:t>
            </w:r>
          </w:p>
        </w:tc>
      </w:tr>
      <w:tr>
        <w:tc>
          <w:tcPr>
            <w:tcW w:type="dxa" w:w="432"/>
          </w:tcPr>
          <w:p>
            <w:pPr>
              <w:spacing w:after="20"/>
            </w:pPr>
            <w:r>
              <w:rPr>
                <w:color w:val="1C3A36"/>
                <w:sz w:val="14"/>
              </w:rPr>
              <w:t>106</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32"/>
          </w:tcPr>
          <w:p>
            <w:pPr>
              <w:spacing w:after="20"/>
            </w:pPr>
            <w:r>
              <w:rPr>
                <w:color w:val="1C3A36"/>
                <w:sz w:val="14"/>
              </w:rPr>
              <w:t>107</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32"/>
          </w:tcPr>
          <w:p>
            <w:pPr>
              <w:spacing w:after="20"/>
            </w:pPr>
            <w:r>
              <w:rPr>
                <w:color w:val="1C3A36"/>
                <w:sz w:val="14"/>
              </w:rPr>
              <w:t>108</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32"/>
          </w:tcPr>
          <w:p>
            <w:pPr>
              <w:spacing w:after="20"/>
            </w:pPr>
            <w:r>
              <w:rPr>
                <w:color w:val="1C3A36"/>
                <w:sz w:val="14"/>
              </w:rPr>
              <w:t>109</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32"/>
          </w:tcPr>
          <w:p>
            <w:pPr>
              <w:spacing w:after="20"/>
            </w:pPr>
            <w:r>
              <w:rPr>
                <w:color w:val="1C3A36"/>
                <w:sz w:val="14"/>
              </w:rPr>
              <w:t>110</w:t>
            </w:r>
          </w:p>
        </w:tc>
        <w:tc>
          <w:tcPr>
            <w:tcW w:type="dxa" w:w="2448"/>
          </w:tcPr>
          <w:p>
            <w:pPr>
              <w:spacing w:after="20"/>
            </w:pPr>
            <w:r>
              <w:rPr>
                <w:color w:val="1C3A36"/>
                <w:sz w:val="14"/>
              </w:rPr>
              <w:t>pat_h1_26</w:t>
            </w:r>
          </w:p>
        </w:tc>
        <w:tc>
          <w:tcPr>
            <w:tcW w:type="dxa" w:w="1325"/>
          </w:tcPr>
          <w:p>
            <w:pPr>
              <w:spacing w:after="20"/>
            </w:pPr>
            <w:r>
              <w:rPr>
                <w:color w:val="1C3A36"/>
                <w:sz w:val="14"/>
              </w:rPr>
              <w:t>2,172.4535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after tax</w:t>
            </w:r>
          </w:p>
        </w:tc>
        <w:tc>
          <w:tcPr>
            <w:tcW w:type="dxa" w:w="1210"/>
          </w:tcPr>
          <w:p>
            <w:pPr>
              <w:spacing w:after="20"/>
            </w:pPr>
            <w:r>
              <w:rPr>
                <w:color w:val="1C3A36"/>
                <w:sz w:val="14"/>
              </w:rPr>
              <w:t>2026-06-30</w:t>
            </w:r>
          </w:p>
        </w:tc>
      </w:tr>
      <w:tr>
        <w:tc>
          <w:tcPr>
            <w:tcW w:type="dxa" w:w="432"/>
          </w:tcPr>
          <w:p>
            <w:pPr>
              <w:spacing w:after="20"/>
            </w:pPr>
            <w:r>
              <w:rPr>
                <w:color w:val="1C3A36"/>
                <w:sz w:val="14"/>
              </w:rPr>
              <w:t>111</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32"/>
          </w:tcPr>
          <w:p>
            <w:pPr>
              <w:spacing w:after="20"/>
            </w:pPr>
            <w:r>
              <w:rPr>
                <w:color w:val="1C3A36"/>
                <w:sz w:val="14"/>
              </w:rPr>
              <w:t>112</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113</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114</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32"/>
          </w:tcPr>
          <w:p>
            <w:pPr>
              <w:spacing w:after="20"/>
            </w:pPr>
            <w:r>
              <w:rPr>
                <w:color w:val="1C3A36"/>
                <w:sz w:val="14"/>
              </w:rPr>
              <w:t>115</w:t>
            </w:r>
          </w:p>
        </w:tc>
        <w:tc>
          <w:tcPr>
            <w:tcW w:type="dxa" w:w="2448"/>
          </w:tcPr>
          <w:p>
            <w:pPr>
              <w:spacing w:after="20"/>
            </w:pPr>
            <w:r>
              <w:rPr>
                <w:color w:val="1C3A36"/>
                <w:sz w:val="14"/>
              </w:rPr>
              <w:t>pbt_h1_26</w:t>
            </w:r>
          </w:p>
        </w:tc>
        <w:tc>
          <w:tcPr>
            <w:tcW w:type="dxa" w:w="1325"/>
          </w:tcPr>
          <w:p>
            <w:pPr>
              <w:spacing w:after="20"/>
            </w:pPr>
            <w:r>
              <w:rPr>
                <w:color w:val="1C3A36"/>
                <w:sz w:val="14"/>
              </w:rPr>
              <w:t>2,862.6829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before tax</w:t>
            </w:r>
          </w:p>
        </w:tc>
        <w:tc>
          <w:tcPr>
            <w:tcW w:type="dxa" w:w="1210"/>
          </w:tcPr>
          <w:p>
            <w:pPr>
              <w:spacing w:after="20"/>
            </w:pPr>
            <w:r>
              <w:rPr>
                <w:color w:val="1C3A36"/>
                <w:sz w:val="14"/>
              </w:rPr>
              <w:t>2026-06-30</w:t>
            </w:r>
          </w:p>
        </w:tc>
      </w:tr>
      <w:tr>
        <w:tc>
          <w:tcPr>
            <w:tcW w:type="dxa" w:w="432"/>
          </w:tcPr>
          <w:p>
            <w:pPr>
              <w:spacing w:after="20"/>
            </w:pPr>
            <w:r>
              <w:rPr>
                <w:color w:val="1C3A36"/>
                <w:sz w:val="14"/>
              </w:rPr>
              <w:t>116</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32"/>
          </w:tcPr>
          <w:p>
            <w:pPr>
              <w:spacing w:after="20"/>
            </w:pPr>
            <w:r>
              <w:rPr>
                <w:color w:val="1C3A36"/>
                <w:sz w:val="14"/>
              </w:rPr>
              <w:t>117</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32"/>
          </w:tcPr>
          <w:p>
            <w:pPr>
              <w:spacing w:after="20"/>
            </w:pPr>
            <w:r>
              <w:rPr>
                <w:color w:val="1C3A36"/>
                <w:sz w:val="14"/>
              </w:rPr>
              <w:t>118</w:t>
            </w:r>
          </w:p>
        </w:tc>
        <w:tc>
          <w:tcPr>
            <w:tcW w:type="dxa" w:w="2448"/>
          </w:tcPr>
          <w:p>
            <w:pPr>
              <w:spacing w:after="20"/>
            </w:pPr>
            <w:r>
              <w:rPr>
                <w:color w:val="1C3A36"/>
                <w:sz w:val="14"/>
              </w:rPr>
              <w:t>price_local_path</w:t>
            </w:r>
          </w:p>
        </w:tc>
        <w:tc>
          <w:tcPr>
            <w:tcW w:type="dxa" w:w="1325"/>
          </w:tcPr>
          <w:p>
            <w:pPr>
              <w:spacing w:after="20"/>
            </w:pPr>
            <w:r>
              <w:rPr>
                <w:color w:val="1C3A36"/>
                <w:sz w:val="14"/>
              </w:rPr>
              <w:t>1, 1.08, 1.21, 1.318, 1.417, 1.517</w:t>
            </w:r>
          </w:p>
        </w:tc>
        <w:tc>
          <w:tcPr>
            <w:tcW w:type="dxa" w:w="1066"/>
          </w:tcPr>
          <w:p>
            <w:pPr>
              <w:spacing w:after="20"/>
            </w:pPr>
            <w:r>
              <w:rPr>
                <w:color w:val="1C3A36"/>
                <w:sz w:val="14"/>
              </w:rPr>
              <w:t>Company</w:t>
            </w:r>
          </w:p>
        </w:tc>
        <w:tc>
          <w:tcPr>
            <w:tcW w:type="dxa" w:w="7171"/>
          </w:tcPr>
          <w:p>
            <w:pPr>
              <w:spacing w:after="20"/>
            </w:pPr>
            <w:r>
              <w:rPr>
                <w:color w:val="1C3A36"/>
                <w:sz w:val="14"/>
              </w:rPr>
              <w:t>Local realised price index on the FY2025 base: the FY2026 step of 8.0% is evidenced, and FY2027 onward escalate on the house inflation path at ZERO real growth, the same path the cost index carries. The retired ladder grew 9.0%, 8.0%, 7.0% and 6.5% — below the cost path in every year, with no mechanism offered for the gap, which against the house path is an 11.0% cumulative real price decline nobody wrote down. THE EVIDENCE FOR THE FY2026 STEP. FY2025 Investor Presentation, Arabian Cement Company S.A.E., investor relations library, page 5 (sales volumes and production indicators) and page 4 give local revenue and local volume for both years and both fourth quarters, so the realised local price can be computed rather than assumed: FY2024 EGP 1,810/t, FY2025 EGP 2,909/t — a rise of 60.7% on volume up 11.7%. The FY2025 margin explosion was PRICE, not volume, which settles a question three revisions argued about without evidence. More useful still is the exit rate: the fourth quarter of 2025 realised EGP 3,118/t, 7.2% ABOVE the full-year average. Simply holding the Q4 exit flat through 2026 therefore produces a full-year average 7.2% higher, so the 8.0% carried here is only 0.8 points above a no-further-increase path. Revision 3 assumed 3.0% against 11.5% cost inflation and had nothing behind it; revision 4 assumed 8.0% and had only a plausibility argument. The number is unchanged from revision 4 — but it is now the conservative reading of a disclosed run rate rather than a guess that happened to land in the right place</w:t>
            </w:r>
          </w:p>
        </w:tc>
        <w:tc>
          <w:tcPr>
            <w:tcW w:type="dxa" w:w="1210"/>
          </w:tcPr>
          <w:p>
            <w:pPr>
              <w:spacing w:after="20"/>
            </w:pPr>
            <w:r>
              <w:rPr>
                <w:color w:val="1C3A36"/>
                <w:sz w:val="14"/>
              </w:rPr>
              <w:t>2026-03-01</w:t>
            </w:r>
          </w:p>
        </w:tc>
      </w:tr>
      <w:tr>
        <w:tc>
          <w:tcPr>
            <w:tcW w:type="dxa" w:w="432"/>
          </w:tcPr>
          <w:p>
            <w:pPr>
              <w:spacing w:after="20"/>
            </w:pPr>
            <w:r>
              <w:rPr>
                <w:color w:val="1C3A36"/>
                <w:sz w:val="14"/>
              </w:rPr>
              <w:t>119</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32"/>
          </w:tcPr>
          <w:p>
            <w:pPr>
              <w:spacing w:after="20"/>
            </w:pPr>
            <w:r>
              <w:rPr>
                <w:color w:val="1C3A36"/>
                <w:sz w:val="14"/>
              </w:rPr>
              <w:t>120</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32"/>
          </w:tcPr>
          <w:p>
            <w:pPr>
              <w:spacing w:after="20"/>
            </w:pPr>
            <w:r>
              <w:rPr>
                <w:color w:val="1C3A36"/>
                <w:sz w:val="14"/>
              </w:rPr>
              <w:t>121</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32"/>
          </w:tcPr>
          <w:p>
            <w:pPr>
              <w:spacing w:after="20"/>
            </w:pPr>
            <w:r>
              <w:rPr>
                <w:color w:val="1C3A36"/>
                <w:sz w:val="14"/>
              </w:rPr>
              <w:t>122</w:t>
            </w:r>
          </w:p>
        </w:tc>
        <w:tc>
          <w:tcPr>
            <w:tcW w:type="dxa" w:w="2448"/>
          </w:tcPr>
          <w:p>
            <w:pPr>
              <w:spacing w:after="20"/>
            </w:pPr>
            <w:r>
              <w:rPr>
                <w:color w:val="1C3A36"/>
                <w:sz w:val="14"/>
              </w:rPr>
              <w:t>prov_h1_26</w:t>
            </w:r>
          </w:p>
        </w:tc>
        <w:tc>
          <w:tcPr>
            <w:tcW w:type="dxa" w:w="1325"/>
          </w:tcPr>
          <w:p>
            <w:pPr>
              <w:spacing w:after="20"/>
            </w:pPr>
            <w:r>
              <w:rPr>
                <w:color w:val="1C3A36"/>
                <w:sz w:val="14"/>
              </w:rPr>
              <w:t>31.4982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provisions</w:t>
            </w:r>
          </w:p>
        </w:tc>
        <w:tc>
          <w:tcPr>
            <w:tcW w:type="dxa" w:w="1210"/>
          </w:tcPr>
          <w:p>
            <w:pPr>
              <w:spacing w:after="20"/>
            </w:pPr>
            <w:r>
              <w:rPr>
                <w:color w:val="1C3A36"/>
                <w:sz w:val="14"/>
              </w:rPr>
              <w:t>2026-06-30</w:t>
            </w:r>
          </w:p>
        </w:tc>
      </w:tr>
      <w:tr>
        <w:tc>
          <w:tcPr>
            <w:tcW w:type="dxa" w:w="432"/>
          </w:tcPr>
          <w:p>
            <w:pPr>
              <w:spacing w:after="20"/>
            </w:pPr>
            <w:r>
              <w:rPr>
                <w:color w:val="1C3A36"/>
                <w:sz w:val="14"/>
              </w:rPr>
              <w:t>123</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32"/>
          </w:tcPr>
          <w:p>
            <w:pPr>
              <w:spacing w:after="20"/>
            </w:pPr>
            <w:r>
              <w:rPr>
                <w:color w:val="1C3A36"/>
                <w:sz w:val="14"/>
              </w:rPr>
              <w:t>124</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32"/>
          </w:tcPr>
          <w:p>
            <w:pPr>
              <w:spacing w:after="20"/>
            </w:pPr>
            <w:r>
              <w:rPr>
                <w:color w:val="1C3A36"/>
                <w:sz w:val="14"/>
              </w:rPr>
              <w:t>125</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126</w:t>
            </w:r>
          </w:p>
        </w:tc>
        <w:tc>
          <w:tcPr>
            <w:tcW w:type="dxa" w:w="2448"/>
          </w:tcPr>
          <w:p>
            <w:pPr>
              <w:spacing w:after="20"/>
            </w:pPr>
            <w:r>
              <w:rPr>
                <w:color w:val="1C3A36"/>
                <w:sz w:val="14"/>
              </w:rPr>
              <w:t>rev_exp_fy25</w:t>
            </w:r>
          </w:p>
        </w:tc>
        <w:tc>
          <w:tcPr>
            <w:tcW w:type="dxa" w:w="1325"/>
          </w:tcPr>
          <w:p>
            <w:pPr>
              <w:spacing w:after="20"/>
            </w:pPr>
            <w:r>
              <w:rPr>
                <w:color w:val="1C3A36"/>
                <w:sz w:val="14"/>
              </w:rPr>
              <w:t>3,815.0019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including transportation services</w:t>
            </w:r>
          </w:p>
        </w:tc>
        <w:tc>
          <w:tcPr>
            <w:tcW w:type="dxa" w:w="1210"/>
          </w:tcPr>
          <w:p>
            <w:pPr>
              <w:spacing w:after="20"/>
            </w:pPr>
            <w:r>
              <w:rPr>
                <w:color w:val="1C3A36"/>
                <w:sz w:val="14"/>
              </w:rPr>
              <w:t>2025-12-31</w:t>
            </w:r>
          </w:p>
        </w:tc>
      </w:tr>
      <w:tr>
        <w:tc>
          <w:tcPr>
            <w:tcW w:type="dxa" w:w="432"/>
          </w:tcPr>
          <w:p>
            <w:pPr>
              <w:spacing w:after="20"/>
            </w:pPr>
            <w:r>
              <w:rPr>
                <w:color w:val="1C3A36"/>
                <w:sz w:val="14"/>
              </w:rPr>
              <w:t>127</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128</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32"/>
          </w:tcPr>
          <w:p>
            <w:pPr>
              <w:spacing w:after="20"/>
            </w:pPr>
            <w:r>
              <w:rPr>
                <w:color w:val="1C3A36"/>
                <w:sz w:val="14"/>
              </w:rPr>
              <w:t>129</w:t>
            </w:r>
          </w:p>
        </w:tc>
        <w:tc>
          <w:tcPr>
            <w:tcW w:type="dxa" w:w="2448"/>
          </w:tcPr>
          <w:p>
            <w:pPr>
              <w:spacing w:after="20"/>
            </w:pPr>
            <w:r>
              <w:rPr>
                <w:color w:val="1C3A36"/>
                <w:sz w:val="14"/>
              </w:rPr>
              <w:t>rev_fy22</w:t>
            </w:r>
          </w:p>
        </w:tc>
        <w:tc>
          <w:tcPr>
            <w:tcW w:type="dxa" w:w="1325"/>
          </w:tcPr>
          <w:p>
            <w:pPr>
              <w:spacing w:after="20"/>
            </w:pPr>
            <w:r>
              <w:rPr>
                <w:color w:val="1C3A36"/>
                <w:sz w:val="14"/>
              </w:rPr>
              <w:t>4,675.0028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sales (net). Carried only to measure how much of a year ARCC's first half is</w:t>
            </w:r>
          </w:p>
        </w:tc>
        <w:tc>
          <w:tcPr>
            <w:tcW w:type="dxa" w:w="1210"/>
          </w:tcPr>
          <w:p>
            <w:pPr>
              <w:spacing w:after="20"/>
            </w:pPr>
            <w:r>
              <w:rPr>
                <w:color w:val="1C3A36"/>
                <w:sz w:val="14"/>
              </w:rPr>
              <w:t>2022-12-31</w:t>
            </w:r>
          </w:p>
        </w:tc>
      </w:tr>
      <w:tr>
        <w:tc>
          <w:tcPr>
            <w:tcW w:type="dxa" w:w="432"/>
          </w:tcPr>
          <w:p>
            <w:pPr>
              <w:spacing w:after="20"/>
            </w:pPr>
            <w:r>
              <w:rPr>
                <w:color w:val="1C3A36"/>
                <w:sz w:val="14"/>
              </w:rPr>
              <w:t>130</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32"/>
          </w:tcPr>
          <w:p>
            <w:pPr>
              <w:spacing w:after="20"/>
            </w:pPr>
            <w:r>
              <w:rPr>
                <w:color w:val="1C3A36"/>
                <w:sz w:val="14"/>
              </w:rPr>
              <w:t>131</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32"/>
          </w:tcPr>
          <w:p>
            <w:pPr>
              <w:spacing w:after="20"/>
            </w:pPr>
            <w:r>
              <w:rPr>
                <w:color w:val="1C3A36"/>
                <w:sz w:val="14"/>
              </w:rPr>
              <w:t>132</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32"/>
          </w:tcPr>
          <w:p>
            <w:pPr>
              <w:spacing w:after="20"/>
            </w:pPr>
            <w:r>
              <w:rPr>
                <w:color w:val="1C3A36"/>
                <w:sz w:val="14"/>
              </w:rPr>
              <w:t>133</w:t>
            </w:r>
          </w:p>
        </w:tc>
        <w:tc>
          <w:tcPr>
            <w:tcW w:type="dxa" w:w="2448"/>
          </w:tcPr>
          <w:p>
            <w:pPr>
              <w:spacing w:after="20"/>
            </w:pPr>
            <w:r>
              <w:rPr>
                <w:color w:val="1C3A36"/>
                <w:sz w:val="14"/>
              </w:rPr>
              <w:t>rev_h1_22</w:t>
            </w:r>
          </w:p>
        </w:tc>
        <w:tc>
          <w:tcPr>
            <w:tcW w:type="dxa" w:w="1325"/>
          </w:tcPr>
          <w:p>
            <w:pPr>
              <w:spacing w:after="20"/>
            </w:pPr>
            <w:r>
              <w:rPr>
                <w:color w:val="1C3A36"/>
                <w:sz w:val="14"/>
              </w:rPr>
              <w:t>2,129.459</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column of the H1-2023 filing — sales (net). Foots: less cost of sales 1,704.834656 gives the printed gross profit of 424.624297</w:t>
            </w:r>
          </w:p>
        </w:tc>
        <w:tc>
          <w:tcPr>
            <w:tcW w:type="dxa" w:w="1210"/>
          </w:tcPr>
          <w:p>
            <w:pPr>
              <w:spacing w:after="20"/>
            </w:pPr>
            <w:r>
              <w:rPr>
                <w:color w:val="1C3A36"/>
                <w:sz w:val="14"/>
              </w:rPr>
              <w:t>2022-06-30</w:t>
            </w:r>
          </w:p>
        </w:tc>
      </w:tr>
      <w:tr>
        <w:tc>
          <w:tcPr>
            <w:tcW w:type="dxa" w:w="432"/>
          </w:tcPr>
          <w:p>
            <w:pPr>
              <w:spacing w:after="20"/>
            </w:pPr>
            <w:r>
              <w:rPr>
                <w:color w:val="1C3A36"/>
                <w:sz w:val="14"/>
              </w:rPr>
              <w:t>134</w:t>
            </w:r>
          </w:p>
        </w:tc>
        <w:tc>
          <w:tcPr>
            <w:tcW w:type="dxa" w:w="2448"/>
          </w:tcPr>
          <w:p>
            <w:pPr>
              <w:spacing w:after="20"/>
            </w:pPr>
            <w:r>
              <w:rPr>
                <w:color w:val="1C3A36"/>
                <w:sz w:val="14"/>
              </w:rPr>
              <w:t>rev_h1_23</w:t>
            </w:r>
          </w:p>
        </w:tc>
        <w:tc>
          <w:tcPr>
            <w:tcW w:type="dxa" w:w="1325"/>
          </w:tcPr>
          <w:p>
            <w:pPr>
              <w:spacing w:after="20"/>
            </w:pPr>
            <w:r>
              <w:rPr>
                <w:color w:val="1C3A36"/>
                <w:sz w:val="14"/>
              </w:rPr>
              <w:t>3,184.0346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2023 — sales (net). Foots: less cost of sales 2,536.411167 gives the printed gross profit of 647.623420</w:t>
            </w:r>
          </w:p>
        </w:tc>
        <w:tc>
          <w:tcPr>
            <w:tcW w:type="dxa" w:w="1210"/>
          </w:tcPr>
          <w:p>
            <w:pPr>
              <w:spacing w:after="20"/>
            </w:pPr>
            <w:r>
              <w:rPr>
                <w:color w:val="1C3A36"/>
                <w:sz w:val="14"/>
              </w:rPr>
              <w:t>2023-06-30</w:t>
            </w:r>
          </w:p>
        </w:tc>
      </w:tr>
      <w:tr>
        <w:tc>
          <w:tcPr>
            <w:tcW w:type="dxa" w:w="432"/>
          </w:tcPr>
          <w:p>
            <w:pPr>
              <w:spacing w:after="20"/>
            </w:pPr>
            <w:r>
              <w:rPr>
                <w:color w:val="1C3A36"/>
                <w:sz w:val="14"/>
              </w:rPr>
              <w:t>135</w:t>
            </w:r>
          </w:p>
        </w:tc>
        <w:tc>
          <w:tcPr>
            <w:tcW w:type="dxa" w:w="2448"/>
          </w:tcPr>
          <w:p>
            <w:pPr>
              <w:spacing w:after="20"/>
            </w:pPr>
            <w:r>
              <w:rPr>
                <w:color w:val="1C3A36"/>
                <w:sz w:val="14"/>
              </w:rPr>
              <w:t>rev_h1_25</w:t>
            </w:r>
          </w:p>
        </w:tc>
        <w:tc>
          <w:tcPr>
            <w:tcW w:type="dxa" w:w="1325"/>
          </w:tcPr>
          <w:p>
            <w:pPr>
              <w:spacing w:after="20"/>
            </w:pPr>
            <w:r>
              <w:rPr>
                <w:color w:val="1C3A36"/>
                <w:sz w:val="14"/>
              </w:rPr>
              <w:t>5,499.9116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136</w:t>
            </w:r>
          </w:p>
        </w:tc>
        <w:tc>
          <w:tcPr>
            <w:tcW w:type="dxa" w:w="2448"/>
          </w:tcPr>
          <w:p>
            <w:pPr>
              <w:spacing w:after="20"/>
            </w:pPr>
            <w:r>
              <w:rPr>
                <w:color w:val="1C3A36"/>
                <w:sz w:val="14"/>
              </w:rPr>
              <w:t>rev_h1_25_exp_goods</w:t>
            </w:r>
          </w:p>
        </w:tc>
        <w:tc>
          <w:tcPr>
            <w:tcW w:type="dxa" w:w="1325"/>
          </w:tcPr>
          <w:p>
            <w:pPr>
              <w:spacing w:after="20"/>
            </w:pPr>
            <w:r>
              <w:rPr>
                <w:color w:val="1C3A36"/>
                <w:sz w:val="14"/>
              </w:rPr>
              <w:t>1,315.3498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137</w:t>
            </w:r>
          </w:p>
        </w:tc>
        <w:tc>
          <w:tcPr>
            <w:tcW w:type="dxa" w:w="2448"/>
          </w:tcPr>
          <w:p>
            <w:pPr>
              <w:spacing w:after="20"/>
            </w:pPr>
            <w:r>
              <w:rPr>
                <w:color w:val="1C3A36"/>
                <w:sz w:val="14"/>
              </w:rPr>
              <w:t>rev_h1_25_loc_goods</w:t>
            </w:r>
          </w:p>
        </w:tc>
        <w:tc>
          <w:tcPr>
            <w:tcW w:type="dxa" w:w="1325"/>
          </w:tcPr>
          <w:p>
            <w:pPr>
              <w:spacing w:after="20"/>
            </w:pPr>
            <w:r>
              <w:rPr>
                <w:color w:val="1C3A36"/>
                <w:sz w:val="14"/>
              </w:rPr>
              <w:t>3,828.6172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138</w:t>
            </w:r>
          </w:p>
        </w:tc>
        <w:tc>
          <w:tcPr>
            <w:tcW w:type="dxa" w:w="2448"/>
          </w:tcPr>
          <w:p>
            <w:pPr>
              <w:spacing w:after="20"/>
            </w:pPr>
            <w:r>
              <w:rPr>
                <w:color w:val="1C3A36"/>
                <w:sz w:val="14"/>
              </w:rPr>
              <w:t>rev_h1_25_svc</w:t>
            </w:r>
          </w:p>
        </w:tc>
        <w:tc>
          <w:tcPr>
            <w:tcW w:type="dxa" w:w="1325"/>
          </w:tcPr>
          <w:p>
            <w:pPr>
              <w:spacing w:after="20"/>
            </w:pPr>
            <w:r>
              <w:rPr>
                <w:color w:val="1C3A36"/>
                <w:sz w:val="14"/>
              </w:rPr>
              <w:t>355.9446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transportation services, comparative: local 127.753131 plus export 228.191479</w:t>
            </w:r>
          </w:p>
        </w:tc>
        <w:tc>
          <w:tcPr>
            <w:tcW w:type="dxa" w:w="1210"/>
          </w:tcPr>
          <w:p>
            <w:pPr>
              <w:spacing w:after="20"/>
            </w:pPr>
            <w:r>
              <w:rPr>
                <w:color w:val="1C3A36"/>
                <w:sz w:val="14"/>
              </w:rPr>
              <w:t>2025-06-30</w:t>
            </w:r>
          </w:p>
        </w:tc>
      </w:tr>
      <w:tr>
        <w:tc>
          <w:tcPr>
            <w:tcW w:type="dxa" w:w="432"/>
          </w:tcPr>
          <w:p>
            <w:pPr>
              <w:spacing w:after="20"/>
            </w:pPr>
            <w:r>
              <w:rPr>
                <w:color w:val="1C3A36"/>
                <w:sz w:val="14"/>
              </w:rPr>
              <w:t>139</w:t>
            </w:r>
          </w:p>
        </w:tc>
        <w:tc>
          <w:tcPr>
            <w:tcW w:type="dxa" w:w="2448"/>
          </w:tcPr>
          <w:p>
            <w:pPr>
              <w:spacing w:after="20"/>
            </w:pPr>
            <w:r>
              <w:rPr>
                <w:color w:val="1C3A36"/>
                <w:sz w:val="14"/>
              </w:rPr>
              <w:t>rev_h1_26</w:t>
            </w:r>
          </w:p>
        </w:tc>
        <w:tc>
          <w:tcPr>
            <w:tcW w:type="dxa" w:w="1325"/>
          </w:tcPr>
          <w:p>
            <w:pPr>
              <w:spacing w:after="20"/>
            </w:pPr>
            <w:r>
              <w:rPr>
                <w:color w:val="1C3A36"/>
                <w:sz w:val="14"/>
              </w:rPr>
              <w:t>6,080.5777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six months</w:t>
            </w:r>
          </w:p>
        </w:tc>
        <w:tc>
          <w:tcPr>
            <w:tcW w:type="dxa" w:w="1210"/>
          </w:tcPr>
          <w:p>
            <w:pPr>
              <w:spacing w:after="20"/>
            </w:pPr>
            <w:r>
              <w:rPr>
                <w:color w:val="1C3A36"/>
                <w:sz w:val="14"/>
              </w:rPr>
              <w:t>2026-06-30</w:t>
            </w:r>
          </w:p>
        </w:tc>
      </w:tr>
      <w:tr>
        <w:tc>
          <w:tcPr>
            <w:tcW w:type="dxa" w:w="432"/>
          </w:tcPr>
          <w:p>
            <w:pPr>
              <w:spacing w:after="20"/>
            </w:pPr>
            <w:r>
              <w:rPr>
                <w:color w:val="1C3A36"/>
                <w:sz w:val="14"/>
              </w:rPr>
              <w:t>140</w:t>
            </w:r>
          </w:p>
        </w:tc>
        <w:tc>
          <w:tcPr>
            <w:tcW w:type="dxa" w:w="2448"/>
          </w:tcPr>
          <w:p>
            <w:pPr>
              <w:spacing w:after="20"/>
            </w:pPr>
            <w:r>
              <w:rPr>
                <w:color w:val="1C3A36"/>
                <w:sz w:val="14"/>
              </w:rPr>
              <w:t>rev_h1_26_exp_goods</w:t>
            </w:r>
          </w:p>
        </w:tc>
        <w:tc>
          <w:tcPr>
            <w:tcW w:type="dxa" w:w="1325"/>
          </w:tcPr>
          <w:p>
            <w:pPr>
              <w:spacing w:after="20"/>
            </w:pPr>
            <w:r>
              <w:rPr>
                <w:color w:val="1C3A36"/>
                <w:sz w:val="14"/>
              </w:rPr>
              <w:t>1,264.8561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141</w:t>
            </w:r>
          </w:p>
        </w:tc>
        <w:tc>
          <w:tcPr>
            <w:tcW w:type="dxa" w:w="2448"/>
          </w:tcPr>
          <w:p>
            <w:pPr>
              <w:spacing w:after="20"/>
            </w:pPr>
            <w:r>
              <w:rPr>
                <w:color w:val="1C3A36"/>
                <w:sz w:val="14"/>
              </w:rPr>
              <w:t>rev_h1_26_loc_goods</w:t>
            </w:r>
          </w:p>
        </w:tc>
        <w:tc>
          <w:tcPr>
            <w:tcW w:type="dxa" w:w="1325"/>
          </w:tcPr>
          <w:p>
            <w:pPr>
              <w:spacing w:after="20"/>
            </w:pPr>
            <w:r>
              <w:rPr>
                <w:color w:val="1C3A36"/>
                <w:sz w:val="14"/>
              </w:rPr>
              <w:t>4,536.7838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142</w:t>
            </w:r>
          </w:p>
        </w:tc>
        <w:tc>
          <w:tcPr>
            <w:tcW w:type="dxa" w:w="2448"/>
          </w:tcPr>
          <w:p>
            <w:pPr>
              <w:spacing w:after="20"/>
            </w:pPr>
            <w:r>
              <w:rPr>
                <w:color w:val="1C3A36"/>
                <w:sz w:val="14"/>
              </w:rPr>
              <w:t>rev_h1_26_svc</w:t>
            </w:r>
          </w:p>
        </w:tc>
        <w:tc>
          <w:tcPr>
            <w:tcW w:type="dxa" w:w="1325"/>
          </w:tcPr>
          <w:p>
            <w:pPr>
              <w:spacing w:after="20"/>
            </w:pPr>
            <w:r>
              <w:rPr>
                <w:color w:val="1C3A36"/>
                <w:sz w:val="14"/>
              </w:rPr>
              <w:t>278.9379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transportation services 202.748365 plus export transportation services 76.189520</w:t>
            </w:r>
          </w:p>
        </w:tc>
        <w:tc>
          <w:tcPr>
            <w:tcW w:type="dxa" w:w="1210"/>
          </w:tcPr>
          <w:p>
            <w:pPr>
              <w:spacing w:after="20"/>
            </w:pPr>
            <w:r>
              <w:rPr>
                <w:color w:val="1C3A36"/>
                <w:sz w:val="14"/>
              </w:rPr>
              <w:t>2026-06-30</w:t>
            </w:r>
          </w:p>
        </w:tc>
      </w:tr>
      <w:tr>
        <w:tc>
          <w:tcPr>
            <w:tcW w:type="dxa" w:w="432"/>
          </w:tcPr>
          <w:p>
            <w:pPr>
              <w:spacing w:after="20"/>
            </w:pPr>
            <w:r>
              <w:rPr>
                <w:color w:val="1C3A36"/>
                <w:sz w:val="14"/>
              </w:rPr>
              <w:t>143</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144</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145</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32"/>
          </w:tcPr>
          <w:p>
            <w:pPr>
              <w:spacing w:after="20"/>
            </w:pPr>
            <w:r>
              <w:rPr>
                <w:color w:val="1C3A36"/>
                <w:sz w:val="14"/>
              </w:rPr>
              <w:t>146</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32"/>
          </w:tcPr>
          <w:p>
            <w:pPr>
              <w:spacing w:after="20"/>
            </w:pPr>
            <w:r>
              <w:rPr>
                <w:color w:val="1C3A36"/>
                <w:sz w:val="14"/>
              </w:rPr>
              <w:t>147</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32"/>
          </w:tcPr>
          <w:p>
            <w:pPr>
              <w:spacing w:after="20"/>
            </w:pPr>
            <w:r>
              <w:rPr>
                <w:color w:val="1C3A36"/>
                <w:sz w:val="14"/>
              </w:rPr>
              <w:t>148</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32"/>
          </w:tcPr>
          <w:p>
            <w:pPr>
              <w:spacing w:after="20"/>
            </w:pPr>
            <w:r>
              <w:rPr>
                <w:color w:val="1C3A36"/>
                <w:sz w:val="14"/>
              </w:rPr>
              <w:t>149</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32"/>
          </w:tcPr>
          <w:p>
            <w:pPr>
              <w:spacing w:after="20"/>
            </w:pPr>
            <w:r>
              <w:rPr>
                <w:color w:val="1C3A36"/>
                <w:sz w:val="14"/>
              </w:rPr>
              <w:t>150</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32"/>
          </w:tcPr>
          <w:p>
            <w:pPr>
              <w:spacing w:after="20"/>
            </w:pPr>
            <w:r>
              <w:rPr>
                <w:color w:val="1C3A36"/>
                <w:sz w:val="14"/>
              </w:rPr>
              <w:t>151</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32"/>
          </w:tcPr>
          <w:p>
            <w:pPr>
              <w:spacing w:after="20"/>
            </w:pPr>
            <w:r>
              <w:rPr>
                <w:color w:val="1C3A36"/>
                <w:sz w:val="14"/>
              </w:rPr>
              <w:t>152</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71"/>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32"/>
          </w:tcPr>
          <w:p>
            <w:pPr>
              <w:spacing w:after="20"/>
            </w:pPr>
            <w:r>
              <w:rPr>
                <w:color w:val="1C3A36"/>
                <w:sz w:val="14"/>
              </w:rPr>
              <w:t>153</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32"/>
          </w:tcPr>
          <w:p>
            <w:pPr>
              <w:spacing w:after="20"/>
            </w:pPr>
            <w:r>
              <w:rPr>
                <w:color w:val="1C3A36"/>
                <w:sz w:val="14"/>
              </w:rPr>
              <w:t>154</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32"/>
          </w:tcPr>
          <w:p>
            <w:pPr>
              <w:spacing w:after="20"/>
            </w:pPr>
            <w:r>
              <w:rPr>
                <w:color w:val="1C3A36"/>
                <w:sz w:val="14"/>
              </w:rPr>
              <w:t>155</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32"/>
          </w:tcPr>
          <w:p>
            <w:pPr>
              <w:spacing w:after="20"/>
            </w:pPr>
            <w:r>
              <w:rPr>
                <w:color w:val="1C3A36"/>
                <w:sz w:val="14"/>
              </w:rPr>
              <w:t>156</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32"/>
          </w:tcPr>
          <w:p>
            <w:pPr>
              <w:spacing w:after="20"/>
            </w:pPr>
            <w:r>
              <w:rPr>
                <w:color w:val="1C3A36"/>
                <w:sz w:val="14"/>
              </w:rPr>
              <w:t>157</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158</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159</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32"/>
          </w:tcPr>
          <w:p>
            <w:pPr>
              <w:spacing w:after="20"/>
            </w:pPr>
            <w:r>
              <w:rPr>
                <w:color w:val="1C3A36"/>
                <w:sz w:val="14"/>
              </w:rPr>
              <w:t>160</w:t>
            </w:r>
          </w:p>
        </w:tc>
        <w:tc>
          <w:tcPr>
            <w:tcW w:type="dxa" w:w="2448"/>
          </w:tcPr>
          <w:p>
            <w:pPr>
              <w:spacing w:after="20"/>
            </w:pPr>
            <w:r>
              <w:rPr>
                <w:color w:val="1C3A36"/>
                <w:sz w:val="14"/>
              </w:rPr>
              <w:t>tax_h1_26</w:t>
            </w:r>
          </w:p>
        </w:tc>
        <w:tc>
          <w:tcPr>
            <w:tcW w:type="dxa" w:w="1325"/>
          </w:tcPr>
          <w:p>
            <w:pPr>
              <w:spacing w:after="20"/>
            </w:pPr>
            <w:r>
              <w:rPr>
                <w:color w:val="1C3A36"/>
                <w:sz w:val="14"/>
              </w:rPr>
              <w:t>690.2295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income tax</w:t>
            </w:r>
          </w:p>
        </w:tc>
        <w:tc>
          <w:tcPr>
            <w:tcW w:type="dxa" w:w="1210"/>
          </w:tcPr>
          <w:p>
            <w:pPr>
              <w:spacing w:after="20"/>
            </w:pPr>
            <w:r>
              <w:rPr>
                <w:color w:val="1C3A36"/>
                <w:sz w:val="14"/>
              </w:rPr>
              <w:t>2026-06-30</w:t>
            </w:r>
          </w:p>
        </w:tc>
      </w:tr>
      <w:tr>
        <w:tc>
          <w:tcPr>
            <w:tcW w:type="dxa" w:w="432"/>
          </w:tcPr>
          <w:p>
            <w:pPr>
              <w:spacing w:after="20"/>
            </w:pPr>
            <w:r>
              <w:rPr>
                <w:color w:val="1C3A36"/>
                <w:sz w:val="14"/>
              </w:rPr>
              <w:t>161</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32"/>
          </w:tcPr>
          <w:p>
            <w:pPr>
              <w:spacing w:after="20"/>
            </w:pPr>
            <w:r>
              <w:rPr>
                <w:color w:val="1C3A36"/>
                <w:sz w:val="14"/>
              </w:rPr>
              <w:t>162</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32"/>
          </w:tcPr>
          <w:p>
            <w:pPr>
              <w:spacing w:after="20"/>
            </w:pPr>
            <w:r>
              <w:rPr>
                <w:color w:val="1C3A36"/>
                <w:sz w:val="14"/>
              </w:rPr>
              <w:t>163</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71"/>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32"/>
          </w:tcPr>
          <w:p>
            <w:pPr>
              <w:spacing w:after="20"/>
            </w:pPr>
            <w:r>
              <w:rPr>
                <w:color w:val="1C3A36"/>
                <w:sz w:val="14"/>
              </w:rPr>
              <w:t>164</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32"/>
          </w:tcPr>
          <w:p>
            <w:pPr>
              <w:spacing w:after="20"/>
            </w:pPr>
            <w:r>
              <w:rPr>
                <w:color w:val="1C3A36"/>
                <w:sz w:val="14"/>
              </w:rPr>
              <w:t>165</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Egyptian capacity under revival from the second half of 2026</w:t>
            </w:r>
          </w:p>
        </w:tc>
        <w:tc>
          <w:tcPr>
            <w:tcW w:type="dxa" w:w="1210"/>
          </w:tcPr>
          <w:p>
            <w:pPr>
              <w:spacing w:after="20"/>
            </w:pPr>
            <w:r>
              <w:rPr>
                <w:color w:val="1C3A36"/>
                <w:sz w:val="14"/>
              </w:rPr>
              <w:t>2025-10-01</w:t>
            </w:r>
          </w:p>
        </w:tc>
      </w:tr>
      <w:tr>
        <w:tc>
          <w:tcPr>
            <w:tcW w:type="dxa" w:w="432"/>
          </w:tcPr>
          <w:p>
            <w:pPr>
              <w:spacing w:after="20"/>
            </w:pPr>
            <w:r>
              <w:rPr>
                <w:color w:val="1C3A36"/>
                <w:sz w:val="14"/>
              </w:rPr>
              <w:t>166</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167</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168</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169</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71"/>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32"/>
          </w:tcPr>
          <w:p>
            <w:pPr>
              <w:spacing w:after="20"/>
            </w:pPr>
            <w:r>
              <w:rPr>
                <w:color w:val="1C3A36"/>
                <w:sz w:val="14"/>
              </w:rPr>
              <w:t>170</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32"/>
          </w:tcPr>
          <w:p>
            <w:pPr>
              <w:spacing w:after="20"/>
            </w:pPr>
            <w:r>
              <w:rPr>
                <w:color w:val="1C3A36"/>
                <w:sz w:val="14"/>
              </w:rPr>
              <w:t>171</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32"/>
          </w:tcPr>
          <w:p>
            <w:pPr>
              <w:spacing w:after="20"/>
            </w:pPr>
            <w:r>
              <w:rPr>
                <w:color w:val="1C3A36"/>
                <w:sz w:val="14"/>
              </w:rPr>
              <w:t>172</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71"/>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32"/>
          </w:tcPr>
          <w:p>
            <w:pPr>
              <w:spacing w:after="20"/>
            </w:pPr>
            <w:r>
              <w:rPr>
                <w:color w:val="1C3A36"/>
                <w:sz w:val="14"/>
              </w:rPr>
              <w:t>173</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174</w:t>
            </w:r>
          </w:p>
        </w:tc>
        <w:tc>
          <w:tcPr>
            <w:tcW w:type="dxa" w:w="2448"/>
          </w:tcPr>
          <w:p>
            <w:pPr>
              <w:spacing w:after="20"/>
            </w:pPr>
            <w:r>
              <w:rPr>
                <w:color w:val="1C3A36"/>
                <w:sz w:val="14"/>
              </w:rPr>
              <w:t>cost_infl</w:t>
            </w:r>
          </w:p>
        </w:tc>
        <w:tc>
          <w:tcPr>
            <w:tcW w:type="dxa" w:w="1325"/>
          </w:tcPr>
          <w:p>
            <w:pPr>
              <w:spacing w:after="20"/>
            </w:pPr>
            <w:r>
              <w:rPr>
                <w:color w:val="1C3A36"/>
                <w:sz w:val="14"/>
              </w:rPr>
              <w:t>1, 1.115, 1.249, 1.361, 1.463, 1.566</w:t>
            </w:r>
          </w:p>
        </w:tc>
        <w:tc>
          <w:tcPr>
            <w:tcW w:type="dxa" w:w="1066"/>
          </w:tcPr>
          <w:p>
            <w:pPr>
              <w:spacing w:after="20"/>
            </w:pPr>
            <w:r>
              <w:rPr>
                <w:color w:val="1C3A36"/>
                <w:sz w:val="14"/>
              </w:rPr>
              <w:t>Country</w:t>
            </w:r>
          </w:p>
        </w:tc>
        <w:tc>
          <w:tcPr>
            <w:tcW w:type="dxa" w:w="7171"/>
          </w:tcPr>
          <w:p>
            <w:pPr>
              <w:spacing w:after="20"/>
            </w:pPr>
            <w:r>
              <w:rPr>
                <w:color w:val="1C3A36"/>
                <w:sz w:val="14"/>
              </w:rPr>
              <w:t>Cumulative local cost-inflation index from the FY2025 base. The FY2026 step of 11.5% is unchanged; FY2027 onward escalate on the house inflation path, the SAME path the local price index carries, so the operating margin is an output of the two rather than the residual of two separately chosen ladders.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32"/>
          </w:tcPr>
          <w:p>
            <w:pPr>
              <w:spacing w:after="20"/>
            </w:pPr>
            <w:r>
              <w:rPr>
                <w:color w:val="1C3A36"/>
                <w:sz w:val="14"/>
              </w:rPr>
              <w:t>175</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71"/>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32"/>
          </w:tcPr>
          <w:p>
            <w:pPr>
              <w:spacing w:after="20"/>
            </w:pPr>
            <w:r>
              <w:rPr>
                <w:color w:val="1C3A36"/>
                <w:sz w:val="14"/>
              </w:rPr>
              <w:t>176</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71"/>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32"/>
          </w:tcPr>
          <w:p>
            <w:pPr>
              <w:spacing w:after="20"/>
            </w:pPr>
            <w:r>
              <w:rPr>
                <w:color w:val="1C3A36"/>
                <w:sz w:val="14"/>
              </w:rPr>
              <w:t>177</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32"/>
          </w:tcPr>
          <w:p>
            <w:pPr>
              <w:spacing w:after="20"/>
            </w:pPr>
            <w:r>
              <w:rPr>
                <w:color w:val="1C3A36"/>
                <w:sz w:val="14"/>
              </w:rPr>
              <w:t>178</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171"/>
          </w:tcPr>
          <w:p>
            <w:pPr>
              <w:spacing w:after="20"/>
            </w:pPr>
            <w:r>
              <w:rPr>
                <w:color w:val="1C3A36"/>
                <w:sz w:val="14"/>
              </w:rPr>
              <w:t>Egypt total equity risk premium on the RATING basis, same file, same row, column 'Total Equity Risk Premium'. The CDS basis adopted here gives 9.41%; this is the published alternative and it is 4.53 points higher, so adopting it would RAISE the discount rate and LOWER the value. Priced in section 1.4 rather than left unstated</w:t>
            </w:r>
          </w:p>
        </w:tc>
        <w:tc>
          <w:tcPr>
            <w:tcW w:type="dxa" w:w="1210"/>
          </w:tcPr>
          <w:p>
            <w:pPr>
              <w:spacing w:after="20"/>
            </w:pPr>
            <w:r>
              <w:rPr>
                <w:color w:val="1C3A36"/>
                <w:sz w:val="14"/>
              </w:rPr>
              <w:t>2026-01-05</w:t>
            </w:r>
          </w:p>
        </w:tc>
      </w:tr>
      <w:tr>
        <w:tc>
          <w:tcPr>
            <w:tcW w:type="dxa" w:w="432"/>
          </w:tcPr>
          <w:p>
            <w:pPr>
              <w:spacing w:after="20"/>
            </w:pPr>
            <w:r>
              <w:rPr>
                <w:color w:val="1C3A36"/>
                <w:sz w:val="14"/>
              </w:rPr>
              <w:t>179</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71"/>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32"/>
          </w:tcPr>
          <w:p>
            <w:pPr>
              <w:spacing w:after="20"/>
            </w:pPr>
            <w:r>
              <w:rPr>
                <w:color w:val="1C3A36"/>
                <w:sz w:val="14"/>
              </w:rPr>
              <w:t>180</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71"/>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32"/>
          </w:tcPr>
          <w:p>
            <w:pPr>
              <w:spacing w:after="20"/>
            </w:pPr>
            <w:r>
              <w:rPr>
                <w:color w:val="1C3A36"/>
                <w:sz w:val="14"/>
              </w:rPr>
              <w:t>181</w:t>
            </w:r>
          </w:p>
        </w:tc>
        <w:tc>
          <w:tcPr>
            <w:tcW w:type="dxa" w:w="2448"/>
          </w:tcPr>
          <w:p>
            <w:pPr>
              <w:spacing w:after="20"/>
            </w:pPr>
            <w:r>
              <w:rPr>
                <w:color w:val="1C3A36"/>
                <w:sz w:val="14"/>
              </w:rPr>
              <w:t>fx_path</w:t>
            </w:r>
          </w:p>
        </w:tc>
        <w:tc>
          <w:tcPr>
            <w:tcW w:type="dxa" w:w="1325"/>
          </w:tcPr>
          <w:p>
            <w:pPr>
              <w:spacing w:after="20"/>
            </w:pPr>
            <w:r>
              <w:rPr>
                <w:color w:val="1C3A36"/>
                <w:sz w:val="14"/>
              </w:rPr>
              <w:t>49.26, 55.11, 60.22, 64.04, 67.17, 70.11</w:t>
            </w:r>
          </w:p>
        </w:tc>
        <w:tc>
          <w:tcPr>
            <w:tcW w:type="dxa" w:w="1066"/>
          </w:tcPr>
          <w:p>
            <w:pPr>
              <w:spacing w:after="20"/>
            </w:pPr>
            <w:r>
              <w:rPr>
                <w:color w:val="1C3A36"/>
                <w:sz w:val="14"/>
              </w:rPr>
              <w:t>Country</w:t>
            </w:r>
          </w:p>
        </w:tc>
        <w:tc>
          <w:tcPr>
            <w:tcW w:type="dxa" w:w="7171"/>
          </w:tcPr>
          <w:p>
            <w:pPr>
              <w:spacing w:after="20"/>
            </w:pPr>
            <w:r>
              <w:rPr>
                <w:color w:val="1C3A36"/>
                <w:sz w:val="14"/>
              </w:rPr>
              <w:t>USD/EGP path: FY2025 actual average, then the house currency path — relative purchasing-power parity on the house inflation path against long-run foreign inflation, DERIVED and never hand-set. The retired path was typed (50.60 to 61.50 by FY2030) and depreciated the pound at roughly two-thirds of the inflation differential the same model applied to costs, which is one event counted once and ignored once</w:t>
            </w:r>
          </w:p>
        </w:tc>
        <w:tc>
          <w:tcPr>
            <w:tcW w:type="dxa" w:w="1210"/>
          </w:tcPr>
          <w:p>
            <w:pPr>
              <w:spacing w:after="20"/>
            </w:pPr>
            <w:r>
              <w:rPr>
                <w:color w:val="1C3A36"/>
                <w:sz w:val="14"/>
              </w:rPr>
              <w:t>2026-09-02</w:t>
            </w:r>
          </w:p>
        </w:tc>
      </w:tr>
      <w:tr>
        <w:tc>
          <w:tcPr>
            <w:tcW w:type="dxa" w:w="432"/>
          </w:tcPr>
          <w:p>
            <w:pPr>
              <w:spacing w:after="20"/>
            </w:pPr>
            <w:r>
              <w:rPr>
                <w:color w:val="1C3A36"/>
                <w:sz w:val="14"/>
              </w:rPr>
              <w:t>182</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32"/>
          </w:tcPr>
          <w:p>
            <w:pPr>
              <w:spacing w:after="20"/>
            </w:pPr>
            <w:r>
              <w:rPr>
                <w:color w:val="1C3A36"/>
                <w:sz w:val="14"/>
              </w:rPr>
              <w:t>183</w:t>
            </w:r>
          </w:p>
        </w:tc>
        <w:tc>
          <w:tcPr>
            <w:tcW w:type="dxa" w:w="2448"/>
          </w:tcPr>
          <w:p>
            <w:pPr>
              <w:spacing w:after="20"/>
            </w:pPr>
            <w:r>
              <w:rPr>
                <w:color w:val="1C3A36"/>
                <w:sz w:val="14"/>
              </w:rPr>
              <w:t>rf_reviewer_high</w:t>
            </w:r>
          </w:p>
        </w:tc>
        <w:tc>
          <w:tcPr>
            <w:tcW w:type="dxa" w:w="1325"/>
          </w:tcPr>
          <w:p>
            <w:pPr>
              <w:spacing w:after="20"/>
            </w:pPr>
            <w:r>
              <w:rPr>
                <w:color w:val="1C3A36"/>
                <w:sz w:val="14"/>
              </w:rPr>
              <w:t>0.2298</w:t>
            </w:r>
          </w:p>
        </w:tc>
        <w:tc>
          <w:tcPr>
            <w:tcW w:type="dxa" w:w="1066"/>
          </w:tcPr>
          <w:p>
            <w:pPr>
              <w:spacing w:after="20"/>
            </w:pPr>
            <w:r>
              <w:rPr>
                <w:color w:val="1C3A36"/>
                <w:sz w:val="14"/>
              </w:rPr>
              <w:t>Country</w:t>
            </w:r>
          </w:p>
        </w:tc>
        <w:tc>
          <w:tcPr>
            <w:tcW w:type="dxa" w:w="7171"/>
          </w:tcPr>
          <w:p>
            <w:pPr>
              <w:spacing w:after="20"/>
            </w:pPr>
            <w:r>
              <w:rPr>
                <w:color w:val="1C3A36"/>
                <w:sz w:val="14"/>
              </w:rPr>
              <w:t>Highest of the same three readings. The adopted figure is their midpoint, struck at the valuation date.</w:t>
            </w:r>
          </w:p>
        </w:tc>
        <w:tc>
          <w:tcPr>
            <w:tcW w:type="dxa" w:w="1210"/>
          </w:tcPr>
          <w:p>
            <w:pPr>
              <w:spacing w:after="20"/>
            </w:pPr>
            <w:r>
              <w:rPr>
                <w:color w:val="1C3A36"/>
                <w:sz w:val="14"/>
              </w:rPr>
              <w:t>2026-08-05</w:t>
            </w:r>
          </w:p>
        </w:tc>
      </w:tr>
      <w:tr>
        <w:tc>
          <w:tcPr>
            <w:tcW w:type="dxa" w:w="432"/>
          </w:tcPr>
          <w:p>
            <w:pPr>
              <w:spacing w:after="20"/>
            </w:pPr>
            <w:r>
              <w:rPr>
                <w:color w:val="1C3A36"/>
                <w:sz w:val="14"/>
              </w:rPr>
              <w:t>184</w:t>
            </w:r>
          </w:p>
        </w:tc>
        <w:tc>
          <w:tcPr>
            <w:tcW w:type="dxa" w:w="2448"/>
          </w:tcPr>
          <w:p>
            <w:pPr>
              <w:spacing w:after="20"/>
            </w:pPr>
            <w:r>
              <w:rPr>
                <w:color w:val="1C3A36"/>
                <w:sz w:val="14"/>
              </w:rPr>
              <w:t>rf_reviewer_low</w:t>
            </w:r>
          </w:p>
        </w:tc>
        <w:tc>
          <w:tcPr>
            <w:tcW w:type="dxa" w:w="1325"/>
          </w:tcPr>
          <w:p>
            <w:pPr>
              <w:spacing w:after="20"/>
            </w:pPr>
            <w:r>
              <w:rPr>
                <w:color w:val="1C3A36"/>
                <w:sz w:val="14"/>
              </w:rPr>
              <w:t>0.2288</w:t>
            </w:r>
          </w:p>
        </w:tc>
        <w:tc>
          <w:tcPr>
            <w:tcW w:type="dxa" w:w="1066"/>
          </w:tcPr>
          <w:p>
            <w:pPr>
              <w:spacing w:after="20"/>
            </w:pPr>
            <w:r>
              <w:rPr>
                <w:color w:val="1C3A36"/>
                <w:sz w:val="14"/>
              </w:rPr>
              <w:t>Country</w:t>
            </w:r>
          </w:p>
        </w:tc>
        <w:tc>
          <w:tcPr>
            <w:tcW w:type="dxa" w:w="7171"/>
          </w:tcPr>
          <w:p>
            <w:pPr>
              <w:spacing w:after="20"/>
            </w:pPr>
            <w:r>
              <w:rPr>
                <w:color w:val="1C3A36"/>
                <w:sz w:val="14"/>
              </w:rPr>
              <w:t>Lowest of three independent reviewers' readings of the Egyptian 10-year on 3-5 August 2026.</w:t>
            </w:r>
          </w:p>
        </w:tc>
        <w:tc>
          <w:tcPr>
            <w:tcW w:type="dxa" w:w="1210"/>
          </w:tcPr>
          <w:p>
            <w:pPr>
              <w:spacing w:after="20"/>
            </w:pPr>
            <w:r>
              <w:rPr>
                <w:color w:val="1C3A36"/>
                <w:sz w:val="14"/>
              </w:rPr>
              <w:t>2026-08-05</w:t>
            </w:r>
          </w:p>
        </w:tc>
      </w:tr>
      <w:tr>
        <w:tc>
          <w:tcPr>
            <w:tcW w:type="dxa" w:w="432"/>
          </w:tcPr>
          <w:p>
            <w:pPr>
              <w:spacing w:after="20"/>
            </w:pPr>
            <w:r>
              <w:rPr>
                <w:color w:val="1C3A36"/>
                <w:sz w:val="14"/>
              </w:rPr>
              <w:t>185</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32"/>
          </w:tcPr>
          <w:p>
            <w:pPr>
              <w:spacing w:after="20"/>
            </w:pPr>
            <w:r>
              <w:rPr>
                <w:color w:val="1C3A36"/>
                <w:sz w:val="14"/>
              </w:rPr>
              <w:t>186</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171"/>
          </w:tcPr>
          <w:p>
            <w:pPr>
              <w:spacing w:after="20"/>
            </w:pPr>
            <w:r>
              <w:rPr>
                <w:color w:val="1C3A36"/>
                <w:sz w:val="14"/>
              </w:rPr>
              <w:t>Egypt rating-based sovereign default spread (Moody's Caa1), Damodaran January-2026 country risk file, sheet 'ERPs by country', Egypt row, column 'Rating-based Default Spread'. The ALTERNATIVE to the CDS spread this study adopts, published in the same row of the same file</w:t>
            </w:r>
          </w:p>
        </w:tc>
        <w:tc>
          <w:tcPr>
            <w:tcW w:type="dxa" w:w="1210"/>
          </w:tcPr>
          <w:p>
            <w:pPr>
              <w:spacing w:after="20"/>
            </w:pPr>
            <w:r>
              <w:rPr>
                <w:color w:val="1C3A36"/>
                <w:sz w:val="14"/>
              </w:rPr>
              <w:t>2026-01-05</w:t>
            </w:r>
          </w:p>
        </w:tc>
      </w:tr>
      <w:tr>
        <w:tc>
          <w:tcPr>
            <w:tcW w:type="dxa" w:w="432"/>
          </w:tcPr>
          <w:p>
            <w:pPr>
              <w:spacing w:after="20"/>
            </w:pPr>
            <w:r>
              <w:rPr>
                <w:color w:val="1C3A36"/>
                <w:sz w:val="14"/>
              </w:rPr>
              <w:t>187</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32"/>
          </w:tcPr>
          <w:p>
            <w:pPr>
              <w:spacing w:after="20"/>
            </w:pPr>
            <w:r>
              <w:rPr>
                <w:color w:val="1C3A36"/>
                <w:sz w:val="14"/>
              </w:rPr>
              <w:t>188</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71"/>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32"/>
          </w:tcPr>
          <w:p>
            <w:pPr>
              <w:spacing w:after="20"/>
            </w:pPr>
            <w:r>
              <w:rPr>
                <w:color w:val="1C3A36"/>
                <w:sz w:val="14"/>
              </w:rPr>
              <w:t>189</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71"/>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32"/>
          </w:tcPr>
          <w:p>
            <w:pPr>
              <w:spacing w:after="20"/>
            </w:pPr>
            <w:r>
              <w:rPr>
                <w:color w:val="1C3A36"/>
                <w:sz w:val="14"/>
              </w:rPr>
              <w:t>190</w:t>
            </w:r>
          </w:p>
        </w:tc>
        <w:tc>
          <w:tcPr>
            <w:tcW w:type="dxa" w:w="2448"/>
          </w:tcPr>
          <w:p>
            <w:pPr>
              <w:spacing w:after="20"/>
            </w:pPr>
            <w:r>
              <w:rPr>
                <w:color w:val="1C3A36"/>
                <w:sz w:val="14"/>
              </w:rPr>
              <w:t>central_pre_rebuild</w:t>
            </w:r>
          </w:p>
        </w:tc>
        <w:tc>
          <w:tcPr>
            <w:tcW w:type="dxa" w:w="1325"/>
          </w:tcPr>
          <w:p>
            <w:pPr>
              <w:spacing w:after="20"/>
            </w:pPr>
            <w:r>
              <w:rPr>
                <w:color w:val="1C3A36"/>
                <w:sz w:val="14"/>
              </w:rPr>
              <w:t>61.3</w:t>
            </w:r>
          </w:p>
        </w:tc>
        <w:tc>
          <w:tcPr>
            <w:tcW w:type="dxa" w:w="1066"/>
          </w:tcPr>
          <w:p>
            <w:pPr>
              <w:spacing w:after="20"/>
            </w:pPr>
            <w:r>
              <w:rPr>
                <w:color w:val="1C3A36"/>
                <w:sz w:val="14"/>
              </w:rPr>
              <w:t>House</w:t>
            </w:r>
          </w:p>
        </w:tc>
        <w:tc>
          <w:tcPr>
            <w:tcW w:type="dxa" w:w="7171"/>
          </w:tcPr>
          <w:p>
            <w:pPr>
              <w:spacing w:after="20"/>
            </w:pPr>
            <w:r>
              <w:rPr>
                <w:color w:val="1C3A36"/>
                <w:sz w:val="14"/>
              </w:rPr>
              <w:t>The central published by the edition of this study that PRECEDED the 06-08-2026 bottom-up rebuild, as recorded in that edition's own caveats section and carried unchanged in every edition since. THIS MODEL CANNOT COMPUTE IT — a different model produced it, and the file itself is not retained in the repository — so it is registered as the historical fact it is rather than typed into a builder, which is the same disposition any superseded figure quoted to show what changed must take.</w:t>
            </w:r>
          </w:p>
        </w:tc>
        <w:tc>
          <w:tcPr>
            <w:tcW w:type="dxa" w:w="1210"/>
          </w:tcPr>
          <w:p>
            <w:pPr>
              <w:spacing w:after="20"/>
            </w:pPr>
            <w:r>
              <w:rPr>
                <w:color w:val="1C3A36"/>
                <w:sz w:val="14"/>
              </w:rPr>
              <w:t>2026-08-06</w:t>
            </w:r>
          </w:p>
        </w:tc>
      </w:tr>
      <w:tr>
        <w:tc>
          <w:tcPr>
            <w:tcW w:type="dxa" w:w="432"/>
          </w:tcPr>
          <w:p>
            <w:pPr>
              <w:spacing w:after="20"/>
            </w:pPr>
            <w:r>
              <w:rPr>
                <w:color w:val="1C3A36"/>
                <w:sz w:val="14"/>
              </w:rPr>
              <w:t>191</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71"/>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32"/>
          </w:tcPr>
          <w:p>
            <w:pPr>
              <w:spacing w:after="20"/>
            </w:pPr>
            <w:r>
              <w:rPr>
                <w:color w:val="1C3A36"/>
                <w:sz w:val="14"/>
              </w:rPr>
              <w:t>192</w:t>
            </w:r>
          </w:p>
        </w:tc>
        <w:tc>
          <w:tcPr>
            <w:tcW w:type="dxa" w:w="2448"/>
          </w:tcPr>
          <w:p>
            <w:pPr>
              <w:spacing w:after="20"/>
            </w:pPr>
            <w:r>
              <w:rPr>
                <w:color w:val="1C3A36"/>
                <w:sz w:val="14"/>
              </w:rPr>
              <w:t>efg_margin_exit</w:t>
            </w:r>
          </w:p>
        </w:tc>
        <w:tc>
          <w:tcPr>
            <w:tcW w:type="dxa" w:w="1325"/>
          </w:tcPr>
          <w:p>
            <w:pPr>
              <w:spacing w:after="20"/>
            </w:pPr>
            <w:r>
              <w:rPr>
                <w:color w:val="1C3A36"/>
                <w:sz w:val="14"/>
              </w:rPr>
              <w:t>0.343</w:t>
            </w:r>
          </w:p>
        </w:tc>
        <w:tc>
          <w:tcPr>
            <w:tcW w:type="dxa" w:w="1066"/>
          </w:tcPr>
          <w:p>
            <w:pPr>
              <w:spacing w:after="20"/>
            </w:pPr>
            <w:r>
              <w:rPr>
                <w:color w:val="1C3A36"/>
                <w:sz w:val="14"/>
              </w:rPr>
              <w:t>House</w:t>
            </w:r>
          </w:p>
        </w:tc>
        <w:tc>
          <w:tcPr>
            <w:tcW w:type="dxa" w:w="7171"/>
          </w:tcPr>
          <w:p>
            <w:pPr>
              <w:spacing w:after="20"/>
            </w:pPr>
            <w:r>
              <w:rPr>
                <w:color w:val="1C3A36"/>
                <w:sz w:val="14"/>
              </w:rPr>
              <w:t>Terminal EBITDA margin in the published EFG Hermes model, the far end of its 39.3% to 34.3% glide. Another party's figure, quoted;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193</w:t>
            </w:r>
          </w:p>
        </w:tc>
        <w:tc>
          <w:tcPr>
            <w:tcW w:type="dxa" w:w="2448"/>
          </w:tcPr>
          <w:p>
            <w:pPr>
              <w:spacing w:after="20"/>
            </w:pPr>
            <w:r>
              <w:rPr>
                <w:color w:val="1C3A36"/>
                <w:sz w:val="14"/>
              </w:rPr>
              <w:t>efg_terminal_roic</w:t>
            </w:r>
          </w:p>
        </w:tc>
        <w:tc>
          <w:tcPr>
            <w:tcW w:type="dxa" w:w="1325"/>
          </w:tcPr>
          <w:p>
            <w:pPr>
              <w:spacing w:after="20"/>
            </w:pPr>
            <w:r>
              <w:rPr>
                <w:color w:val="1C3A36"/>
                <w:sz w:val="14"/>
              </w:rPr>
              <w:t>0.0881</w:t>
            </w:r>
          </w:p>
        </w:tc>
        <w:tc>
          <w:tcPr>
            <w:tcW w:type="dxa" w:w="1066"/>
          </w:tcPr>
          <w:p>
            <w:pPr>
              <w:spacing w:after="20"/>
            </w:pPr>
            <w:r>
              <w:rPr>
                <w:color w:val="1C3A36"/>
                <w:sz w:val="14"/>
              </w:rPr>
              <w:t>House</w:t>
            </w:r>
          </w:p>
        </w:tc>
        <w:tc>
          <w:tcPr>
            <w:tcW w:type="dxa" w:w="7171"/>
          </w:tcPr>
          <w:p>
            <w:pPr>
              <w:spacing w:after="20"/>
            </w:pPr>
            <w:r>
              <w:rPr>
                <w:color w:val="1C3A36"/>
                <w:sz w:val="14"/>
              </w:rPr>
              <w:t>Terminal return on invested capital in the published EFG Hermes model, as reconstructed in the reconciliation of section 1.10. A figure from another party's model, quoted;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194</w:t>
            </w:r>
          </w:p>
        </w:tc>
        <w:tc>
          <w:tcPr>
            <w:tcW w:type="dxa" w:w="2448"/>
          </w:tcPr>
          <w:p>
            <w:pPr>
              <w:spacing w:after="20"/>
            </w:pPr>
            <w:r>
              <w:rPr>
                <w:color w:val="1C3A36"/>
                <w:sz w:val="14"/>
              </w:rPr>
              <w:t>efg_unit_cost_growth</w:t>
            </w:r>
          </w:p>
        </w:tc>
        <w:tc>
          <w:tcPr>
            <w:tcW w:type="dxa" w:w="1325"/>
          </w:tcPr>
          <w:p>
            <w:pPr>
              <w:spacing w:after="20"/>
            </w:pPr>
            <w:r>
              <w:rPr>
                <w:color w:val="1C3A36"/>
                <w:sz w:val="14"/>
              </w:rPr>
              <w:t>0.469</w:t>
            </w:r>
          </w:p>
        </w:tc>
        <w:tc>
          <w:tcPr>
            <w:tcW w:type="dxa" w:w="1066"/>
          </w:tcPr>
          <w:p>
            <w:pPr>
              <w:spacing w:after="20"/>
            </w:pPr>
            <w:r>
              <w:rPr>
                <w:color w:val="1C3A36"/>
                <w:sz w:val="14"/>
              </w:rPr>
              <w:t>House</w:t>
            </w:r>
          </w:p>
        </w:tc>
        <w:tc>
          <w:tcPr>
            <w:tcW w:type="dxa" w:w="7171"/>
          </w:tcPr>
          <w:p>
            <w:pPr>
              <w:spacing w:after="20"/>
            </w:pPr>
            <w:r>
              <w:rPr>
                <w:color w:val="1C3A36"/>
                <w:sz w:val="14"/>
              </w:rPr>
              <w:t>Growth in the cash cost per tonne the EFG Hermes model charges across its forecast window, as reconstructed in section 1.10. Another party's figure, quoted.</w:t>
            </w:r>
          </w:p>
        </w:tc>
        <w:tc>
          <w:tcPr>
            <w:tcW w:type="dxa" w:w="1210"/>
          </w:tcPr>
          <w:p>
            <w:pPr>
              <w:spacing w:after="20"/>
            </w:pPr>
            <w:r>
              <w:rPr>
                <w:color w:val="1C3A36"/>
                <w:sz w:val="14"/>
              </w:rPr>
              <w:t>2026-08-06</w:t>
            </w:r>
          </w:p>
        </w:tc>
      </w:tr>
      <w:tr>
        <w:tc>
          <w:tcPr>
            <w:tcW w:type="dxa" w:w="432"/>
          </w:tcPr>
          <w:p>
            <w:pPr>
              <w:spacing w:after="20"/>
            </w:pPr>
            <w:r>
              <w:rPr>
                <w:color w:val="1C3A36"/>
                <w:sz w:val="14"/>
              </w:rPr>
              <w:t>195</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71"/>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32"/>
          </w:tcPr>
          <w:p>
            <w:pPr>
              <w:spacing w:after="20"/>
            </w:pPr>
            <w:r>
              <w:rPr>
                <w:color w:val="1C3A36"/>
                <w:sz w:val="14"/>
              </w:rPr>
              <w:t>196</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32"/>
          </w:tcPr>
          <w:p>
            <w:pPr>
              <w:spacing w:after="20"/>
            </w:pPr>
            <w:r>
              <w:rPr>
                <w:color w:val="1C3A36"/>
                <w:sz w:val="14"/>
              </w:rPr>
              <w:t>197</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32"/>
          </w:tcPr>
          <w:p>
            <w:pPr>
              <w:spacing w:after="20"/>
            </w:pPr>
            <w:r>
              <w:rPr>
                <w:color w:val="1C3A36"/>
                <w:sz w:val="14"/>
              </w:rPr>
              <w:t>198</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32"/>
          </w:tcPr>
          <w:p>
            <w:pPr>
              <w:spacing w:after="20"/>
            </w:pPr>
            <w:r>
              <w:rPr>
                <w:color w:val="1C3A36"/>
                <w:sz w:val="14"/>
              </w:rPr>
              <w:t>199</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growth from the house macro path: terminal inflation plus a STATED real growth of zero, so the real assumption is written down rather than left to be inferred from the gap to the discount rate. The retired 5% was set against a terminal risk-free of 10.50% and called approximately zero in real terms; on the house path it would have been -1.9% real.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32"/>
          </w:tcPr>
          <w:p>
            <w:pPr>
              <w:spacing w:after="20"/>
            </w:pPr>
            <w:r>
              <w:rPr>
                <w:color w:val="1C3A36"/>
                <w:sz w:val="14"/>
              </w:rPr>
              <w:t>200</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71"/>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32"/>
          </w:tcPr>
          <w:p>
            <w:pPr>
              <w:spacing w:after="20"/>
            </w:pPr>
            <w:r>
              <w:rPr>
                <w:color w:val="1C3A36"/>
                <w:sz w:val="14"/>
              </w:rPr>
              <w:t>201</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171"/>
          </w:tcPr>
          <w:p>
            <w:pPr>
              <w:spacing w:after="20"/>
            </w:pPr>
            <w:r>
              <w:rPr>
                <w:color w:val="1C3A36"/>
                <w:sz w:val="14"/>
              </w:rPr>
              <w:t>Terminal cost of debt: the long-run Egyptian corporate-borrowing norm carried by the house macro path, replacing a terminal risk-free plus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32"/>
          </w:tcPr>
          <w:p>
            <w:pPr>
              <w:spacing w:after="20"/>
            </w:pPr>
            <w:r>
              <w:rPr>
                <w:color w:val="1C3A36"/>
                <w:sz w:val="14"/>
              </w:rPr>
              <w:t>202</w:t>
            </w:r>
          </w:p>
        </w:tc>
        <w:tc>
          <w:tcPr>
            <w:tcW w:type="dxa" w:w="2448"/>
          </w:tcPr>
          <w:p>
            <w:pPr>
              <w:spacing w:after="20"/>
            </w:pPr>
            <w:r>
              <w:rPr>
                <w:color w:val="1C3A36"/>
                <w:sz w:val="14"/>
              </w:rPr>
              <w:t>nci_v1</w:t>
            </w:r>
          </w:p>
        </w:tc>
        <w:tc>
          <w:tcPr>
            <w:tcW w:type="dxa" w:w="1325"/>
          </w:tcPr>
          <w:p>
            <w:pPr>
              <w:spacing w:after="20"/>
            </w:pPr>
            <w:r>
              <w:rPr>
                <w:color w:val="1C3A36"/>
                <w:sz w:val="14"/>
              </w:rPr>
              <w:t>150</w:t>
            </w:r>
          </w:p>
        </w:tc>
        <w:tc>
          <w:tcPr>
            <w:tcW w:type="dxa" w:w="1066"/>
          </w:tcPr>
          <w:p>
            <w:pPr>
              <w:spacing w:after="20"/>
            </w:pPr>
            <w:r>
              <w:rPr>
                <w:color w:val="1C3A36"/>
                <w:sz w:val="14"/>
              </w:rPr>
              <w:t>House</w:t>
            </w:r>
          </w:p>
        </w:tc>
        <w:tc>
          <w:tcPr>
            <w:tcW w:type="dxa" w:w="7171"/>
          </w:tcPr>
          <w:p>
            <w:pPr>
              <w:spacing w:after="20"/>
            </w:pPr>
            <w:r>
              <w:rPr>
                <w:color w:val="1C3A36"/>
                <w:sz w:val="14"/>
              </w:rPr>
              <w:t>The non-controlling interest revision 1 of this study deducted, inferred from the profit statements when no source document could be opened. THIS MODEL CANNOT COMPUTE IT — a different model produced it — so it is registered as the historical fact it is rather than typed into a builder, the same disposition central_pre_rebuild takes. Note 24 of the audited accounts puts the real figure at EGP 158,005.</w:t>
            </w:r>
          </w:p>
        </w:tc>
        <w:tc>
          <w:tcPr>
            <w:tcW w:type="dxa" w:w="1210"/>
          </w:tcPr>
          <w:p>
            <w:pPr>
              <w:spacing w:after="20"/>
            </w:pPr>
            <w:r>
              <w:rPr>
                <w:color w:val="1C3A36"/>
                <w:sz w:val="14"/>
              </w:rPr>
              <w:t>2026-08-06</w:t>
            </w:r>
          </w:p>
        </w:tc>
      </w:tr>
      <w:tr>
        <w:tc>
          <w:tcPr>
            <w:tcW w:type="dxa" w:w="432"/>
          </w:tcPr>
          <w:p>
            <w:pPr>
              <w:spacing w:after="20"/>
            </w:pPr>
            <w:r>
              <w:rPr>
                <w:color w:val="1C3A36"/>
                <w:sz w:val="14"/>
              </w:rPr>
              <w:t>203</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32"/>
          </w:tcPr>
          <w:p>
            <w:pPr>
              <w:spacing w:after="20"/>
            </w:pPr>
            <w:r>
              <w:rPr>
                <w:color w:val="1C3A36"/>
                <w:sz w:val="14"/>
              </w:rPr>
              <w:t>204</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205</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71"/>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32"/>
          </w:tcPr>
          <w:p>
            <w:pPr>
              <w:spacing w:after="20"/>
            </w:pPr>
            <w:r>
              <w:rPr>
                <w:color w:val="1C3A36"/>
                <w:sz w:val="14"/>
              </w:rPr>
              <w:t>206</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32"/>
          </w:tcPr>
          <w:p>
            <w:pPr>
              <w:spacing w:after="20"/>
            </w:pPr>
            <w:r>
              <w:rPr>
                <w:color w:val="1C3A36"/>
                <w:sz w:val="14"/>
              </w:rPr>
              <w:t>207</w:t>
            </w:r>
          </w:p>
        </w:tc>
        <w:tc>
          <w:tcPr>
            <w:tcW w:type="dxa" w:w="2448"/>
          </w:tcPr>
          <w:p>
            <w:pPr>
              <w:spacing w:after="20"/>
            </w:pPr>
            <w:r>
              <w:rPr>
                <w:color w:val="1C3A36"/>
                <w:sz w:val="14"/>
              </w:rPr>
              <w:t>rf_superseded</w:t>
            </w:r>
          </w:p>
        </w:tc>
        <w:tc>
          <w:tcPr>
            <w:tcW w:type="dxa" w:w="1325"/>
          </w:tcPr>
          <w:p>
            <w:pPr>
              <w:spacing w:after="20"/>
            </w:pPr>
            <w:r>
              <w:rPr>
                <w:color w:val="1C3A36"/>
                <w:sz w:val="14"/>
              </w:rPr>
              <w:t>0.2231</w:t>
            </w:r>
          </w:p>
        </w:tc>
        <w:tc>
          <w:tcPr>
            <w:tcW w:type="dxa" w:w="1066"/>
          </w:tcPr>
          <w:p>
            <w:pPr>
              <w:spacing w:after="20"/>
            </w:pPr>
            <w:r>
              <w:rPr>
                <w:color w:val="1C3A36"/>
                <w:sz w:val="14"/>
              </w:rPr>
              <w:t>House</w:t>
            </w:r>
          </w:p>
        </w:tc>
        <w:tc>
          <w:tcPr>
            <w:tcW w:type="dxa" w:w="7171"/>
          </w:tcPr>
          <w:p>
            <w:pPr>
              <w:spacing w:after="20"/>
            </w:pPr>
            <w:r>
              <w:rPr>
                <w:color w:val="1C3A36"/>
                <w:sz w:val="14"/>
              </w:rPr>
              <w:t>Egypt 10-year local-currency government bond yield as carried by revision 3 of this study, dated 21 July 2026 and therefore sixteen days before the valuation date. Quoted to show what changed; not an input to anything.</w:t>
            </w:r>
          </w:p>
        </w:tc>
        <w:tc>
          <w:tcPr>
            <w:tcW w:type="dxa" w:w="1210"/>
          </w:tcPr>
          <w:p>
            <w:pPr>
              <w:spacing w:after="20"/>
            </w:pPr>
            <w:r>
              <w:rPr>
                <w:color w:val="1C3A36"/>
                <w:sz w:val="14"/>
              </w:rPr>
              <w:t>2026-07-21</w:t>
            </w:r>
          </w:p>
        </w:tc>
      </w:tr>
      <w:tr>
        <w:tc>
          <w:tcPr>
            <w:tcW w:type="dxa" w:w="432"/>
          </w:tcPr>
          <w:p>
            <w:pPr>
              <w:spacing w:after="20"/>
            </w:pPr>
            <w:r>
              <w:rPr>
                <w:color w:val="1C3A36"/>
                <w:sz w:val="14"/>
              </w:rPr>
              <w:t>208</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171"/>
          </w:tcPr>
          <w:p>
            <w:pPr>
              <w:spacing w:after="20"/>
            </w:pPr>
            <w:r>
              <w:rPr>
                <w:color w:val="1C3A36"/>
                <w:sz w:val="14"/>
              </w:rPr>
              <w:t>Terminal risk-free rate, DERIVED from the house macro path as terminal inflation plus the real-rate convention, and so no longer this study's own reading of which published target to use. THE CONFLICT THIS SETTLES: this study argued for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32"/>
          </w:tcPr>
          <w:p>
            <w:pPr>
              <w:spacing w:after="20"/>
            </w:pPr>
            <w:r>
              <w:rPr>
                <w:color w:val="1C3A36"/>
                <w:sz w:val="14"/>
              </w:rPr>
              <w:t>209</w:t>
            </w:r>
          </w:p>
        </w:tc>
        <w:tc>
          <w:tcPr>
            <w:tcW w:type="dxa" w:w="2448"/>
          </w:tcPr>
          <w:p>
            <w:pPr>
              <w:spacing w:after="20"/>
            </w:pPr>
            <w:r>
              <w:rPr>
                <w:color w:val="1C3A36"/>
                <w:sz w:val="14"/>
              </w:rPr>
              <w:t>stub_years</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THE VALUATION DATE IS 30 JUNE 2026, the date of the latest disclosed balance sheet, not the date of the latest traded price. Revision 3 valued at 6 August and rolled the balance sheet forward to meet it; the interim accounts now make that unnecessary, and a bridge standing on a disclosed balance sheet is worth more than two months of freshness in the discounting. The price the range is compared against is still the latest known close, and the 37-day gap between the two is disclosed rather than closed</w:t>
            </w:r>
          </w:p>
        </w:tc>
        <w:tc>
          <w:tcPr>
            <w:tcW w:type="dxa" w:w="1210"/>
          </w:tcPr>
          <w:p>
            <w:pPr>
              <w:spacing w:after="20"/>
            </w:pPr>
            <w:r>
              <w:rPr>
                <w:color w:val="1C3A36"/>
                <w:sz w:val="14"/>
              </w:rPr>
              <w:t>2026-06-30</w:t>
            </w:r>
          </w:p>
        </w:tc>
      </w:tr>
      <w:tr>
        <w:tc>
          <w:tcPr>
            <w:tcW w:type="dxa" w:w="432"/>
          </w:tcPr>
          <w:p>
            <w:pPr>
              <w:spacing w:after="20"/>
            </w:pPr>
            <w:r>
              <w:rPr>
                <w:color w:val="1C3A36"/>
                <w:sz w:val="14"/>
              </w:rPr>
              <w:t>210</w:t>
            </w:r>
          </w:p>
        </w:tc>
        <w:tc>
          <w:tcPr>
            <w:tcW w:type="dxa" w:w="2448"/>
          </w:tcPr>
          <w:p>
            <w:pPr>
              <w:spacing w:after="20"/>
            </w:pPr>
            <w:r>
              <w:rPr>
                <w:color w:val="1C3A36"/>
                <w:sz w:val="14"/>
              </w:rPr>
              <w:t>tax_eff_superseded</w:t>
            </w:r>
          </w:p>
        </w:tc>
        <w:tc>
          <w:tcPr>
            <w:tcW w:type="dxa" w:w="1325"/>
          </w:tcPr>
          <w:p>
            <w:pPr>
              <w:spacing w:after="20"/>
            </w:pPr>
            <w:r>
              <w:rPr>
                <w:color w:val="1C3A36"/>
                <w:sz w:val="14"/>
              </w:rPr>
              <w:t>0.2943</w:t>
            </w:r>
          </w:p>
        </w:tc>
        <w:tc>
          <w:tcPr>
            <w:tcW w:type="dxa" w:w="1066"/>
          </w:tcPr>
          <w:p>
            <w:pPr>
              <w:spacing w:after="20"/>
            </w:pPr>
            <w:r>
              <w:rPr>
                <w:color w:val="1C3A36"/>
                <w:sz w:val="14"/>
              </w:rPr>
              <w:t>House</w:t>
            </w:r>
          </w:p>
        </w:tc>
        <w:tc>
          <w:tcPr>
            <w:tcW w:type="dxa" w:w="7171"/>
          </w:tcPr>
          <w:p>
            <w:pPr>
              <w:spacing w:after="20"/>
            </w:pPr>
            <w:r>
              <w:rPr>
                <w:color w:val="1C3A36"/>
                <w:sz w:val="14"/>
              </w:rPr>
              <w:t>Effective tax rate INFERRED by revision 1 of this study by closing a modelled net finance income, against the 23.82% the filing discloses. Quoted in the source register to show what changed; not an input to anything.</w:t>
            </w:r>
          </w:p>
        </w:tc>
        <w:tc>
          <w:tcPr>
            <w:tcW w:type="dxa" w:w="1210"/>
          </w:tcPr>
          <w:p>
            <w:pPr>
              <w:spacing w:after="20"/>
            </w:pPr>
            <w:r>
              <w:rPr>
                <w:color w:val="1C3A36"/>
                <w:sz w:val="14"/>
              </w:rPr>
              <w:t>2026-08-06</w:t>
            </w:r>
          </w:p>
        </w:tc>
      </w:tr>
      <w:tr>
        <w:tc>
          <w:tcPr>
            <w:tcW w:type="dxa" w:w="432"/>
          </w:tcPr>
          <w:p>
            <w:pPr>
              <w:spacing w:after="20"/>
            </w:pPr>
            <w:r>
              <w:rPr>
                <w:color w:val="1C3A36"/>
                <w:sz w:val="14"/>
              </w:rPr>
              <w:t>211</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32"/>
          </w:tcPr>
          <w:p>
            <w:pPr>
              <w:spacing w:after="20"/>
            </w:pPr>
            <w:r>
              <w:rPr>
                <w:color w:val="1C3A36"/>
                <w:sz w:val="14"/>
              </w:rPr>
              <w:t>212</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213</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71"/>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32"/>
          </w:tcPr>
          <w:p>
            <w:pPr>
              <w:spacing w:after="20"/>
            </w:pPr>
            <w:r>
              <w:rPr>
                <w:color w:val="1C3A36"/>
                <w:sz w:val="14"/>
              </w:rPr>
              <w:t>214</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32"/>
          </w:tcPr>
          <w:p>
            <w:pPr>
              <w:spacing w:after="20"/>
            </w:pPr>
            <w:r>
              <w:rPr>
                <w:color w:val="1C3A36"/>
                <w:sz w:val="14"/>
              </w:rPr>
              <w:t>215</w:t>
            </w:r>
          </w:p>
        </w:tc>
        <w:tc>
          <w:tcPr>
            <w:tcW w:type="dxa" w:w="2448"/>
          </w:tcPr>
          <w:p>
            <w:pPr>
              <w:spacing w:after="20"/>
            </w:pPr>
            <w:r>
              <w:rPr>
                <w:color w:val="1C3A36"/>
                <w:sz w:val="14"/>
              </w:rPr>
              <w:t>wc_pct_drev</w:t>
            </w:r>
          </w:p>
        </w:tc>
        <w:tc>
          <w:tcPr>
            <w:tcW w:type="dxa" w:w="1325"/>
          </w:tcPr>
          <w:p>
            <w:pPr>
              <w:spacing w:after="20"/>
            </w:pPr>
            <w:r>
              <w:rPr>
                <w:color w:val="1C3A36"/>
                <w:sz w:val="14"/>
              </w:rPr>
              <w:t>0.12</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 The FY2025 outturn on the disclosed movements is close to this</w:t>
            </w:r>
          </w:p>
        </w:tc>
        <w:tc>
          <w:tcPr>
            <w:tcW w:type="dxa" w:w="1210"/>
          </w:tcPr>
          <w:p>
            <w:pPr>
              <w:spacing w:after="20"/>
            </w:pPr>
            <w:r>
              <w:rPr>
                <w:color w:val="1C3A36"/>
                <w:sz w:val="14"/>
              </w:rPr>
              <w:t>2026-08-06</w:t>
            </w:r>
          </w:p>
        </w:tc>
      </w:tr>
      <w:tr>
        <w:tc>
          <w:tcPr>
            <w:tcW w:type="dxa" w:w="432"/>
          </w:tcPr>
          <w:p>
            <w:pPr>
              <w:spacing w:after="20"/>
            </w:pPr>
            <w:r>
              <w:rPr>
                <w:color w:val="1C3A36"/>
                <w:sz w:val="14"/>
              </w:rPr>
              <w:t>216</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w:t>
            </w:r>
          </w:p>
        </w:tc>
        <w:tc>
          <w:tcPr>
            <w:tcW w:type="dxa" w:w="1210"/>
          </w:tcPr>
          <w:p>
            <w:pPr>
              <w:spacing w:after="20"/>
            </w:pPr>
            <w:r>
              <w:rPr>
                <w:color w:val="1C3A36"/>
                <w:sz w:val="14"/>
              </w:rPr>
              <w:t>2026-08-06</w:t>
            </w:r>
          </w:p>
        </w:tc>
      </w:tr>
      <w:tr>
        <w:tc>
          <w:tcPr>
            <w:tcW w:type="dxa" w:w="432"/>
          </w:tcPr>
          <w:p>
            <w:pPr>
              <w:spacing w:after="20"/>
            </w:pPr>
            <w:r>
              <w:rPr>
                <w:color w:val="1C3A36"/>
                <w:sz w:val="14"/>
              </w:rPr>
              <w:t>217</w:t>
            </w:r>
          </w:p>
        </w:tc>
        <w:tc>
          <w:tcPr>
            <w:tcW w:type="dxa" w:w="2448"/>
          </w:tcPr>
          <w:p>
            <w:pPr>
              <w:spacing w:after="20"/>
            </w:pPr>
            <w:r>
              <w:rPr>
                <w:color w:val="1C3A36"/>
                <w:sz w:val="14"/>
              </w:rPr>
              <w:t>wf_dep_correction</w:t>
            </w:r>
          </w:p>
        </w:tc>
        <w:tc>
          <w:tcPr>
            <w:tcW w:type="dxa" w:w="1325"/>
          </w:tcPr>
          <w:p>
            <w:pPr>
              <w:spacing w:after="20"/>
            </w:pPr>
            <w:r>
              <w:rPr>
                <w:color w:val="1C3A36"/>
                <w:sz w:val="14"/>
              </w:rPr>
              <w:t>1.0298</w:t>
            </w:r>
          </w:p>
        </w:tc>
        <w:tc>
          <w:tcPr>
            <w:tcW w:type="dxa" w:w="1066"/>
          </w:tcPr>
          <w:p>
            <w:pPr>
              <w:spacing w:after="20"/>
            </w:pPr>
            <w:r>
              <w:rPr>
                <w:color w:val="1C3A36"/>
                <w:sz w:val="14"/>
              </w:rPr>
              <w:t>House</w:t>
            </w:r>
          </w:p>
        </w:tc>
        <w:tc>
          <w:tcPr>
            <w:tcW w:type="dxa" w:w="7171"/>
          </w:tcPr>
          <w:p>
            <w:pPr>
              <w:spacing w:after="20"/>
            </w:pPr>
            <w:r>
              <w:rPr>
                <w:color w:val="1C3A36"/>
                <w:sz w:val="14"/>
              </w:rPr>
              <w:t>Manufacturing depreciation correction from this name's own fundamental walk-forward on this company's own history: held flat, depreciation under-forecasts by 5.9 log points across twenty-five cells; the sign holds in both eras, the bias is robust at all three bootstrap block lengths, the expanding-window test improves out-of-sample MAE from 0.090 to 0.081, and the adjustment matches how every other study in the book builds the line. Applied at HALF STRENGTH: exp(0.5 x 0.058715) = 1.0298. It is the ONLY one of twelve candidates that survived both clauses</w:t>
            </w:r>
          </w:p>
        </w:tc>
        <w:tc>
          <w:tcPr>
            <w:tcW w:type="dxa" w:w="1210"/>
          </w:tcPr>
          <w:p>
            <w:pPr>
              <w:spacing w:after="20"/>
            </w:pPr>
            <w:r>
              <w:rPr>
                <w:color w:val="1C3A36"/>
                <w:sz w:val="14"/>
              </w:rPr>
              <w:t>2026-09-01</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Arabian Cement Company S.A.E. — FY2025 Investor Presentation</w:t>
            </w:r>
          </w:p>
        </w:tc>
        <w:tc>
          <w:tcPr>
            <w:tcW w:type="dxa" w:w="2333"/>
          </w:tcPr>
          <w:p>
            <w:pPr>
              <w:spacing w:after="20"/>
            </w:pPr>
            <w:r>
              <w:rPr>
                <w:color w:val="1C3A36"/>
                <w:sz w:val="16"/>
              </w:rPr>
              <w:t>COMPANY DISCLOSURE — PHYSICAL</w:t>
            </w:r>
          </w:p>
        </w:tc>
        <w:tc>
          <w:tcPr>
            <w:tcW w:type="dxa" w:w="5803"/>
          </w:tcPr>
          <w:p>
            <w:pPr>
              <w:spacing w:after="20"/>
            </w:pPr>
            <w:r>
              <w:rPr>
                <w:color w:val="1C3A36"/>
                <w:sz w:val="16"/>
              </w:rPr>
              <w:t>The tonnes. Sales volumes by product and market (local cement 2,923.6kt, cement exports 629.5kt, clinker exports 1,300.5kt, total 4,853.6kt), production indicators (clinker 3,851.6kt at 92% kiln utilisation, cement 3,480.6kt), the FY2024 comparatives that give the realised local price series, the fourth-quarter split that gives the exit rate, and the Egyptian market balance of 53.9Mt local plus 18.6Mt export. The audited statements carry no volume table, so every physical figure in three earlier editions of this study was reconstructed from an assumed price; all of them are now read from here. Its FINANCIAL tables are on a narrower basis than the audited consolidated accounts (revenue 12,320 against 12,447; total assets 8,640 against 8,784), so no financial figure is taken from it.</w:t>
            </w:r>
          </w:p>
        </w:tc>
        <w:tc>
          <w:tcPr>
            <w:tcW w:type="dxa" w:w="2880"/>
          </w:tcPr>
          <w:p>
            <w:pPr>
              <w:spacing w:after="20"/>
            </w:pPr>
            <w:r>
              <w:rPr>
                <w:color w:val="1C3A36"/>
                <w:sz w:val="16"/>
              </w:rPr>
              <w:t>Investor relations library, arabiancementcompany.com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LONGEST-DATED published inflation target of 5% for Q4-2028, used to build the terminal risk-free rate — earlier editions used the 7% Q4-2026 target and mis-described it as the medium-term one; headline urban inflation.</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and NARROWER than earlier editions of this entry claimed: nameplate cement capacity of about 76Mt, the abolition of the production quota in May 2025 with exports capped at 30% of output, and the 12.6Mt of dormant capacity under revival from the second half of 2026. THE SECTOR SALES FIGURES ARE NOT FROM THESE SOURCES — domestic cement 54.0Mt, exported cement 11.1Mt and exported clinker 7.6Mt all come from the company's own FY2025 investor presentation and are listed under it. No company figure is taken from the press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1.930Mt, and local sales of goods of EGP 8,350.45mn divided by an assumed EGP 3,500 a tonne gives 2.923Mt. Total 4.854Mt,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157, overheads and cash administration EGP 210, total EGP 1,542.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13.36%</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10.52%</w:t>
            </w:r>
          </w:p>
        </w:tc>
        <w:tc>
          <w:tcPr>
            <w:tcW w:type="dxa" w:w="10224"/>
          </w:tcPr>
          <w:p>
            <w:pPr>
              <w:spacing w:after="20"/>
            </w:pPr>
            <w:r>
              <w:rPr>
                <w:color w:val="1C3A36"/>
                <w:sz w:val="16"/>
              </w:rPr>
              <w:t>The last forecast year's operating profit after tax against terminal invested capital, BOTH MEASURED AT THE SAME DATE. Earlier editions of this entry headed it 11.3%, which grows the profit by a year of terminal growth and leaves the capital base ungrown; that mismatch flatters the return by 74 basis points and the figure is withdrawn. It survives in the workbook, labelled as the retired construction. 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0.928 adopted, from comparable companies rather than from this share</w:t>
            </w:r>
          </w:p>
        </w:tc>
        <w:tc>
          <w:tcPr>
            <w:tcW w:type="dxa" w:w="10224"/>
          </w:tcPr>
          <w:p>
            <w:pPr>
              <w:spacing w:after="20"/>
            </w:pPr>
            <w:r>
              <w:rPr>
                <w:color w:val="1C3A36"/>
                <w:sz w:val="16"/>
              </w:rPr>
              <w:t>Measured against the EGX30 — the only index against which an Egyptian Exchange listing can properly be measured — Arabian Cement's own weekly returns over 4.89 years give a beta of 0.698 on 253 observations with an R-squared of 0.047 and a standard error of 0.228. The index explains under a twentieth of the share's movement, which is below the level at which a regression is usable, so it is NOT adopted and its diagnostics are printed instead. Earlier editions reported 0.6281 measured against a basket built from the other Egyptian companies this house follows; a basket of covered names explains a covered name better because it partly consists of companies like it, so the better statistic was an artefact and the figure is withdrawn. Adopted instead: the median beta of the Egyptian building-materials and construction peers that do clear the threshold — 0.815, 0.919, 0.936, 1.030 — giving 0.928. Sinai Cement is the closest business match and is deliberately NOT used: its own regression is weaker still. WHAT COULD NOT BE DONE: the peers' own borrowings are not stripped out and Arabian Cement's added back, because their balance sheets are not sourced here. Arabian Cement holds net cash and its peers carry debt, so completing that step could only lower the beta and raise the value; the figure adopted is the cautious end and the whole peer spread is published as a sensitivity.</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The DISCLOSED 30 June 2026 balance sheet: cash of EGP 1,970.50mn less interest-bearing debt of EGP 1,283.29mn, giving net cash of EGP 687.21mn. The previous edition had no balance sheet for its valuation date and had to roll one forward, which came out EGP 1,239mn too generous because it could not see six months of stock-building, receivables and capital spending. Superseded rather than adjusted: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26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40.77%</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screen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