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1 September 2026  ·  Reporting and valuation currency: Egyptian pounds  ·  Anchor price EGP 13.98 at the close of 2026-08-06</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Four lenses give a field, and inside it one weighted central — EGP 3.76 a share on stated weights: cash flow with the programme carried through 45%, relative multiples 20%, normalised earnings 20%, book value 15%. The central is a reading inside the field, never a point target. Where the lenses disagree, the disagreement is the information —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0.00 and EGP 15.47 a share. It trades at EGP 13.98. The gap is not a rounding difference between the lenses: it is the whole disagreement. The multiple lens, on the range Egyptian fertilizer producers actually trade at, centres at EGP 15.47 — above the traded price — and it reaches that answer only by never asking what the capital programme does to cash. Every lens that does ask lands below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7.8%,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25.6% to 18.2%, terminal growth 5.0%</w:t>
            </w:r>
          </w:p>
        </w:tc>
        <w:tc>
          <w:tcPr>
            <w:tcW w:type="dxa" w:w="1512"/>
          </w:tcPr>
          <w:p>
            <w:pPr>
              <w:spacing w:after="20"/>
              <w:jc w:val="right"/>
            </w:pPr>
            <w:r>
              <w:rPr>
                <w:color w:val="1C3A36"/>
                <w:sz w:val="15"/>
              </w:rPr>
              <w:t>-2.37 to 1.84</w:t>
            </w:r>
          </w:p>
        </w:tc>
        <w:tc>
          <w:tcPr>
            <w:tcW w:type="dxa" w:w="1008"/>
          </w:tcPr>
          <w:p>
            <w:pPr>
              <w:spacing w:after="20"/>
              <w:jc w:val="right"/>
            </w:pPr>
            <w:r>
              <w:rPr>
                <w:color w:val="1C3A36"/>
                <w:sz w:val="15"/>
              </w:rPr>
              <w:t>-0.63</w:t>
            </w:r>
          </w:p>
        </w:tc>
        <w:tc>
          <w:tcPr>
            <w:tcW w:type="dxa" w:w="936"/>
          </w:tcPr>
          <w:p>
            <w:pPr>
              <w:spacing w:after="20"/>
              <w:jc w:val="right"/>
            </w:pPr>
            <w:r>
              <w:rPr>
                <w:color w:val="1C3A36"/>
                <w:sz w:val="15"/>
              </w:rPr>
              <w:t>-104%</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1.54 to 3.49</w:t>
            </w:r>
          </w:p>
        </w:tc>
        <w:tc>
          <w:tcPr>
            <w:tcW w:type="dxa" w:w="1008"/>
          </w:tcPr>
          <w:p>
            <w:pPr>
              <w:spacing w:after="20"/>
              <w:jc w:val="right"/>
            </w:pPr>
            <w:r>
              <w:rPr>
                <w:color w:val="1C3A36"/>
                <w:sz w:val="15"/>
              </w:rPr>
              <w:t>3.43</w:t>
            </w:r>
          </w:p>
        </w:tc>
        <w:tc>
          <w:tcPr>
            <w:tcW w:type="dxa" w:w="936"/>
          </w:tcPr>
          <w:p>
            <w:pPr>
              <w:spacing w:after="20"/>
              <w:jc w:val="right"/>
            </w:pPr>
            <w:r>
              <w:rPr>
                <w:color w:val="1C3A36"/>
                <w:sz w:val="15"/>
              </w:rPr>
              <w:t>-75%</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10.88 to 20.07</w:t>
            </w:r>
          </w:p>
        </w:tc>
        <w:tc>
          <w:tcPr>
            <w:tcW w:type="dxa" w:w="1008"/>
          </w:tcPr>
          <w:p>
            <w:pPr>
              <w:spacing w:after="20"/>
              <w:jc w:val="right"/>
            </w:pPr>
            <w:r>
              <w:rPr>
                <w:color w:val="1C3A36"/>
                <w:sz w:val="15"/>
              </w:rPr>
              <w:t>15.47</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-69%</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31.0%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0.58</w:t>
            </w:r>
          </w:p>
        </w:tc>
        <w:tc>
          <w:tcPr>
            <w:tcW w:type="dxa" w:w="936"/>
          </w:tcPr>
          <w:p>
            <w:pPr>
              <w:spacing w:after="20"/>
              <w:jc w:val="right"/>
            </w:pPr>
            <w:r>
              <w:rPr>
                <w:color w:val="1C3A36"/>
                <w:sz w:val="15"/>
              </w:rPr>
              <w:t>-96%</w:t>
            </w:r>
          </w:p>
        </w:tc>
      </w:tr>
      <w:tr>
        <w:trPr>
          <w:cantSplit/>
        </w:trPr>
        <w:tc>
          <w:tcPr>
            <w:tcW w:type="dxa" w:w="2232"/>
            <w:shd w:val="clear" w:color="auto" w:fill="F6F1E6"/>
          </w:tcPr>
          <w:p>
            <w:pPr>
              <w:spacing w:after="20"/>
            </w:pPr>
            <w:r>
              <w:rPr>
                <w:b/>
                <w:color w:val="1C3A36"/>
                <w:sz w:val="15"/>
              </w:rPr>
              <w:t>THE FIELD, all four lenses — and the weighted central inside it</w:t>
            </w:r>
          </w:p>
        </w:tc>
        <w:tc>
          <w:tcPr>
            <w:tcW w:type="dxa" w:w="3960"/>
            <w:shd w:val="clear" w:color="auto" w:fill="F6F1E6"/>
          </w:tcPr>
          <w:p>
            <w:pPr>
              <w:spacing w:after="20"/>
            </w:pPr>
            <w:r>
              <w:rPr>
                <w:b/>
                <w:color w:val="1C3A36"/>
                <w:sz w:val="15"/>
              </w:rPr>
              <w:t>Low to high across every read above. The central weights the reads: cash flow carried through 45%, relative 20%, normalised 20%, book 15%. Only the carried-through side of the cash-flow lens enters it — that is the company's stated plan; the stopped reading is the contested judgement, published beside it and never averaged in</w:t>
            </w:r>
          </w:p>
        </w:tc>
        <w:tc>
          <w:tcPr>
            <w:tcW w:type="dxa" w:w="1512"/>
            <w:shd w:val="clear" w:color="auto" w:fill="F6F1E6"/>
          </w:tcPr>
          <w:p>
            <w:pPr>
              <w:spacing w:after="20"/>
              <w:jc w:val="right"/>
            </w:pPr>
            <w:r>
              <w:rPr>
                <w:b/>
                <w:color w:val="1C3A36"/>
                <w:sz w:val="15"/>
              </w:rPr>
              <w:t>0.00 to 15.47</w:t>
            </w:r>
          </w:p>
        </w:tc>
        <w:tc>
          <w:tcPr>
            <w:tcW w:type="dxa" w:w="1008"/>
            <w:shd w:val="clear" w:color="auto" w:fill="F6F1E6"/>
          </w:tcPr>
          <w:p>
            <w:pPr>
              <w:spacing w:after="20"/>
              <w:jc w:val="right"/>
            </w:pPr>
            <w:r>
              <w:rPr>
                <w:b/>
                <w:color w:val="1C3A36"/>
                <w:sz w:val="15"/>
              </w:rPr>
              <w:t>3.76</w:t>
            </w:r>
          </w:p>
        </w:tc>
        <w:tc>
          <w:tcPr>
            <w:tcW w:type="dxa" w:w="936"/>
            <w:shd w:val="clear" w:color="auto" w:fill="F6F1E6"/>
          </w:tcPr>
          <w:p>
            <w:pPr>
              <w:spacing w:after="20"/>
              <w:jc w:val="right"/>
            </w:pPr>
            <w:r>
              <w:rPr>
                <w:b/>
                <w:color w:val="1C3A36"/>
                <w:sz w:val="15"/>
              </w:rPr>
              <w:t>-73%</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13.98</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credit rating</w:t>
            </w:r>
          </w:p>
        </w:tc>
        <w:tc>
          <w:tcPr>
            <w:tcW w:type="dxa" w:w="3960"/>
          </w:tcPr>
          <w:p>
            <w:pPr>
              <w:spacing w:after="20"/>
            </w:pPr>
            <w:r>
              <w:rPr>
                <w:color w:val="1C3A36"/>
                <w:sz w:val="15"/>
              </w:rPr>
              <w:t>Priced off the sovereign's traded default swap instead, which is the narrower of the two spreads</w:t>
            </w:r>
          </w:p>
        </w:tc>
        <w:tc>
          <w:tcPr>
            <w:tcW w:type="dxa" w:w="1512"/>
          </w:tcPr>
          <w:p>
            <w:pPr>
              <w:spacing w:after="20"/>
              <w:jc w:val="right"/>
            </w:pPr>
            <w:r>
              <w:rPr>
                <w:color w:val="1C3A36"/>
                <w:sz w:val="15"/>
              </w:rPr>
              <w:t>—</w:t>
            </w:r>
          </w:p>
        </w:tc>
        <w:tc>
          <w:tcPr>
            <w:tcW w:type="dxa" w:w="1008"/>
          </w:tcPr>
          <w:p>
            <w:pPr>
              <w:spacing w:after="20"/>
              <w:jc w:val="right"/>
            </w:pPr>
            <w:r>
              <w:rPr>
                <w:color w:val="1C3A36"/>
                <w:sz w:val="15"/>
              </w:rPr>
              <w:t>0.10</w:t>
            </w:r>
          </w:p>
        </w:tc>
        <w:tc>
          <w:tcPr>
            <w:tcW w:type="dxa" w:w="936"/>
          </w:tcPr>
          <w:p>
            <w:pPr>
              <w:spacing w:after="20"/>
              <w:jc w:val="right"/>
            </w:pPr>
            <w:r>
              <w:rPr>
                <w:color w:val="1C3A36"/>
                <w:sz w:val="15"/>
              </w:rPr>
              <w:t>-99%</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-1.40</w:t>
            </w:r>
          </w:p>
        </w:tc>
        <w:tc>
          <w:tcPr>
            <w:tcW w:type="dxa" w:w="936"/>
          </w:tcPr>
          <w:p>
            <w:pPr>
              <w:spacing w:after="20"/>
              <w:jc w:val="right"/>
            </w:pPr>
            <w:r>
              <w:rPr>
                <w:color w:val="1C3A36"/>
                <w:sz w:val="15"/>
              </w:rPr>
              <w:t>-110%</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-0.67</w:t>
            </w:r>
          </w:p>
        </w:tc>
        <w:tc>
          <w:tcPr>
            <w:tcW w:type="dxa" w:w="936"/>
          </w:tcPr>
          <w:p>
            <w:pPr>
              <w:spacing w:after="20"/>
              <w:jc w:val="right"/>
            </w:pPr>
            <w:r>
              <w:rPr>
                <w:color w:val="1C3A36"/>
                <w:sz w:val="15"/>
              </w:rPr>
              <w:t>-105%</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20.0% in year one gliding to 11.8%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-1.06</w:t>
            </w:r>
          </w:p>
        </w:tc>
        <w:tc>
          <w:tcPr>
            <w:tcW w:type="dxa" w:w="936"/>
          </w:tcPr>
          <w:p>
            <w:pPr>
              <w:spacing w:after="20"/>
              <w:jc w:val="right"/>
            </w:pPr>
            <w:r>
              <w:rPr>
                <w:color w:val="1C3A36"/>
                <w:sz w:val="15"/>
              </w:rPr>
              <w:t>-108%</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0.17</w:t>
            </w:r>
          </w:p>
        </w:tc>
        <w:tc>
          <w:tcPr>
            <w:tcW w:type="dxa" w:w="936"/>
          </w:tcPr>
          <w:p>
            <w:pPr>
              <w:spacing w:after="20"/>
              <w:jc w:val="right"/>
            </w:pPr>
            <w:r>
              <w:rPr>
                <w:color w:val="1C3A36"/>
                <w:sz w:val="15"/>
              </w:rPr>
              <w:t>-99%</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-2.51</w:t>
            </w:r>
          </w:p>
        </w:tc>
        <w:tc>
          <w:tcPr>
            <w:tcW w:type="dxa" w:w="936"/>
          </w:tcPr>
          <w:p>
            <w:pPr>
              <w:spacing w:after="20"/>
              <w:jc w:val="right"/>
            </w:pPr>
            <w:r>
              <w:rPr>
                <w:color w:val="1C3A36"/>
                <w:sz w:val="15"/>
              </w:rPr>
              <w:t>-118%</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-0.40</w:t>
            </w:r>
          </w:p>
        </w:tc>
        <w:tc>
          <w:tcPr>
            <w:tcW w:type="dxa" w:w="936"/>
          </w:tcPr>
          <w:p>
            <w:pPr>
              <w:spacing w:after="20"/>
              <w:jc w:val="right"/>
            </w:pPr>
            <w:r>
              <w:rPr>
                <w:color w:val="1C3A36"/>
                <w:sz w:val="15"/>
              </w:rPr>
              <w:t>-103%</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-1.42</w:t>
            </w:r>
          </w:p>
        </w:tc>
        <w:tc>
          <w:tcPr>
            <w:tcW w:type="dxa" w:w="936"/>
          </w:tcPr>
          <w:p>
            <w:pPr>
              <w:spacing w:after="20"/>
              <w:jc w:val="right"/>
            </w:pPr>
            <w:r>
              <w:rPr>
                <w:color w:val="1C3A36"/>
                <w:sz w:val="15"/>
              </w:rPr>
              <w:t>-110%</w:t>
            </w:r>
          </w:p>
        </w:tc>
      </w:tr>
      <w:tr>
        <w:trPr>
          <w:cantSplit/>
        </w:trPr>
        <w:tc>
          <w:tcPr>
            <w:tcW w:type="dxa" w:w="2232"/>
          </w:tcPr>
          <w:p>
            <w:pPr>
              <w:spacing w:after="20"/>
            </w:pPr>
            <w:r>
              <w:rPr>
                <w:color w:val="1C3A36"/>
                <w:sz w:val="15"/>
              </w:rPr>
              <w:t>Terminal reinvestment of 27.8% of operating profit after tax, from growth over an 18% return on capital</w:t>
            </w:r>
          </w:p>
        </w:tc>
        <w:tc>
          <w:tcPr>
            <w:tcW w:type="dxa" w:w="3960"/>
          </w:tcPr>
          <w:p>
            <w:pPr>
              <w:spacing w:after="20"/>
            </w:pPr>
            <w:r>
              <w:rPr>
                <w:color w:val="1C3A36"/>
                <w:sz w:val="15"/>
              </w:rPr>
              <w:t>16.7%,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-0.35</w:t>
            </w:r>
          </w:p>
        </w:tc>
        <w:tc>
          <w:tcPr>
            <w:tcW w:type="dxa" w:w="936"/>
          </w:tcPr>
          <w:p>
            <w:pPr>
              <w:spacing w:after="20"/>
              <w:jc w:val="right"/>
            </w:pPr>
            <w:r>
              <w:rPr>
                <w:color w:val="1C3A36"/>
                <w:sz w:val="15"/>
              </w:rPr>
              <w:t>-103%</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-0.86</w:t>
            </w:r>
          </w:p>
        </w:tc>
        <w:tc>
          <w:tcPr>
            <w:tcW w:type="dxa" w:w="936"/>
          </w:tcPr>
          <w:p>
            <w:pPr>
              <w:spacing w:after="20"/>
              <w:jc w:val="right"/>
            </w:pPr>
            <w:r>
              <w:rPr>
                <w:color w:val="1C3A36"/>
                <w:sz w:val="15"/>
              </w:rPr>
              <w:t>-106%</w:t>
            </w:r>
          </w:p>
        </w:tc>
      </w:tr>
    </w:tbl>
    <w:p>
      <w:pPr>
        <w:spacing w:after="40"/>
      </w:pPr>
    </w:p>
    <w:p>
      <w:pPr>
        <w:spacing w:after="200" w:before="0"/>
      </w:pPr>
      <w:r>
        <w:rPr>
          <w:b w:val="0"/>
          <w:i/>
          <w:color w:val="6E7B77"/>
          <w:sz w:val="17"/>
        </w:rPr>
        <w:t>Table 1.  Egyptian pounds a share against a traded price of EGP 13.98.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66.9%</w:t>
            </w:r>
          </w:p>
        </w:tc>
        <w:tc>
          <w:tcPr>
            <w:tcW w:type="dxa" w:w="2736"/>
          </w:tcPr>
          <w:p>
            <w:pPr>
              <w:spacing w:after="20"/>
              <w:jc w:val="right"/>
            </w:pPr>
            <w:r>
              <w:rPr>
                <w:color w:val="1C3A36"/>
                <w:sz w:val="17"/>
              </w:rPr>
              <w:t>33.0%</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1,740 million on the carried-through case, so the terminal block carries 66.9%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1.88 a share. The narrowest is terminal growth, worth EGP 0.04.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11,310</w:t>
            </w:r>
          </w:p>
        </w:tc>
        <w:tc>
          <w:tcPr>
            <w:tcW w:type="dxa" w:w="1426"/>
          </w:tcPr>
          <w:p>
            <w:pPr>
              <w:spacing w:after="20"/>
              <w:jc w:val="right"/>
            </w:pPr>
            <w:r>
              <w:rPr>
                <w:color w:val="1C3A36"/>
                <w:sz w:val="16"/>
              </w:rPr>
              <w:t>11,400</w:t>
            </w:r>
          </w:p>
        </w:tc>
        <w:tc>
          <w:tcPr>
            <w:tcW w:type="dxa" w:w="1426"/>
          </w:tcPr>
          <w:p>
            <w:pPr>
              <w:spacing w:after="20"/>
              <w:jc w:val="right"/>
            </w:pPr>
            <w:r>
              <w:rPr>
                <w:color w:val="1C3A36"/>
                <w:sz w:val="16"/>
              </w:rPr>
              <w:t>11,352</w:t>
            </w:r>
          </w:p>
        </w:tc>
        <w:tc>
          <w:tcPr>
            <w:tcW w:type="dxa" w:w="1426"/>
          </w:tcPr>
          <w:p>
            <w:pPr>
              <w:spacing w:after="20"/>
              <w:jc w:val="right"/>
            </w:pPr>
            <w:r>
              <w:rPr>
                <w:color w:val="1C3A36"/>
                <w:sz w:val="16"/>
              </w:rPr>
              <w:t>11,406</w:t>
            </w:r>
          </w:p>
        </w:tc>
        <w:tc>
          <w:tcPr>
            <w:tcW w:type="dxa" w:w="1426"/>
          </w:tcPr>
          <w:p>
            <w:pPr>
              <w:spacing w:after="20"/>
              <w:jc w:val="right"/>
            </w:pPr>
            <w:r>
              <w:rPr>
                <w:color w:val="1C3A36"/>
                <w:sz w:val="16"/>
              </w:rPr>
              <w:t>11,654</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4,684</w:t>
            </w:r>
          </w:p>
        </w:tc>
        <w:tc>
          <w:tcPr>
            <w:tcW w:type="dxa" w:w="1426"/>
            <w:shd w:val="clear" w:color="auto" w:fill="F6F1E6"/>
          </w:tcPr>
          <w:p>
            <w:pPr>
              <w:spacing w:after="20"/>
              <w:jc w:val="right"/>
            </w:pPr>
            <w:r>
              <w:rPr>
                <w:b/>
                <w:color w:val="1C3A36"/>
                <w:sz w:val="16"/>
              </w:rPr>
              <w:t>4,394</w:t>
            </w:r>
          </w:p>
        </w:tc>
        <w:tc>
          <w:tcPr>
            <w:tcW w:type="dxa" w:w="1426"/>
            <w:shd w:val="clear" w:color="auto" w:fill="F6F1E6"/>
          </w:tcPr>
          <w:p>
            <w:pPr>
              <w:spacing w:after="20"/>
              <w:jc w:val="right"/>
            </w:pPr>
            <w:r>
              <w:rPr>
                <w:b/>
                <w:color w:val="1C3A36"/>
                <w:sz w:val="16"/>
              </w:rPr>
              <w:t>4,006</w:t>
            </w:r>
          </w:p>
        </w:tc>
        <w:tc>
          <w:tcPr>
            <w:tcW w:type="dxa" w:w="1426"/>
            <w:shd w:val="clear" w:color="auto" w:fill="F6F1E6"/>
          </w:tcPr>
          <w:p>
            <w:pPr>
              <w:spacing w:after="20"/>
              <w:jc w:val="right"/>
            </w:pPr>
            <w:r>
              <w:rPr>
                <w:b/>
                <w:color w:val="1C3A36"/>
                <w:sz w:val="16"/>
              </w:rPr>
              <w:t>3,755</w:t>
            </w:r>
          </w:p>
        </w:tc>
        <w:tc>
          <w:tcPr>
            <w:tcW w:type="dxa" w:w="1426"/>
            <w:shd w:val="clear" w:color="auto" w:fill="F6F1E6"/>
          </w:tcPr>
          <w:p>
            <w:pPr>
              <w:spacing w:after="20"/>
              <w:jc w:val="right"/>
            </w:pPr>
            <w:r>
              <w:rPr>
                <w:b/>
                <w:color w:val="1C3A36"/>
                <w:sz w:val="16"/>
              </w:rPr>
              <w:t>3,684</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3,793</w:t>
            </w:r>
          </w:p>
        </w:tc>
        <w:tc>
          <w:tcPr>
            <w:tcW w:type="dxa" w:w="1426"/>
            <w:shd w:val="clear" w:color="auto" w:fill="F6F1E6"/>
          </w:tcPr>
          <w:p>
            <w:pPr>
              <w:spacing w:after="20"/>
              <w:jc w:val="right"/>
            </w:pPr>
            <w:r>
              <w:rPr>
                <w:b/>
                <w:color w:val="1C3A36"/>
                <w:sz w:val="16"/>
              </w:rPr>
              <w:t>3,385</w:t>
            </w:r>
          </w:p>
        </w:tc>
        <w:tc>
          <w:tcPr>
            <w:tcW w:type="dxa" w:w="1426"/>
            <w:shd w:val="clear" w:color="auto" w:fill="F6F1E6"/>
          </w:tcPr>
          <w:p>
            <w:pPr>
              <w:spacing w:after="20"/>
              <w:jc w:val="right"/>
            </w:pPr>
            <w:r>
              <w:rPr>
                <w:b/>
                <w:color w:val="1C3A36"/>
                <w:sz w:val="16"/>
              </w:rPr>
              <w:t>2,859</w:t>
            </w:r>
          </w:p>
        </w:tc>
        <w:tc>
          <w:tcPr>
            <w:tcW w:type="dxa" w:w="1426"/>
            <w:shd w:val="clear" w:color="auto" w:fill="F6F1E6"/>
          </w:tcPr>
          <w:p>
            <w:pPr>
              <w:spacing w:after="20"/>
              <w:jc w:val="right"/>
            </w:pPr>
            <w:r>
              <w:rPr>
                <w:b/>
                <w:color w:val="1C3A36"/>
                <w:sz w:val="16"/>
              </w:rPr>
              <w:t>2,463</w:t>
            </w:r>
          </w:p>
        </w:tc>
        <w:tc>
          <w:tcPr>
            <w:tcW w:type="dxa" w:w="1426"/>
            <w:shd w:val="clear" w:color="auto" w:fill="F6F1E6"/>
          </w:tcPr>
          <w:p>
            <w:pPr>
              <w:spacing w:after="20"/>
              <w:jc w:val="right"/>
            </w:pPr>
            <w:r>
              <w:rPr>
                <w:b/>
                <w:color w:val="1C3A36"/>
                <w:sz w:val="16"/>
              </w:rPr>
              <w:t>2,250</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2,940</w:t>
            </w:r>
          </w:p>
        </w:tc>
        <w:tc>
          <w:tcPr>
            <w:tcW w:type="dxa" w:w="1426"/>
          </w:tcPr>
          <w:p>
            <w:pPr>
              <w:spacing w:after="20"/>
              <w:jc w:val="right"/>
            </w:pPr>
            <w:r>
              <w:rPr>
                <w:color w:val="1C3A36"/>
                <w:sz w:val="16"/>
              </w:rPr>
              <w:t>2,623</w:t>
            </w:r>
          </w:p>
        </w:tc>
        <w:tc>
          <w:tcPr>
            <w:tcW w:type="dxa" w:w="1426"/>
          </w:tcPr>
          <w:p>
            <w:pPr>
              <w:spacing w:after="20"/>
              <w:jc w:val="right"/>
            </w:pPr>
            <w:r>
              <w:rPr>
                <w:color w:val="1C3A36"/>
                <w:sz w:val="16"/>
              </w:rPr>
              <w:t>2,216</w:t>
            </w:r>
          </w:p>
        </w:tc>
        <w:tc>
          <w:tcPr>
            <w:tcW w:type="dxa" w:w="1426"/>
          </w:tcPr>
          <w:p>
            <w:pPr>
              <w:spacing w:after="20"/>
              <w:jc w:val="right"/>
            </w:pPr>
            <w:r>
              <w:rPr>
                <w:color w:val="1C3A36"/>
                <w:sz w:val="16"/>
              </w:rPr>
              <w:t>1,909</w:t>
            </w:r>
          </w:p>
        </w:tc>
        <w:tc>
          <w:tcPr>
            <w:tcW w:type="dxa" w:w="1426"/>
          </w:tcPr>
          <w:p>
            <w:pPr>
              <w:spacing w:after="20"/>
              <w:jc w:val="right"/>
            </w:pPr>
            <w:r>
              <w:rPr>
                <w:color w:val="1C3A36"/>
                <w:sz w:val="16"/>
              </w:rPr>
              <w:t>1,743</w:t>
            </w:r>
          </w:p>
        </w:tc>
      </w:tr>
      <w:tr>
        <w:trPr>
          <w:cantSplit/>
        </w:trP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Less capital expenditure</w:t>
            </w:r>
          </w:p>
        </w:tc>
        <w:tc>
          <w:tcPr>
            <w:tcW w:type="dxa" w:w="1426"/>
          </w:tcPr>
          <w:p>
            <w:pPr>
              <w:spacing w:after="20"/>
              <w:jc w:val="right"/>
            </w:pPr>
            <w:r>
              <w:rPr>
                <w:color w:val="1C3A36"/>
                <w:sz w:val="16"/>
              </w:rPr>
              <w:t>-2,725</w:t>
            </w:r>
          </w:p>
        </w:tc>
        <w:tc>
          <w:tcPr>
            <w:tcW w:type="dxa" w:w="1426"/>
          </w:tcPr>
          <w:p>
            <w:pPr>
              <w:spacing w:after="20"/>
              <w:jc w:val="right"/>
            </w:pPr>
            <w:r>
              <w:rPr>
                <w:color w:val="1C3A36"/>
                <w:sz w:val="16"/>
              </w:rPr>
              <w:t>-3,227</w:t>
            </w:r>
          </w:p>
        </w:tc>
        <w:tc>
          <w:tcPr>
            <w:tcW w:type="dxa" w:w="1426"/>
          </w:tcPr>
          <w:p>
            <w:pPr>
              <w:spacing w:after="20"/>
              <w:jc w:val="right"/>
            </w:pPr>
            <w:r>
              <w:rPr>
                <w:color w:val="1C3A36"/>
                <w:sz w:val="16"/>
              </w:rPr>
              <w:t>-3,427</w:t>
            </w:r>
          </w:p>
        </w:tc>
        <w:tc>
          <w:tcPr>
            <w:tcW w:type="dxa" w:w="1426"/>
          </w:tcPr>
          <w:p>
            <w:pPr>
              <w:spacing w:after="20"/>
              <w:jc w:val="right"/>
            </w:pPr>
            <w:r>
              <w:rPr>
                <w:color w:val="1C3A36"/>
                <w:sz w:val="16"/>
              </w:rPr>
              <w:t>-3,327</w:t>
            </w:r>
          </w:p>
        </w:tc>
        <w:tc>
          <w:tcPr>
            <w:tcW w:type="dxa" w:w="1426"/>
          </w:tcPr>
          <w:p>
            <w:pPr>
              <w:spacing w:after="20"/>
              <w:jc w:val="right"/>
            </w:pPr>
            <w:r>
              <w:rPr>
                <w:color w:val="1C3A36"/>
                <w:sz w:val="16"/>
              </w:rPr>
              <w:t>-2,619</w:t>
            </w:r>
          </w:p>
        </w:tc>
      </w:tr>
      <w:tr>
        <w:trPr>
          <w:cantSplit/>
        </w:trP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858</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-92</w:t>
            </w:r>
          </w:p>
        </w:tc>
        <w:tc>
          <w:tcPr>
            <w:tcW w:type="dxa" w:w="1426"/>
          </w:tcPr>
          <w:p>
            <w:pPr>
              <w:spacing w:after="20"/>
              <w:jc w:val="right"/>
            </w:pPr>
            <w:r>
              <w:rPr>
                <w:color w:val="1C3A36"/>
                <w:sz w:val="16"/>
              </w:rPr>
              <w:t>-92</w:t>
            </w:r>
          </w:p>
        </w:tc>
        <w:tc>
          <w:tcPr>
            <w:tcW w:type="dxa" w:w="1426"/>
          </w:tcPr>
          <w:p>
            <w:pPr>
              <w:spacing w:after="20"/>
              <w:jc w:val="right"/>
            </w:pPr>
            <w:r>
              <w:rPr>
                <w:color w:val="1C3A36"/>
                <w:sz w:val="16"/>
              </w:rPr>
              <w:t>-108</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1,963</w:t>
            </w:r>
          </w:p>
        </w:tc>
        <w:tc>
          <w:tcPr>
            <w:tcW w:type="dxa" w:w="1426"/>
            <w:shd w:val="clear" w:color="auto" w:fill="F6F1E6"/>
          </w:tcPr>
          <w:p>
            <w:pPr>
              <w:spacing w:after="20"/>
              <w:jc w:val="right"/>
            </w:pPr>
            <w:r>
              <w:rPr>
                <w:b/>
                <w:color w:val="1C3A36"/>
                <w:sz w:val="16"/>
              </w:rPr>
              <w:t>298</w:t>
            </w:r>
          </w:p>
        </w:tc>
        <w:tc>
          <w:tcPr>
            <w:tcW w:type="dxa" w:w="1426"/>
            <w:shd w:val="clear" w:color="auto" w:fill="F6F1E6"/>
          </w:tcPr>
          <w:p>
            <w:pPr>
              <w:spacing w:after="20"/>
              <w:jc w:val="right"/>
            </w:pPr>
            <w:r>
              <w:rPr>
                <w:b/>
                <w:color w:val="1C3A36"/>
                <w:sz w:val="16"/>
              </w:rPr>
              <w:t>-156</w:t>
            </w:r>
          </w:p>
        </w:tc>
        <w:tc>
          <w:tcPr>
            <w:tcW w:type="dxa" w:w="1426"/>
            <w:shd w:val="clear" w:color="auto" w:fill="F6F1E6"/>
          </w:tcPr>
          <w:p>
            <w:pPr>
              <w:spacing w:after="20"/>
              <w:jc w:val="right"/>
            </w:pPr>
            <w:r>
              <w:rPr>
                <w:b/>
                <w:color w:val="1C3A36"/>
                <w:sz w:val="16"/>
              </w:rPr>
              <w:t>-219</w:t>
            </w:r>
          </w:p>
        </w:tc>
        <w:tc>
          <w:tcPr>
            <w:tcW w:type="dxa" w:w="1426"/>
            <w:shd w:val="clear" w:color="auto" w:fill="F6F1E6"/>
          </w:tcPr>
          <w:p>
            <w:pPr>
              <w:spacing w:after="20"/>
              <w:jc w:val="right"/>
            </w:pPr>
            <w:r>
              <w:rPr>
                <w:b/>
                <w:color w:val="1C3A36"/>
                <w:sz w:val="16"/>
              </w:rPr>
              <w:t>450</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25.64%</w:t>
            </w:r>
          </w:p>
        </w:tc>
        <w:tc>
          <w:tcPr>
            <w:tcW w:type="dxa" w:w="1426"/>
          </w:tcPr>
          <w:p>
            <w:pPr>
              <w:spacing w:after="20"/>
              <w:jc w:val="right"/>
            </w:pPr>
            <w:r>
              <w:rPr>
                <w:color w:val="1C3A36"/>
                <w:sz w:val="16"/>
              </w:rPr>
              <w:t>23.72%</w:t>
            </w:r>
          </w:p>
        </w:tc>
        <w:tc>
          <w:tcPr>
            <w:tcW w:type="dxa" w:w="1426"/>
          </w:tcPr>
          <w:p>
            <w:pPr>
              <w:spacing w:after="20"/>
              <w:jc w:val="right"/>
            </w:pPr>
            <w:r>
              <w:rPr>
                <w:color w:val="1C3A36"/>
                <w:sz w:val="16"/>
              </w:rPr>
              <w:t>22.39%</w:t>
            </w:r>
          </w:p>
        </w:tc>
        <w:tc>
          <w:tcPr>
            <w:tcW w:type="dxa" w:w="1426"/>
          </w:tcPr>
          <w:p>
            <w:pPr>
              <w:spacing w:after="20"/>
              <w:jc w:val="right"/>
            </w:pPr>
            <w:r>
              <w:rPr>
                <w:color w:val="1C3A36"/>
                <w:sz w:val="16"/>
              </w:rPr>
              <w:t>21.06%</w:t>
            </w:r>
          </w:p>
        </w:tc>
        <w:tc>
          <w:tcPr>
            <w:tcW w:type="dxa" w:w="1426"/>
          </w:tcPr>
          <w:p>
            <w:pPr>
              <w:spacing w:after="20"/>
              <w:jc w:val="right"/>
            </w:pPr>
            <w:r>
              <w:rPr>
                <w:color w:val="1C3A36"/>
                <w:sz w:val="16"/>
              </w:rPr>
              <w:t>20.02%</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0.7959</w:t>
            </w:r>
          </w:p>
        </w:tc>
        <w:tc>
          <w:tcPr>
            <w:tcW w:type="dxa" w:w="1426"/>
          </w:tcPr>
          <w:p>
            <w:pPr>
              <w:spacing w:after="20"/>
              <w:jc w:val="right"/>
            </w:pPr>
            <w:r>
              <w:rPr>
                <w:color w:val="1C3A36"/>
                <w:sz w:val="16"/>
              </w:rPr>
              <w:t>0.6433</w:t>
            </w:r>
          </w:p>
        </w:tc>
        <w:tc>
          <w:tcPr>
            <w:tcW w:type="dxa" w:w="1426"/>
          </w:tcPr>
          <w:p>
            <w:pPr>
              <w:spacing w:after="20"/>
              <w:jc w:val="right"/>
            </w:pPr>
            <w:r>
              <w:rPr>
                <w:color w:val="1C3A36"/>
                <w:sz w:val="16"/>
              </w:rPr>
              <w:t>0.5256</w:t>
            </w:r>
          </w:p>
        </w:tc>
        <w:tc>
          <w:tcPr>
            <w:tcW w:type="dxa" w:w="1426"/>
          </w:tcPr>
          <w:p>
            <w:pPr>
              <w:spacing w:after="20"/>
              <w:jc w:val="right"/>
            </w:pPr>
            <w:r>
              <w:rPr>
                <w:color w:val="1C3A36"/>
                <w:sz w:val="16"/>
              </w:rPr>
              <w:t>0.4342</w:t>
            </w:r>
          </w:p>
        </w:tc>
        <w:tc>
          <w:tcPr>
            <w:tcW w:type="dxa" w:w="1426"/>
          </w:tcPr>
          <w:p>
            <w:pPr>
              <w:spacing w:after="20"/>
              <w:jc w:val="right"/>
            </w:pPr>
            <w:r>
              <w:rPr>
                <w:color w:val="1C3A36"/>
                <w:sz w:val="16"/>
              </w:rPr>
              <w:t>0.3618</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1,562</w:t>
            </w:r>
          </w:p>
        </w:tc>
        <w:tc>
          <w:tcPr>
            <w:tcW w:type="dxa" w:w="1426"/>
            <w:shd w:val="clear" w:color="auto" w:fill="F6F1E6"/>
          </w:tcPr>
          <w:p>
            <w:pPr>
              <w:spacing w:after="20"/>
              <w:jc w:val="right"/>
            </w:pPr>
            <w:r>
              <w:rPr>
                <w:b/>
                <w:color w:val="1C3A36"/>
                <w:sz w:val="16"/>
              </w:rPr>
              <w:t>192</w:t>
            </w:r>
          </w:p>
        </w:tc>
        <w:tc>
          <w:tcPr>
            <w:tcW w:type="dxa" w:w="1426"/>
            <w:shd w:val="clear" w:color="auto" w:fill="F6F1E6"/>
          </w:tcPr>
          <w:p>
            <w:pPr>
              <w:spacing w:after="20"/>
              <w:jc w:val="right"/>
            </w:pPr>
            <w:r>
              <w:rPr>
                <w:b/>
                <w:color w:val="1C3A36"/>
                <w:sz w:val="16"/>
              </w:rPr>
              <w:t>-82</w:t>
            </w:r>
          </w:p>
        </w:tc>
        <w:tc>
          <w:tcPr>
            <w:tcW w:type="dxa" w:w="1426"/>
            <w:shd w:val="clear" w:color="auto" w:fill="F6F1E6"/>
          </w:tcPr>
          <w:p>
            <w:pPr>
              <w:spacing w:after="20"/>
              <w:jc w:val="right"/>
            </w:pPr>
            <w:r>
              <w:rPr>
                <w:b/>
                <w:color w:val="1C3A36"/>
                <w:sz w:val="16"/>
              </w:rPr>
              <w:t>-95</w:t>
            </w:r>
          </w:p>
        </w:tc>
        <w:tc>
          <w:tcPr>
            <w:tcW w:type="dxa" w:w="1426"/>
            <w:shd w:val="clear" w:color="auto" w:fill="F6F1E6"/>
          </w:tcPr>
          <w:p>
            <w:pPr>
              <w:spacing w:after="20"/>
              <w:jc w:val="right"/>
            </w:pPr>
            <w:r>
              <w:rPr>
                <w:b/>
                <w:color w:val="1C3A36"/>
                <w:sz w:val="16"/>
              </w:rPr>
              <w:t>163</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1,740</w:t>
            </w:r>
          </w:p>
        </w:tc>
        <w:tc>
          <w:tcPr>
            <w:tcW w:type="dxa" w:w="2808"/>
          </w:tcPr>
          <w:p>
            <w:pPr>
              <w:spacing w:after="20"/>
              <w:jc w:val="right"/>
            </w:pPr>
            <w:r>
              <w:rPr>
                <w:color w:val="1C3A36"/>
                <w:sz w:val="17"/>
              </w:rPr>
              <w:t>8,916</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3,512</w:t>
            </w:r>
          </w:p>
        </w:tc>
        <w:tc>
          <w:tcPr>
            <w:tcW w:type="dxa" w:w="2808"/>
          </w:tcPr>
          <w:p>
            <w:pPr>
              <w:spacing w:after="20"/>
              <w:jc w:val="right"/>
            </w:pPr>
            <w:r>
              <w:rPr>
                <w:color w:val="1C3A36"/>
                <w:sz w:val="17"/>
              </w:rPr>
              <w:t>4,387</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5,252</w:t>
            </w:r>
          </w:p>
        </w:tc>
        <w:tc>
          <w:tcPr>
            <w:tcW w:type="dxa" w:w="2808"/>
            <w:shd w:val="clear" w:color="auto" w:fill="F6F1E6"/>
          </w:tcPr>
          <w:p>
            <w:pPr>
              <w:spacing w:after="20"/>
              <w:jc w:val="right"/>
            </w:pPr>
            <w:r>
              <w:rPr>
                <w:b/>
                <w:color w:val="1C3A36"/>
                <w:sz w:val="17"/>
              </w:rPr>
              <w:t>13,304</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66.9%</w:t>
            </w:r>
          </w:p>
        </w:tc>
        <w:tc>
          <w:tcPr>
            <w:tcW w:type="dxa" w:w="2808"/>
            <w:shd w:val="clear" w:color="auto" w:fill="F6F1E6"/>
          </w:tcPr>
          <w:p>
            <w:pPr>
              <w:spacing w:after="20"/>
              <w:jc w:val="right"/>
            </w:pPr>
            <w:r>
              <w:rPr>
                <w:b/>
                <w:color w:val="1C3A36"/>
                <w:sz w:val="17"/>
              </w:rPr>
              <w:t>33.0%</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-1,242</w:t>
            </w:r>
          </w:p>
        </w:tc>
        <w:tc>
          <w:tcPr>
            <w:tcW w:type="dxa" w:w="2808"/>
            <w:shd w:val="clear" w:color="auto" w:fill="F6F1E6"/>
          </w:tcPr>
          <w:p>
            <w:pPr>
              <w:spacing w:after="20"/>
              <w:jc w:val="right"/>
            </w:pPr>
            <w:r>
              <w:rPr>
                <w:b/>
                <w:color w:val="1C3A36"/>
                <w:sz w:val="17"/>
              </w:rPr>
              <w:t>6,809</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-0.63</w:t>
            </w:r>
          </w:p>
        </w:tc>
        <w:tc>
          <w:tcPr>
            <w:tcW w:type="dxa" w:w="2808"/>
            <w:shd w:val="clear" w:color="auto" w:fill="F6F1E6"/>
          </w:tcPr>
          <w:p>
            <w:pPr>
              <w:spacing w:after="20"/>
              <w:jc w:val="right"/>
            </w:pPr>
            <w:r>
              <w:rPr>
                <w:b/>
                <w:color w:val="1C3A36"/>
                <w:sz w:val="17"/>
              </w:rPr>
              <w:t>3.43</w:t>
            </w:r>
          </w:p>
        </w:tc>
      </w:tr>
    </w:tbl>
    <w:p>
      <w:pPr>
        <w:spacing w:after="40"/>
      </w:pPr>
    </w:p>
    <w:p>
      <w:pPr>
        <w:spacing w:after="200" w:before="0"/>
      </w:pPr>
      <w:r>
        <w:rPr>
          <w:b w:val="0"/>
          <w:i/>
          <w:color w:val="6E7B77"/>
          <w:sz w:val="17"/>
        </w:rPr>
        <w:t>Table 5.  Net debt is larger than the enterprise value the cash flows support in the carried-through column. That is why the equity value there is negative, and it is stated rather than clipped to zero.</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negative, and what would change its sign</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2.64</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-0.63</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13.98</w:t>
            </w:r>
          </w:p>
        </w:tc>
      </w:tr>
    </w:tbl>
    <w:p>
      <w:pPr>
        <w:spacing w:after="40"/>
      </w:pPr>
    </w:p>
    <w:p>
      <w:pPr>
        <w:spacing w:after="200" w:before="0"/>
      </w:pPr>
      <w:r>
        <w:rPr>
          <w:b w:val="0"/>
          <w:i/>
          <w:color w:val="6E7B77"/>
          <w:sz w:val="17"/>
        </w:rPr>
        <w:t>Table 6.  The operating business is carried at less than half the debt standing against it. Free cash flow is positive in three of the five forecast years — the construction is no longer what makes the answer negative. The debt is.</w:t>
      </w:r>
    </w:p>
    <w:p>
      <w:pPr>
        <w:spacing w:after="120" w:before="0"/>
      </w:pPr>
      <w:r>
        <w:rPr>
          <w:b w:val="0"/>
          <w:i w:val="0"/>
          <w:color w:val="1C3A36"/>
          <w:sz w:val="21"/>
        </w:rPr>
        <w:t>So the question is not whether the plant earns. It is whether EGP 5,252 million is the right enterprise value for a business generating around EGP 4,684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-1.33</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-0.62</w:t>
            </w:r>
          </w:p>
        </w:tc>
        <w:tc>
          <w:tcPr>
            <w:tcW w:type="dxa" w:w="5184"/>
          </w:tcPr>
          <w:p>
            <w:pPr>
              <w:spacing w:after="20"/>
            </w:pPr>
            <w:r>
              <w:rPr>
                <w:color w:val="1C3A36"/>
                <w:sz w:val="17"/>
              </w:rPr>
              <w:t>below the sovereign's ten-year yield of 23.0%</w:t>
            </w:r>
          </w:p>
        </w:tc>
      </w:tr>
      <w:tr>
        <w:trPr>
          <w:cantSplit/>
        </w:trPr>
        <w:tc>
          <w:tcPr>
            <w:tcW w:type="dxa" w:w="2160"/>
            <w:shd w:val="clear" w:color="auto" w:fill="F6F1E6"/>
          </w:tcPr>
          <w:p>
            <w:pPr>
              <w:spacing w:after="20"/>
            </w:pPr>
            <w:r>
              <w:rPr>
                <w:b/>
                <w:color w:val="1C3A36"/>
                <w:sz w:val="17"/>
              </w:rPr>
              <w:t>18.0%</w:t>
            </w:r>
          </w:p>
        </w:tc>
        <w:tc>
          <w:tcPr>
            <w:tcW w:type="dxa" w:w="2592"/>
            <w:shd w:val="clear" w:color="auto" w:fill="F6F1E6"/>
          </w:tcPr>
          <w:p>
            <w:pPr>
              <w:spacing w:after="20"/>
              <w:jc w:val="right"/>
            </w:pPr>
            <w:r>
              <w:rPr>
                <w:b/>
                <w:color w:val="1C3A36"/>
                <w:sz w:val="17"/>
              </w:rPr>
              <w:t>-0.15</w:t>
            </w:r>
          </w:p>
        </w:tc>
        <w:tc>
          <w:tcPr>
            <w:tcW w:type="dxa" w:w="5184"/>
            <w:shd w:val="clear" w:color="auto" w:fill="F6F1E6"/>
          </w:tcPr>
          <w:p>
            <w:pPr>
              <w:spacing w:after="20"/>
            </w:pPr>
            <w:r>
              <w:rPr>
                <w:b/>
                <w:color w:val="1C3A36"/>
                <w:sz w:val="17"/>
              </w:rPr>
              <w:t>the sign changes here</w:t>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0.49</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1.45</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2.98</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7.8%</w:t>
            </w:r>
          </w:p>
        </w:tc>
        <w:tc>
          <w:tcPr>
            <w:tcW w:type="dxa" w:w="2592"/>
            <w:shd w:val="clear" w:color="auto" w:fill="F6F1E6"/>
          </w:tcPr>
          <w:p>
            <w:pPr>
              <w:spacing w:after="20"/>
              <w:jc w:val="right"/>
            </w:pPr>
            <w:r>
              <w:rPr>
                <w:b/>
                <w:color w:val="1C3A36"/>
                <w:sz w:val="17"/>
              </w:rPr>
              <w:t>13.98</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sign of the answer turns at about eighteen per cent — five points below what Egypt's own government pays to borrow for ten years. Reaching the traded price needs about 7.8%, which is 15.2% below the sovereign.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30.99%</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5.0%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0.072x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0.07x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0.58</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1.71x</w:t>
            </w:r>
          </w:p>
        </w:tc>
      </w:tr>
    </w:tbl>
    <w:p>
      <w:pPr>
        <w:spacing w:after="40"/>
      </w:pPr>
    </w:p>
    <w:p>
      <w:pPr>
        <w:spacing w:after="200" w:before="0"/>
      </w:pPr>
      <w:r>
        <w:rPr>
          <w:b w:val="0"/>
          <w:i/>
          <w:color w:val="6E7B77"/>
          <w:sz w:val="17"/>
        </w:rPr>
        <w:t>Table 8.  The justified multiple of book is 0.072 times: a sustainable return of 6.9% clears nominal maintenance growth of 5.0% by only 1.9%, against a 30.99% cost of equity, so the book of EGP 8.16 a share is worth EGP 0.58 on this lens, and the market pays 1.71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4,684 million the mid-point implies an enterprise value of EGP 37,236 million and, after the debt and the non-operating stack, EGP 15.47 a share — a range of EGP 10.88 to EGP 20.07 across the band.</w:t>
      </w:r>
    </w:p>
    <w:p>
      <w:pPr>
        <w:spacing w:after="120" w:before="0"/>
      </w:pPr>
      <w:r>
        <w:rPr>
          <w:b/>
          <w:i w:val="0"/>
          <w:color w:val="1C3A36"/>
          <w:sz w:val="21"/>
        </w:rPr>
        <w:t>The two numbers worth putting side by side are these: at the traded price the shares change hands at 8.1 times that same forward EBITDA, while the cash-flow lens values them at 1.1 times. One is above the Egyptian industrial band and the other below it. That is the whole disagreement in a single number, and it is reported rather than resolved.</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15,016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0.00 to EGP 15.47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15.47 against EGP 13.98. That is a change from the first issue of this study, which used a lower multiple band it could not source, and it is reported rather than resisted.</w:t>
      </w:r>
    </w:p>
    <w:p>
      <w:pPr>
        <w:spacing w:after="120" w:before="0"/>
      </w:pPr>
      <w:r>
        <w:rPr>
          <w:b w:val="0"/>
          <w:i w:val="0"/>
          <w:color w:val="1C3A36"/>
          <w:sz w:val="21"/>
        </w:rPr>
        <w:t>Inside that field the study publishes one weighted central, EGP 3.76 a share, 73% below the traded price. The weights are stated and fixed before the lenses were read: cash flow with the programme carried through 45%, relative multiples 20%, normalised earnings 20%, book value 15%. The cash-flow lens carries the most because it is the one lens that charges the capital programme against the years in which it is spent; its carried-through side alone enters the weighting because that is the company's own stated plan, and the stopped reading (EGP 3.43) is published beside it as the contested judgement rather than blended in. The relative and normalised lenses are cross-checks at equal weight; book value, which prices what has been paid for rather than what it earns, carries the least. The bear and full readings are the floor and ceiling of the field, never the weighted extremes.</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lens sits at EGP 0.58 because a 6.9% sustainable return on equity barely clears nominal growth and does not approach a 30.99%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440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53.49</w:t>
            </w:r>
          </w:p>
        </w:tc>
        <w:tc>
          <w:tcPr>
            <w:tcW w:type="dxa" w:w="1843"/>
          </w:tcPr>
          <w:p>
            <w:pPr>
              <w:spacing w:after="20"/>
              <w:jc w:val="right"/>
            </w:pPr>
            <w:r>
              <w:rPr>
                <w:color w:val="1C3A36"/>
                <w:sz w:val="17"/>
              </w:rPr>
              <w:t>60.83</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8.84</w:t>
            </w:r>
          </w:p>
        </w:tc>
        <w:tc>
          <w:tcPr>
            <w:tcW w:type="dxa" w:w="1843"/>
          </w:tcPr>
          <w:p>
            <w:pPr>
              <w:spacing w:after="20"/>
              <w:jc w:val="right"/>
            </w:pPr>
            <w:r>
              <w:rPr>
                <w:color w:val="1C3A36"/>
                <w:sz w:val="17"/>
              </w:rPr>
              <w:t>10.05</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10.0%</w:t>
            </w:r>
          </w:p>
        </w:tc>
        <w:tc>
          <w:tcPr>
            <w:tcW w:type="dxa" w:w="1843"/>
          </w:tcPr>
          <w:p>
            <w:pPr>
              <w:spacing w:after="20"/>
              <w:jc w:val="right"/>
            </w:pPr>
            <w:r>
              <w:rPr>
                <w:color w:val="1C3A36"/>
                <w:sz w:val="17"/>
              </w:rPr>
              <w:t>5.0%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33.0%</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41.4%</w:t>
            </w:r>
          </w:p>
        </w:tc>
        <w:tc>
          <w:tcPr>
            <w:tcW w:type="dxa" w:w="1843"/>
            <w:shd w:val="clear" w:color="auto" w:fill="F6F1E6"/>
          </w:tcPr>
          <w:p>
            <w:pPr>
              <w:spacing w:after="20"/>
              <w:jc w:val="right"/>
            </w:pPr>
            <w:r>
              <w:rPr>
                <w:b/>
                <w:color w:val="1C3A36"/>
                <w:sz w:val="17"/>
              </w:rPr>
              <w:t>31.6%</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11,310</w:t>
            </w:r>
          </w:p>
        </w:tc>
        <w:tc>
          <w:tcPr>
            <w:tcW w:type="dxa" w:w="1426"/>
          </w:tcPr>
          <w:p>
            <w:pPr>
              <w:spacing w:after="20"/>
              <w:jc w:val="right"/>
            </w:pPr>
            <w:r>
              <w:rPr>
                <w:color w:val="1C3A36"/>
                <w:sz w:val="16"/>
              </w:rPr>
              <w:t>11,400</w:t>
            </w:r>
          </w:p>
        </w:tc>
        <w:tc>
          <w:tcPr>
            <w:tcW w:type="dxa" w:w="1426"/>
          </w:tcPr>
          <w:p>
            <w:pPr>
              <w:spacing w:after="20"/>
              <w:jc w:val="right"/>
            </w:pPr>
            <w:r>
              <w:rPr>
                <w:color w:val="1C3A36"/>
                <w:sz w:val="16"/>
              </w:rPr>
              <w:t>11,352</w:t>
            </w:r>
          </w:p>
        </w:tc>
        <w:tc>
          <w:tcPr>
            <w:tcW w:type="dxa" w:w="1426"/>
          </w:tcPr>
          <w:p>
            <w:pPr>
              <w:spacing w:after="20"/>
              <w:jc w:val="right"/>
            </w:pPr>
            <w:r>
              <w:rPr>
                <w:color w:val="1C3A36"/>
                <w:sz w:val="16"/>
              </w:rPr>
              <w:t>11,406</w:t>
            </w:r>
          </w:p>
        </w:tc>
        <w:tc>
          <w:tcPr>
            <w:tcW w:type="dxa" w:w="1426"/>
          </w:tcPr>
          <w:p>
            <w:pPr>
              <w:spacing w:after="20"/>
              <w:jc w:val="right"/>
            </w:pPr>
            <w:r>
              <w:rPr>
                <w:color w:val="1C3A36"/>
                <w:sz w:val="16"/>
              </w:rPr>
              <w:t>11,654</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6,146</w:t>
            </w:r>
          </w:p>
        </w:tc>
        <w:tc>
          <w:tcPr>
            <w:tcW w:type="dxa" w:w="1426"/>
          </w:tcPr>
          <w:p>
            <w:pPr>
              <w:spacing w:after="20"/>
              <w:jc w:val="right"/>
            </w:pPr>
            <w:r>
              <w:rPr>
                <w:color w:val="1C3A36"/>
                <w:sz w:val="16"/>
              </w:rPr>
              <w:t>6,590</w:t>
            </w:r>
          </w:p>
        </w:tc>
        <w:tc>
          <w:tcPr>
            <w:tcW w:type="dxa" w:w="1426"/>
          </w:tcPr>
          <w:p>
            <w:pPr>
              <w:spacing w:after="20"/>
              <w:jc w:val="right"/>
            </w:pPr>
            <w:r>
              <w:rPr>
                <w:color w:val="1C3A36"/>
                <w:sz w:val="16"/>
              </w:rPr>
              <w:t>7,012</w:t>
            </w:r>
          </w:p>
        </w:tc>
        <w:tc>
          <w:tcPr>
            <w:tcW w:type="dxa" w:w="1426"/>
          </w:tcPr>
          <w:p>
            <w:pPr>
              <w:spacing w:after="20"/>
              <w:jc w:val="right"/>
            </w:pPr>
            <w:r>
              <w:rPr>
                <w:color w:val="1C3A36"/>
                <w:sz w:val="16"/>
              </w:rPr>
              <w:t>7,406</w:t>
            </w:r>
          </w:p>
        </w:tc>
        <w:tc>
          <w:tcPr>
            <w:tcW w:type="dxa" w:w="1426"/>
          </w:tcPr>
          <w:p>
            <w:pPr>
              <w:spacing w:after="20"/>
              <w:jc w:val="right"/>
            </w:pPr>
            <w:r>
              <w:rPr>
                <w:color w:val="1C3A36"/>
                <w:sz w:val="16"/>
              </w:rPr>
              <w:t>7,806</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5,165</w:t>
            </w:r>
          </w:p>
        </w:tc>
        <w:tc>
          <w:tcPr>
            <w:tcW w:type="dxa" w:w="1426"/>
          </w:tcPr>
          <w:p>
            <w:pPr>
              <w:spacing w:after="20"/>
              <w:jc w:val="right"/>
            </w:pPr>
            <w:r>
              <w:rPr>
                <w:color w:val="1C3A36"/>
                <w:sz w:val="16"/>
              </w:rPr>
              <w:t>4,810</w:t>
            </w:r>
          </w:p>
        </w:tc>
        <w:tc>
          <w:tcPr>
            <w:tcW w:type="dxa" w:w="1426"/>
          </w:tcPr>
          <w:p>
            <w:pPr>
              <w:spacing w:after="20"/>
              <w:jc w:val="right"/>
            </w:pPr>
            <w:r>
              <w:rPr>
                <w:color w:val="1C3A36"/>
                <w:sz w:val="16"/>
              </w:rPr>
              <w:t>4,340</w:t>
            </w:r>
          </w:p>
        </w:tc>
        <w:tc>
          <w:tcPr>
            <w:tcW w:type="dxa" w:w="1426"/>
          </w:tcPr>
          <w:p>
            <w:pPr>
              <w:spacing w:after="20"/>
              <w:jc w:val="right"/>
            </w:pPr>
            <w:r>
              <w:rPr>
                <w:color w:val="1C3A36"/>
                <w:sz w:val="16"/>
              </w:rPr>
              <w:t>4,000</w:t>
            </w:r>
          </w:p>
        </w:tc>
        <w:tc>
          <w:tcPr>
            <w:tcW w:type="dxa" w:w="1426"/>
          </w:tcPr>
          <w:p>
            <w:pPr>
              <w:spacing w:after="20"/>
              <w:jc w:val="right"/>
            </w:pPr>
            <w:r>
              <w:rPr>
                <w:color w:val="1C3A36"/>
                <w:sz w:val="16"/>
              </w:rPr>
              <w:t>3,848</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42.2%</w:t>
            </w:r>
          </w:p>
        </w:tc>
        <w:tc>
          <w:tcPr>
            <w:tcW w:type="dxa" w:w="1426"/>
            <w:shd w:val="clear" w:color="auto" w:fill="F6F1E6"/>
          </w:tcPr>
          <w:p>
            <w:pPr>
              <w:spacing w:after="20"/>
              <w:jc w:val="right"/>
            </w:pPr>
            <w:r>
              <w:rPr>
                <w:b/>
                <w:color w:val="1C3A36"/>
                <w:sz w:val="16"/>
              </w:rPr>
              <w:t>38.2%</w:t>
            </w:r>
          </w:p>
        </w:tc>
        <w:tc>
          <w:tcPr>
            <w:tcW w:type="dxa" w:w="1426"/>
            <w:shd w:val="clear" w:color="auto" w:fill="F6F1E6"/>
          </w:tcPr>
          <w:p>
            <w:pPr>
              <w:spacing w:after="20"/>
              <w:jc w:val="right"/>
            </w:pPr>
            <w:r>
              <w:rPr>
                <w:b/>
                <w:color w:val="1C3A36"/>
                <w:sz w:val="16"/>
              </w:rPr>
              <w:t>35.1%</w:t>
            </w:r>
          </w:p>
        </w:tc>
        <w:tc>
          <w:tcPr>
            <w:tcW w:type="dxa" w:w="1426"/>
            <w:shd w:val="clear" w:color="auto" w:fill="F6F1E6"/>
          </w:tcPr>
          <w:p>
            <w:pPr>
              <w:spacing w:after="20"/>
              <w:jc w:val="right"/>
            </w:pPr>
            <w:r>
              <w:rPr>
                <w:b/>
                <w:color w:val="1C3A36"/>
                <w:sz w:val="16"/>
              </w:rPr>
              <w:t>33.0%</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4,684</w:t>
            </w:r>
          </w:p>
        </w:tc>
        <w:tc>
          <w:tcPr>
            <w:tcW w:type="dxa" w:w="1426"/>
          </w:tcPr>
          <w:p>
            <w:pPr>
              <w:spacing w:after="20"/>
              <w:jc w:val="right"/>
            </w:pPr>
            <w:r>
              <w:rPr>
                <w:color w:val="1C3A36"/>
                <w:sz w:val="16"/>
              </w:rPr>
              <w:t>4,394</w:t>
            </w:r>
          </w:p>
        </w:tc>
        <w:tc>
          <w:tcPr>
            <w:tcW w:type="dxa" w:w="1426"/>
          </w:tcPr>
          <w:p>
            <w:pPr>
              <w:spacing w:after="20"/>
              <w:jc w:val="right"/>
            </w:pPr>
            <w:r>
              <w:rPr>
                <w:color w:val="1C3A36"/>
                <w:sz w:val="16"/>
              </w:rPr>
              <w:t>4,006</w:t>
            </w:r>
          </w:p>
        </w:tc>
        <w:tc>
          <w:tcPr>
            <w:tcW w:type="dxa" w:w="1426"/>
          </w:tcPr>
          <w:p>
            <w:pPr>
              <w:spacing w:after="20"/>
              <w:jc w:val="right"/>
            </w:pPr>
            <w:r>
              <w:rPr>
                <w:color w:val="1C3A36"/>
                <w:sz w:val="16"/>
              </w:rPr>
              <w:t>3,755</w:t>
            </w:r>
          </w:p>
        </w:tc>
        <w:tc>
          <w:tcPr>
            <w:tcW w:type="dxa" w:w="1426"/>
          </w:tcPr>
          <w:p>
            <w:pPr>
              <w:spacing w:after="20"/>
              <w:jc w:val="right"/>
            </w:pPr>
            <w:r>
              <w:rPr>
                <w:color w:val="1C3A36"/>
                <w:sz w:val="16"/>
              </w:rPr>
              <w:t>3,684</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41.4%</w:t>
            </w:r>
          </w:p>
        </w:tc>
        <w:tc>
          <w:tcPr>
            <w:tcW w:type="dxa" w:w="1426"/>
            <w:shd w:val="clear" w:color="auto" w:fill="F6F1E6"/>
          </w:tcPr>
          <w:p>
            <w:pPr>
              <w:spacing w:after="20"/>
              <w:jc w:val="right"/>
            </w:pPr>
            <w:r>
              <w:rPr>
                <w:b/>
                <w:color w:val="1C3A36"/>
                <w:sz w:val="16"/>
              </w:rPr>
              <w:t>38.5%</w:t>
            </w:r>
          </w:p>
        </w:tc>
        <w:tc>
          <w:tcPr>
            <w:tcW w:type="dxa" w:w="1426"/>
            <w:shd w:val="clear" w:color="auto" w:fill="F6F1E6"/>
          </w:tcPr>
          <w:p>
            <w:pPr>
              <w:spacing w:after="20"/>
              <w:jc w:val="right"/>
            </w:pPr>
            <w:r>
              <w:rPr>
                <w:b/>
                <w:color w:val="1C3A36"/>
                <w:sz w:val="16"/>
              </w:rPr>
              <w:t>35.3%</w:t>
            </w:r>
          </w:p>
        </w:tc>
        <w:tc>
          <w:tcPr>
            <w:tcW w:type="dxa" w:w="1426"/>
            <w:shd w:val="clear" w:color="auto" w:fill="F6F1E6"/>
          </w:tcPr>
          <w:p>
            <w:pPr>
              <w:spacing w:after="20"/>
              <w:jc w:val="right"/>
            </w:pPr>
            <w:r>
              <w:rPr>
                <w:b/>
                <w:color w:val="1C3A36"/>
                <w:sz w:val="16"/>
              </w:rPr>
              <w:t>32.9%</w:t>
            </w:r>
          </w:p>
        </w:tc>
        <w:tc>
          <w:tcPr>
            <w:tcW w:type="dxa" w:w="1426"/>
            <w:shd w:val="clear" w:color="auto" w:fill="F6F1E6"/>
          </w:tcPr>
          <w:p>
            <w:pPr>
              <w:spacing w:after="20"/>
              <w:jc w:val="right"/>
            </w:pPr>
            <w:r>
              <w:rPr>
                <w:b/>
                <w:color w:val="1C3A36"/>
                <w:sz w:val="16"/>
              </w:rPr>
              <w:t>31.6%</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3,793</w:t>
            </w:r>
          </w:p>
        </w:tc>
        <w:tc>
          <w:tcPr>
            <w:tcW w:type="dxa" w:w="1426"/>
          </w:tcPr>
          <w:p>
            <w:pPr>
              <w:spacing w:after="20"/>
              <w:jc w:val="right"/>
            </w:pPr>
            <w:r>
              <w:rPr>
                <w:color w:val="1C3A36"/>
                <w:sz w:val="16"/>
              </w:rPr>
              <w:t>3,385</w:t>
            </w:r>
          </w:p>
        </w:tc>
        <w:tc>
          <w:tcPr>
            <w:tcW w:type="dxa" w:w="1426"/>
          </w:tcPr>
          <w:p>
            <w:pPr>
              <w:spacing w:after="20"/>
              <w:jc w:val="right"/>
            </w:pPr>
            <w:r>
              <w:rPr>
                <w:color w:val="1C3A36"/>
                <w:sz w:val="16"/>
              </w:rPr>
              <w:t>2,859</w:t>
            </w:r>
          </w:p>
        </w:tc>
        <w:tc>
          <w:tcPr>
            <w:tcW w:type="dxa" w:w="1426"/>
          </w:tcPr>
          <w:p>
            <w:pPr>
              <w:spacing w:after="20"/>
              <w:jc w:val="right"/>
            </w:pPr>
            <w:r>
              <w:rPr>
                <w:color w:val="1C3A36"/>
                <w:sz w:val="16"/>
              </w:rPr>
              <w:t>2,463</w:t>
            </w:r>
          </w:p>
        </w:tc>
        <w:tc>
          <w:tcPr>
            <w:tcW w:type="dxa" w:w="1426"/>
          </w:tcPr>
          <w:p>
            <w:pPr>
              <w:spacing w:after="20"/>
              <w:jc w:val="right"/>
            </w:pPr>
            <w:r>
              <w:rPr>
                <w:color w:val="1C3A36"/>
                <w:sz w:val="16"/>
              </w:rPr>
              <w:t>2,250</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33.5%</w:t>
            </w:r>
          </w:p>
        </w:tc>
        <w:tc>
          <w:tcPr>
            <w:tcW w:type="dxa" w:w="1426"/>
          </w:tcPr>
          <w:p>
            <w:pPr>
              <w:spacing w:after="20"/>
              <w:jc w:val="right"/>
            </w:pPr>
            <w:r>
              <w:rPr>
                <w:color w:val="1C3A36"/>
                <w:sz w:val="16"/>
              </w:rPr>
              <w:t>29.7%</w:t>
            </w:r>
          </w:p>
        </w:tc>
        <w:tc>
          <w:tcPr>
            <w:tcW w:type="dxa" w:w="1426"/>
          </w:tcPr>
          <w:p>
            <w:pPr>
              <w:spacing w:after="20"/>
              <w:jc w:val="right"/>
            </w:pPr>
            <w:r>
              <w:rPr>
                <w:color w:val="1C3A36"/>
                <w:sz w:val="16"/>
              </w:rPr>
              <w:t>25.2%</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19.3%</w:t>
            </w:r>
          </w:p>
        </w:tc>
      </w:tr>
    </w:tbl>
    <w:p>
      <w:pPr>
        <w:spacing w:after="40"/>
      </w:pPr>
    </w:p>
    <w:p>
      <w:pPr>
        <w:spacing w:after="200" w:before="0"/>
      </w:pPr>
      <w:r>
        <w:rPr>
          <w:b w:val="0"/>
          <w:i/>
          <w:color w:val="6E7B77"/>
          <w:sz w:val="17"/>
        </w:rPr>
        <w:t>Table 12.  Not one margin in this table is set. Each is revenue less a cost stack that was built from physical consumption times a unit price, so the margin path is a consequence of the tonnes, the prices and the escalators above it. The margin falls across the window because the export price mean-reverts faster than the domestic cost base disinflates — which is a statement about two sourced paths, not a view about management.</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8,416</w:t>
            </w:r>
          </w:p>
        </w:tc>
        <w:tc>
          <w:tcPr>
            <w:tcW w:type="dxa" w:w="1296"/>
          </w:tcPr>
          <w:p>
            <w:pPr>
              <w:spacing w:after="20"/>
              <w:jc w:val="right"/>
            </w:pPr>
            <w:r>
              <w:rPr>
                <w:color w:val="1C3A36"/>
                <w:sz w:val="17"/>
              </w:rPr>
              <w:t>74.4%</w:t>
            </w:r>
          </w:p>
        </w:tc>
        <w:tc>
          <w:tcPr>
            <w:tcW w:type="dxa" w:w="1944"/>
          </w:tcPr>
          <w:p>
            <w:pPr>
              <w:spacing w:after="20"/>
              <w:jc w:val="right"/>
            </w:pPr>
            <w:r>
              <w:rPr>
                <w:color w:val="1C3A36"/>
                <w:sz w:val="17"/>
              </w:rPr>
              <w:t>7,852</w:t>
            </w:r>
          </w:p>
        </w:tc>
        <w:tc>
          <w:tcPr>
            <w:tcW w:type="dxa" w:w="1296"/>
          </w:tcPr>
          <w:p>
            <w:pPr>
              <w:spacing w:after="20"/>
              <w:jc w:val="right"/>
            </w:pPr>
            <w:r>
              <w:rPr>
                <w:color w:val="1C3A36"/>
                <w:sz w:val="17"/>
              </w:rPr>
              <w:t>67.4%</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10.3%</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16.4%</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1,021</w:t>
            </w:r>
          </w:p>
        </w:tc>
        <w:tc>
          <w:tcPr>
            <w:tcW w:type="dxa" w:w="1296"/>
          </w:tcPr>
          <w:p>
            <w:pPr>
              <w:spacing w:after="20"/>
              <w:jc w:val="right"/>
            </w:pPr>
            <w:r>
              <w:rPr>
                <w:color w:val="1C3A36"/>
                <w:sz w:val="17"/>
              </w:rPr>
              <w:t>9.0%</w:t>
            </w:r>
          </w:p>
        </w:tc>
        <w:tc>
          <w:tcPr>
            <w:tcW w:type="dxa" w:w="1944"/>
          </w:tcPr>
          <w:p>
            <w:pPr>
              <w:spacing w:after="20"/>
              <w:jc w:val="right"/>
            </w:pPr>
            <w:r>
              <w:rPr>
                <w:color w:val="1C3A36"/>
                <w:sz w:val="17"/>
              </w:rPr>
              <w:t>1,060</w:t>
            </w:r>
          </w:p>
        </w:tc>
        <w:tc>
          <w:tcPr>
            <w:tcW w:type="dxa" w:w="1296"/>
          </w:tcPr>
          <w:p>
            <w:pPr>
              <w:spacing w:after="20"/>
              <w:jc w:val="right"/>
            </w:pPr>
            <w:r>
              <w:rPr>
                <w:color w:val="1C3A36"/>
                <w:sz w:val="17"/>
              </w:rPr>
              <w:t>9.1%</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568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646</w:t>
            </w:r>
          </w:p>
        </w:tc>
        <w:tc>
          <w:tcPr>
            <w:tcW w:type="dxa" w:w="1296"/>
          </w:tcPr>
          <w:p>
            <w:pPr>
              <w:spacing w:after="20"/>
              <w:jc w:val="right"/>
            </w:pPr>
            <w:r>
              <w:rPr>
                <w:color w:val="1C3A36"/>
                <w:sz w:val="17"/>
              </w:rPr>
              <w:t>5.5%</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1.6%</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11,310</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11,654</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27.8 billion. EGP 5,654 million sat in construction at 31 March 2026 and the auditor put physical progress at 12.9% against a 37.0% plan.</w:t>
      </w:r>
    </w:p>
    <w:p>
      <w:pPr>
        <w:spacing w:after="120" w:before="0"/>
      </w:pPr>
      <w:r>
        <w:rPr>
          <w:b/>
          <w:i w:val="0"/>
          <w:color w:val="1C3A36"/>
          <w:sz w:val="21"/>
        </w:rPr>
        <w:t>Carried through, the programme is worth EGP -0.63 a share. Stopped, EGP 3.43. The difference, EGP 4.05 a share or EGP 8,051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73.2%</w:t>
            </w:r>
          </w:p>
        </w:tc>
        <w:tc>
          <w:tcPr>
            <w:tcW w:type="dxa" w:w="3456"/>
          </w:tcPr>
          <w:p>
            <w:pPr>
              <w:spacing w:after="20"/>
            </w:pPr>
            <w:r>
              <w:rPr>
                <w:color w:val="1C3A36"/>
                <w:sz w:val="16"/>
              </w:rPr>
              <w:t>Against a market value of EGP 27,772m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-51m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-0.3%</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18.2%</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0.79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2,212</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19.6%</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15.49%</w:t>
            </w:r>
          </w:p>
        </w:tc>
        <w:tc>
          <w:tcPr>
            <w:tcW w:type="dxa" w:w="1512"/>
          </w:tcPr>
          <w:p>
            <w:pPr>
              <w:spacing w:after="20"/>
              <w:jc w:val="right"/>
            </w:pPr>
            <w:r>
              <w:rPr>
                <w:color w:val="1C3A36"/>
                <w:sz w:val="17"/>
              </w:rPr>
              <w:t>15.49%</w:t>
            </w:r>
          </w:p>
        </w:tc>
        <w:tc>
          <w:tcPr>
            <w:tcW w:type="dxa" w:w="4248"/>
          </w:tcPr>
          <w:p>
            <w:pPr>
              <w:spacing w:after="20"/>
            </w:pPr>
            <w:r>
              <w:rPr>
                <w:color w:val="1C3A36"/>
                <w:sz w:val="17"/>
              </w:rPr>
              <w:t>99.7% dollar, carried at local-equivalent cost on that year's currency wedge of 7.4%</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65.5% / 34.5%</w:t>
            </w:r>
          </w:p>
        </w:tc>
        <w:tc>
          <w:tcPr>
            <w:tcW w:type="dxa" w:w="1512"/>
          </w:tcPr>
          <w:p>
            <w:pPr>
              <w:spacing w:after="20"/>
              <w:jc w:val="right"/>
            </w:pPr>
            <w:r>
              <w:rPr>
                <w:color w:val="1C3A36"/>
                <w:sz w:val="17"/>
              </w:rPr>
              <w:t>65.5% / 34.5%</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25.64%</w:t>
            </w:r>
          </w:p>
        </w:tc>
        <w:tc>
          <w:tcPr>
            <w:tcW w:type="dxa" w:w="1512"/>
            <w:shd w:val="clear" w:color="auto" w:fill="F6F1E6"/>
          </w:tcPr>
          <w:p>
            <w:pPr>
              <w:spacing w:after="20"/>
              <w:jc w:val="right"/>
            </w:pPr>
            <w:r>
              <w:rPr>
                <w:b/>
                <w:color w:val="1C3A36"/>
                <w:sz w:val="17"/>
              </w:rPr>
              <w:t>24.52%</w:t>
            </w:r>
          </w:p>
        </w:tc>
        <w:tc>
          <w:tcPr>
            <w:tcW w:type="dxa" w:w="4248"/>
            <w:shd w:val="clear" w:color="auto" w:fill="F6F1E6"/>
          </w:tcPr>
          <w:p>
            <w:pPr>
              <w:spacing w:after="20"/>
            </w:pPr>
            <w:r>
              <w:rPr>
                <w:b/>
                <w:color w:val="1C3A36"/>
                <w:sz w:val="17"/>
              </w:rPr>
              <w:t>The rating basis is carried into the valuation as the more conservative</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7.4% in FY2026/27, giving a local-equivalent 19.99%, gliding to 2.5% in FY2030/31 and 14.54% — and to 2.5% on the long-run dollar cost of 9.0% in the terminal year, 11.77% on the dollar leg (11.79%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The dollar leg's local-equivalent cost sits below the 16.63% normalised risk-free rate in FY2028/29 (15.63%), FY2029/30 (14.54%), FY2030/31 (14.54%), because the currency wedge in those years (3.5%, 2.5%, 2.5%) is smaller than the gap between the 11.7% coupon and that rate. It is left as built, because the wedge is the study's one currency path and the debt may not carry a second. A same-currency borrower does not normally borrow below its sovereign, so the construction with every leg floored at the 23.00% sovereign yield plus the company's own spread over the policy rate — which its facilities print as nil — is priced in the table below: EGP -1.06 a share on the carried-through cash-flow lens against EGP -0.63, a difference of EGP -0.44.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5.0%. Capitalising one at the other is a units mismatch, and on a company whose value sits in its terminal year it would be the largest error in the study. The rate therefore glides to a terminal rate built from its own components: 5.0% inflation — the same figure terminal growth is set at, so the perpetuity neither grows nor shrinks in real terms — compounded with a 3.5% real rate gives a normalised risk-free rate of 8.67%, and the terminal cost of capital is 18.24%. Discount factors compound the glide year by year rather than raising one rate to a power. The earlier edition of this study discounted a 5.0%-growth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-0.63</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credit rating</w:t>
            </w:r>
          </w:p>
        </w:tc>
        <w:tc>
          <w:tcPr>
            <w:tcW w:type="dxa" w:w="2563"/>
          </w:tcPr>
          <w:p>
            <w:pPr>
              <w:spacing w:after="20"/>
            </w:pPr>
            <w:r>
              <w:rPr>
                <w:color w:val="1C3A36"/>
                <w:sz w:val="15"/>
              </w:rPr>
              <w:t>Priced off the sovereign's traded default swap instead, which is the narrower of the two spreads</w:t>
            </w:r>
          </w:p>
        </w:tc>
        <w:tc>
          <w:tcPr>
            <w:tcW w:type="dxa" w:w="950"/>
          </w:tcPr>
          <w:p>
            <w:pPr>
              <w:spacing w:after="20"/>
              <w:jc w:val="right"/>
            </w:pPr>
            <w:r>
              <w:rPr>
                <w:color w:val="1C3A36"/>
                <w:sz w:val="15"/>
              </w:rPr>
              <w:t>0.10</w:t>
            </w:r>
          </w:p>
        </w:tc>
        <w:tc>
          <w:tcPr>
            <w:tcW w:type="dxa" w:w="950"/>
          </w:tcPr>
          <w:p>
            <w:pPr>
              <w:spacing w:after="20"/>
              <w:jc w:val="right"/>
            </w:pPr>
            <w:r>
              <w:rPr>
                <w:color w:val="1C3A36"/>
                <w:sz w:val="15"/>
              </w:rPr>
              <w:t>+0.73</w:t>
            </w:r>
          </w:p>
        </w:tc>
        <w:tc>
          <w:tcPr>
            <w:tcW w:type="dxa" w:w="3139"/>
          </w:tcPr>
          <w:p>
            <w:pPr>
              <w:spacing w:after="20"/>
            </w:pPr>
            <w:r>
              <w:rPr>
                <w:color w:val="1C3A36"/>
                <w:sz w:val="15"/>
              </w:rPr>
              <w:t>The rating basis is the wider spread and therefore the more conservative equity premium.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-1.40</w:t>
            </w:r>
          </w:p>
        </w:tc>
        <w:tc>
          <w:tcPr>
            <w:tcW w:type="dxa" w:w="950"/>
          </w:tcPr>
          <w:p>
            <w:pPr>
              <w:spacing w:after="20"/>
              <w:jc w:val="right"/>
            </w:pPr>
            <w:r>
              <w:rPr>
                <w:color w:val="1C3A36"/>
                <w:sz w:val="15"/>
              </w:rPr>
              <w:t>-0.77</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-0.67</w:t>
            </w:r>
          </w:p>
        </w:tc>
        <w:tc>
          <w:tcPr>
            <w:tcW w:type="dxa" w:w="950"/>
          </w:tcPr>
          <w:p>
            <w:pPr>
              <w:spacing w:after="20"/>
              <w:jc w:val="right"/>
            </w:pPr>
            <w:r>
              <w:rPr>
                <w:color w:val="1C3A36"/>
                <w:sz w:val="15"/>
              </w:rPr>
              <w:t>-0.04</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20.0% in year one gliding to 11.8%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-1.06</w:t>
            </w:r>
          </w:p>
        </w:tc>
        <w:tc>
          <w:tcPr>
            <w:tcW w:type="dxa" w:w="950"/>
          </w:tcPr>
          <w:p>
            <w:pPr>
              <w:spacing w:after="20"/>
              <w:jc w:val="right"/>
            </w:pPr>
            <w:r>
              <w:rPr>
                <w:color w:val="1C3A36"/>
                <w:sz w:val="15"/>
              </w:rPr>
              <w:t>-0.44</w:t>
            </w:r>
          </w:p>
        </w:tc>
        <w:tc>
          <w:tcPr>
            <w:tcW w:type="dxa" w:w="3139"/>
          </w:tcPr>
          <w:p>
            <w:pPr>
              <w:spacing w:after="20"/>
            </w:pPr>
            <w:r>
              <w:rPr>
                <w:color w:val="1C3A36"/>
                <w:sz w:val="15"/>
              </w:rPr>
              <w:t>A same-currency corporate cannot normally borrow below its sovereign, and the local facility does (its dollar leg sits below the normalised risk-free rate in 3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0.17</w:t>
            </w:r>
          </w:p>
        </w:tc>
        <w:tc>
          <w:tcPr>
            <w:tcW w:type="dxa" w:w="950"/>
          </w:tcPr>
          <w:p>
            <w:pPr>
              <w:spacing w:after="20"/>
              <w:jc w:val="right"/>
            </w:pPr>
            <w:r>
              <w:rPr>
                <w:color w:val="1C3A36"/>
                <w:sz w:val="15"/>
              </w:rPr>
              <w:t>+0.80</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-2.51</w:t>
            </w:r>
          </w:p>
        </w:tc>
        <w:tc>
          <w:tcPr>
            <w:tcW w:type="dxa" w:w="950"/>
          </w:tcPr>
          <w:p>
            <w:pPr>
              <w:spacing w:after="20"/>
              <w:jc w:val="right"/>
            </w:pPr>
            <w:r>
              <w:rPr>
                <w:color w:val="1C3A36"/>
                <w:sz w:val="15"/>
              </w:rPr>
              <w:t>-1.88</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-0.40</w:t>
            </w:r>
          </w:p>
        </w:tc>
        <w:tc>
          <w:tcPr>
            <w:tcW w:type="dxa" w:w="950"/>
          </w:tcPr>
          <w:p>
            <w:pPr>
              <w:spacing w:after="20"/>
              <w:jc w:val="right"/>
            </w:pPr>
            <w:r>
              <w:rPr>
                <w:color w:val="1C3A36"/>
                <w:sz w:val="15"/>
              </w:rPr>
              <w:t>+0.23</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-1.42</w:t>
            </w:r>
          </w:p>
        </w:tc>
        <w:tc>
          <w:tcPr>
            <w:tcW w:type="dxa" w:w="950"/>
          </w:tcPr>
          <w:p>
            <w:pPr>
              <w:spacing w:after="20"/>
              <w:jc w:val="right"/>
            </w:pPr>
            <w:r>
              <w:rPr>
                <w:color w:val="1C3A36"/>
                <w:sz w:val="15"/>
              </w:rPr>
              <w:t>-0.79</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Terminal reinvestment of 27.8% of operating profit after tax, from growth over an 18% return on capital</w:t>
            </w:r>
          </w:p>
        </w:tc>
        <w:tc>
          <w:tcPr>
            <w:tcW w:type="dxa" w:w="2563"/>
          </w:tcPr>
          <w:p>
            <w:pPr>
              <w:spacing w:after="20"/>
            </w:pPr>
            <w:r>
              <w:rPr>
                <w:color w:val="1C3A36"/>
                <w:sz w:val="15"/>
              </w:rPr>
              <w:t>16.7%, from a 30% return on capital — the rate a newly completed plant earns on incremental capital while it is still filling</w:t>
            </w:r>
          </w:p>
        </w:tc>
        <w:tc>
          <w:tcPr>
            <w:tcW w:type="dxa" w:w="950"/>
          </w:tcPr>
          <w:p>
            <w:pPr>
              <w:spacing w:after="20"/>
              <w:jc w:val="right"/>
            </w:pPr>
            <w:r>
              <w:rPr>
                <w:color w:val="1C3A36"/>
                <w:sz w:val="15"/>
              </w:rPr>
              <w:t>-0.35</w:t>
            </w:r>
          </w:p>
        </w:tc>
        <w:tc>
          <w:tcPr>
            <w:tcW w:type="dxa" w:w="950"/>
          </w:tcPr>
          <w:p>
            <w:pPr>
              <w:spacing w:after="20"/>
              <w:jc w:val="right"/>
            </w:pPr>
            <w:r>
              <w:rPr>
                <w:color w:val="1C3A36"/>
                <w:sz w:val="15"/>
              </w:rPr>
              <w:t>+0.27</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-0.86</w:t>
            </w:r>
          </w:p>
        </w:tc>
        <w:tc>
          <w:tcPr>
            <w:tcW w:type="dxa" w:w="950"/>
          </w:tcPr>
          <w:p>
            <w:pPr>
              <w:spacing w:after="20"/>
              <w:jc w:val="right"/>
            </w:pPr>
            <w:r>
              <w:rPr>
                <w:color w:val="1C3A36"/>
                <w:sz w:val="15"/>
              </w:rPr>
              <w:t>-0.23</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(-1.88) and beta (+0.80); none of the 10,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-2.70</w:t>
            </w:r>
          </w:p>
        </w:tc>
        <w:tc>
          <w:tcPr>
            <w:tcW w:type="dxa" w:w="1483"/>
          </w:tcPr>
          <w:p>
            <w:pPr>
              <w:spacing w:after="20"/>
              <w:jc w:val="right"/>
            </w:pPr>
            <w:r>
              <w:rPr>
                <w:color w:val="1C3A36"/>
                <w:sz w:val="17"/>
              </w:rPr>
              <w:t>-1.19</w:t>
            </w:r>
          </w:p>
        </w:tc>
        <w:tc>
          <w:tcPr>
            <w:tcW w:type="dxa" w:w="1483"/>
          </w:tcPr>
          <w:p>
            <w:pPr>
              <w:spacing w:after="20"/>
              <w:jc w:val="right"/>
            </w:pPr>
            <w:r>
              <w:rPr>
                <w:color w:val="1C3A36"/>
                <w:sz w:val="17"/>
              </w:rPr>
              <w:t>0.31</w:t>
            </w:r>
          </w:p>
        </w:tc>
        <w:tc>
          <w:tcPr>
            <w:tcW w:type="dxa" w:w="1483"/>
          </w:tcPr>
          <w:p>
            <w:pPr>
              <w:spacing w:after="20"/>
              <w:jc w:val="right"/>
            </w:pPr>
            <w:r>
              <w:rPr>
                <w:color w:val="1C3A36"/>
                <w:sz w:val="17"/>
              </w:rPr>
              <w:t>1.81</w:t>
            </w:r>
          </w:p>
        </w:tc>
        <w:tc>
          <w:tcPr>
            <w:tcW w:type="dxa" w:w="1483"/>
          </w:tcPr>
          <w:p>
            <w:pPr>
              <w:spacing w:after="20"/>
              <w:jc w:val="right"/>
            </w:pPr>
            <w:r>
              <w:rPr>
                <w:color w:val="1C3A36"/>
                <w:sz w:val="17"/>
              </w:rPr>
              <w:t>3.31</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-2.79</w:t>
            </w:r>
          </w:p>
        </w:tc>
        <w:tc>
          <w:tcPr>
            <w:tcW w:type="dxa" w:w="1483"/>
          </w:tcPr>
          <w:p>
            <w:pPr>
              <w:spacing w:after="20"/>
              <w:jc w:val="right"/>
            </w:pPr>
            <w:r>
              <w:rPr>
                <w:color w:val="1C3A36"/>
                <w:sz w:val="17"/>
              </w:rPr>
              <w:t>-1.37</w:t>
            </w:r>
          </w:p>
        </w:tc>
        <w:tc>
          <w:tcPr>
            <w:tcW w:type="dxa" w:w="1483"/>
          </w:tcPr>
          <w:p>
            <w:pPr>
              <w:spacing w:after="20"/>
              <w:jc w:val="right"/>
            </w:pPr>
            <w:r>
              <w:rPr>
                <w:color w:val="1C3A36"/>
                <w:sz w:val="17"/>
              </w:rPr>
              <w:t>0.05</w:t>
            </w:r>
          </w:p>
        </w:tc>
        <w:tc>
          <w:tcPr>
            <w:tcW w:type="dxa" w:w="1483"/>
          </w:tcPr>
          <w:p>
            <w:pPr>
              <w:spacing w:after="20"/>
              <w:jc w:val="right"/>
            </w:pPr>
            <w:r>
              <w:rPr>
                <w:color w:val="1C3A36"/>
                <w:sz w:val="17"/>
              </w:rPr>
              <w:t>1.47</w:t>
            </w:r>
          </w:p>
        </w:tc>
        <w:tc>
          <w:tcPr>
            <w:tcW w:type="dxa" w:w="1483"/>
          </w:tcPr>
          <w:p>
            <w:pPr>
              <w:spacing w:after="20"/>
              <w:jc w:val="right"/>
            </w:pPr>
            <w:r>
              <w:rPr>
                <w:color w:val="1C3A36"/>
                <w:sz w:val="17"/>
              </w:rPr>
              <w:t>2.89</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-2.89</w:t>
            </w:r>
          </w:p>
        </w:tc>
        <w:tc>
          <w:tcPr>
            <w:tcW w:type="dxa" w:w="1483"/>
          </w:tcPr>
          <w:p>
            <w:pPr>
              <w:spacing w:after="20"/>
              <w:jc w:val="right"/>
            </w:pPr>
            <w:r>
              <w:rPr>
                <w:color w:val="1C3A36"/>
                <w:sz w:val="17"/>
              </w:rPr>
              <w:t>-1.54</w:t>
            </w:r>
          </w:p>
        </w:tc>
        <w:tc>
          <w:tcPr>
            <w:tcW w:type="dxa" w:w="1483"/>
          </w:tcPr>
          <w:p>
            <w:pPr>
              <w:spacing w:after="20"/>
              <w:jc w:val="right"/>
            </w:pPr>
            <w:r>
              <w:rPr>
                <w:color w:val="1C3A36"/>
                <w:sz w:val="17"/>
              </w:rPr>
              <w:t>-0.20</w:t>
            </w:r>
          </w:p>
        </w:tc>
        <w:tc>
          <w:tcPr>
            <w:tcW w:type="dxa" w:w="1483"/>
          </w:tcPr>
          <w:p>
            <w:pPr>
              <w:spacing w:after="20"/>
              <w:jc w:val="right"/>
            </w:pPr>
            <w:r>
              <w:rPr>
                <w:color w:val="1C3A36"/>
                <w:sz w:val="17"/>
              </w:rPr>
              <w:t>1.14</w:t>
            </w:r>
          </w:p>
        </w:tc>
        <w:tc>
          <w:tcPr>
            <w:tcW w:type="dxa" w:w="1483"/>
          </w:tcPr>
          <w:p>
            <w:pPr>
              <w:spacing w:after="20"/>
              <w:jc w:val="right"/>
            </w:pPr>
            <w:r>
              <w:rPr>
                <w:color w:val="1C3A36"/>
                <w:sz w:val="17"/>
              </w:rPr>
              <w:t>2.48</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-2.95</w:t>
            </w:r>
          </w:p>
        </w:tc>
        <w:tc>
          <w:tcPr>
            <w:tcW w:type="dxa" w:w="1483"/>
          </w:tcPr>
          <w:p>
            <w:pPr>
              <w:spacing w:after="20"/>
              <w:jc w:val="right"/>
            </w:pPr>
            <w:r>
              <w:rPr>
                <w:color w:val="1C3A36"/>
                <w:sz w:val="17"/>
              </w:rPr>
              <w:t>-1.66</w:t>
            </w:r>
          </w:p>
        </w:tc>
        <w:tc>
          <w:tcPr>
            <w:tcW w:type="dxa" w:w="1483"/>
          </w:tcPr>
          <w:p>
            <w:pPr>
              <w:spacing w:after="20"/>
              <w:jc w:val="right"/>
            </w:pPr>
            <w:r>
              <w:rPr>
                <w:color w:val="1C3A36"/>
                <w:sz w:val="17"/>
              </w:rPr>
              <w:t>-0.37</w:t>
            </w:r>
          </w:p>
        </w:tc>
        <w:tc>
          <w:tcPr>
            <w:tcW w:type="dxa" w:w="1483"/>
          </w:tcPr>
          <w:p>
            <w:pPr>
              <w:spacing w:after="20"/>
              <w:jc w:val="right"/>
            </w:pPr>
            <w:r>
              <w:rPr>
                <w:color w:val="1C3A36"/>
                <w:sz w:val="17"/>
              </w:rPr>
              <w:t>0.92</w:t>
            </w:r>
          </w:p>
        </w:tc>
        <w:tc>
          <w:tcPr>
            <w:tcW w:type="dxa" w:w="1483"/>
          </w:tcPr>
          <w:p>
            <w:pPr>
              <w:spacing w:after="20"/>
              <w:jc w:val="right"/>
            </w:pPr>
            <w:r>
              <w:rPr>
                <w:color w:val="1C3A36"/>
                <w:sz w:val="17"/>
              </w:rPr>
              <w:t>2.21</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-3.02</w:t>
            </w:r>
          </w:p>
        </w:tc>
        <w:tc>
          <w:tcPr>
            <w:tcW w:type="dxa" w:w="1483"/>
          </w:tcPr>
          <w:p>
            <w:pPr>
              <w:spacing w:after="20"/>
              <w:jc w:val="right"/>
            </w:pPr>
            <w:r>
              <w:rPr>
                <w:color w:val="1C3A36"/>
                <w:sz w:val="17"/>
              </w:rPr>
              <w:t>-1.78</w:t>
            </w:r>
          </w:p>
        </w:tc>
        <w:tc>
          <w:tcPr>
            <w:tcW w:type="dxa" w:w="1483"/>
          </w:tcPr>
          <w:p>
            <w:pPr>
              <w:spacing w:after="20"/>
              <w:jc w:val="right"/>
            </w:pPr>
            <w:r>
              <w:rPr>
                <w:color w:val="1C3A36"/>
                <w:sz w:val="17"/>
              </w:rPr>
              <w:t>-0.54</w:t>
            </w:r>
          </w:p>
        </w:tc>
        <w:tc>
          <w:tcPr>
            <w:tcW w:type="dxa" w:w="1483"/>
          </w:tcPr>
          <w:p>
            <w:pPr>
              <w:spacing w:after="20"/>
              <w:jc w:val="right"/>
            </w:pPr>
            <w:r>
              <w:rPr>
                <w:color w:val="1C3A36"/>
                <w:sz w:val="17"/>
              </w:rPr>
              <w:t>0.69</w:t>
            </w:r>
          </w:p>
        </w:tc>
        <w:tc>
          <w:tcPr>
            <w:tcW w:type="dxa" w:w="1483"/>
          </w:tcPr>
          <w:p>
            <w:pPr>
              <w:spacing w:after="20"/>
              <w:jc w:val="right"/>
            </w:pPr>
            <w:r>
              <w:rPr>
                <w:color w:val="1C3A36"/>
                <w:sz w:val="17"/>
              </w:rPr>
              <w:t>1.93</w:t>
            </w:r>
          </w:p>
        </w:tc>
      </w:tr>
    </w:tbl>
    <w:p>
      <w:pPr>
        <w:spacing w:after="40"/>
      </w:pPr>
    </w:p>
    <w:p>
      <w:pPr>
        <w:spacing w:after="200" w:before="0"/>
      </w:pPr>
      <w:r>
        <w:rPr>
          <w:b w:val="0"/>
          <w:i/>
          <w:color w:val="6E7B77"/>
          <w:sz w:val="17"/>
        </w:rPr>
        <w:t>Table 19.  The highest cell in the grid is EGP 3.31, at a long-run export price above today's spot and a terminal rate below the sovereign's own short-term yield. Reaching EGP 13.98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-2.89 to 2.48</w:t>
            </w:r>
          </w:p>
        </w:tc>
        <w:tc>
          <w:tcPr>
            <w:tcW w:type="dxa" w:w="1152"/>
            <w:shd w:val="clear" w:color="auto" w:fill="F6F1E6"/>
          </w:tcPr>
          <w:p>
            <w:pPr>
              <w:spacing w:after="20"/>
              <w:jc w:val="right"/>
            </w:pPr>
            <w:r>
              <w:rPr>
                <w:b/>
                <w:color w:val="1C3A36"/>
                <w:sz w:val="16"/>
              </w:rPr>
              <w:t>5.37</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-0.63 to 3.43</w:t>
            </w:r>
          </w:p>
        </w:tc>
        <w:tc>
          <w:tcPr>
            <w:tcW w:type="dxa" w:w="1152"/>
          </w:tcPr>
          <w:p>
            <w:pPr>
              <w:spacing w:after="20"/>
              <w:jc w:val="right"/>
            </w:pPr>
            <w:r>
              <w:rPr>
                <w:color w:val="1C3A36"/>
                <w:sz w:val="16"/>
              </w:rPr>
              <w:t>4.05</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-2.51 to -0.63</w:t>
            </w:r>
          </w:p>
        </w:tc>
        <w:tc>
          <w:tcPr>
            <w:tcW w:type="dxa" w:w="1152"/>
          </w:tcPr>
          <w:p>
            <w:pPr>
              <w:spacing w:after="20"/>
              <w:jc w:val="right"/>
            </w:pPr>
            <w:r>
              <w:rPr>
                <w:color w:val="1C3A36"/>
                <w:sz w:val="16"/>
              </w:rPr>
              <w:t>1.88</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-0.54 to 0.31</w:t>
            </w:r>
          </w:p>
        </w:tc>
        <w:tc>
          <w:tcPr>
            <w:tcW w:type="dxa" w:w="1152"/>
          </w:tcPr>
          <w:p>
            <w:pPr>
              <w:spacing w:after="20"/>
              <w:jc w:val="right"/>
            </w:pPr>
            <w:r>
              <w:rPr>
                <w:color w:val="1C3A36"/>
                <w:sz w:val="16"/>
              </w:rPr>
              <w:t>0.85</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-0.63 to 0.17</w:t>
            </w:r>
          </w:p>
        </w:tc>
        <w:tc>
          <w:tcPr>
            <w:tcW w:type="dxa" w:w="1152"/>
          </w:tcPr>
          <w:p>
            <w:pPr>
              <w:spacing w:after="20"/>
              <w:jc w:val="right"/>
            </w:pPr>
            <w:r>
              <w:rPr>
                <w:color w:val="1C3A36"/>
                <w:sz w:val="16"/>
              </w:rPr>
              <w:t>0.80</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-1.42 to -0.63</w:t>
            </w:r>
          </w:p>
        </w:tc>
        <w:tc>
          <w:tcPr>
            <w:tcW w:type="dxa" w:w="1152"/>
          </w:tcPr>
          <w:p>
            <w:pPr>
              <w:spacing w:after="20"/>
              <w:jc w:val="right"/>
            </w:pPr>
            <w:r>
              <w:rPr>
                <w:color w:val="1C3A36"/>
                <w:sz w:val="16"/>
              </w:rPr>
              <w:t>0.79</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-0.63 to 0.10</w:t>
            </w:r>
          </w:p>
        </w:tc>
        <w:tc>
          <w:tcPr>
            <w:tcW w:type="dxa" w:w="1152"/>
          </w:tcPr>
          <w:p>
            <w:pPr>
              <w:spacing w:after="20"/>
              <w:jc w:val="right"/>
            </w:pPr>
            <w:r>
              <w:rPr>
                <w:color w:val="1C3A36"/>
                <w:sz w:val="16"/>
              </w:rPr>
              <w:t>0.73</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-1.06 to -0.63</w:t>
            </w:r>
          </w:p>
        </w:tc>
        <w:tc>
          <w:tcPr>
            <w:tcW w:type="dxa" w:w="1152"/>
          </w:tcPr>
          <w:p>
            <w:pPr>
              <w:spacing w:after="20"/>
              <w:jc w:val="right"/>
            </w:pPr>
            <w:r>
              <w:rPr>
                <w:color w:val="1C3A36"/>
                <w:sz w:val="16"/>
              </w:rPr>
              <w:t>0.44</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-0.63 to -0.40</w:t>
            </w:r>
          </w:p>
        </w:tc>
        <w:tc>
          <w:tcPr>
            <w:tcW w:type="dxa" w:w="1152"/>
          </w:tcPr>
          <w:p>
            <w:pPr>
              <w:spacing w:after="20"/>
              <w:jc w:val="right"/>
            </w:pPr>
            <w:r>
              <w:rPr>
                <w:color w:val="1C3A36"/>
                <w:sz w:val="16"/>
              </w:rPr>
              <w:t>0.23</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5.0% against 3.0%</w:t>
            </w:r>
          </w:p>
        </w:tc>
        <w:tc>
          <w:tcPr>
            <w:tcW w:type="dxa" w:w="2160"/>
          </w:tcPr>
          <w:p>
            <w:pPr>
              <w:spacing w:after="20"/>
              <w:jc w:val="right"/>
            </w:pPr>
            <w:r>
              <w:rPr>
                <w:color w:val="1C3A36"/>
                <w:sz w:val="16"/>
              </w:rPr>
              <w:t>-0.67 to -0.63</w:t>
            </w:r>
          </w:p>
        </w:tc>
        <w:tc>
          <w:tcPr>
            <w:tcW w:type="dxa" w:w="1152"/>
          </w:tcPr>
          <w:p>
            <w:pPr>
              <w:spacing w:after="20"/>
              <w:jc w:val="right"/>
            </w:pPr>
            <w:r>
              <w:rPr>
                <w:color w:val="1C3A36"/>
                <w:sz w:val="16"/>
              </w:rPr>
              <w:t>0.04</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0.17 instead of EGP -0.63.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today's</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-0.63</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3.43</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4.05</w:t>
            </w:r>
          </w:p>
        </w:tc>
      </w:tr>
      <w:tr>
        <w:trPr>
          <w:cantSplit/>
        </w:trPr>
        <w:tc>
          <w:tcPr>
            <w:tcW w:type="dxa" w:w="2448"/>
          </w:tcPr>
          <w:p>
            <w:pPr>
              <w:spacing w:after="20"/>
            </w:pPr>
            <w:r>
              <w:rPr>
                <w:color w:val="1C3A36"/>
                <w:sz w:val="16"/>
              </w:rPr>
              <w:t>Book value and sustainable return</w:t>
            </w:r>
          </w:p>
        </w:tc>
        <w:tc>
          <w:tcPr>
            <w:tcW w:type="dxa" w:w="1224"/>
          </w:tcPr>
          <w:p>
            <w:pPr>
              <w:spacing w:after="20"/>
              <w:jc w:val="right"/>
            </w:pPr>
            <w:r>
              <w:rPr>
                <w:color w:val="1C3A36"/>
                <w:sz w:val="16"/>
              </w:rPr>
              <w:t>0.58</w:t>
            </w:r>
          </w:p>
        </w:tc>
        <w:tc>
          <w:tcPr>
            <w:tcW w:type="dxa" w:w="3456"/>
          </w:tcPr>
          <w:p>
            <w:pPr>
              <w:spacing w:after="20"/>
            </w:pPr>
            <w:r>
              <w:rPr>
                <w:color w:val="1C3A36"/>
                <w:sz w:val="16"/>
              </w:rPr>
              <w:t>That the historic return on equity persists</w:t>
            </w:r>
          </w:p>
        </w:tc>
        <w:tc>
          <w:tcPr>
            <w:tcW w:type="dxa" w:w="2952"/>
          </w:tcPr>
          <w:p>
            <w:pPr>
              <w:spacing w:after="20"/>
            </w:pPr>
            <w:r>
              <w:rPr>
                <w:color w:val="1C3A36"/>
                <w:sz w:val="16"/>
              </w:rPr>
              <w:t>Nothing — it agrees, from the other direction, that the business does not earn its cost of capital</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15.47</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15.47 should be read as what the shares would be worth if the programme were free — which it is not. The multiple lens does reach EGP 13.98,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7.8%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31.0%,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1.88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0.30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27.8% of terminal operating profit after tax back into the business every year for ever — on a plant that has just been rebuilt and needs no further building. A thirty per cent return on capital, which is what a newly completed line earns while it is still filling, is worth EGP 0.27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66.9% of enterprise value on the carried-through case and 33.0% on the stopped case. The explicit years are a construction window: free cash flow to the firm is positive in 3 of the five years and negative in the other 2, and their present value is EGP 1,740 million against a terminal block of EGP 3,512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11,310</w:t>
            </w:r>
          </w:p>
        </w:tc>
        <w:tc>
          <w:tcPr>
            <w:tcW w:type="dxa" w:w="893"/>
          </w:tcPr>
          <w:p>
            <w:pPr>
              <w:spacing w:after="20"/>
              <w:jc w:val="right"/>
            </w:pPr>
            <w:r>
              <w:rPr>
                <w:color w:val="1C3A36"/>
                <w:sz w:val="14"/>
              </w:rPr>
              <w:t>11,400</w:t>
            </w:r>
          </w:p>
        </w:tc>
        <w:tc>
          <w:tcPr>
            <w:tcW w:type="dxa" w:w="893"/>
          </w:tcPr>
          <w:p>
            <w:pPr>
              <w:spacing w:after="20"/>
              <w:jc w:val="right"/>
            </w:pPr>
            <w:r>
              <w:rPr>
                <w:color w:val="1C3A36"/>
                <w:sz w:val="14"/>
              </w:rPr>
              <w:t>11,352</w:t>
            </w:r>
          </w:p>
        </w:tc>
        <w:tc>
          <w:tcPr>
            <w:tcW w:type="dxa" w:w="893"/>
          </w:tcPr>
          <w:p>
            <w:pPr>
              <w:spacing w:after="20"/>
              <w:jc w:val="right"/>
            </w:pPr>
            <w:r>
              <w:rPr>
                <w:color w:val="1C3A36"/>
                <w:sz w:val="14"/>
              </w:rPr>
              <w:t>11,406</w:t>
            </w:r>
          </w:p>
        </w:tc>
        <w:tc>
          <w:tcPr>
            <w:tcW w:type="dxa" w:w="893"/>
          </w:tcPr>
          <w:p>
            <w:pPr>
              <w:spacing w:after="20"/>
              <w:jc w:val="right"/>
            </w:pPr>
            <w:r>
              <w:rPr>
                <w:color w:val="1C3A36"/>
                <w:sz w:val="14"/>
              </w:rPr>
              <w:t>11,654</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6,146</w:t>
            </w:r>
          </w:p>
        </w:tc>
        <w:tc>
          <w:tcPr>
            <w:tcW w:type="dxa" w:w="893"/>
          </w:tcPr>
          <w:p>
            <w:pPr>
              <w:spacing w:after="20"/>
              <w:jc w:val="right"/>
            </w:pPr>
            <w:r>
              <w:rPr>
                <w:color w:val="1C3A36"/>
                <w:sz w:val="14"/>
              </w:rPr>
              <w:t>6,590</w:t>
            </w:r>
          </w:p>
        </w:tc>
        <w:tc>
          <w:tcPr>
            <w:tcW w:type="dxa" w:w="893"/>
          </w:tcPr>
          <w:p>
            <w:pPr>
              <w:spacing w:after="20"/>
              <w:jc w:val="right"/>
            </w:pPr>
            <w:r>
              <w:rPr>
                <w:color w:val="1C3A36"/>
                <w:sz w:val="14"/>
              </w:rPr>
              <w:t>7,012</w:t>
            </w:r>
          </w:p>
        </w:tc>
        <w:tc>
          <w:tcPr>
            <w:tcW w:type="dxa" w:w="893"/>
          </w:tcPr>
          <w:p>
            <w:pPr>
              <w:spacing w:after="20"/>
              <w:jc w:val="right"/>
            </w:pPr>
            <w:r>
              <w:rPr>
                <w:color w:val="1C3A36"/>
                <w:sz w:val="14"/>
              </w:rPr>
              <w:t>7,406</w:t>
            </w:r>
          </w:p>
        </w:tc>
        <w:tc>
          <w:tcPr>
            <w:tcW w:type="dxa" w:w="893"/>
          </w:tcPr>
          <w:p>
            <w:pPr>
              <w:spacing w:after="20"/>
              <w:jc w:val="right"/>
            </w:pPr>
            <w:r>
              <w:rPr>
                <w:color w:val="1C3A36"/>
                <w:sz w:val="14"/>
              </w:rPr>
              <w:t>7,806</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5,165</w:t>
            </w:r>
          </w:p>
        </w:tc>
        <w:tc>
          <w:tcPr>
            <w:tcW w:type="dxa" w:w="893"/>
            <w:shd w:val="clear" w:color="auto" w:fill="F6F1E6"/>
          </w:tcPr>
          <w:p>
            <w:pPr>
              <w:spacing w:after="20"/>
              <w:jc w:val="right"/>
            </w:pPr>
            <w:r>
              <w:rPr>
                <w:b/>
                <w:color w:val="1C3A36"/>
                <w:sz w:val="14"/>
              </w:rPr>
              <w:t>4,810</w:t>
            </w:r>
          </w:p>
        </w:tc>
        <w:tc>
          <w:tcPr>
            <w:tcW w:type="dxa" w:w="893"/>
            <w:shd w:val="clear" w:color="auto" w:fill="F6F1E6"/>
          </w:tcPr>
          <w:p>
            <w:pPr>
              <w:spacing w:after="20"/>
              <w:jc w:val="right"/>
            </w:pPr>
            <w:r>
              <w:rPr>
                <w:b/>
                <w:color w:val="1C3A36"/>
                <w:sz w:val="14"/>
              </w:rPr>
              <w:t>4,340</w:t>
            </w:r>
          </w:p>
        </w:tc>
        <w:tc>
          <w:tcPr>
            <w:tcW w:type="dxa" w:w="893"/>
            <w:shd w:val="clear" w:color="auto" w:fill="F6F1E6"/>
          </w:tcPr>
          <w:p>
            <w:pPr>
              <w:spacing w:after="20"/>
              <w:jc w:val="right"/>
            </w:pPr>
            <w:r>
              <w:rPr>
                <w:b/>
                <w:color w:val="1C3A36"/>
                <w:sz w:val="14"/>
              </w:rPr>
              <w:t>4,000</w:t>
            </w:r>
          </w:p>
        </w:tc>
        <w:tc>
          <w:tcPr>
            <w:tcW w:type="dxa" w:w="893"/>
            <w:shd w:val="clear" w:color="auto" w:fill="F6F1E6"/>
          </w:tcPr>
          <w:p>
            <w:pPr>
              <w:spacing w:after="20"/>
              <w:jc w:val="right"/>
            </w:pPr>
            <w:r>
              <w:rPr>
                <w:b/>
                <w:color w:val="1C3A36"/>
                <w:sz w:val="14"/>
              </w:rPr>
              <w:t>3,848</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826</w:t>
            </w:r>
          </w:p>
        </w:tc>
        <w:tc>
          <w:tcPr>
            <w:tcW w:type="dxa" w:w="893"/>
          </w:tcPr>
          <w:p>
            <w:pPr>
              <w:spacing w:after="20"/>
              <w:jc w:val="right"/>
            </w:pPr>
            <w:r>
              <w:rPr>
                <w:color w:val="1C3A36"/>
                <w:sz w:val="14"/>
              </w:rPr>
              <w:t>882</w:t>
            </w:r>
          </w:p>
        </w:tc>
        <w:tc>
          <w:tcPr>
            <w:tcW w:type="dxa" w:w="893"/>
          </w:tcPr>
          <w:p>
            <w:pPr>
              <w:spacing w:after="20"/>
              <w:jc w:val="right"/>
            </w:pPr>
            <w:r>
              <w:rPr>
                <w:color w:val="1C3A36"/>
                <w:sz w:val="14"/>
              </w:rPr>
              <w:t>932</w:t>
            </w:r>
          </w:p>
        </w:tc>
        <w:tc>
          <w:tcPr>
            <w:tcW w:type="dxa" w:w="893"/>
          </w:tcPr>
          <w:p>
            <w:pPr>
              <w:spacing w:after="20"/>
              <w:jc w:val="right"/>
            </w:pPr>
            <w:r>
              <w:rPr>
                <w:color w:val="1C3A36"/>
                <w:sz w:val="14"/>
              </w:rPr>
              <w:t>977</w:t>
            </w:r>
          </w:p>
        </w:tc>
        <w:tc>
          <w:tcPr>
            <w:tcW w:type="dxa" w:w="893"/>
          </w:tcPr>
          <w:p>
            <w:pPr>
              <w:spacing w:after="20"/>
              <w:jc w:val="right"/>
            </w:pPr>
            <w:r>
              <w:rPr>
                <w:color w:val="1C3A36"/>
                <w:sz w:val="14"/>
              </w:rPr>
              <w:t>1,023</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396</w:t>
            </w:r>
          </w:p>
        </w:tc>
        <w:tc>
          <w:tcPr>
            <w:tcW w:type="dxa" w:w="893"/>
          </w:tcPr>
          <w:p>
            <w:pPr>
              <w:spacing w:after="20"/>
              <w:jc w:val="right"/>
            </w:pPr>
            <w:r>
              <w:rPr>
                <w:color w:val="1C3A36"/>
                <w:sz w:val="14"/>
              </w:rPr>
              <w:t>423</w:t>
            </w:r>
          </w:p>
        </w:tc>
        <w:tc>
          <w:tcPr>
            <w:tcW w:type="dxa" w:w="893"/>
          </w:tcPr>
          <w:p>
            <w:pPr>
              <w:spacing w:after="20"/>
              <w:jc w:val="right"/>
            </w:pPr>
            <w:r>
              <w:rPr>
                <w:color w:val="1C3A36"/>
                <w:sz w:val="14"/>
              </w:rPr>
              <w:t>449</w:t>
            </w:r>
          </w:p>
        </w:tc>
        <w:tc>
          <w:tcPr>
            <w:tcW w:type="dxa" w:w="893"/>
          </w:tcPr>
          <w:p>
            <w:pPr>
              <w:spacing w:after="20"/>
              <w:jc w:val="right"/>
            </w:pPr>
            <w:r>
              <w:rPr>
                <w:color w:val="1C3A36"/>
                <w:sz w:val="14"/>
              </w:rPr>
              <w:t>471</w:t>
            </w:r>
          </w:p>
        </w:tc>
        <w:tc>
          <w:tcPr>
            <w:tcW w:type="dxa" w:w="893"/>
          </w:tcPr>
          <w:p>
            <w:pPr>
              <w:spacing w:after="20"/>
              <w:jc w:val="right"/>
            </w:pPr>
            <w:r>
              <w:rPr>
                <w:color w:val="1C3A36"/>
                <w:sz w:val="14"/>
              </w:rPr>
              <w:t>495</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3,793</w:t>
            </w:r>
          </w:p>
        </w:tc>
        <w:tc>
          <w:tcPr>
            <w:tcW w:type="dxa" w:w="893"/>
            <w:shd w:val="clear" w:color="auto" w:fill="F6F1E6"/>
          </w:tcPr>
          <w:p>
            <w:pPr>
              <w:spacing w:after="20"/>
              <w:jc w:val="right"/>
            </w:pPr>
            <w:r>
              <w:rPr>
                <w:b/>
                <w:color w:val="1C3A36"/>
                <w:sz w:val="14"/>
              </w:rPr>
              <w:t>3,385</w:t>
            </w:r>
          </w:p>
        </w:tc>
        <w:tc>
          <w:tcPr>
            <w:tcW w:type="dxa" w:w="893"/>
            <w:shd w:val="clear" w:color="auto" w:fill="F6F1E6"/>
          </w:tcPr>
          <w:p>
            <w:pPr>
              <w:spacing w:after="20"/>
              <w:jc w:val="right"/>
            </w:pPr>
            <w:r>
              <w:rPr>
                <w:b/>
                <w:color w:val="1C3A36"/>
                <w:sz w:val="14"/>
              </w:rPr>
              <w:t>2,859</w:t>
            </w:r>
          </w:p>
        </w:tc>
        <w:tc>
          <w:tcPr>
            <w:tcW w:type="dxa" w:w="893"/>
            <w:shd w:val="clear" w:color="auto" w:fill="F6F1E6"/>
          </w:tcPr>
          <w:p>
            <w:pPr>
              <w:spacing w:after="20"/>
              <w:jc w:val="right"/>
            </w:pPr>
            <w:r>
              <w:rPr>
                <w:b/>
                <w:color w:val="1C3A36"/>
                <w:sz w:val="14"/>
              </w:rPr>
              <w:t>2,463</w:t>
            </w:r>
          </w:p>
        </w:tc>
        <w:tc>
          <w:tcPr>
            <w:tcW w:type="dxa" w:w="893"/>
            <w:shd w:val="clear" w:color="auto" w:fill="F6F1E6"/>
          </w:tcPr>
          <w:p>
            <w:pPr>
              <w:spacing w:after="20"/>
              <w:jc w:val="right"/>
            </w:pPr>
            <w:r>
              <w:rPr>
                <w:b/>
                <w:color w:val="1C3A36"/>
                <w:sz w:val="14"/>
              </w:rPr>
              <w:t>2,250</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4,684</w:t>
            </w:r>
          </w:p>
        </w:tc>
        <w:tc>
          <w:tcPr>
            <w:tcW w:type="dxa" w:w="893"/>
            <w:shd w:val="clear" w:color="auto" w:fill="F6F1E6"/>
          </w:tcPr>
          <w:p>
            <w:pPr>
              <w:spacing w:after="20"/>
              <w:jc w:val="right"/>
            </w:pPr>
            <w:r>
              <w:rPr>
                <w:b/>
                <w:color w:val="1C3A36"/>
                <w:sz w:val="14"/>
              </w:rPr>
              <w:t>4,394</w:t>
            </w:r>
          </w:p>
        </w:tc>
        <w:tc>
          <w:tcPr>
            <w:tcW w:type="dxa" w:w="893"/>
            <w:shd w:val="clear" w:color="auto" w:fill="F6F1E6"/>
          </w:tcPr>
          <w:p>
            <w:pPr>
              <w:spacing w:after="20"/>
              <w:jc w:val="right"/>
            </w:pPr>
            <w:r>
              <w:rPr>
                <w:b/>
                <w:color w:val="1C3A36"/>
                <w:sz w:val="14"/>
              </w:rPr>
              <w:t>4,006</w:t>
            </w:r>
          </w:p>
        </w:tc>
        <w:tc>
          <w:tcPr>
            <w:tcW w:type="dxa" w:w="893"/>
            <w:shd w:val="clear" w:color="auto" w:fill="F6F1E6"/>
          </w:tcPr>
          <w:p>
            <w:pPr>
              <w:spacing w:after="20"/>
              <w:jc w:val="right"/>
            </w:pPr>
            <w:r>
              <w:rPr>
                <w:b/>
                <w:color w:val="1C3A36"/>
                <w:sz w:val="14"/>
              </w:rPr>
              <w:t>3,755</w:t>
            </w:r>
          </w:p>
        </w:tc>
        <w:tc>
          <w:tcPr>
            <w:tcW w:type="dxa" w:w="893"/>
            <w:shd w:val="clear" w:color="auto" w:fill="F6F1E6"/>
          </w:tcPr>
          <w:p>
            <w:pPr>
              <w:spacing w:after="20"/>
              <w:jc w:val="right"/>
            </w:pPr>
            <w:r>
              <w:rPr>
                <w:b/>
                <w:color w:val="1C3A36"/>
                <w:sz w:val="14"/>
              </w:rPr>
              <w:t>3,684</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42.2%</w:t>
            </w:r>
          </w:p>
        </w:tc>
        <w:tc>
          <w:tcPr>
            <w:tcW w:type="dxa" w:w="893"/>
          </w:tcPr>
          <w:p>
            <w:pPr>
              <w:spacing w:after="20"/>
              <w:jc w:val="right"/>
            </w:pPr>
            <w:r>
              <w:rPr>
                <w:color w:val="1C3A36"/>
                <w:sz w:val="14"/>
              </w:rPr>
              <w:t>38.2%</w:t>
            </w:r>
          </w:p>
        </w:tc>
        <w:tc>
          <w:tcPr>
            <w:tcW w:type="dxa" w:w="893"/>
          </w:tcPr>
          <w:p>
            <w:pPr>
              <w:spacing w:after="20"/>
              <w:jc w:val="right"/>
            </w:pPr>
            <w:r>
              <w:rPr>
                <w:color w:val="1C3A36"/>
                <w:sz w:val="14"/>
              </w:rPr>
              <w:t>35.1%</w:t>
            </w:r>
          </w:p>
        </w:tc>
        <w:tc>
          <w:tcPr>
            <w:tcW w:type="dxa" w:w="893"/>
          </w:tcPr>
          <w:p>
            <w:pPr>
              <w:spacing w:after="20"/>
              <w:jc w:val="right"/>
            </w:pPr>
            <w:r>
              <w:rPr>
                <w:color w:val="1C3A36"/>
                <w:sz w:val="14"/>
              </w:rPr>
              <w:t>33.0%</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41.4%</w:t>
            </w:r>
          </w:p>
        </w:tc>
        <w:tc>
          <w:tcPr>
            <w:tcW w:type="dxa" w:w="893"/>
          </w:tcPr>
          <w:p>
            <w:pPr>
              <w:spacing w:after="20"/>
              <w:jc w:val="right"/>
            </w:pPr>
            <w:r>
              <w:rPr>
                <w:color w:val="1C3A36"/>
                <w:sz w:val="14"/>
              </w:rPr>
              <w:t>38.5%</w:t>
            </w:r>
          </w:p>
        </w:tc>
        <w:tc>
          <w:tcPr>
            <w:tcW w:type="dxa" w:w="893"/>
          </w:tcPr>
          <w:p>
            <w:pPr>
              <w:spacing w:after="20"/>
              <w:jc w:val="right"/>
            </w:pPr>
            <w:r>
              <w:rPr>
                <w:color w:val="1C3A36"/>
                <w:sz w:val="14"/>
              </w:rPr>
              <w:t>35.3%</w:t>
            </w:r>
          </w:p>
        </w:tc>
        <w:tc>
          <w:tcPr>
            <w:tcW w:type="dxa" w:w="893"/>
          </w:tcPr>
          <w:p>
            <w:pPr>
              <w:spacing w:after="20"/>
              <w:jc w:val="right"/>
            </w:pPr>
            <w:r>
              <w:rPr>
                <w:color w:val="1C3A36"/>
                <w:sz w:val="14"/>
              </w:rPr>
              <w:t>32.9%</w:t>
            </w:r>
          </w:p>
        </w:tc>
        <w:tc>
          <w:tcPr>
            <w:tcW w:type="dxa" w:w="893"/>
          </w:tcPr>
          <w:p>
            <w:pPr>
              <w:spacing w:after="20"/>
              <w:jc w:val="right"/>
            </w:pPr>
            <w:r>
              <w:rPr>
                <w:color w:val="1C3A36"/>
                <w:sz w:val="14"/>
              </w:rPr>
              <w:t>31.6%</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2,725</w:t>
            </w:r>
          </w:p>
        </w:tc>
        <w:tc>
          <w:tcPr>
            <w:tcW w:type="dxa" w:w="1426"/>
          </w:tcPr>
          <w:p>
            <w:pPr>
              <w:spacing w:after="20"/>
              <w:jc w:val="right"/>
            </w:pPr>
            <w:r>
              <w:rPr>
                <w:color w:val="1C3A36"/>
                <w:sz w:val="16"/>
              </w:rPr>
              <w:t>3,227</w:t>
            </w:r>
          </w:p>
        </w:tc>
        <w:tc>
          <w:tcPr>
            <w:tcW w:type="dxa" w:w="1426"/>
          </w:tcPr>
          <w:p>
            <w:pPr>
              <w:spacing w:after="20"/>
              <w:jc w:val="right"/>
            </w:pPr>
            <w:r>
              <w:rPr>
                <w:color w:val="1C3A36"/>
                <w:sz w:val="16"/>
              </w:rPr>
              <w:t>3,427</w:t>
            </w:r>
          </w:p>
        </w:tc>
        <w:tc>
          <w:tcPr>
            <w:tcW w:type="dxa" w:w="1426"/>
          </w:tcPr>
          <w:p>
            <w:pPr>
              <w:spacing w:after="20"/>
              <w:jc w:val="right"/>
            </w:pPr>
            <w:r>
              <w:rPr>
                <w:color w:val="1C3A36"/>
                <w:sz w:val="16"/>
              </w:rPr>
              <w:t>3,327</w:t>
            </w:r>
          </w:p>
        </w:tc>
        <w:tc>
          <w:tcPr>
            <w:tcW w:type="dxa" w:w="1426"/>
          </w:tcPr>
          <w:p>
            <w:pPr>
              <w:spacing w:after="20"/>
              <w:jc w:val="right"/>
            </w:pPr>
            <w:r>
              <w:rPr>
                <w:color w:val="1C3A36"/>
                <w:sz w:val="16"/>
              </w:rPr>
              <w:t>2,619</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830</w:t>
            </w:r>
          </w:p>
        </w:tc>
        <w:tc>
          <w:tcPr>
            <w:tcW w:type="dxa" w:w="1426"/>
          </w:tcPr>
          <w:p>
            <w:pPr>
              <w:spacing w:after="20"/>
              <w:jc w:val="right"/>
            </w:pPr>
            <w:r>
              <w:rPr>
                <w:color w:val="1C3A36"/>
                <w:sz w:val="16"/>
              </w:rPr>
              <w:t>836</w:t>
            </w:r>
          </w:p>
        </w:tc>
        <w:tc>
          <w:tcPr>
            <w:tcW w:type="dxa" w:w="1426"/>
          </w:tcPr>
          <w:p>
            <w:pPr>
              <w:spacing w:after="20"/>
              <w:jc w:val="right"/>
            </w:pPr>
            <w:r>
              <w:rPr>
                <w:color w:val="1C3A36"/>
                <w:sz w:val="16"/>
              </w:rPr>
              <w:t>833</w:t>
            </w:r>
          </w:p>
        </w:tc>
        <w:tc>
          <w:tcPr>
            <w:tcW w:type="dxa" w:w="1426"/>
          </w:tcPr>
          <w:p>
            <w:pPr>
              <w:spacing w:after="20"/>
              <w:jc w:val="right"/>
            </w:pPr>
            <w:r>
              <w:rPr>
                <w:color w:val="1C3A36"/>
                <w:sz w:val="16"/>
              </w:rPr>
              <w:t>837</w:t>
            </w:r>
          </w:p>
        </w:tc>
        <w:tc>
          <w:tcPr>
            <w:tcW w:type="dxa" w:w="1426"/>
          </w:tcPr>
          <w:p>
            <w:pPr>
              <w:spacing w:after="20"/>
              <w:jc w:val="right"/>
            </w:pPr>
            <w:r>
              <w:rPr>
                <w:color w:val="1C3A36"/>
                <w:sz w:val="16"/>
              </w:rPr>
              <w:t>855</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2,782</w:t>
            </w:r>
          </w:p>
        </w:tc>
        <w:tc>
          <w:tcPr>
            <w:tcW w:type="dxa" w:w="1426"/>
          </w:tcPr>
          <w:p>
            <w:pPr>
              <w:spacing w:after="20"/>
              <w:jc w:val="right"/>
            </w:pPr>
            <w:r>
              <w:rPr>
                <w:color w:val="1C3A36"/>
                <w:sz w:val="16"/>
              </w:rPr>
              <w:t>2,983</w:t>
            </w:r>
          </w:p>
        </w:tc>
        <w:tc>
          <w:tcPr>
            <w:tcW w:type="dxa" w:w="1426"/>
          </w:tcPr>
          <w:p>
            <w:pPr>
              <w:spacing w:after="20"/>
              <w:jc w:val="right"/>
            </w:pPr>
            <w:r>
              <w:rPr>
                <w:color w:val="1C3A36"/>
                <w:sz w:val="16"/>
              </w:rPr>
              <w:t>3,175</w:t>
            </w:r>
          </w:p>
        </w:tc>
        <w:tc>
          <w:tcPr>
            <w:tcW w:type="dxa" w:w="1426"/>
          </w:tcPr>
          <w:p>
            <w:pPr>
              <w:spacing w:after="20"/>
              <w:jc w:val="right"/>
            </w:pPr>
            <w:r>
              <w:rPr>
                <w:color w:val="1C3A36"/>
                <w:sz w:val="16"/>
              </w:rPr>
              <w:t>3,353</w:t>
            </w:r>
          </w:p>
        </w:tc>
        <w:tc>
          <w:tcPr>
            <w:tcW w:type="dxa" w:w="1426"/>
          </w:tcPr>
          <w:p>
            <w:pPr>
              <w:spacing w:after="20"/>
              <w:jc w:val="right"/>
            </w:pPr>
            <w:r>
              <w:rPr>
                <w:color w:val="1C3A36"/>
                <w:sz w:val="16"/>
              </w:rPr>
              <w:t>3,534</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1,400</w:t>
            </w:r>
          </w:p>
        </w:tc>
        <w:tc>
          <w:tcPr>
            <w:tcW w:type="dxa" w:w="1426"/>
          </w:tcPr>
          <w:p>
            <w:pPr>
              <w:spacing w:after="20"/>
              <w:jc w:val="right"/>
            </w:pPr>
            <w:r>
              <w:rPr>
                <w:color w:val="1C3A36"/>
                <w:sz w:val="16"/>
              </w:rPr>
              <w:t>1,502</w:t>
            </w:r>
          </w:p>
        </w:tc>
        <w:tc>
          <w:tcPr>
            <w:tcW w:type="dxa" w:w="1426"/>
          </w:tcPr>
          <w:p>
            <w:pPr>
              <w:spacing w:after="20"/>
              <w:jc w:val="right"/>
            </w:pPr>
            <w:r>
              <w:rPr>
                <w:color w:val="1C3A36"/>
                <w:sz w:val="16"/>
              </w:rPr>
              <w:t>1,598</w:t>
            </w:r>
          </w:p>
        </w:tc>
        <w:tc>
          <w:tcPr>
            <w:tcW w:type="dxa" w:w="1426"/>
          </w:tcPr>
          <w:p>
            <w:pPr>
              <w:spacing w:after="20"/>
              <w:jc w:val="right"/>
            </w:pPr>
            <w:r>
              <w:rPr>
                <w:color w:val="1C3A36"/>
                <w:sz w:val="16"/>
              </w:rPr>
              <w:t>1,688</w:t>
            </w:r>
          </w:p>
        </w:tc>
        <w:tc>
          <w:tcPr>
            <w:tcW w:type="dxa" w:w="1426"/>
          </w:tcPr>
          <w:p>
            <w:pPr>
              <w:spacing w:after="20"/>
              <w:jc w:val="right"/>
            </w:pPr>
            <w:r>
              <w:rPr>
                <w:color w:val="1C3A36"/>
                <w:sz w:val="16"/>
              </w:rPr>
              <w:t>1,779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2,212</w:t>
            </w:r>
          </w:p>
        </w:tc>
        <w:tc>
          <w:tcPr>
            <w:tcW w:type="dxa" w:w="1426"/>
          </w:tcPr>
          <w:p>
            <w:pPr>
              <w:spacing w:after="20"/>
              <w:jc w:val="right"/>
            </w:pPr>
            <w:r>
              <w:rPr>
                <w:color w:val="1C3A36"/>
                <w:sz w:val="16"/>
              </w:rPr>
              <w:t>2,318</w:t>
            </w:r>
          </w:p>
        </w:tc>
        <w:tc>
          <w:tcPr>
            <w:tcW w:type="dxa" w:w="1426"/>
          </w:tcPr>
          <w:p>
            <w:pPr>
              <w:spacing w:after="20"/>
              <w:jc w:val="right"/>
            </w:pPr>
            <w:r>
              <w:rPr>
                <w:color w:val="1C3A36"/>
                <w:sz w:val="16"/>
              </w:rPr>
              <w:t>2,410</w:t>
            </w:r>
          </w:p>
        </w:tc>
        <w:tc>
          <w:tcPr>
            <w:tcW w:type="dxa" w:w="1426"/>
          </w:tcPr>
          <w:p>
            <w:pPr>
              <w:spacing w:after="20"/>
              <w:jc w:val="right"/>
            </w:pPr>
            <w:r>
              <w:rPr>
                <w:color w:val="1C3A36"/>
                <w:sz w:val="16"/>
              </w:rPr>
              <w:t>2,502</w:t>
            </w:r>
          </w:p>
        </w:tc>
        <w:tc>
          <w:tcPr>
            <w:tcW w:type="dxa" w:w="1426"/>
          </w:tcPr>
          <w:p>
            <w:pPr>
              <w:spacing w:after="20"/>
              <w:jc w:val="right"/>
            </w:pPr>
            <w:r>
              <w:rPr>
                <w:color w:val="1C3A36"/>
                <w:sz w:val="16"/>
              </w:rPr>
              <w:t>2,610</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-858</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92</w:t>
            </w:r>
          </w:p>
        </w:tc>
        <w:tc>
          <w:tcPr>
            <w:tcW w:type="dxa" w:w="1426"/>
          </w:tcPr>
          <w:p>
            <w:pPr>
              <w:spacing w:after="20"/>
              <w:jc w:val="right"/>
            </w:pPr>
            <w:r>
              <w:rPr>
                <w:color w:val="1C3A36"/>
                <w:sz w:val="16"/>
              </w:rPr>
              <w:t>92</w:t>
            </w:r>
          </w:p>
        </w:tc>
        <w:tc>
          <w:tcPr>
            <w:tcW w:type="dxa" w:w="1426"/>
          </w:tcPr>
          <w:p>
            <w:pPr>
              <w:spacing w:after="20"/>
              <w:jc w:val="right"/>
            </w:pPr>
            <w:r>
              <w:rPr>
                <w:color w:val="1C3A36"/>
                <w:sz w:val="16"/>
              </w:rPr>
              <w:t>108</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1,963</w:t>
            </w:r>
          </w:p>
        </w:tc>
        <w:tc>
          <w:tcPr>
            <w:tcW w:type="dxa" w:w="1426"/>
            <w:shd w:val="clear" w:color="auto" w:fill="F6F1E6"/>
          </w:tcPr>
          <w:p>
            <w:pPr>
              <w:spacing w:after="20"/>
              <w:jc w:val="right"/>
            </w:pPr>
            <w:r>
              <w:rPr>
                <w:b/>
                <w:color w:val="1C3A36"/>
                <w:sz w:val="16"/>
              </w:rPr>
              <w:t>298</w:t>
            </w:r>
          </w:p>
        </w:tc>
        <w:tc>
          <w:tcPr>
            <w:tcW w:type="dxa" w:w="1426"/>
            <w:shd w:val="clear" w:color="auto" w:fill="F6F1E6"/>
          </w:tcPr>
          <w:p>
            <w:pPr>
              <w:spacing w:after="20"/>
              <w:jc w:val="right"/>
            </w:pPr>
            <w:r>
              <w:rPr>
                <w:b/>
                <w:color w:val="1C3A36"/>
                <w:sz w:val="16"/>
              </w:rPr>
              <w:t>-156</w:t>
            </w:r>
          </w:p>
        </w:tc>
        <w:tc>
          <w:tcPr>
            <w:tcW w:type="dxa" w:w="1426"/>
            <w:shd w:val="clear" w:color="auto" w:fill="F6F1E6"/>
          </w:tcPr>
          <w:p>
            <w:pPr>
              <w:spacing w:after="20"/>
              <w:jc w:val="right"/>
            </w:pPr>
            <w:r>
              <w:rPr>
                <w:b/>
                <w:color w:val="1C3A36"/>
                <w:sz w:val="16"/>
              </w:rPr>
              <w:t>-219</w:t>
            </w:r>
          </w:p>
        </w:tc>
        <w:tc>
          <w:tcPr>
            <w:tcW w:type="dxa" w:w="1426"/>
            <w:shd w:val="clear" w:color="auto" w:fill="F6F1E6"/>
          </w:tcPr>
          <w:p>
            <w:pPr>
              <w:spacing w:after="20"/>
              <w:jc w:val="right"/>
            </w:pPr>
            <w:r>
              <w:rPr>
                <w:b/>
                <w:color w:val="1C3A36"/>
                <w:sz w:val="16"/>
              </w:rPr>
              <w:t>450</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11,352</w:t>
            </w:r>
          </w:p>
        </w:tc>
        <w:tc>
          <w:tcPr>
            <w:tcW w:type="dxa" w:w="2016"/>
          </w:tcPr>
          <w:p>
            <w:pPr>
              <w:spacing w:after="20"/>
              <w:jc w:val="right"/>
            </w:pPr>
            <w:r>
              <w:rPr>
                <w:color w:val="1C3A36"/>
                <w:sz w:val="16"/>
              </w:rPr>
              <w:t>11,406</w:t>
            </w:r>
          </w:p>
        </w:tc>
        <w:tc>
          <w:tcPr>
            <w:tcW w:type="dxa" w:w="2016"/>
          </w:tcPr>
          <w:p>
            <w:pPr>
              <w:spacing w:after="20"/>
              <w:jc w:val="right"/>
            </w:pPr>
            <w:r>
              <w:rPr>
                <w:color w:val="1C3A36"/>
                <w:sz w:val="16"/>
              </w:rPr>
              <w:t>11,654</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4,340</w:t>
            </w:r>
          </w:p>
        </w:tc>
        <w:tc>
          <w:tcPr>
            <w:tcW w:type="dxa" w:w="2016"/>
          </w:tcPr>
          <w:p>
            <w:pPr>
              <w:spacing w:after="20"/>
              <w:jc w:val="right"/>
            </w:pPr>
            <w:r>
              <w:rPr>
                <w:color w:val="1C3A36"/>
                <w:sz w:val="16"/>
              </w:rPr>
              <w:t>4,000</w:t>
            </w:r>
          </w:p>
        </w:tc>
        <w:tc>
          <w:tcPr>
            <w:tcW w:type="dxa" w:w="2016"/>
          </w:tcPr>
          <w:p>
            <w:pPr>
              <w:spacing w:after="20"/>
              <w:jc w:val="right"/>
            </w:pPr>
            <w:r>
              <w:rPr>
                <w:color w:val="1C3A36"/>
                <w:sz w:val="16"/>
              </w:rPr>
              <w:t>3,848</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4,006</w:t>
            </w:r>
          </w:p>
        </w:tc>
        <w:tc>
          <w:tcPr>
            <w:tcW w:type="dxa" w:w="2016"/>
            <w:shd w:val="clear" w:color="auto" w:fill="F6F1E6"/>
          </w:tcPr>
          <w:p>
            <w:pPr>
              <w:spacing w:after="20"/>
              <w:jc w:val="right"/>
            </w:pPr>
            <w:r>
              <w:rPr>
                <w:b/>
                <w:color w:val="1C3A36"/>
                <w:sz w:val="16"/>
              </w:rPr>
              <w:t>3,755</w:t>
            </w:r>
          </w:p>
        </w:tc>
        <w:tc>
          <w:tcPr>
            <w:tcW w:type="dxa" w:w="2016"/>
            <w:shd w:val="clear" w:color="auto" w:fill="F6F1E6"/>
          </w:tcPr>
          <w:p>
            <w:pPr>
              <w:spacing w:after="20"/>
              <w:jc w:val="right"/>
            </w:pPr>
            <w:r>
              <w:rPr>
                <w:b/>
                <w:color w:val="1C3A36"/>
                <w:sz w:val="16"/>
              </w:rPr>
              <w:t>3,684</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1,214</w:t>
            </w:r>
          </w:p>
        </w:tc>
        <w:tc>
          <w:tcPr>
            <w:tcW w:type="dxa" w:w="2016"/>
          </w:tcPr>
          <w:p>
            <w:pPr>
              <w:spacing w:after="20"/>
              <w:jc w:val="right"/>
            </w:pPr>
            <w:r>
              <w:rPr>
                <w:color w:val="1C3A36"/>
                <w:sz w:val="16"/>
              </w:rPr>
              <w:t>405</w:t>
            </w:r>
          </w:p>
        </w:tc>
        <w:tc>
          <w:tcPr>
            <w:tcW w:type="dxa" w:w="2016"/>
          </w:tcPr>
          <w:p>
            <w:pPr>
              <w:spacing w:after="20"/>
              <w:jc w:val="right"/>
            </w:pPr>
            <w:r>
              <w:rPr>
                <w:color w:val="1C3A36"/>
                <w:sz w:val="16"/>
              </w:rPr>
              <w:t>945</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13,343</w:t>
            </w:r>
          </w:p>
        </w:tc>
        <w:tc>
          <w:tcPr>
            <w:tcW w:type="dxa" w:w="2016"/>
          </w:tcPr>
          <w:p>
            <w:pPr>
              <w:spacing w:after="20"/>
              <w:jc w:val="right"/>
            </w:pPr>
            <w:r>
              <w:rPr>
                <w:color w:val="1C3A36"/>
                <w:sz w:val="16"/>
              </w:rPr>
              <w:t>13,692</w:t>
            </w:r>
          </w:p>
        </w:tc>
        <w:tc>
          <w:tcPr>
            <w:tcW w:type="dxa" w:w="2016"/>
          </w:tcPr>
          <w:p>
            <w:pPr>
              <w:spacing w:after="20"/>
              <w:jc w:val="right"/>
            </w:pPr>
            <w:r>
              <w:rPr>
                <w:color w:val="1C3A36"/>
                <w:sz w:val="16"/>
              </w:rPr>
              <w:t>15,490</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1,135</w:t>
            </w:r>
          </w:p>
        </w:tc>
        <w:tc>
          <w:tcPr>
            <w:tcW w:type="dxa" w:w="2016"/>
          </w:tcPr>
          <w:p>
            <w:pPr>
              <w:spacing w:after="20"/>
              <w:jc w:val="right"/>
            </w:pPr>
            <w:r>
              <w:rPr>
                <w:color w:val="1C3A36"/>
                <w:sz w:val="16"/>
              </w:rPr>
              <w:t>901</w:t>
            </w:r>
          </w:p>
        </w:tc>
        <w:tc>
          <w:tcPr>
            <w:tcW w:type="dxa" w:w="2016"/>
          </w:tcPr>
          <w:p>
            <w:pPr>
              <w:spacing w:after="20"/>
              <w:jc w:val="right"/>
            </w:pPr>
            <w:r>
              <w:rPr>
                <w:color w:val="1C3A36"/>
                <w:sz w:val="16"/>
              </w:rPr>
              <w:t>326</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8,683</w:t>
            </w:r>
          </w:p>
        </w:tc>
        <w:tc>
          <w:tcPr>
            <w:tcW w:type="dxa" w:w="2016"/>
            <w:shd w:val="clear" w:color="auto" w:fill="F6F1E6"/>
          </w:tcPr>
          <w:p>
            <w:pPr>
              <w:spacing w:after="20"/>
              <w:jc w:val="right"/>
            </w:pPr>
            <w:r>
              <w:rPr>
                <w:b/>
                <w:color w:val="1C3A36"/>
                <w:sz w:val="16"/>
              </w:rPr>
              <w:t>7,255</w:t>
            </w:r>
          </w:p>
        </w:tc>
        <w:tc>
          <w:tcPr>
            <w:tcW w:type="dxa" w:w="2016"/>
            <w:shd w:val="clear" w:color="auto" w:fill="F6F1E6"/>
          </w:tcPr>
          <w:p>
            <w:pPr>
              <w:spacing w:after="20"/>
              <w:jc w:val="right"/>
            </w:pPr>
            <w:r>
              <w:rPr>
                <w:b/>
                <w:color w:val="1C3A36"/>
                <w:sz w:val="16"/>
              </w:rPr>
              <w:t>5,182</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187</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63</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297</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8,790</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4,716</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4,240</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5,192</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3,537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1.78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1.96 a share.</w:t>
      </w:r>
    </w:p>
    <w:p>
      <w:pPr>
        <w:spacing w:after="120" w:before="0"/>
      </w:pPr>
      <w:r>
        <w:rPr>
          <w:b w:val="0"/>
          <w:i w:val="0"/>
          <w:color w:val="1C3A36"/>
          <w:sz w:val="19"/>
        </w:rPr>
        <w:t>On both sides of the contested judgement.  With the programme carried through the claim is worth EGP 1.78 a share (EGP 0.00 to 1.96 across the volatility range); with the programme stopped the enterprise value rises to EGP 16,841 million and the same claim is worth EGP 4.54 (EGP 4.41 to 4.70).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8,790m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0.80 a share, and at 60% over seven years EGP 2.47.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0.80</w:t>
            </w:r>
          </w:p>
        </w:tc>
        <w:tc>
          <w:tcPr>
            <w:tcW w:type="dxa" w:w="1541"/>
          </w:tcPr>
          <w:p>
            <w:pPr>
              <w:spacing w:after="20"/>
              <w:jc w:val="right"/>
            </w:pPr>
            <w:r>
              <w:rPr>
                <w:color w:val="1C3A36"/>
                <w:sz w:val="17"/>
              </w:rPr>
              <w:t>0.91</w:t>
            </w:r>
          </w:p>
        </w:tc>
        <w:tc>
          <w:tcPr>
            <w:tcW w:type="dxa" w:w="1541"/>
          </w:tcPr>
          <w:p>
            <w:pPr>
              <w:spacing w:after="20"/>
              <w:jc w:val="right"/>
            </w:pPr>
            <w:r>
              <w:rPr>
                <w:color w:val="1C3A36"/>
                <w:sz w:val="17"/>
              </w:rPr>
              <w:t>1.11</w:t>
            </w:r>
          </w:p>
        </w:tc>
        <w:tc>
          <w:tcPr>
            <w:tcW w:type="dxa" w:w="1541"/>
          </w:tcPr>
          <w:p>
            <w:pPr>
              <w:spacing w:after="20"/>
              <w:jc w:val="right"/>
            </w:pPr>
            <w:r>
              <w:rPr>
                <w:color w:val="1C3A36"/>
                <w:sz w:val="17"/>
              </w:rPr>
              <w:t>1.31</w:t>
            </w:r>
          </w:p>
        </w:tc>
        <w:tc>
          <w:tcPr>
            <w:tcW w:type="dxa" w:w="1541"/>
          </w:tcPr>
          <w:p>
            <w:pPr>
              <w:spacing w:after="20"/>
              <w:jc w:val="right"/>
            </w:pPr>
            <w:r>
              <w:rPr>
                <w:color w:val="1C3A36"/>
                <w:sz w:val="17"/>
              </w:rPr>
              <w:t>1.41</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1.51</w:t>
            </w:r>
          </w:p>
        </w:tc>
        <w:tc>
          <w:tcPr>
            <w:tcW w:type="dxa" w:w="1541"/>
          </w:tcPr>
          <w:p>
            <w:pPr>
              <w:spacing w:after="20"/>
              <w:jc w:val="right"/>
            </w:pPr>
            <w:r>
              <w:rPr>
                <w:color w:val="1C3A36"/>
                <w:sz w:val="17"/>
              </w:rPr>
              <w:t>1.60</w:t>
            </w:r>
          </w:p>
        </w:tc>
        <w:tc>
          <w:tcPr>
            <w:tcW w:type="dxa" w:w="1541"/>
          </w:tcPr>
          <w:p>
            <w:pPr>
              <w:spacing w:after="20"/>
              <w:jc w:val="right"/>
            </w:pPr>
            <w:r>
              <w:rPr>
                <w:color w:val="1C3A36"/>
                <w:sz w:val="17"/>
              </w:rPr>
              <w:t>1.78</w:t>
            </w:r>
          </w:p>
        </w:tc>
        <w:tc>
          <w:tcPr>
            <w:tcW w:type="dxa" w:w="1541"/>
          </w:tcPr>
          <w:p>
            <w:pPr>
              <w:spacing w:after="20"/>
              <w:jc w:val="right"/>
            </w:pPr>
            <w:r>
              <w:rPr>
                <w:color w:val="1C3A36"/>
                <w:sz w:val="17"/>
              </w:rPr>
              <w:t>1.96</w:t>
            </w:r>
          </w:p>
        </w:tc>
        <w:tc>
          <w:tcPr>
            <w:tcW w:type="dxa" w:w="1541"/>
          </w:tcPr>
          <w:p>
            <w:pPr>
              <w:spacing w:after="20"/>
              <w:jc w:val="right"/>
            </w:pPr>
            <w:r>
              <w:rPr>
                <w:color w:val="1C3A36"/>
                <w:sz w:val="17"/>
              </w:rPr>
              <w:t>2.05</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2.06</w:t>
            </w:r>
          </w:p>
        </w:tc>
        <w:tc>
          <w:tcPr>
            <w:tcW w:type="dxa" w:w="1541"/>
          </w:tcPr>
          <w:p>
            <w:pPr>
              <w:spacing w:after="20"/>
              <w:jc w:val="right"/>
            </w:pPr>
            <w:r>
              <w:rPr>
                <w:color w:val="1C3A36"/>
                <w:sz w:val="17"/>
              </w:rPr>
              <w:t>2.12</w:t>
            </w:r>
          </w:p>
        </w:tc>
        <w:tc>
          <w:tcPr>
            <w:tcW w:type="dxa" w:w="1541"/>
          </w:tcPr>
          <w:p>
            <w:pPr>
              <w:spacing w:after="20"/>
              <w:jc w:val="right"/>
            </w:pPr>
            <w:r>
              <w:rPr>
                <w:color w:val="1C3A36"/>
                <w:sz w:val="17"/>
              </w:rPr>
              <w:t>2.26</w:t>
            </w:r>
          </w:p>
        </w:tc>
        <w:tc>
          <w:tcPr>
            <w:tcW w:type="dxa" w:w="1541"/>
          </w:tcPr>
          <w:p>
            <w:pPr>
              <w:spacing w:after="20"/>
              <w:jc w:val="right"/>
            </w:pPr>
            <w:r>
              <w:rPr>
                <w:color w:val="1C3A36"/>
                <w:sz w:val="17"/>
              </w:rPr>
              <w:t>2.40</w:t>
            </w:r>
          </w:p>
        </w:tc>
        <w:tc>
          <w:tcPr>
            <w:tcW w:type="dxa" w:w="1541"/>
          </w:tcPr>
          <w:p>
            <w:pPr>
              <w:spacing w:after="20"/>
              <w:jc w:val="right"/>
            </w:pPr>
            <w:r>
              <w:rPr>
                <w:color w:val="1C3A36"/>
                <w:sz w:val="17"/>
              </w:rPr>
              <w:t>2.47</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1.60 a share, at 55% EGP 1.96.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0.82</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1.86</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0.63</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-14.61</w:t>
            </w:r>
          </w:p>
        </w:tc>
        <w:tc>
          <w:tcPr>
            <w:tcW w:type="dxa" w:w="5904"/>
          </w:tcPr>
          <w:p>
            <w:pPr>
              <w:spacing w:after="20"/>
            </w:pPr>
            <w:r>
              <w:rPr>
                <w:color w:val="1C3A36"/>
                <w:sz w:val="16"/>
              </w:rPr>
              <w:t>The discount rate, and only the discount rate. At about 7.8%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1.49</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297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 September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