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6.40 a share; on the composite, AED 9.37. The first is adopted. Both are computed in full, both appear side by side in every table that matters, and they are never averaged into a single number.</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7.05 against a market price of 6.16 — 14% above the market price. The cash-flow lens on its own lands at AED 6.40, 4% above the market price, and the three notional experts in Appendix C, who price mid-cycle earnings rather than a terminal value, centre at AED 6.11, 1%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9.37. That construction is published beside the adopted one throughout, because a gap of AED 2.97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3.42 to AED 12.24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8.6% to 7.8% on the share's own beta of 1.103 against the published index of its own exchange and on all three kinds of capital the company uses — ordinary equity 80.0%, debt 7.2%, perpetual capital securities 12.8% at their own coupon; terminal growth 2%; 75% of enterprise value comes from the terminal value</w:t>
            </w:r>
          </w:p>
        </w:tc>
        <w:tc>
          <w:tcPr>
            <w:tcW w:type="dxa" w:w="1526"/>
          </w:tcPr>
          <w:p>
            <w:pPr>
              <w:spacing w:after="20"/>
              <w:jc w:val="right"/>
            </w:pPr>
            <w:r>
              <w:rPr>
                <w:color w:val="1C3A36"/>
                <w:sz w:val="16"/>
              </w:rPr>
              <w:t>3.42 – 12.24</w:t>
            </w:r>
          </w:p>
        </w:tc>
        <w:tc>
          <w:tcPr>
            <w:tcW w:type="dxa" w:w="1181"/>
          </w:tcPr>
          <w:p>
            <w:pPr>
              <w:spacing w:after="20"/>
              <w:jc w:val="right"/>
            </w:pPr>
            <w:r>
              <w:rPr>
                <w:color w:val="1C3A36"/>
                <w:sz w:val="16"/>
              </w:rPr>
              <w:t>6.40</w:t>
            </w:r>
          </w:p>
        </w:tc>
        <w:tc>
          <w:tcPr>
            <w:tcW w:type="dxa" w:w="1210"/>
          </w:tcPr>
          <w:p>
            <w:pPr>
              <w:spacing w:after="20"/>
              <w:jc w:val="right"/>
            </w:pPr>
            <w:r>
              <w:rPr>
                <w:color w:val="1C3A36"/>
                <w:sz w:val="16"/>
              </w:rPr>
              <w:t>+4%</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7.80 – 12.02</w:t>
            </w:r>
          </w:p>
        </w:tc>
        <w:tc>
          <w:tcPr>
            <w:tcW w:type="dxa" w:w="1181"/>
          </w:tcPr>
          <w:p>
            <w:pPr>
              <w:spacing w:after="20"/>
              <w:jc w:val="right"/>
            </w:pPr>
            <w:r>
              <w:rPr>
                <w:color w:val="1C3A36"/>
                <w:sz w:val="16"/>
              </w:rPr>
              <w:t>8.91</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2.40 – 5.40</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5.02 – 10.80</w:t>
            </w:r>
          </w:p>
        </w:tc>
        <w:tc>
          <w:tcPr>
            <w:tcW w:type="dxa" w:w="1181"/>
            <w:shd w:val="clear" w:color="auto" w:fill="F6F1E6"/>
          </w:tcPr>
          <w:p>
            <w:pPr>
              <w:spacing w:after="20"/>
              <w:jc w:val="right"/>
            </w:pPr>
            <w:r>
              <w:rPr>
                <w:b/>
                <w:color w:val="1C3A36"/>
                <w:sz w:val="16"/>
              </w:rPr>
              <w:t>7.05</w:t>
            </w:r>
          </w:p>
        </w:tc>
        <w:tc>
          <w:tcPr>
            <w:tcW w:type="dxa" w:w="1210"/>
            <w:shd w:val="clear" w:color="auto" w:fill="F6F1E6"/>
          </w:tcPr>
          <w:p>
            <w:pPr>
              <w:spacing w:after="20"/>
              <w:jc w:val="right"/>
            </w:pPr>
            <w:r>
              <w:rPr>
                <w:b/>
                <w:color w:val="1C3A36"/>
                <w:sz w:val="16"/>
              </w:rPr>
              <w:t>+14%</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1.103, cost of capital gliding 7.0% to 6.3%, and 81% of enterprise value from the terminal value. The published index is the yardstick this study adopts; the composite is shown because the gap turns on index weighting rather than on the company (section 1.8). The weighted central on this construction is AED 8.24</w:t>
            </w:r>
          </w:p>
        </w:tc>
        <w:tc>
          <w:tcPr>
            <w:tcW w:type="dxa" w:w="1526"/>
          </w:tcPr>
          <w:p>
            <w:pPr>
              <w:spacing w:after="20"/>
              <w:jc w:val="right"/>
            </w:pPr>
            <w:r>
              <w:rPr>
                <w:color w:val="1C3A36"/>
                <w:sz w:val="16"/>
              </w:rPr>
              <w:t>—</w:t>
            </w:r>
          </w:p>
        </w:tc>
        <w:tc>
          <w:tcPr>
            <w:tcW w:type="dxa" w:w="1181"/>
          </w:tcPr>
          <w:p>
            <w:pPr>
              <w:spacing w:after="20"/>
              <w:jc w:val="right"/>
            </w:pPr>
            <w:r>
              <w:rPr>
                <w:color w:val="1C3A36"/>
                <w:sz w:val="16"/>
              </w:rPr>
              <w:t>9.37</w:t>
            </w:r>
          </w:p>
        </w:tc>
        <w:tc>
          <w:tcPr>
            <w:tcW w:type="dxa" w:w="1210"/>
          </w:tcPr>
          <w:p>
            <w:pPr>
              <w:spacing w:after="20"/>
              <w:jc w:val="right"/>
            </w:pPr>
            <w:r>
              <w:rPr>
                <w:color w:val="1C3A36"/>
                <w:sz w:val="16"/>
              </w:rPr>
              <w:t>+52%</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7.94</w:t>
            </w:r>
          </w:p>
        </w:tc>
        <w:tc>
          <w:tcPr>
            <w:tcW w:type="dxa" w:w="1210"/>
          </w:tcPr>
          <w:p>
            <w:pPr>
              <w:spacing w:after="20"/>
              <w:jc w:val="right"/>
            </w:pPr>
            <w:r>
              <w:rPr>
                <w:color w:val="1C3A36"/>
                <w:sz w:val="16"/>
              </w:rPr>
              <w:t>+29%</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1,242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6.77</w:t>
            </w:r>
          </w:p>
        </w:tc>
        <w:tc>
          <w:tcPr>
            <w:tcW w:type="dxa" w:w="1210"/>
          </w:tcPr>
          <w:p>
            <w:pPr>
              <w:spacing w:after="20"/>
              <w:jc w:val="right"/>
            </w:pPr>
            <w:r>
              <w:rPr>
                <w:color w:val="1C3A36"/>
                <w:sz w:val="16"/>
              </w:rPr>
              <w:t>+10%</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4.30 against a published bear of 3.42, so roughly AED 0.88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2.97 a share separates the two constructions on the cash-flow lens and AED 1.19 on the weighted central, and both are carried at full size through section 1.1, section 1.8, the comparison in section 4 and the expert panel. Terminal value is 75%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5,003</w:t>
            </w:r>
          </w:p>
        </w:tc>
        <w:tc>
          <w:tcPr>
            <w:tcW w:type="dxa" w:w="1382"/>
          </w:tcPr>
          <w:p>
            <w:pPr>
              <w:spacing w:after="20"/>
              <w:jc w:val="right"/>
            </w:pPr>
            <w:r>
              <w:rPr>
                <w:color w:val="1C3A36"/>
                <w:sz w:val="16"/>
              </w:rPr>
              <w:t>5,719</w:t>
            </w:r>
          </w:p>
        </w:tc>
        <w:tc>
          <w:tcPr>
            <w:tcW w:type="dxa" w:w="1382"/>
          </w:tcPr>
          <w:p>
            <w:pPr>
              <w:spacing w:after="20"/>
              <w:jc w:val="right"/>
            </w:pPr>
            <w:r>
              <w:rPr>
                <w:color w:val="1C3A36"/>
                <w:sz w:val="16"/>
              </w:rPr>
              <w:t>5,741</w:t>
            </w:r>
          </w:p>
        </w:tc>
        <w:tc>
          <w:tcPr>
            <w:tcW w:type="dxa" w:w="1382"/>
          </w:tcPr>
          <w:p>
            <w:pPr>
              <w:spacing w:after="20"/>
              <w:jc w:val="right"/>
            </w:pPr>
            <w:r>
              <w:rPr>
                <w:color w:val="1C3A36"/>
                <w:sz w:val="16"/>
              </w:rPr>
              <w:t>5,497</w:t>
            </w:r>
          </w:p>
        </w:tc>
        <w:tc>
          <w:tcPr>
            <w:tcW w:type="dxa" w:w="1382"/>
          </w:tcPr>
          <w:p>
            <w:pPr>
              <w:spacing w:after="20"/>
              <w:jc w:val="right"/>
            </w:pPr>
            <w:r>
              <w:rPr>
                <w:color w:val="1C3A36"/>
                <w:sz w:val="16"/>
              </w:rPr>
              <w:t>5,171</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(2,917)</w:t>
            </w:r>
          </w:p>
        </w:tc>
        <w:tc>
          <w:tcPr>
            <w:tcW w:type="dxa" w:w="1382"/>
          </w:tcPr>
          <w:p>
            <w:pPr>
              <w:spacing w:after="20"/>
              <w:jc w:val="right"/>
            </w:pPr>
            <w:r>
              <w:rPr>
                <w:color w:val="1C3A36"/>
                <w:sz w:val="16"/>
              </w:rPr>
              <w:t>(3,201)</w:t>
            </w:r>
          </w:p>
        </w:tc>
        <w:tc>
          <w:tcPr>
            <w:tcW w:type="dxa" w:w="1382"/>
          </w:tcPr>
          <w:p>
            <w:pPr>
              <w:spacing w:after="20"/>
              <w:jc w:val="right"/>
            </w:pPr>
            <w:r>
              <w:rPr>
                <w:color w:val="1C3A36"/>
                <w:sz w:val="16"/>
              </w:rPr>
              <w:t>(3,236)</w:t>
            </w:r>
          </w:p>
        </w:tc>
        <w:tc>
          <w:tcPr>
            <w:tcW w:type="dxa" w:w="1382"/>
          </w:tcPr>
          <w:p>
            <w:pPr>
              <w:spacing w:after="20"/>
              <w:jc w:val="right"/>
            </w:pPr>
            <w:r>
              <w:rPr>
                <w:color w:val="1C3A36"/>
                <w:sz w:val="16"/>
              </w:rPr>
              <w:t>(3,186)</w:t>
            </w:r>
          </w:p>
        </w:tc>
        <w:tc>
          <w:tcPr>
            <w:tcW w:type="dxa" w:w="1382"/>
          </w:tcPr>
          <w:p>
            <w:pPr>
              <w:spacing w:after="20"/>
              <w:jc w:val="right"/>
            </w:pPr>
            <w:r>
              <w:rPr>
                <w:color w:val="1C3A36"/>
                <w:sz w:val="16"/>
              </w:rPr>
              <w:t>(3,114)</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2,506</w:t>
            </w:r>
          </w:p>
        </w:tc>
        <w:tc>
          <w:tcPr>
            <w:tcW w:type="dxa" w:w="1382"/>
          </w:tcPr>
          <w:p>
            <w:pPr>
              <w:spacing w:after="20"/>
              <w:jc w:val="right"/>
            </w:pPr>
            <w:r>
              <w:rPr>
                <w:color w:val="1C3A36"/>
                <w:sz w:val="16"/>
              </w:rPr>
              <w:t>2,311</w:t>
            </w:r>
          </w:p>
        </w:tc>
        <w:tc>
          <w:tcPr>
            <w:tcW w:type="dxa" w:w="1382"/>
          </w:tcPr>
          <w:p>
            <w:pPr>
              <w:spacing w:after="20"/>
              <w:jc w:val="right"/>
            </w:pPr>
            <w:r>
              <w:rPr>
                <w:color w:val="1C3A36"/>
                <w:sz w:val="16"/>
              </w:rPr>
              <w:t>2,057</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1,511</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1,802</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1,800</w:t>
            </w:r>
          </w:p>
        </w:tc>
        <w:tc>
          <w:tcPr>
            <w:tcW w:type="dxa" w:w="1382"/>
          </w:tcPr>
          <w:p>
            <w:pPr>
              <w:spacing w:after="20"/>
              <w:jc w:val="right"/>
            </w:pPr>
            <w:r>
              <w:rPr>
                <w:color w:val="1C3A36"/>
                <w:sz w:val="16"/>
              </w:rPr>
              <w:t>1,743</w:t>
            </w:r>
          </w:p>
        </w:tc>
        <w:tc>
          <w:tcPr>
            <w:tcW w:type="dxa" w:w="1382"/>
          </w:tcPr>
          <w:p>
            <w:pPr>
              <w:spacing w:after="20"/>
              <w:jc w:val="right"/>
            </w:pPr>
            <w:r>
              <w:rPr>
                <w:color w:val="1C3A36"/>
                <w:sz w:val="16"/>
              </w:rPr>
              <w:t>1,524</w:t>
            </w:r>
          </w:p>
        </w:tc>
        <w:tc>
          <w:tcPr>
            <w:tcW w:type="dxa" w:w="1382"/>
          </w:tcPr>
          <w:p>
            <w:pPr>
              <w:spacing w:after="20"/>
              <w:jc w:val="right"/>
            </w:pPr>
            <w:r>
              <w:rPr>
                <w:color w:val="1C3A36"/>
                <w:sz w:val="16"/>
              </w:rPr>
              <w:t>1,264</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1,205</w:t>
            </w:r>
          </w:p>
        </w:tc>
        <w:tc>
          <w:tcPr>
            <w:tcW w:type="dxa" w:w="1382"/>
          </w:tcPr>
          <w:p>
            <w:pPr>
              <w:spacing w:after="20"/>
              <w:jc w:val="right"/>
            </w:pPr>
            <w:r>
              <w:rPr>
                <w:color w:val="1C3A36"/>
                <w:sz w:val="16"/>
              </w:rPr>
              <w:t>1,620</w:t>
            </w:r>
          </w:p>
        </w:tc>
        <w:tc>
          <w:tcPr>
            <w:tcW w:type="dxa" w:w="1382"/>
          </w:tcPr>
          <w:p>
            <w:pPr>
              <w:spacing w:after="20"/>
              <w:jc w:val="right"/>
            </w:pPr>
            <w:r>
              <w:rPr>
                <w:color w:val="1C3A36"/>
                <w:sz w:val="16"/>
              </w:rPr>
              <w:t>1,437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8.41%</w:t>
            </w:r>
          </w:p>
        </w:tc>
        <w:tc>
          <w:tcPr>
            <w:tcW w:type="dxa" w:w="1382"/>
          </w:tcPr>
          <w:p>
            <w:pPr>
              <w:spacing w:after="20"/>
              <w:jc w:val="right"/>
            </w:pPr>
            <w:r>
              <w:rPr>
                <w:color w:val="1C3A36"/>
                <w:sz w:val="16"/>
              </w:rPr>
              <w:t>8.26%</w:t>
            </w:r>
          </w:p>
        </w:tc>
        <w:tc>
          <w:tcPr>
            <w:tcW w:type="dxa" w:w="1382"/>
          </w:tcPr>
          <w:p>
            <w:pPr>
              <w:spacing w:after="20"/>
              <w:jc w:val="right"/>
            </w:pPr>
            <w:r>
              <w:rPr>
                <w:color w:val="1C3A36"/>
                <w:sz w:val="16"/>
              </w:rPr>
              <w:t>8.11%</w:t>
            </w:r>
          </w:p>
        </w:tc>
        <w:tc>
          <w:tcPr>
            <w:tcW w:type="dxa" w:w="1382"/>
          </w:tcPr>
          <w:p>
            <w:pPr>
              <w:spacing w:after="20"/>
              <w:jc w:val="right"/>
            </w:pPr>
            <w:r>
              <w:rPr>
                <w:color w:val="1C3A36"/>
                <w:sz w:val="16"/>
              </w:rPr>
              <w:t>7.95%</w:t>
            </w:r>
          </w:p>
        </w:tc>
        <w:tc>
          <w:tcPr>
            <w:tcW w:type="dxa" w:w="1382"/>
          </w:tcPr>
          <w:p>
            <w:pPr>
              <w:spacing w:after="20"/>
              <w:jc w:val="right"/>
            </w:pPr>
            <w:r>
              <w:rPr>
                <w:color w:val="1C3A36"/>
                <w:sz w:val="16"/>
              </w:rPr>
              <w:t>7.80%</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0.9413</w:t>
            </w:r>
          </w:p>
        </w:tc>
        <w:tc>
          <w:tcPr>
            <w:tcW w:type="dxa" w:w="1382"/>
          </w:tcPr>
          <w:p>
            <w:pPr>
              <w:spacing w:after="20"/>
              <w:jc w:val="right"/>
            </w:pPr>
            <w:r>
              <w:rPr>
                <w:color w:val="1C3A36"/>
                <w:sz w:val="16"/>
              </w:rPr>
              <w:t>0.8695</w:t>
            </w:r>
          </w:p>
        </w:tc>
        <w:tc>
          <w:tcPr>
            <w:tcW w:type="dxa" w:w="1382"/>
          </w:tcPr>
          <w:p>
            <w:pPr>
              <w:spacing w:after="20"/>
              <w:jc w:val="right"/>
            </w:pPr>
            <w:r>
              <w:rPr>
                <w:color w:val="1C3A36"/>
                <w:sz w:val="16"/>
              </w:rPr>
              <w:t>0.8043</w:t>
            </w:r>
          </w:p>
        </w:tc>
        <w:tc>
          <w:tcPr>
            <w:tcW w:type="dxa" w:w="1382"/>
          </w:tcPr>
          <w:p>
            <w:pPr>
              <w:spacing w:after="20"/>
              <w:jc w:val="right"/>
            </w:pPr>
            <w:r>
              <w:rPr>
                <w:color w:val="1C3A36"/>
                <w:sz w:val="16"/>
              </w:rPr>
              <w:t>0.7450</w:t>
            </w:r>
          </w:p>
        </w:tc>
        <w:tc>
          <w:tcPr>
            <w:tcW w:type="dxa" w:w="1382"/>
          </w:tcPr>
          <w:p>
            <w:pPr>
              <w:spacing w:after="20"/>
              <w:jc w:val="right"/>
            </w:pPr>
            <w:r>
              <w:rPr>
                <w:color w:val="1C3A36"/>
                <w:sz w:val="16"/>
              </w:rPr>
              <w:t>0.6911</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921</w:t>
            </w:r>
          </w:p>
        </w:tc>
        <w:tc>
          <w:tcPr>
            <w:tcW w:type="dxa" w:w="1382"/>
            <w:shd w:val="clear" w:color="auto" w:fill="F6F1E6"/>
          </w:tcPr>
          <w:p>
            <w:pPr>
              <w:spacing w:after="20"/>
              <w:jc w:val="right"/>
            </w:pPr>
            <w:r>
              <w:rPr>
                <w:b/>
                <w:color w:val="1C3A36"/>
                <w:sz w:val="16"/>
              </w:rPr>
              <w:t>969</w:t>
            </w:r>
          </w:p>
        </w:tc>
        <w:tc>
          <w:tcPr>
            <w:tcW w:type="dxa" w:w="1382"/>
            <w:shd w:val="clear" w:color="auto" w:fill="F6F1E6"/>
          </w:tcPr>
          <w:p>
            <w:pPr>
              <w:spacing w:after="20"/>
              <w:jc w:val="right"/>
            </w:pPr>
            <w:r>
              <w:rPr>
                <w:b/>
                <w:color w:val="1C3A36"/>
                <w:sz w:val="16"/>
              </w:rPr>
              <w:t>1,207</w:t>
            </w:r>
          </w:p>
        </w:tc>
        <w:tc>
          <w:tcPr>
            <w:tcW w:type="dxa" w:w="1382"/>
            <w:shd w:val="clear" w:color="auto" w:fill="F6F1E6"/>
          </w:tcPr>
          <w:p>
            <w:pPr>
              <w:spacing w:after="20"/>
              <w:jc w:val="right"/>
            </w:pPr>
            <w:r>
              <w:rPr>
                <w:b/>
                <w:color w:val="1C3A36"/>
                <w:sz w:val="16"/>
              </w:rPr>
              <w:t>993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4,171</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1,056</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12,577</w:t>
            </w:r>
          </w:p>
        </w:tc>
        <w:tc>
          <w:tcPr>
            <w:tcW w:type="dxa" w:w="5040"/>
          </w:tcPr>
          <w:p>
            <w:pPr>
              <w:spacing w:after="20"/>
              <w:jc w:val="left"/>
            </w:pPr>
            <w:r>
              <w:rPr>
                <w:color w:val="1C3A36"/>
                <w:sz w:val="16"/>
              </w:rPr>
              <w:t>the terminal cash flow capitalised at 7.8% less 2% = USD 18,199 million, discounted at the same year-five factor of 0.6911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16,748</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75.1%</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17,241</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(338)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0.44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12,903</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1.74</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6.40</w:t>
            </w:r>
          </w:p>
        </w:tc>
        <w:tc>
          <w:tcPr>
            <w:tcW w:type="dxa" w:w="5040"/>
            <w:shd w:val="clear" w:color="auto" w:fill="F6F1E6"/>
          </w:tcPr>
          <w:p>
            <w:pPr>
              <w:spacing w:after="20"/>
              <w:jc w:val="left"/>
            </w:pPr>
            <w:r>
              <w:rPr>
                <w:b/>
                <w:color w:val="1C3A36"/>
                <w:sz w:val="16"/>
              </w:rPr>
              <w:t>against a market price of AED 6.16 (+4%)</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6.77</w:t>
            </w:r>
          </w:p>
        </w:tc>
        <w:tc>
          <w:tcPr>
            <w:tcW w:type="dxa" w:w="5040"/>
            <w:shd w:val="clear" w:color="auto" w:fill="F6F1E6"/>
          </w:tcPr>
          <w:p>
            <w:pPr>
              <w:spacing w:after="20"/>
              <w:jc w:val="left"/>
            </w:pPr>
            <w:r>
              <w:rPr>
                <w:b/>
                <w:color w:val="1C3A36"/>
                <w:sz w:val="16"/>
              </w:rPr>
              <w:t>deducting USD 1,242 million, the coupon capitalised at the terminal cost of capital, instead of the USD 1,979 million carrying value. Worth AED 0.37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290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0.705 instead. Two qualifications before the explanation. The first is that the runs are not quite the identical regression: the published-index run pairs 159 weekly observations and the composite run pairs 163, because the index series obtained stops earlier than the exchange's own price history does and because the two series are screened and aligned to the exchange's trading week before they are paired. The samples differ by 4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8.56%</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7.80%</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4,171</w:t>
            </w:r>
          </w:p>
        </w:tc>
        <w:tc>
          <w:tcPr>
            <w:tcW w:type="dxa" w:w="2808"/>
          </w:tcPr>
          <w:p>
            <w:pPr>
              <w:spacing w:after="20"/>
              <w:jc w:val="right"/>
            </w:pPr>
            <w:r>
              <w:rPr>
                <w:color w:val="1C3A36"/>
                <w:sz w:val="17"/>
              </w:rPr>
              <w:t>4,373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12,577</w:t>
            </w:r>
          </w:p>
        </w:tc>
        <w:tc>
          <w:tcPr>
            <w:tcW w:type="dxa" w:w="2808"/>
          </w:tcPr>
          <w:p>
            <w:pPr>
              <w:spacing w:after="20"/>
              <w:jc w:val="right"/>
            </w:pPr>
            <w:r>
              <w:rPr>
                <w:color w:val="1C3A36"/>
                <w:sz w:val="17"/>
              </w:rPr>
              <w:t>18,389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75.1%</w:t>
            </w:r>
          </w:p>
        </w:tc>
        <w:tc>
          <w:tcPr>
            <w:tcW w:type="dxa" w:w="2808"/>
          </w:tcPr>
          <w:p>
            <w:pPr>
              <w:spacing w:after="20"/>
              <w:jc w:val="right"/>
            </w:pPr>
            <w:r>
              <w:rPr>
                <w:color w:val="1C3A36"/>
                <w:sz w:val="17"/>
              </w:rPr>
              <w:t>80.8%</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17,241</w:t>
            </w:r>
          </w:p>
        </w:tc>
        <w:tc>
          <w:tcPr>
            <w:tcW w:type="dxa" w:w="2808"/>
          </w:tcPr>
          <w:p>
            <w:pPr>
              <w:spacing w:after="20"/>
              <w:jc w:val="right"/>
            </w:pPr>
            <w:r>
              <w:rPr>
                <w:color w:val="1C3A36"/>
                <w:sz w:val="17"/>
              </w:rPr>
              <w:t>23,255</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12,903</w:t>
            </w:r>
          </w:p>
        </w:tc>
        <w:tc>
          <w:tcPr>
            <w:tcW w:type="dxa" w:w="2808"/>
          </w:tcPr>
          <w:p>
            <w:pPr>
              <w:spacing w:after="20"/>
              <w:jc w:val="right"/>
            </w:pPr>
            <w:r>
              <w:rPr>
                <w:color w:val="1C3A36"/>
                <w:sz w:val="17"/>
              </w:rPr>
              <w:t>18,877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6.40</w:t>
            </w:r>
          </w:p>
        </w:tc>
        <w:tc>
          <w:tcPr>
            <w:tcW w:type="dxa" w:w="2808"/>
            <w:shd w:val="clear" w:color="auto" w:fill="F6F1E6"/>
          </w:tcPr>
          <w:p>
            <w:pPr>
              <w:spacing w:after="20"/>
              <w:jc w:val="right"/>
            </w:pPr>
            <w:r>
              <w:rPr>
                <w:b/>
                <w:color w:val="1C3A36"/>
                <w:sz w:val="17"/>
              </w:rPr>
              <w:t>9.37</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+4%</w:t>
            </w:r>
          </w:p>
        </w:tc>
        <w:tc>
          <w:tcPr>
            <w:tcW w:type="dxa" w:w="2808"/>
            <w:shd w:val="clear" w:color="auto" w:fill="F6F1E6"/>
          </w:tcPr>
          <w:p>
            <w:pPr>
              <w:spacing w:after="20"/>
              <w:jc w:val="right"/>
            </w:pPr>
            <w:r>
              <w:rPr>
                <w:b/>
                <w:color w:val="1C3A36"/>
                <w:sz w:val="17"/>
              </w:rPr>
              <w:t>+52%</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2.97 between the two columns is the beta, and most of it lands in the terminal value: a 155 basis point difference in the terminal cost of capital changes the capitalisation factor on a perpetuity by roughly a quarter, which is also why the terminal value falls from 81% of enterprise value to 75%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52% above the market price to 4% above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19.1%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21.8%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23.6%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547 million of the USD 7,366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19.1%</w:t>
            </w:r>
          </w:p>
        </w:tc>
        <w:tc>
          <w:tcPr>
            <w:tcW w:type="dxa" w:w="1354"/>
          </w:tcPr>
          <w:p>
            <w:pPr>
              <w:spacing w:after="20"/>
              <w:jc w:val="right"/>
            </w:pPr>
            <w:r>
              <w:rPr>
                <w:color w:val="1C3A36"/>
                <w:sz w:val="16"/>
              </w:rPr>
              <w:t>+9.68pp</w:t>
            </w:r>
          </w:p>
        </w:tc>
        <w:tc>
          <w:tcPr>
            <w:tcW w:type="dxa" w:w="1584"/>
          </w:tcPr>
          <w:p>
            <w:pPr>
              <w:spacing w:after="20"/>
              <w:jc w:val="right"/>
            </w:pPr>
            <w:r>
              <w:rPr>
                <w:color w:val="1C3A36"/>
                <w:sz w:val="16"/>
              </w:rPr>
              <w:t>491</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449</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5,852</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+10.98pp</w:t>
            </w:r>
          </w:p>
        </w:tc>
        <w:tc>
          <w:tcPr>
            <w:tcW w:type="dxa" w:w="1584"/>
          </w:tcPr>
          <w:p>
            <w:pPr>
              <w:spacing w:after="20"/>
              <w:jc w:val="right"/>
            </w:pPr>
            <w:r>
              <w:rPr>
                <w:color w:val="1C3A36"/>
                <w:sz w:val="16"/>
              </w:rPr>
              <w:t>643</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537</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6,903</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+8.04pp</w:t>
            </w:r>
          </w:p>
        </w:tc>
        <w:tc>
          <w:tcPr>
            <w:tcW w:type="dxa" w:w="1584"/>
          </w:tcPr>
          <w:p>
            <w:pPr>
              <w:spacing w:after="20"/>
              <w:jc w:val="right"/>
            </w:pPr>
            <w:r>
              <w:rPr>
                <w:color w:val="1C3A36"/>
                <w:sz w:val="16"/>
              </w:rPr>
              <w:t>555</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424</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7,909</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+4.48pp</w:t>
            </w:r>
          </w:p>
        </w:tc>
        <w:tc>
          <w:tcPr>
            <w:tcW w:type="dxa" w:w="1584"/>
          </w:tcPr>
          <w:p>
            <w:pPr>
              <w:spacing w:after="20"/>
              <w:jc w:val="right"/>
            </w:pPr>
            <w:r>
              <w:rPr>
                <w:color w:val="1C3A36"/>
                <w:sz w:val="16"/>
              </w:rPr>
              <w:t>354</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8,728</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+1.60pp</w:t>
            </w:r>
          </w:p>
        </w:tc>
        <w:tc>
          <w:tcPr>
            <w:tcW w:type="dxa" w:w="1584"/>
          </w:tcPr>
          <w:p>
            <w:pPr>
              <w:spacing w:after="20"/>
              <w:jc w:val="right"/>
            </w:pPr>
            <w:r>
              <w:rPr>
                <w:color w:val="1C3A36"/>
                <w:sz w:val="16"/>
              </w:rPr>
              <w:t>140</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89</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1,745</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1,745</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547</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7,366</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2.40 – 5.40</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2.40 takes a cost of equity of 11.95%, built on the upper end 1.621 of the beta's own 90% confidence interval, together with a proportionally lower return on that book; the bull bound of AED 5.40 takes 6.91% on the lower end 0.586 of the same interval with the same proportion applied upward. Only the cost of equity in those bounds comes from the estimate's own statistical uncertainty; the return stress beside it is a judgement, as it is in the cash-flow lens.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11.09×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1,119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11.09×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23,999</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20,220</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23,163</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0.1664</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8.91</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7.80 – 12.02</w:t>
            </w:r>
          </w:p>
        </w:tc>
      </w:tr>
    </w:tbl>
    <w:p>
      <w:pPr>
        <w:spacing w:after="40"/>
      </w:pPr>
    </w:p>
    <w:p>
      <w:pPr>
        <w:spacing w:after="200" w:before="0"/>
      </w:pPr>
      <w:r>
        <w:rPr>
          <w:b w:val="0"/>
          <w:i/>
          <w:color w:val="6E7B77"/>
          <w:sz w:val="17"/>
        </w:rPr>
        <w:t>The two constructions disagree by a wide margin — AED 10.72 against AED 7.11 — and the gap is depreciation and the perpetual coupon. This is a young fleet: depreciation runs from 26.3% of earnings before interest, tax, depreciation and amortisation in the lightest forecast year to 35.6%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the lens carries 20% weight accordingly.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ns2:inline>
            <ns2:extent cx="6309360" cy="3447382"/>
            <ns2:docPr id="1" name="Picture 1"/>
            <ns2:cNvGraphicFramePr>
              <ns3:graphicFrameLocks noChangeAspect="1"/>
            </ns2:cNvGraphicFramePr>
            <ns3:graphic>
              <ns3:graphicData uri="http://schemas.openxmlformats.org/drawingml/2006/picture">
                <ns4:pic>
                  <ns4:nvPicPr>
                    <ns4:cNvPr id="0" name="fig1_football.png"/>
                    <ns4:cNvPicPr/>
                  </ns4:nvPicPr>
                  <ns4:blipFill>
                    <ns3:blip ns5:embed="rId9"/>
                    <ns3:stretch>
                      <ns3:fillRect/>
                    </ns3:stretch>
                  </ns4:blipFill>
                  <ns4:spPr>
                    <ns3:xfrm>
                      <ns3:off x="0" y="0"/>
                      <ns3:ext cx="6309360" cy="3447382"/>
                    </ns3:xfrm>
                    <ns3:prstGeom prst="rect"/>
                  </ns4:spPr>
                </ns4:pic>
              </ns3:graphicData>
            </ns3:graphic>
          </ns2: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3.42</w:t>
            </w:r>
          </w:p>
        </w:tc>
        <w:tc>
          <w:tcPr>
            <w:tcW w:type="dxa" w:w="1238"/>
          </w:tcPr>
          <w:p>
            <w:pPr>
              <w:spacing w:after="20"/>
              <w:jc w:val="right"/>
            </w:pPr>
            <w:r>
              <w:rPr>
                <w:color w:val="1C3A36"/>
                <w:sz w:val="17"/>
              </w:rPr>
              <w:t>6.40</w:t>
            </w:r>
          </w:p>
        </w:tc>
        <w:tc>
          <w:tcPr>
            <w:tcW w:type="dxa" w:w="1238"/>
          </w:tcPr>
          <w:p>
            <w:pPr>
              <w:spacing w:after="20"/>
              <w:jc w:val="right"/>
            </w:pPr>
            <w:r>
              <w:rPr>
                <w:color w:val="1C3A36"/>
                <w:sz w:val="17"/>
              </w:rPr>
              <w:t>12.24</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2.562</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2.159</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7.80</w:t>
            </w:r>
          </w:p>
        </w:tc>
        <w:tc>
          <w:tcPr>
            <w:tcW w:type="dxa" w:w="1238"/>
          </w:tcPr>
          <w:p>
            <w:pPr>
              <w:spacing w:after="20"/>
              <w:jc w:val="right"/>
            </w:pPr>
            <w:r>
              <w:rPr>
                <w:color w:val="1C3A36"/>
                <w:sz w:val="17"/>
              </w:rPr>
              <w:t>8.91</w:t>
            </w:r>
          </w:p>
        </w:tc>
        <w:tc>
          <w:tcPr>
            <w:tcW w:type="dxa" w:w="1238"/>
          </w:tcPr>
          <w:p>
            <w:pPr>
              <w:spacing w:after="20"/>
              <w:jc w:val="right"/>
            </w:pPr>
            <w:r>
              <w:rPr>
                <w:color w:val="1C3A36"/>
                <w:sz w:val="17"/>
              </w:rPr>
              <w:t>12.02</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1.783</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2.40</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5.40</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0.548</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7.05</w:t>
            </w:r>
          </w:p>
        </w:tc>
        <w:tc>
          <w:tcPr>
            <w:tcW w:type="dxa" w:w="1238"/>
            <w:shd w:val="clear" w:color="auto" w:fill="F6F1E6"/>
          </w:tcPr>
          <w:p>
            <w:pPr>
              <w:spacing w:after="20"/>
              <w:jc w:val="right"/>
            </w:pPr>
            <w:r>
              <w:rPr>
                <w:b/>
                <w:color w:val="1C3A36"/>
                <w:sz w:val="17"/>
              </w:rPr>
              <w:t>10.80</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7.052</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9.37</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3.748</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8.24</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8.238</w:t>
            </w:r>
          </w:p>
        </w:tc>
      </w:tr>
    </w:tbl>
    <w:p>
      <w:pPr>
        <w:spacing w:after="40"/>
      </w:pPr>
    </w:p>
    <w:p>
      <w:pPr>
        <w:spacing w:after="200" w:before="0"/>
      </w:pPr>
      <w:r>
        <w:rPr>
          <w:b w:val="0"/>
          <w:i/>
          <w:color w:val="6E7B77"/>
          <w:sz w:val="17"/>
        </w:rPr>
        <w:t>Contributions are shown to three decimals so that the four of them add to the weighted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0.705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8.91, the furthest above the market of the four. The two that state a cost of equity rather than importing one land lower: the cash-flow model at AED 6.40,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weighted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7.05, 14% above the market price. Measuring the market as an equal-weight composite instead lifts that to AED 8.24, 34% above the market price. Neither figure supports a claim that this share is materially mispriced: on the adopted construction the centre of the evidence sits about 14%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2,611</w:t>
            </w:r>
          </w:p>
        </w:tc>
        <w:tc>
          <w:tcPr>
            <w:tcW w:type="dxa" w:w="1382"/>
          </w:tcPr>
          <w:p>
            <w:pPr>
              <w:spacing w:after="20"/>
              <w:jc w:val="right"/>
            </w:pPr>
            <w:r>
              <w:rPr>
                <w:color w:val="1C3A36"/>
                <w:sz w:val="16"/>
              </w:rPr>
              <w:t>3,155</w:t>
            </w:r>
          </w:p>
        </w:tc>
        <w:tc>
          <w:tcPr>
            <w:tcW w:type="dxa" w:w="1382"/>
          </w:tcPr>
          <w:p>
            <w:pPr>
              <w:spacing w:after="20"/>
              <w:jc w:val="right"/>
            </w:pPr>
            <w:r>
              <w:rPr>
                <w:color w:val="1C3A36"/>
                <w:sz w:val="16"/>
              </w:rPr>
              <w:t>3,026</w:t>
            </w:r>
          </w:p>
        </w:tc>
        <w:tc>
          <w:tcPr>
            <w:tcW w:type="dxa" w:w="1382"/>
          </w:tcPr>
          <w:p>
            <w:pPr>
              <w:spacing w:after="20"/>
              <w:jc w:val="right"/>
            </w:pPr>
            <w:r>
              <w:rPr>
                <w:color w:val="1C3A36"/>
                <w:sz w:val="16"/>
              </w:rPr>
              <w:t>2,651</w:t>
            </w:r>
          </w:p>
        </w:tc>
        <w:tc>
          <w:tcPr>
            <w:tcW w:type="dxa" w:w="1382"/>
          </w:tcPr>
          <w:p>
            <w:pPr>
              <w:spacing w:after="20"/>
              <w:jc w:val="right"/>
            </w:pPr>
            <w:r>
              <w:rPr>
                <w:color w:val="1C3A36"/>
                <w:sz w:val="16"/>
              </w:rPr>
              <w:t>2,189</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5,003</w:t>
            </w:r>
          </w:p>
        </w:tc>
        <w:tc>
          <w:tcPr>
            <w:tcW w:type="dxa" w:w="1382"/>
            <w:shd w:val="clear" w:color="auto" w:fill="F6F1E6"/>
          </w:tcPr>
          <w:p>
            <w:pPr>
              <w:spacing w:after="20"/>
              <w:jc w:val="right"/>
            </w:pPr>
            <w:r>
              <w:rPr>
                <w:b/>
                <w:color w:val="1C3A36"/>
                <w:sz w:val="16"/>
              </w:rPr>
              <w:t>5,719</w:t>
            </w:r>
          </w:p>
        </w:tc>
        <w:tc>
          <w:tcPr>
            <w:tcW w:type="dxa" w:w="1382"/>
            <w:shd w:val="clear" w:color="auto" w:fill="F6F1E6"/>
          </w:tcPr>
          <w:p>
            <w:pPr>
              <w:spacing w:after="20"/>
              <w:jc w:val="right"/>
            </w:pPr>
            <w:r>
              <w:rPr>
                <w:b/>
                <w:color w:val="1C3A36"/>
                <w:sz w:val="16"/>
              </w:rPr>
              <w:t>5,741</w:t>
            </w:r>
          </w:p>
        </w:tc>
        <w:tc>
          <w:tcPr>
            <w:tcW w:type="dxa" w:w="1382"/>
            <w:shd w:val="clear" w:color="auto" w:fill="F6F1E6"/>
          </w:tcPr>
          <w:p>
            <w:pPr>
              <w:spacing w:after="20"/>
              <w:jc w:val="right"/>
            </w:pPr>
            <w:r>
              <w:rPr>
                <w:b/>
                <w:color w:val="1C3A36"/>
                <w:sz w:val="16"/>
              </w:rPr>
              <w:t>5,497</w:t>
            </w:r>
          </w:p>
        </w:tc>
        <w:tc>
          <w:tcPr>
            <w:tcW w:type="dxa" w:w="1382"/>
            <w:shd w:val="clear" w:color="auto" w:fill="F6F1E6"/>
          </w:tcPr>
          <w:p>
            <w:pPr>
              <w:spacing w:after="20"/>
              <w:jc w:val="right"/>
            </w:pPr>
            <w:r>
              <w:rPr>
                <w:b/>
                <w:color w:val="1C3A36"/>
                <w:sz w:val="16"/>
              </w:rPr>
              <w:t>5,171</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2,506</w:t>
            </w:r>
          </w:p>
        </w:tc>
        <w:tc>
          <w:tcPr>
            <w:tcW w:type="dxa" w:w="1382"/>
            <w:shd w:val="clear" w:color="auto" w:fill="F6F1E6"/>
          </w:tcPr>
          <w:p>
            <w:pPr>
              <w:spacing w:after="20"/>
              <w:jc w:val="right"/>
            </w:pPr>
            <w:r>
              <w:rPr>
                <w:b/>
                <w:color w:val="1C3A36"/>
                <w:sz w:val="16"/>
              </w:rPr>
              <w:t>2,311</w:t>
            </w:r>
          </w:p>
        </w:tc>
        <w:tc>
          <w:tcPr>
            <w:tcW w:type="dxa" w:w="1382"/>
            <w:shd w:val="clear" w:color="auto" w:fill="F6F1E6"/>
          </w:tcPr>
          <w:p>
            <w:pPr>
              <w:spacing w:after="20"/>
              <w:jc w:val="right"/>
            </w:pPr>
            <w:r>
              <w:rPr>
                <w:b/>
                <w:color w:val="1C3A36"/>
                <w:sz w:val="16"/>
              </w:rPr>
              <w:t>2,057</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ns2:inline>
            <ns2:extent cx="6309360" cy="3568931"/>
            <ns2:docPr id="2" name="Picture 2"/>
            <ns2:cNvGraphicFramePr>
              <ns3:graphicFrameLocks noChangeAspect="1"/>
            </ns2:cNvGraphicFramePr>
            <ns3:graphic>
              <ns3:graphicData uri="http://schemas.openxmlformats.org/drawingml/2006/picture">
                <ns4:pic>
                  <ns4:nvPicPr>
                    <ns4:cNvPr id="0" name="fig7_mix.png"/>
                    <ns4:cNvPicPr/>
                  </ns4:nvPicPr>
                  <ns4:blipFill>
                    <ns3:blip ns5:embed="rId10"/>
                    <ns3:stretch>
                      <ns3:fillRect/>
                    </ns3:stretch>
                  </ns4:blipFill>
                  <ns4:spPr>
                    <ns3:xfrm>
                      <ns3:off x="0" y="0"/>
                      <ns3:ext cx="6309360" cy="3568931"/>
                    </ns3:xfrm>
                    <ns3:prstGeom prst="rect"/>
                  </ns4:spPr>
                </ns4:pic>
              </ns3:graphicData>
            </ns3:graphic>
          </ns2: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2,611</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ns2:inline>
            <ns2:extent cx="6400800" cy="2863516"/>
            <ns2:docPr id="3" name="Picture 3"/>
            <ns2:cNvGraphicFramePr>
              <ns3:graphicFrameLocks noChangeAspect="1"/>
            </ns2:cNvGraphicFramePr>
            <ns3:graphic>
              <ns3:graphicData uri="http://schemas.openxmlformats.org/drawingml/2006/picture">
                <ns4:pic>
                  <ns4:nvPicPr>
                    <ns4:cNvPr id="0" name="fig8_tce.png"/>
                    <ns4:cNvPicPr/>
                  </ns4:nvPicPr>
                  <ns4:blipFill>
                    <ns3:blip ns5:embed="rId11"/>
                    <ns3:stretch>
                      <ns3:fillRect/>
                    </ns3:stretch>
                  </ns4:blipFill>
                  <ns4:spPr>
                    <ns3:xfrm>
                      <ns3:off x="0" y="0"/>
                      <ns3:ext cx="6400800" cy="2863516"/>
                    </ns3:xfrm>
                    <ns3:prstGeom prst="rect"/>
                  </ns4:spPr>
                </ns4:pic>
              </ns3:graphicData>
            </ns3:graphic>
          </ns2: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7.94 a share against the base case's AED 6.40.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2.05 a share — and that range is wide enough to carry fair value across the market price, which it reaches between the 90% and 100% anchors. Widening the beta across the 0.705-to-1.621 range tested in section 1.9 moves it by AED 5.07, which is 2.5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8.62%</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9.09% to 8.56% and the terminal rate from 8.29% to 7.80%</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8.56%</w:t>
            </w:r>
          </w:p>
        </w:tc>
        <w:tc>
          <w:tcPr>
            <w:tcW w:type="dxa" w:w="1037"/>
          </w:tcPr>
          <w:p>
            <w:pPr>
              <w:spacing w:after="20"/>
              <w:jc w:val="right"/>
            </w:pPr>
            <w:r>
              <w:rPr>
                <w:color w:val="1C3A36"/>
                <w:sz w:val="16"/>
              </w:rPr>
              <w:t>7.80%</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8.41% · 8.26% · 8.11% · 7.95% · 7.80%</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0.771</w:t>
            </w:r>
          </w:p>
        </w:tc>
        <w:tc>
          <w:tcPr>
            <w:tcW w:type="dxa" w:w="6019"/>
          </w:tcPr>
          <w:p>
            <w:pPr>
              <w:spacing w:after="20"/>
              <w:jc w:val="left"/>
            </w:pPr>
            <w:r>
              <w:rPr>
                <w:color w:val="1C3A36"/>
                <w:sz w:val="16"/>
              </w:rPr>
              <w:t>ADX + DFM equal-weight composite; disclosed, not adopted. R-squared 0.183 across 26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0.398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13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0.705 — cost of equity 7.49% instead of 9.43%</w:t>
            </w:r>
          </w:p>
        </w:tc>
        <w:tc>
          <w:tcPr>
            <w:tcW w:type="dxa" w:w="1843"/>
          </w:tcPr>
          <w:p>
            <w:pPr>
              <w:spacing w:after="20"/>
            </w:pPr>
            <w:r>
              <w:rPr>
                <w:color w:val="1C3A36"/>
                <w:sz w:val="15"/>
              </w:rPr>
              <w:t>AED 9.37 against 6.40</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6.77, +0.37 against 6.40</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3.25% long-run anchor used</w:t>
            </w:r>
          </w:p>
        </w:tc>
        <w:tc>
          <w:tcPr>
            <w:tcW w:type="dxa" w:w="1843"/>
          </w:tcPr>
          <w:p>
            <w:pPr>
              <w:spacing w:after="20"/>
            </w:pPr>
            <w:r>
              <w:rPr>
                <w:color w:val="1C3A36"/>
                <w:sz w:val="15"/>
              </w:rPr>
              <w:t>raises the terminal risk-free rate by 81 basis points and the value with it. It has no row of its own in the grid overleaf, so the closest read-across is the beta: a step of 0.195 in the beta moves the cost of equity by about the same amount and is worth AED 1.68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5.20 against 6.40</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ns2:inline>
            <ns2:extent cx="6400800" cy="2536166"/>
            <ns2:docPr id="4" name="Picture 4"/>
            <ns2:cNvGraphicFramePr>
              <ns3:graphicFrameLocks noChangeAspect="1"/>
            </ns2:cNvGraphicFramePr>
            <ns3:graphic>
              <ns3:graphicData uri="http://schemas.openxmlformats.org/drawingml/2006/picture">
                <ns4:pic>
                  <ns4:nvPicPr>
                    <ns4:cNvPr id="0" name="fig2_sens.png"/>
                    <ns4:cNvPicPr/>
                  </ns4:nvPicPr>
                  <ns4:blipFill>
                    <ns3:blip ns5:embed="rId12"/>
                    <ns3:stretch>
                      <ns3:fillRect/>
                    </ns3:stretch>
                  </ns4:blipFill>
                  <ns4:spPr>
                    <ns3:xfrm>
                      <ns3:off x="0" y="0"/>
                      <ns3:ext cx="6400800" cy="2536166"/>
                    </ns3:xfrm>
                    <ns3:prstGeom prst="rect"/>
                  </ns4:spPr>
                </ns4:pic>
              </ns3:graphicData>
            </ns3:graphic>
          </ns2: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1.103 and 1.350 rows, and in the rate-anchor range between the 90% and 100%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8.37</w:t>
            </w:r>
          </w:p>
        </w:tc>
        <w:tc>
          <w:tcPr>
            <w:tcW w:type="dxa" w:w="1555"/>
          </w:tcPr>
          <w:p>
            <w:pPr>
              <w:spacing w:after="20"/>
              <w:jc w:val="right"/>
            </w:pPr>
            <w:r>
              <w:rPr>
                <w:color w:val="1C3A36"/>
                <w:sz w:val="16"/>
              </w:rPr>
              <w:t>7.07</w:t>
            </w:r>
          </w:p>
        </w:tc>
        <w:tc>
          <w:tcPr>
            <w:tcW w:type="dxa" w:w="1555"/>
          </w:tcPr>
          <w:p>
            <w:pPr>
              <w:spacing w:after="20"/>
              <w:jc w:val="right"/>
            </w:pPr>
            <w:r>
              <w:rPr>
                <w:color w:val="1C3A36"/>
                <w:sz w:val="16"/>
              </w:rPr>
              <w:t>6.02</w:t>
            </w:r>
          </w:p>
        </w:tc>
        <w:tc>
          <w:tcPr>
            <w:tcW w:type="dxa" w:w="1555"/>
          </w:tcPr>
          <w:p>
            <w:pPr>
              <w:spacing w:after="20"/>
              <w:jc w:val="right"/>
            </w:pPr>
            <w:r>
              <w:rPr>
                <w:color w:val="1C3A36"/>
                <w:sz w:val="16"/>
              </w:rPr>
              <w:t>5.03</w:t>
            </w:r>
          </w:p>
        </w:tc>
        <w:tc>
          <w:tcPr>
            <w:tcW w:type="dxa" w:w="1555"/>
          </w:tcPr>
          <w:p>
            <w:pPr>
              <w:spacing w:after="20"/>
              <w:jc w:val="right"/>
            </w:pPr>
            <w:r>
              <w:rPr>
                <w:color w:val="1C3A36"/>
                <w:sz w:val="16"/>
              </w:rPr>
              <w:t>4.19</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8.82</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6.20</w:t>
            </w:r>
          </w:p>
        </w:tc>
        <w:tc>
          <w:tcPr>
            <w:tcW w:type="dxa" w:w="1555"/>
          </w:tcPr>
          <w:p>
            <w:pPr>
              <w:spacing w:after="20"/>
              <w:jc w:val="right"/>
            </w:pPr>
            <w:r>
              <w:rPr>
                <w:color w:val="1C3A36"/>
                <w:sz w:val="16"/>
              </w:rPr>
              <w:t>5.13</w:t>
            </w:r>
          </w:p>
        </w:tc>
        <w:tc>
          <w:tcPr>
            <w:tcW w:type="dxa" w:w="1555"/>
          </w:tcPr>
          <w:p>
            <w:pPr>
              <w:spacing w:after="20"/>
              <w:jc w:val="right"/>
            </w:pPr>
            <w:r>
              <w:rPr>
                <w:color w:val="1C3A36"/>
                <w:sz w:val="16"/>
              </w:rPr>
              <w:t>4.24</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9.37</w:t>
            </w:r>
          </w:p>
        </w:tc>
        <w:tc>
          <w:tcPr>
            <w:tcW w:type="dxa" w:w="1555"/>
          </w:tcPr>
          <w:p>
            <w:pPr>
              <w:spacing w:after="20"/>
              <w:jc w:val="right"/>
            </w:pPr>
            <w:r>
              <w:rPr>
                <w:color w:val="1C3A36"/>
                <w:sz w:val="16"/>
              </w:rPr>
              <w:t>7.69</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5.25</w:t>
            </w:r>
          </w:p>
        </w:tc>
        <w:tc>
          <w:tcPr>
            <w:tcW w:type="dxa" w:w="1555"/>
          </w:tcPr>
          <w:p>
            <w:pPr>
              <w:spacing w:after="20"/>
              <w:jc w:val="right"/>
            </w:pPr>
            <w:r>
              <w:rPr>
                <w:color w:val="1C3A36"/>
                <w:sz w:val="16"/>
              </w:rPr>
              <w:t>4.30</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10.06</w:t>
            </w:r>
          </w:p>
        </w:tc>
        <w:tc>
          <w:tcPr>
            <w:tcW w:type="dxa" w:w="1555"/>
          </w:tcPr>
          <w:p>
            <w:pPr>
              <w:spacing w:after="20"/>
              <w:jc w:val="right"/>
            </w:pPr>
            <w:r>
              <w:rPr>
                <w:color w:val="1C3A36"/>
                <w:sz w:val="16"/>
              </w:rPr>
              <w:t>8.10</w:t>
            </w:r>
          </w:p>
        </w:tc>
        <w:tc>
          <w:tcPr>
            <w:tcW w:type="dxa" w:w="1555"/>
          </w:tcPr>
          <w:p>
            <w:pPr>
              <w:spacing w:after="20"/>
              <w:jc w:val="right"/>
            </w:pPr>
            <w:r>
              <w:rPr>
                <w:color w:val="1C3A36"/>
                <w:sz w:val="16"/>
              </w:rPr>
              <w:t>6.65</w:t>
            </w:r>
          </w:p>
        </w:tc>
        <w:tc>
          <w:tcPr>
            <w:tcW w:type="dxa" w:w="1555"/>
          </w:tcPr>
          <w:p>
            <w:pPr>
              <w:spacing w:after="20"/>
              <w:jc w:val="right"/>
            </w:pPr>
            <w:r>
              <w:rPr>
                <w:color w:val="1C3A36"/>
                <w:sz w:val="16"/>
              </w:rPr>
              <w:t>5.37</w:t>
            </w:r>
          </w:p>
        </w:tc>
        <w:tc>
          <w:tcPr>
            <w:tcW w:type="dxa" w:w="1555"/>
          </w:tcPr>
          <w:p>
            <w:pPr>
              <w:spacing w:after="20"/>
              <w:jc w:val="right"/>
            </w:pPr>
            <w:r>
              <w:rPr>
                <w:color w:val="1C3A36"/>
                <w:sz w:val="16"/>
              </w:rPr>
              <w:t>4.36</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6.40 exactly. The bear case is struck at 1.621, the top of the regression's own 90% confidence interval and the right-hand column here; the bull case is struck at the bottom of that interval, 0.586, which falls outside the grid, below its left-hand 0.705 column. The equal-weight composite alternative is the 0.705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3.42 and 12.24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1.621</w:t>
            </w:r>
          </w:p>
        </w:tc>
        <w:tc>
          <w:tcPr>
            <w:tcW w:type="dxa" w:w="2304"/>
          </w:tcPr>
          <w:p>
            <w:pPr>
              <w:spacing w:after="20"/>
              <w:jc w:val="left"/>
            </w:pPr>
            <w:r>
              <w:rPr>
                <w:color w:val="1C3A36"/>
                <w:sz w:val="16"/>
              </w:rPr>
              <w:t>4.30 – 9.37</w:t>
            </w:r>
          </w:p>
        </w:tc>
        <w:tc>
          <w:tcPr>
            <w:tcW w:type="dxa" w:w="1944"/>
          </w:tcPr>
          <w:p>
            <w:pPr>
              <w:spacing w:after="20"/>
              <w:jc w:val="right"/>
            </w:pPr>
            <w:r>
              <w:rPr>
                <w:color w:val="1C3A36"/>
                <w:sz w:val="16"/>
              </w:rPr>
              <w:t>5.07</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5.38 – 7.43</w:t>
            </w:r>
          </w:p>
        </w:tc>
        <w:tc>
          <w:tcPr>
            <w:tcW w:type="dxa" w:w="1944"/>
          </w:tcPr>
          <w:p>
            <w:pPr>
              <w:spacing w:after="20"/>
              <w:jc w:val="right"/>
            </w:pPr>
            <w:r>
              <w:rPr>
                <w:color w:val="1C3A36"/>
                <w:sz w:val="16"/>
              </w:rPr>
              <w:t>2.05</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5.59 – 6.81</w:t>
            </w:r>
          </w:p>
        </w:tc>
        <w:tc>
          <w:tcPr>
            <w:tcW w:type="dxa" w:w="1944"/>
          </w:tcPr>
          <w:p>
            <w:pPr>
              <w:spacing w:after="20"/>
              <w:jc w:val="right"/>
            </w:pPr>
            <w:r>
              <w:rPr>
                <w:color w:val="1C3A36"/>
                <w:sz w:val="16"/>
              </w:rPr>
              <w:t>1.22</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5.20 – 6.32</w:t>
            </w:r>
          </w:p>
        </w:tc>
        <w:tc>
          <w:tcPr>
            <w:tcW w:type="dxa" w:w="1944"/>
          </w:tcPr>
          <w:p>
            <w:pPr>
              <w:spacing w:after="20"/>
              <w:jc w:val="right"/>
            </w:pPr>
            <w:r>
              <w:rPr>
                <w:color w:val="1C3A36"/>
                <w:sz w:val="16"/>
              </w:rPr>
              <w:t>1.12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6.02 – 6.65</w:t>
            </w:r>
          </w:p>
        </w:tc>
        <w:tc>
          <w:tcPr>
            <w:tcW w:type="dxa" w:w="1944"/>
          </w:tcPr>
          <w:p>
            <w:pPr>
              <w:spacing w:after="20"/>
              <w:jc w:val="right"/>
            </w:pPr>
            <w:r>
              <w:rPr>
                <w:color w:val="1C3A36"/>
                <w:sz w:val="16"/>
              </w:rPr>
              <w:t>0.63</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3.42 – 12.24</w:t>
            </w:r>
          </w:p>
        </w:tc>
        <w:tc>
          <w:tcPr>
            <w:tcW w:type="dxa" w:w="1944"/>
          </w:tcPr>
          <w:p>
            <w:pPr>
              <w:spacing w:after="20"/>
              <w:jc w:val="right"/>
            </w:pPr>
            <w:r>
              <w:rPr>
                <w:color w:val="1C3A36"/>
                <w:sz w:val="16"/>
              </w:rPr>
              <w:t>8.82</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4.30 against a published bear of 3.42</w:t>
            </w:r>
          </w:p>
        </w:tc>
        <w:tc>
          <w:tcPr>
            <w:tcW w:type="dxa" w:w="1944"/>
          </w:tcPr>
          <w:p>
            <w:pPr>
              <w:spacing w:after="20"/>
              <w:jc w:val="right"/>
            </w:pPr>
            <w:r>
              <w:rPr>
                <w:color w:val="1C3A36"/>
                <w:sz w:val="16"/>
              </w:rPr>
              <w:t>0.88</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0.705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5.20, a loss of AED 1.21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ns2:inline>
            <ns2:extent cx="6400800" cy="2804160"/>
            <ns2:docPr id="5" name="Picture 5"/>
            <ns2:cNvGraphicFramePr>
              <ns3:graphicFrameLocks noChangeAspect="1"/>
            </ns2:cNvGraphicFramePr>
            <ns3:graphic>
              <ns3:graphicData uri="http://schemas.openxmlformats.org/drawingml/2006/picture">
                <ns4:pic>
                  <ns4:nvPicPr>
                    <ns4:cNvPr id="0" name="fig3_ma.png"/>
                    <ns4:cNvPicPr/>
                  </ns4:nvPicPr>
                  <ns4:blipFill>
                    <ns3:blip ns5:embed="rId13"/>
                    <ns3:stretch>
                      <ns3:fillRect/>
                    </ns3:stretch>
                  </ns4:blipFill>
                  <ns4:spPr>
                    <ns3:xfrm>
                      <ns3:off x="0" y="0"/>
                      <ns3:ext cx="6400800" cy="2804160"/>
                    </ns3:xfrm>
                    <ns3:prstGeom prst="rect"/>
                  </ns4:spPr>
                </ns4:pic>
              </ns3:graphicData>
            </ns3:graphic>
          </ns2: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weighted central of AED 7.05 sits above every computed level, the highest of which is 6.60, the cash-flow lens on its own, at AED 6.40, sits between the computed levels of 6.30 and 6.43, the equal-weight composite reading of AED 8.24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ns2:inline>
            <ns2:extent cx="6400800" cy="2804160"/>
            <ns2:docPr id="6" name="Picture 6"/>
            <ns2:cNvGraphicFramePr>
              <ns3:graphicFrameLocks noChangeAspect="1"/>
            </ns2:cNvGraphicFramePr>
            <ns3:graphic>
              <ns3:graphicData uri="http://schemas.openxmlformats.org/drawingml/2006/picture">
                <ns4:pic>
                  <ns4:nvPicPr>
                    <ns4:cNvPr id="0" name="fig4_fan.png"/>
                    <ns4:cNvPicPr/>
                  </ns4:nvPicPr>
                  <ns4:blipFill>
                    <ns3:blip ns5:embed="rId14"/>
                    <ns3:stretch>
                      <ns3:fillRect/>
                    </ns3:stretch>
                  </ns4:blipFill>
                  <ns4:spPr>
                    <ns3:xfrm>
                      <ns3:off x="0" y="0"/>
                      <ns3:ext cx="6400800" cy="2804160"/>
                    </ns3:xfrm>
                    <ns3:prstGeom prst="rect"/>
                  </ns4:spPr>
                </ns4:pic>
              </ns3:graphicData>
            </ns3:graphic>
          </ns2:inline>
        </w:drawing>
      </w:r>
    </w:p>
    <w:p>
      <w:pPr>
        <w:spacing w:after="200" w:before="0"/>
      </w:pPr>
      <w:r>
        <w:rPr>
          <w:b w:val="0"/>
          <w:i/>
          <w:color w:val="6E7B77"/>
          <w:sz w:val="17"/>
        </w:rPr>
        <w:t>Figure 6 — the forward price cone to three months. The dashed lines are the two fundamental centrals: AED 7.05 on the beta measured against the published index, and AED 8.24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ns2:inline>
            <ns2:extent cx="4846320" cy="2423160"/>
            <ns2:docPr id="7" name="Picture 7"/>
            <ns2:cNvGraphicFramePr>
              <ns3:graphicFrameLocks noChangeAspect="1"/>
            </ns2:cNvGraphicFramePr>
            <ns3:graphic>
              <ns3:graphicData uri="http://schemas.openxmlformats.org/drawingml/2006/picture">
                <ns4:pic>
                  <ns4:nvPicPr>
                    <ns4:cNvPr id="0" name="fig5_dist.png"/>
                    <ns4:cNvPicPr/>
                  </ns4:nvPicPr>
                  <ns4:blipFill>
                    <ns3:blip ns5:embed="rId15"/>
                    <ns3:stretch>
                      <ns3:fillRect/>
                    </ns3:stretch>
                  </ns4:blipFill>
                  <ns4:spPr>
                    <ns3:xfrm>
                      <ns3:off x="0" y="0"/>
                      <ns3:ext cx="4846320" cy="2423160"/>
                    </ns3:xfrm>
                    <ns3:prstGeom prst="rect"/>
                  </ns4:spPr>
                </ns4:pic>
              </ns3:graphicData>
            </ns3:graphic>
          </ns2:inline>
        </w:drawing>
      </w:r>
    </w:p>
    <w:p>
      <w:pPr>
        <w:spacing w:after="200" w:before="0"/>
      </w:pPr>
      <w:r>
        <w:rPr>
          <w:b w:val="0"/>
          <w:i/>
          <w:color w:val="6E7B77"/>
          <w:sz w:val="17"/>
        </w:rPr>
        <w:t>Figure 7 — the one-month outcome distribution.</w:t>
      </w:r>
    </w:p>
    <w:p>
      <w:pPr>
        <w:spacing w:after="40"/>
        <w:jc w:val="center"/>
      </w:pPr>
      <w:r>
        <w:drawing>
          <ns2:inline>
            <ns2:extent cx="4846320" cy="2423160"/>
            <ns2:docPr id="8" name="Picture 8"/>
            <ns2:cNvGraphicFramePr>
              <ns3:graphicFrameLocks noChangeAspect="1"/>
            </ns2:cNvGraphicFramePr>
            <ns3:graphic>
              <ns3:graphicData uri="http://schemas.openxmlformats.org/drawingml/2006/picture">
                <ns4:pic>
                  <ns4:nvPicPr>
                    <ns4:cNvPr id="0" name="fig6_dist.png"/>
                    <ns4:cNvPicPr/>
                  </ns4:nvPicPr>
                  <ns4:blipFill>
                    <ns3:blip ns5:embed="rId16"/>
                    <ns3:stretch>
                      <ns3:fillRect/>
                    </ns3:stretch>
                  </ns4:blipFill>
                  <ns4:spPr>
                    <ns3:xfrm>
                      <ns3:off x="0" y="0"/>
                      <ns3:ext cx="4846320" cy="2423160"/>
                    </ns3:xfrm>
                    <ns3:prstGeom prst="rect"/>
                  </ns4:spPr>
                </ns4:pic>
              </ns3:graphicData>
            </ns3:graphic>
          </ns2: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7.05, +14%</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8.24, +34%</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6.40, +4%</w:t>
            </w:r>
          </w:p>
        </w:tc>
        <w:tc>
          <w:tcPr>
            <w:tcW w:type="dxa" w:w="4464"/>
          </w:tcPr>
          <w:p>
            <w:pPr>
              <w:spacing w:after="20"/>
            </w:pPr>
            <w:r>
              <w:rPr>
                <w:color w:val="1C3A36"/>
                <w:sz w:val="16"/>
              </w:rPr>
              <w:t>a cost of capital gliding 8.56% to 7.8%</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9.37, +52%</w:t>
            </w:r>
          </w:p>
        </w:tc>
        <w:tc>
          <w:tcPr>
            <w:tcW w:type="dxa" w:w="4464"/>
          </w:tcPr>
          <w:p>
            <w:pPr>
              <w:spacing w:after="20"/>
            </w:pPr>
            <w:r>
              <w:rPr>
                <w:color w:val="1C3A36"/>
                <w:sz w:val="16"/>
              </w:rPr>
              <w:t>the same, gliding 7.00%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7.94, +29%</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6.40, 4% above the market price; the expert panel in Appendix C, which prices mid-cycle earnings and capitalises no terminal value at all, centres at AED 6.11, 1% below the market price. Two constructions that share no machinery land within AED 0.29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8.24 — a difference of AED 1.19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0.705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2.05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1.21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0.37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7.05</w:t>
            </w:r>
          </w:p>
        </w:tc>
        <w:tc>
          <w:tcPr>
            <w:tcW w:type="dxa" w:w="5040"/>
          </w:tcPr>
          <w:p>
            <w:pPr>
              <w:spacing w:after="20"/>
              <w:jc w:val="left"/>
            </w:pPr>
            <w:r>
              <w:rPr>
                <w:color w:val="1C3A36"/>
                <w:sz w:val="16"/>
              </w:rPr>
              <w:t>between the 75th and 95th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6.40</w:t>
            </w:r>
          </w:p>
        </w:tc>
        <w:tc>
          <w:tcPr>
            <w:tcW w:type="dxa" w:w="5040"/>
          </w:tcPr>
          <w:p>
            <w:pPr>
              <w:spacing w:after="20"/>
              <w:jc w:val="left"/>
            </w:pPr>
            <w:r>
              <w:rPr>
                <w:color w:val="1C3A36"/>
                <w:sz w:val="16"/>
              </w:rPr>
              <w:t>between the 50th and 75th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6.11</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8.24</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0.705, worth AED 2.97 a share on the cash-flow lens. Across the beta range tested in section 1.9 the swing is AED 5.07,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75% of the cash-flow model's enterprise value is the terminal value on the adopted construction, 81%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665 million by 2030E, against a stated medium-term target of 2.0× to 2.5×. At the low end of that target the 2030E balance sheet would carry about USD 4,114 million of net debt, so the modelled path leaves roughly USD 4,779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547 million of the USD 7,366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four lenses are less independent of one another than four lenses sound. </w:t>
      </w:r>
      <w:r>
        <w:rPr>
          <w:color w:val="1C3A36"/>
          <w:sz w:val="21"/>
        </w:rPr>
        <w:t>The relative lens and the normalised lens apply the SAME three multiples to two different earnings denominators — the first forecast year in one, the five-year average of the same forecast in the other. Between them they carry 45% of the weighted central, so that much of the headline rests on one method presented as two reads.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5.20.</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spacing w:after="120" w:before="0"/>
      </w:pPr>
      <w:r>
        <w:rPr>
          <w:b w:val="0"/>
          <w:i w:val="0"/>
          <w:color w:val="1C3A36"/>
          <w:sz w:val="21"/>
        </w:rPr>
        <w:t xml:space="preserve">One measurement in this study comes from method rather than from a reviewer, and it belongs here on its own.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5,003</w:t>
            </w:r>
          </w:p>
        </w:tc>
        <w:tc>
          <w:tcPr>
            <w:tcW w:type="dxa" w:w="950"/>
          </w:tcPr>
          <w:p>
            <w:pPr>
              <w:spacing w:after="20"/>
              <w:jc w:val="right"/>
            </w:pPr>
            <w:r>
              <w:rPr>
                <w:color w:val="1C3A36"/>
                <w:sz w:val="15"/>
              </w:rPr>
              <w:t>5,719</w:t>
            </w:r>
          </w:p>
        </w:tc>
        <w:tc>
          <w:tcPr>
            <w:tcW w:type="dxa" w:w="950"/>
          </w:tcPr>
          <w:p>
            <w:pPr>
              <w:spacing w:after="20"/>
              <w:jc w:val="right"/>
            </w:pPr>
            <w:r>
              <w:rPr>
                <w:color w:val="1C3A36"/>
                <w:sz w:val="15"/>
              </w:rPr>
              <w:t>5,741</w:t>
            </w:r>
          </w:p>
        </w:tc>
        <w:tc>
          <w:tcPr>
            <w:tcW w:type="dxa" w:w="950"/>
          </w:tcPr>
          <w:p>
            <w:pPr>
              <w:spacing w:after="20"/>
              <w:jc w:val="right"/>
            </w:pPr>
            <w:r>
              <w:rPr>
                <w:color w:val="1C3A36"/>
                <w:sz w:val="15"/>
              </w:rPr>
              <w:t>5,497</w:t>
            </w:r>
          </w:p>
        </w:tc>
        <w:tc>
          <w:tcPr>
            <w:tcW w:type="dxa" w:w="950"/>
          </w:tcPr>
          <w:p>
            <w:pPr>
              <w:spacing w:after="20"/>
              <w:jc w:val="right"/>
            </w:pPr>
            <w:r>
              <w:rPr>
                <w:color w:val="1C3A36"/>
                <w:sz w:val="15"/>
              </w:rPr>
              <w:t>5,171</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(2,917)</w:t>
            </w:r>
          </w:p>
        </w:tc>
        <w:tc>
          <w:tcPr>
            <w:tcW w:type="dxa" w:w="950"/>
          </w:tcPr>
          <w:p>
            <w:pPr>
              <w:spacing w:after="20"/>
              <w:jc w:val="right"/>
            </w:pPr>
            <w:r>
              <w:rPr>
                <w:color w:val="1C3A36"/>
                <w:sz w:val="15"/>
              </w:rPr>
              <w:t>(3,201)</w:t>
            </w:r>
          </w:p>
        </w:tc>
        <w:tc>
          <w:tcPr>
            <w:tcW w:type="dxa" w:w="950"/>
          </w:tcPr>
          <w:p>
            <w:pPr>
              <w:spacing w:after="20"/>
              <w:jc w:val="right"/>
            </w:pPr>
            <w:r>
              <w:rPr>
                <w:color w:val="1C3A36"/>
                <w:sz w:val="15"/>
              </w:rPr>
              <w:t>(3,236)</w:t>
            </w:r>
          </w:p>
        </w:tc>
        <w:tc>
          <w:tcPr>
            <w:tcW w:type="dxa" w:w="950"/>
          </w:tcPr>
          <w:p>
            <w:pPr>
              <w:spacing w:after="20"/>
              <w:jc w:val="right"/>
            </w:pPr>
            <w:r>
              <w:rPr>
                <w:color w:val="1C3A36"/>
                <w:sz w:val="15"/>
              </w:rPr>
              <w:t>(3,186)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2,506</w:t>
            </w:r>
          </w:p>
        </w:tc>
        <w:tc>
          <w:tcPr>
            <w:tcW w:type="dxa" w:w="950"/>
            <w:shd w:val="clear" w:color="auto" w:fill="F6F1E6"/>
          </w:tcPr>
          <w:p>
            <w:pPr>
              <w:spacing w:after="20"/>
              <w:jc w:val="right"/>
            </w:pPr>
            <w:r>
              <w:rPr>
                <w:b/>
                <w:color w:val="1C3A36"/>
                <w:sz w:val="15"/>
              </w:rPr>
              <w:t>2,311</w:t>
            </w:r>
          </w:p>
        </w:tc>
        <w:tc>
          <w:tcPr>
            <w:tcW w:type="dxa" w:w="950"/>
            <w:shd w:val="clear" w:color="auto" w:fill="F6F1E6"/>
          </w:tcPr>
          <w:p>
            <w:pPr>
              <w:spacing w:after="20"/>
              <w:jc w:val="right"/>
            </w:pPr>
            <w:r>
              <w:rPr>
                <w:b/>
                <w:color w:val="1C3A36"/>
                <w:sz w:val="15"/>
              </w:rPr>
              <w:t>2,057</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(703)</w:t>
            </w:r>
          </w:p>
        </w:tc>
        <w:tc>
          <w:tcPr>
            <w:tcW w:type="dxa" w:w="950"/>
          </w:tcPr>
          <w:p>
            <w:pPr>
              <w:spacing w:after="20"/>
              <w:jc w:val="right"/>
            </w:pPr>
            <w:r>
              <w:rPr>
                <w:color w:val="1C3A36"/>
                <w:sz w:val="15"/>
              </w:rPr>
              <w:t>(727)</w:t>
            </w:r>
          </w:p>
        </w:tc>
        <w:tc>
          <w:tcPr>
            <w:tcW w:type="dxa" w:w="950"/>
          </w:tcPr>
          <w:p>
            <w:pPr>
              <w:spacing w:after="20"/>
              <w:jc w:val="right"/>
            </w:pPr>
            <w:r>
              <w:rPr>
                <w:color w:val="1C3A36"/>
                <w:sz w:val="15"/>
              </w:rPr>
              <w:t>(733)</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1,802</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(153)</w:t>
            </w:r>
          </w:p>
        </w:tc>
        <w:tc>
          <w:tcPr>
            <w:tcW w:type="dxa" w:w="950"/>
          </w:tcPr>
          <w:p>
            <w:pPr>
              <w:spacing w:after="20"/>
              <w:jc w:val="right"/>
            </w:pPr>
            <w:r>
              <w:rPr>
                <w:color w:val="1C3A36"/>
                <w:sz w:val="15"/>
              </w:rPr>
              <w:t>(126)</w:t>
            </w:r>
          </w:p>
        </w:tc>
        <w:tc>
          <w:tcPr>
            <w:tcW w:type="dxa" w:w="950"/>
          </w:tcPr>
          <w:p>
            <w:pPr>
              <w:spacing w:after="20"/>
              <w:jc w:val="right"/>
            </w:pPr>
            <w:r>
              <w:rPr>
                <w:color w:val="1C3A36"/>
                <w:sz w:val="15"/>
              </w:rPr>
              <w:t>(90)</w:t>
            </w:r>
          </w:p>
        </w:tc>
        <w:tc>
          <w:tcPr>
            <w:tcW w:type="dxa" w:w="950"/>
          </w:tcPr>
          <w:p>
            <w:pPr>
              <w:spacing w:after="20"/>
              <w:jc w:val="right"/>
            </w:pPr>
            <w:r>
              <w:rPr>
                <w:color w:val="1C3A36"/>
                <w:sz w:val="15"/>
              </w:rPr>
              <w:t>(29)</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1,378</w:t>
            </w:r>
          </w:p>
        </w:tc>
        <w:tc>
          <w:tcPr>
            <w:tcW w:type="dxa" w:w="950"/>
          </w:tcPr>
          <w:p>
            <w:pPr>
              <w:spacing w:after="20"/>
              <w:jc w:val="right"/>
            </w:pPr>
            <w:r>
              <w:rPr>
                <w:color w:val="1C3A36"/>
                <w:sz w:val="15"/>
              </w:rPr>
              <w:t>1,704</w:t>
            </w:r>
          </w:p>
        </w:tc>
        <w:tc>
          <w:tcPr>
            <w:tcW w:type="dxa" w:w="950"/>
          </w:tcPr>
          <w:p>
            <w:pPr>
              <w:spacing w:after="20"/>
              <w:jc w:val="right"/>
            </w:pPr>
            <w:r>
              <w:rPr>
                <w:color w:val="1C3A36"/>
                <w:sz w:val="15"/>
              </w:rPr>
              <w:t>1,677</w:t>
            </w:r>
          </w:p>
        </w:tc>
        <w:tc>
          <w:tcPr>
            <w:tcW w:type="dxa" w:w="950"/>
          </w:tcPr>
          <w:p>
            <w:pPr>
              <w:spacing w:after="20"/>
              <w:jc w:val="right"/>
            </w:pPr>
            <w:r>
              <w:rPr>
                <w:color w:val="1C3A36"/>
                <w:sz w:val="15"/>
              </w:rPr>
              <w:t>1,494</w:t>
            </w:r>
          </w:p>
        </w:tc>
        <w:tc>
          <w:tcPr>
            <w:tcW w:type="dxa" w:w="950"/>
          </w:tcPr>
          <w:p>
            <w:pPr>
              <w:spacing w:after="20"/>
              <w:jc w:val="right"/>
            </w:pPr>
            <w:r>
              <w:rPr>
                <w:color w:val="1C3A36"/>
                <w:sz w:val="15"/>
              </w:rPr>
              <w:t>1,295</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1,333</w:t>
            </w:r>
          </w:p>
        </w:tc>
        <w:tc>
          <w:tcPr>
            <w:tcW w:type="dxa" w:w="950"/>
          </w:tcPr>
          <w:p>
            <w:pPr>
              <w:spacing w:after="20"/>
              <w:jc w:val="right"/>
            </w:pPr>
            <w:r>
              <w:rPr>
                <w:color w:val="1C3A36"/>
                <w:sz w:val="15"/>
              </w:rPr>
              <w:t>1,651</w:t>
            </w:r>
          </w:p>
        </w:tc>
        <w:tc>
          <w:tcPr>
            <w:tcW w:type="dxa" w:w="950"/>
          </w:tcPr>
          <w:p>
            <w:pPr>
              <w:spacing w:after="20"/>
              <w:jc w:val="right"/>
            </w:pPr>
            <w:r>
              <w:rPr>
                <w:color w:val="1C3A36"/>
                <w:sz w:val="15"/>
              </w:rPr>
              <w:t>1,622</w:t>
            </w:r>
          </w:p>
        </w:tc>
        <w:tc>
          <w:tcPr>
            <w:tcW w:type="dxa" w:w="950"/>
          </w:tcPr>
          <w:p>
            <w:pPr>
              <w:spacing w:after="20"/>
              <w:jc w:val="right"/>
            </w:pPr>
            <w:r>
              <w:rPr>
                <w:color w:val="1C3A36"/>
                <w:sz w:val="15"/>
              </w:rPr>
              <w:t>1,438</w:t>
            </w:r>
          </w:p>
        </w:tc>
        <w:tc>
          <w:tcPr>
            <w:tcW w:type="dxa" w:w="950"/>
          </w:tcPr>
          <w:p>
            <w:pPr>
              <w:spacing w:after="20"/>
              <w:jc w:val="right"/>
            </w:pPr>
            <w:r>
              <w:rPr>
                <w:color w:val="1C3A36"/>
                <w:sz w:val="15"/>
              </w:rPr>
              <w:t>1,237</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(145)</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1,216</w:t>
            </w:r>
          </w:p>
        </w:tc>
        <w:tc>
          <w:tcPr>
            <w:tcW w:type="dxa" w:w="950"/>
            <w:shd w:val="clear" w:color="auto" w:fill="F6F1E6"/>
          </w:tcPr>
          <w:p>
            <w:pPr>
              <w:spacing w:after="20"/>
              <w:jc w:val="right"/>
            </w:pPr>
            <w:r>
              <w:rPr>
                <w:b/>
                <w:color w:val="1C3A36"/>
                <w:sz w:val="15"/>
              </w:rPr>
              <w:t>1,506</w:t>
            </w:r>
          </w:p>
        </w:tc>
        <w:tc>
          <w:tcPr>
            <w:tcW w:type="dxa" w:w="950"/>
            <w:shd w:val="clear" w:color="auto" w:fill="F6F1E6"/>
          </w:tcPr>
          <w:p>
            <w:pPr>
              <w:spacing w:after="20"/>
              <w:jc w:val="right"/>
            </w:pPr>
            <w:r>
              <w:rPr>
                <w:b/>
                <w:color w:val="1C3A36"/>
                <w:sz w:val="15"/>
              </w:rPr>
              <w:t>1,479</w:t>
            </w:r>
          </w:p>
        </w:tc>
        <w:tc>
          <w:tcPr>
            <w:tcW w:type="dxa" w:w="950"/>
            <w:shd w:val="clear" w:color="auto" w:fill="F6F1E6"/>
          </w:tcPr>
          <w:p>
            <w:pPr>
              <w:spacing w:after="20"/>
              <w:jc w:val="right"/>
            </w:pPr>
            <w:r>
              <w:rPr>
                <w:b/>
                <w:color w:val="1C3A36"/>
                <w:sz w:val="15"/>
              </w:rPr>
              <w:t>1,311</w:t>
            </w:r>
          </w:p>
        </w:tc>
        <w:tc>
          <w:tcPr>
            <w:tcW w:type="dxa" w:w="950"/>
            <w:shd w:val="clear" w:color="auto" w:fill="F6F1E6"/>
          </w:tcPr>
          <w:p>
            <w:pPr>
              <w:spacing w:after="20"/>
              <w:jc w:val="right"/>
            </w:pPr>
            <w:r>
              <w:rPr>
                <w:b/>
                <w:color w:val="1C3A36"/>
                <w:sz w:val="15"/>
              </w:rPr>
              <w:t>1,128</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1,119</w:t>
            </w:r>
          </w:p>
        </w:tc>
        <w:tc>
          <w:tcPr>
            <w:tcW w:type="dxa" w:w="950"/>
          </w:tcPr>
          <w:p>
            <w:pPr>
              <w:spacing w:after="20"/>
              <w:jc w:val="right"/>
            </w:pPr>
            <w:r>
              <w:rPr>
                <w:color w:val="1C3A36"/>
                <w:sz w:val="15"/>
              </w:rPr>
              <w:t>1,409</w:t>
            </w:r>
          </w:p>
        </w:tc>
        <w:tc>
          <w:tcPr>
            <w:tcW w:type="dxa" w:w="950"/>
          </w:tcPr>
          <w:p>
            <w:pPr>
              <w:spacing w:after="20"/>
              <w:jc w:val="right"/>
            </w:pPr>
            <w:r>
              <w:rPr>
                <w:color w:val="1C3A36"/>
                <w:sz w:val="15"/>
              </w:rPr>
              <w:t>1,382</w:t>
            </w:r>
          </w:p>
        </w:tc>
        <w:tc>
          <w:tcPr>
            <w:tcW w:type="dxa" w:w="950"/>
          </w:tcPr>
          <w:p>
            <w:pPr>
              <w:spacing w:after="20"/>
              <w:jc w:val="right"/>
            </w:pPr>
            <w:r>
              <w:rPr>
                <w:color w:val="1C3A36"/>
                <w:sz w:val="15"/>
              </w:rPr>
              <w:t>1,214</w:t>
            </w:r>
          </w:p>
        </w:tc>
        <w:tc>
          <w:tcPr>
            <w:tcW w:type="dxa" w:w="950"/>
          </w:tcPr>
          <w:p>
            <w:pPr>
              <w:spacing w:after="20"/>
              <w:jc w:val="right"/>
            </w:pPr>
            <w:r>
              <w:rPr>
                <w:color w:val="1C3A36"/>
                <w:sz w:val="15"/>
              </w:rPr>
              <w:t>1,031</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0.151</w:t>
            </w:r>
          </w:p>
        </w:tc>
        <w:tc>
          <w:tcPr>
            <w:tcW w:type="dxa" w:w="950"/>
            <w:shd w:val="clear" w:color="auto" w:fill="F6F1E6"/>
          </w:tcPr>
          <w:p>
            <w:pPr>
              <w:spacing w:after="20"/>
              <w:jc w:val="right"/>
            </w:pPr>
            <w:r>
              <w:rPr>
                <w:b/>
                <w:color w:val="1C3A36"/>
                <w:sz w:val="15"/>
              </w:rPr>
              <w:t>0.190</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0.164</w:t>
            </w:r>
          </w:p>
        </w:tc>
        <w:tc>
          <w:tcPr>
            <w:tcW w:type="dxa" w:w="950"/>
            <w:shd w:val="clear" w:color="auto" w:fill="F6F1E6"/>
          </w:tcPr>
          <w:p>
            <w:pPr>
              <w:spacing w:after="20"/>
              <w:jc w:val="right"/>
            </w:pPr>
            <w:r>
              <w:rPr>
                <w:b/>
                <w:color w:val="1C3A36"/>
                <w:sz w:val="15"/>
              </w:rPr>
              <w:t>0.139</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0.164</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0.177</w:t>
            </w:r>
          </w:p>
        </w:tc>
        <w:tc>
          <w:tcPr>
            <w:tcW w:type="dxa" w:w="950"/>
          </w:tcPr>
          <w:p>
            <w:pPr>
              <w:spacing w:after="20"/>
              <w:jc w:val="right"/>
            </w:pPr>
            <w:r>
              <w:rPr>
                <w:color w:val="1C3A36"/>
                <w:sz w:val="15"/>
              </w:rPr>
              <w:t>0.152</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8.7%;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945</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787</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3,060</w:t>
            </w:r>
          </w:p>
        </w:tc>
        <w:tc>
          <w:tcPr>
            <w:tcW w:type="dxa" w:w="950"/>
          </w:tcPr>
          <w:p>
            <w:pPr>
              <w:spacing w:after="20"/>
              <w:jc w:val="right"/>
            </w:pPr>
            <w:r>
              <w:rPr>
                <w:color w:val="1C3A36"/>
                <w:sz w:val="15"/>
              </w:rPr>
              <w:t>2,594</w:t>
            </w:r>
          </w:p>
        </w:tc>
        <w:tc>
          <w:tcPr>
            <w:tcW w:type="dxa" w:w="950"/>
          </w:tcPr>
          <w:p>
            <w:pPr>
              <w:spacing w:after="20"/>
              <w:jc w:val="right"/>
            </w:pPr>
            <w:r>
              <w:rPr>
                <w:color w:val="1C3A36"/>
                <w:sz w:val="15"/>
              </w:rPr>
              <w:t>1,977</w:t>
            </w:r>
          </w:p>
        </w:tc>
        <w:tc>
          <w:tcPr>
            <w:tcW w:type="dxa" w:w="950"/>
          </w:tcPr>
          <w:p>
            <w:pPr>
              <w:spacing w:after="20"/>
              <w:jc w:val="right"/>
            </w:pPr>
            <w:r>
              <w:rPr>
                <w:color w:val="1C3A36"/>
                <w:sz w:val="15"/>
              </w:rPr>
              <w:t>930</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2,365</w:t>
            </w:r>
          </w:p>
        </w:tc>
        <w:tc>
          <w:tcPr>
            <w:tcW w:type="dxa" w:w="950"/>
          </w:tcPr>
          <w:p>
            <w:pPr>
              <w:spacing w:after="20"/>
              <w:jc w:val="right"/>
            </w:pPr>
            <w:r>
              <w:rPr>
                <w:color w:val="1C3A36"/>
                <w:sz w:val="15"/>
              </w:rPr>
              <w:t>1,899</w:t>
            </w:r>
          </w:p>
        </w:tc>
        <w:tc>
          <w:tcPr>
            <w:tcW w:type="dxa" w:w="950"/>
          </w:tcPr>
          <w:p>
            <w:pPr>
              <w:spacing w:after="20"/>
              <w:jc w:val="right"/>
            </w:pPr>
            <w:r>
              <w:rPr>
                <w:color w:val="1C3A36"/>
                <w:sz w:val="15"/>
              </w:rPr>
              <w:t>1,282</w:t>
            </w:r>
          </w:p>
        </w:tc>
        <w:tc>
          <w:tcPr>
            <w:tcW w:type="dxa" w:w="950"/>
          </w:tcPr>
          <w:p>
            <w:pPr>
              <w:spacing w:after="20"/>
              <w:jc w:val="right"/>
            </w:pPr>
            <w:r>
              <w:rPr>
                <w:color w:val="1C3A36"/>
                <w:sz w:val="15"/>
              </w:rPr>
              <w:t>235</w:t>
            </w:r>
          </w:p>
        </w:tc>
        <w:tc>
          <w:tcPr>
            <w:tcW w:type="dxa" w:w="950"/>
          </w:tcPr>
          <w:p>
            <w:pPr>
              <w:spacing w:after="20"/>
              <w:jc w:val="right"/>
            </w:pPr>
            <w:r>
              <w:rPr>
                <w:color w:val="1C3A36"/>
                <w:sz w:val="15"/>
              </w:rPr>
              <w:t>(665)</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5,852</w:t>
            </w:r>
          </w:p>
        </w:tc>
        <w:tc>
          <w:tcPr>
            <w:tcW w:type="dxa" w:w="950"/>
            <w:shd w:val="clear" w:color="auto" w:fill="F6F1E6"/>
          </w:tcPr>
          <w:p>
            <w:pPr>
              <w:spacing w:after="20"/>
              <w:jc w:val="right"/>
            </w:pPr>
            <w:r>
              <w:rPr>
                <w:b/>
                <w:color w:val="1C3A36"/>
                <w:sz w:val="15"/>
              </w:rPr>
              <w:t>6,903</w:t>
            </w:r>
          </w:p>
        </w:tc>
        <w:tc>
          <w:tcPr>
            <w:tcW w:type="dxa" w:w="950"/>
            <w:shd w:val="clear" w:color="auto" w:fill="F6F1E6"/>
          </w:tcPr>
          <w:p>
            <w:pPr>
              <w:spacing w:after="20"/>
              <w:jc w:val="right"/>
            </w:pPr>
            <w:r>
              <w:rPr>
                <w:b/>
                <w:color w:val="1C3A36"/>
                <w:sz w:val="15"/>
              </w:rPr>
              <w:t>7,909</w:t>
            </w:r>
          </w:p>
        </w:tc>
        <w:tc>
          <w:tcPr>
            <w:tcW w:type="dxa" w:w="950"/>
            <w:shd w:val="clear" w:color="auto" w:fill="F6F1E6"/>
          </w:tcPr>
          <w:p>
            <w:pPr>
              <w:spacing w:after="20"/>
              <w:jc w:val="right"/>
            </w:pPr>
            <w:r>
              <w:rPr>
                <w:b/>
                <w:color w:val="1C3A36"/>
                <w:sz w:val="15"/>
              </w:rPr>
              <w:t>8,728</w:t>
            </w:r>
          </w:p>
        </w:tc>
        <w:tc>
          <w:tcPr>
            <w:tcW w:type="dxa" w:w="950"/>
            <w:shd w:val="clear" w:color="auto" w:fill="F6F1E6"/>
          </w:tcPr>
          <w:p>
            <w:pPr>
              <w:spacing w:after="20"/>
              <w:jc w:val="right"/>
            </w:pPr>
            <w:r>
              <w:rPr>
                <w:b/>
                <w:color w:val="1C3A36"/>
                <w:sz w:val="15"/>
              </w:rPr>
              <w:t>9,345</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0.7909</w:t>
            </w:r>
          </w:p>
        </w:tc>
        <w:tc>
          <w:tcPr>
            <w:tcW w:type="dxa" w:w="950"/>
          </w:tcPr>
          <w:p>
            <w:pPr>
              <w:spacing w:after="20"/>
              <w:jc w:val="right"/>
            </w:pPr>
            <w:r>
              <w:rPr>
                <w:color w:val="1C3A36"/>
                <w:sz w:val="15"/>
              </w:rPr>
              <w:t>0.9330</w:t>
            </w:r>
          </w:p>
        </w:tc>
        <w:tc>
          <w:tcPr>
            <w:tcW w:type="dxa" w:w="950"/>
          </w:tcPr>
          <w:p>
            <w:pPr>
              <w:spacing w:after="20"/>
              <w:jc w:val="right"/>
            </w:pPr>
            <w:r>
              <w:rPr>
                <w:color w:val="1C3A36"/>
                <w:sz w:val="15"/>
              </w:rPr>
              <w:t>1.0689</w:t>
            </w:r>
          </w:p>
        </w:tc>
        <w:tc>
          <w:tcPr>
            <w:tcW w:type="dxa" w:w="950"/>
          </w:tcPr>
          <w:p>
            <w:pPr>
              <w:spacing w:after="20"/>
              <w:jc w:val="right"/>
            </w:pPr>
            <w:r>
              <w:rPr>
                <w:color w:val="1C3A36"/>
                <w:sz w:val="15"/>
              </w:rPr>
              <w:t>1.1797</w:t>
            </w:r>
          </w:p>
        </w:tc>
        <w:tc>
          <w:tcPr>
            <w:tcW w:type="dxa" w:w="950"/>
          </w:tcPr>
          <w:p>
            <w:pPr>
              <w:spacing w:after="20"/>
              <w:jc w:val="right"/>
            </w:pPr>
            <w:r>
              <w:rPr>
                <w:color w:val="1C3A36"/>
                <w:sz w:val="15"/>
              </w:rPr>
              <w:t>1.2631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0.10×</w:t>
            </w:r>
          </w:p>
        </w:tc>
        <w:tc>
          <w:tcPr>
            <w:tcW w:type="dxa" w:w="950"/>
          </w:tcPr>
          <w:p>
            <w:pPr>
              <w:spacing w:after="20"/>
              <w:jc w:val="right"/>
            </w:pPr>
            <w:r>
              <w:rPr>
                <w:color w:val="1C3A36"/>
                <w:sz w:val="15"/>
              </w:rPr>
              <w:t>-0.32×</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21.8%</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23.6%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(158)</w:t>
            </w:r>
          </w:p>
        </w:tc>
        <w:tc>
          <w:tcPr>
            <w:tcW w:type="dxa" w:w="1382"/>
          </w:tcPr>
          <w:p>
            <w:pPr>
              <w:spacing w:after="20"/>
              <w:jc w:val="right"/>
            </w:pPr>
            <w:r>
              <w:rPr>
                <w:color w:val="1C3A36"/>
                <w:sz w:val="16"/>
              </w:rPr>
              <w:t>(178)</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(115)</w:t>
            </w:r>
          </w:p>
        </w:tc>
        <w:tc>
          <w:tcPr>
            <w:tcW w:type="dxa" w:w="1382"/>
          </w:tcPr>
          <w:p>
            <w:pPr>
              <w:spacing w:after="20"/>
              <w:jc w:val="right"/>
            </w:pPr>
            <w:r>
              <w:rPr>
                <w:color w:val="1C3A36"/>
                <w:sz w:val="16"/>
              </w:rPr>
              <w:t>(54)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3,060</w:t>
            </w:r>
          </w:p>
        </w:tc>
        <w:tc>
          <w:tcPr>
            <w:tcW w:type="dxa" w:w="1382"/>
          </w:tcPr>
          <w:p>
            <w:pPr>
              <w:spacing w:after="20"/>
              <w:jc w:val="right"/>
            </w:pPr>
            <w:r>
              <w:rPr>
                <w:color w:val="1C3A36"/>
                <w:sz w:val="16"/>
              </w:rPr>
              <w:t>2,594</w:t>
            </w:r>
          </w:p>
        </w:tc>
        <w:tc>
          <w:tcPr>
            <w:tcW w:type="dxa" w:w="1382"/>
          </w:tcPr>
          <w:p>
            <w:pPr>
              <w:spacing w:after="20"/>
              <w:jc w:val="right"/>
            </w:pPr>
            <w:r>
              <w:rPr>
                <w:color w:val="1C3A36"/>
                <w:sz w:val="16"/>
              </w:rPr>
              <w:t>1,977</w:t>
            </w:r>
          </w:p>
        </w:tc>
        <w:tc>
          <w:tcPr>
            <w:tcW w:type="dxa" w:w="1382"/>
          </w:tcPr>
          <w:p>
            <w:pPr>
              <w:spacing w:after="20"/>
              <w:jc w:val="right"/>
            </w:pPr>
            <w:r>
              <w:rPr>
                <w:color w:val="1C3A36"/>
                <w:sz w:val="16"/>
              </w:rPr>
              <w:t>930</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2,365</w:t>
            </w:r>
          </w:p>
        </w:tc>
        <w:tc>
          <w:tcPr>
            <w:tcW w:type="dxa" w:w="1382"/>
          </w:tcPr>
          <w:p>
            <w:pPr>
              <w:spacing w:after="20"/>
              <w:jc w:val="right"/>
            </w:pPr>
            <w:r>
              <w:rPr>
                <w:color w:val="1C3A36"/>
                <w:sz w:val="16"/>
              </w:rPr>
              <w:t>1,899</w:t>
            </w:r>
          </w:p>
        </w:tc>
        <w:tc>
          <w:tcPr>
            <w:tcW w:type="dxa" w:w="1382"/>
          </w:tcPr>
          <w:p>
            <w:pPr>
              <w:spacing w:after="20"/>
              <w:jc w:val="right"/>
            </w:pPr>
            <w:r>
              <w:rPr>
                <w:color w:val="1C3A36"/>
                <w:sz w:val="16"/>
              </w:rPr>
              <w:t>1,282</w:t>
            </w:r>
          </w:p>
        </w:tc>
        <w:tc>
          <w:tcPr>
            <w:tcW w:type="dxa" w:w="1382"/>
          </w:tcPr>
          <w:p>
            <w:pPr>
              <w:spacing w:after="20"/>
              <w:jc w:val="right"/>
            </w:pPr>
            <w:r>
              <w:rPr>
                <w:color w:val="1C3A36"/>
                <w:sz w:val="16"/>
              </w:rPr>
              <w:t>235</w:t>
            </w:r>
          </w:p>
        </w:tc>
        <w:tc>
          <w:tcPr>
            <w:tcW w:type="dxa" w:w="1382"/>
          </w:tcPr>
          <w:p>
            <w:pPr>
              <w:spacing w:after="20"/>
              <w:jc w:val="right"/>
            </w:pPr>
            <w:r>
              <w:rPr>
                <w:color w:val="1C3A36"/>
                <w:sz w:val="16"/>
              </w:rPr>
              <w:t>(665)</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0.10×</w:t>
            </w:r>
          </w:p>
        </w:tc>
        <w:tc>
          <w:tcPr>
            <w:tcW w:type="dxa" w:w="1382"/>
            <w:shd w:val="clear" w:color="auto" w:fill="F6F1E6"/>
          </w:tcPr>
          <w:p>
            <w:pPr>
              <w:spacing w:after="20"/>
              <w:jc w:val="right"/>
            </w:pPr>
            <w:r>
              <w:rPr>
                <w:b/>
                <w:color w:val="1C3A36"/>
                <w:sz w:val="16"/>
              </w:rPr>
              <w:t>-0.32×</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10,813</w:t>
            </w:r>
          </w:p>
        </w:tc>
        <w:tc>
          <w:tcPr>
            <w:tcW w:type="dxa" w:w="1382"/>
          </w:tcPr>
          <w:p>
            <w:pPr>
              <w:spacing w:after="20"/>
              <w:jc w:val="right"/>
            </w:pPr>
            <w:r>
              <w:rPr>
                <w:color w:val="1C3A36"/>
                <w:sz w:val="16"/>
              </w:rPr>
              <w:t>11,468</w:t>
            </w:r>
          </w:p>
        </w:tc>
        <w:tc>
          <w:tcPr>
            <w:tcW w:type="dxa" w:w="1382"/>
          </w:tcPr>
          <w:p>
            <w:pPr>
              <w:spacing w:after="20"/>
              <w:jc w:val="right"/>
            </w:pPr>
            <w:r>
              <w:rPr>
                <w:color w:val="1C3A36"/>
                <w:sz w:val="16"/>
              </w:rPr>
              <w:t>11,491</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8.41%</w:t>
            </w:r>
          </w:p>
        </w:tc>
        <w:tc>
          <w:tcPr>
            <w:tcW w:type="dxa" w:w="1382"/>
          </w:tcPr>
          <w:p>
            <w:pPr>
              <w:spacing w:after="20"/>
              <w:jc w:val="right"/>
            </w:pPr>
            <w:r>
              <w:rPr>
                <w:color w:val="1C3A36"/>
                <w:sz w:val="16"/>
              </w:rPr>
              <w:t>8.26%</w:t>
            </w:r>
          </w:p>
        </w:tc>
        <w:tc>
          <w:tcPr>
            <w:tcW w:type="dxa" w:w="1382"/>
          </w:tcPr>
          <w:p>
            <w:pPr>
              <w:spacing w:after="20"/>
              <w:jc w:val="right"/>
            </w:pPr>
            <w:r>
              <w:rPr>
                <w:color w:val="1C3A36"/>
                <w:sz w:val="16"/>
              </w:rPr>
              <w:t>8.11%</w:t>
            </w:r>
          </w:p>
        </w:tc>
        <w:tc>
          <w:tcPr>
            <w:tcW w:type="dxa" w:w="1382"/>
          </w:tcPr>
          <w:p>
            <w:pPr>
              <w:spacing w:after="20"/>
              <w:jc w:val="right"/>
            </w:pPr>
            <w:r>
              <w:rPr>
                <w:color w:val="1C3A36"/>
                <w:sz w:val="16"/>
              </w:rPr>
              <w:t>7.95%</w:t>
            </w:r>
          </w:p>
        </w:tc>
        <w:tc>
          <w:tcPr>
            <w:tcW w:type="dxa" w:w="1382"/>
          </w:tcPr>
          <w:p>
            <w:pPr>
              <w:spacing w:after="20"/>
              <w:jc w:val="right"/>
            </w:pPr>
            <w:r>
              <w:rPr>
                <w:color w:val="1C3A36"/>
                <w:sz w:val="16"/>
              </w:rPr>
              <w:t>7.80%</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+8.4pp</w:t>
            </w:r>
          </w:p>
        </w:tc>
        <w:tc>
          <w:tcPr>
            <w:tcW w:type="dxa" w:w="1382"/>
            <w:shd w:val="clear" w:color="auto" w:fill="F6F1E6"/>
          </w:tcPr>
          <w:p>
            <w:pPr>
              <w:spacing w:after="20"/>
              <w:jc w:val="right"/>
            </w:pPr>
            <w:r>
              <w:rPr>
                <w:b/>
                <w:color w:val="1C3A36"/>
                <w:sz w:val="16"/>
              </w:rPr>
              <w:t>+7.1pp</w:t>
            </w:r>
          </w:p>
        </w:tc>
        <w:tc>
          <w:tcPr>
            <w:tcW w:type="dxa" w:w="1382"/>
            <w:shd w:val="clear" w:color="auto" w:fill="F6F1E6"/>
          </w:tcPr>
          <w:p>
            <w:pPr>
              <w:spacing w:after="20"/>
              <w:jc w:val="right"/>
            </w:pPr>
            <w:r>
              <w:rPr>
                <w:b/>
                <w:color w:val="1C3A36"/>
                <w:sz w:val="16"/>
              </w:rPr>
              <w:t>+5.3pp</w:t>
            </w:r>
          </w:p>
        </w:tc>
        <w:tc>
          <w:tcPr>
            <w:tcW w:type="dxa" w:w="1382"/>
            <w:shd w:val="clear" w:color="auto" w:fill="F6F1E6"/>
          </w:tcPr>
          <w:p>
            <w:pPr>
              <w:spacing w:after="20"/>
              <w:jc w:val="right"/>
            </w:pPr>
            <w:r>
              <w:rPr>
                <w:b/>
                <w:color w:val="1C3A36"/>
                <w:sz w:val="16"/>
              </w:rPr>
              <w:t>+3.2pp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+6.3 percentage points to +3.2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2.05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2.97 a share between the two published constructions, and AED 5.07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7,110 million</w:t>
            </w:r>
          </w:p>
        </w:tc>
        <w:tc>
          <w:tcPr>
            <w:tcW w:type="dxa" w:w="3528"/>
          </w:tcPr>
          <w:p>
            <w:pPr>
              <w:spacing w:after="20"/>
            </w:pPr>
            <w:r>
              <w:rPr>
                <w:color w:val="1C3A36"/>
                <w:sz w:val="16"/>
              </w:rPr>
              <w:t>the capital-expenditure row spans AED 1.22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1.21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0.37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lenses that rest on it carry 45% of the weighted central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1,615</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(131)</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1,452</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1,227</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0.1658</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5.48 – 9.14</w:t>
            </w:r>
          </w:p>
        </w:tc>
      </w:tr>
    </w:tbl>
    <w:p>
      <w:pPr>
        <w:spacing w:after="40"/>
      </w:pPr>
    </w:p>
    <w:p>
      <w:pPr>
        <w:spacing w:after="120" w:before="0"/>
      </w:pPr>
      <w:r>
        <w:rPr>
          <w:b w:val="0"/>
          <w:i w:val="0"/>
          <w:color w:val="1C3A36"/>
          <w:sz w:val="21"/>
        </w:rPr>
        <w:t>Named sensitivity: each single turn of the multiple is worth AED 0.61 a share, so the 9×-to-15× range above spans AED 3.65.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(120)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914</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12,545</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6.23</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4.18 – 10.54</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5.92 rather than AED 6.23, a move of AED -0.30.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6.23, below the study's own weighted central of AED 7.05, and the reason is specific: the five-year average free cash flow of USD 1,108 million is dragged down by the investment years. Free cash flow to the firm is USD 215 million in 2026E and USD 1,620 million in 2029E; averaging a business across a period when it is building the assets that produce the later number is a real charge against it. That is the method doing what it says it does, and it is why the range extends as high as AED 10.54.</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9.43% — and the answer is roughly AED 8.43 a share, a rise of about 35%.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6.36.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2,547</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3,468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13,447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9,668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4.80</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3.43 – 5.87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874</w:t>
            </w:r>
          </w:p>
        </w:tc>
        <w:tc>
          <w:tcPr>
            <w:tcW w:type="dxa" w:w="1382"/>
          </w:tcPr>
          <w:p>
            <w:pPr>
              <w:spacing w:after="20"/>
              <w:jc w:val="right"/>
            </w:pPr>
            <w:r>
              <w:rPr>
                <w:color w:val="1C3A36"/>
                <w:sz w:val="16"/>
              </w:rPr>
              <w:t>762</w:t>
            </w:r>
          </w:p>
        </w:tc>
        <w:tc>
          <w:tcPr>
            <w:tcW w:type="dxa" w:w="1382"/>
          </w:tcPr>
          <w:p>
            <w:pPr>
              <w:spacing w:after="20"/>
              <w:jc w:val="right"/>
            </w:pPr>
            <w:r>
              <w:rPr>
                <w:color w:val="1C3A36"/>
                <w:sz w:val="16"/>
              </w:rPr>
              <w:t>541</w:t>
            </w:r>
          </w:p>
        </w:tc>
        <w:tc>
          <w:tcPr>
            <w:tcW w:type="dxa" w:w="1382"/>
          </w:tcPr>
          <w:p>
            <w:pPr>
              <w:spacing w:after="20"/>
              <w:jc w:val="right"/>
            </w:pPr>
            <w:r>
              <w:rPr>
                <w:color w:val="1C3A36"/>
                <w:sz w:val="16"/>
              </w:rPr>
              <w:t>286</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8.56% held flat across all five years rather than the declining schedule the cash-flow model discounts at, so the spread row is exactly the return row less 8.56% and the economic-profit row is exactly that spread on the same closing capital. Appendix A.3 shows the spread on the declining schedule instead, which is why the two tables give different spreads from the same returns. Note also that this leg's enterprise value of USD 13,447 million differs from the cash-flow model's USD 17,241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4.80 that already sits 22%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1,620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6.36,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ns2:inline>
            <ns2:extent cx="6309360" cy="2406663"/>
            <ns2:docPr id="9" name="Picture 9"/>
            <ns2:cNvGraphicFramePr>
              <ns3:graphicFrameLocks noChangeAspect="1"/>
            </ns2:cNvGraphicFramePr>
            <ns3:graphic>
              <ns3:graphicData uri="http://schemas.openxmlformats.org/drawingml/2006/picture">
                <ns4:pic>
                  <ns4:nvPicPr>
                    <ns4:cNvPr id="0" name="figD1_experts.png"/>
                    <ns4:cNvPicPr/>
                  </ns4:nvPicPr>
                  <ns4:blipFill>
                    <ns3:blip ns5:embed="rId17"/>
                    <ns3:stretch>
                      <ns3:fillRect/>
                    </ns3:stretch>
                  </ns4:blipFill>
                  <ns4:spPr>
                    <ns3:xfrm>
                      <ns3:off x="0" y="0"/>
                      <ns3:ext cx="6309360" cy="2406663"/>
                    </ns3:xfrm>
                    <ns3:prstGeom prst="rect"/>
                  </ns4:spPr>
                </ns4:pic>
              </ns3:graphicData>
            </ns3:graphic>
          </ns2:inline>
        </w:drawing>
      </w:r>
    </w:p>
    <w:p>
      <w:pPr>
        <w:spacing w:after="200" w:before="0"/>
      </w:pPr>
      <w:r>
        <w:rPr>
          <w:b w:val="0"/>
          <w:i/>
          <w:color w:val="6E7B77"/>
          <w:sz w:val="17"/>
        </w:rPr>
        <w:t>Figure 9 — the three experts' ranges. The brass tick is each base case, the gold band the panel centre of AED 6.11, the vertical line the market price of AED 6.16.</w:t>
      </w:r>
    </w:p>
    <w:p>
      <w:pPr>
        <w:spacing w:after="120" w:before="0"/>
      </w:pPr>
      <w:r>
        <w:rPr>
          <w:b w:val="0"/>
          <w:i w:val="0"/>
          <w:color w:val="1C3A36"/>
          <w:sz w:val="21"/>
        </w:rPr>
        <w:t>The panel spans AED 4.80 to 7.31 — a factor of 1.52 between the most and least generous base case, which is a narrow disagreement by the standards of this series. That narrowness is itself informative: three methods that share almost nothing methodologically land within AED 2.51 of one another. The market price of AED 6.16 falls inside that span, and so does this study's own cash-flow lens; the weighted central of AED 7.05 sits inside it as well.</w:t>
      </w:r>
    </w:p>
    <w:p>
      <w:pPr>
        <w:spacing w:after="120" w:before="0"/>
      </w:pPr>
      <w:r>
        <w:rPr>
          <w:b w:val="0"/>
          <w:i w:val="0"/>
          <w:color w:val="1C3A36"/>
          <w:sz w:val="21"/>
        </w:rPr>
        <w:t>The panel centre of AED 6.11 sits 1% below the market price and -13% against this study's weighted central. That gap is real and it has a single explanation: every one of the three experts works from mid-cycle or five-year-average earnings, and none of them capitalises a terminal value the way the cash-flow model does. The cash-flow model puts 75%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75%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0.37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-0.30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8.24 appears throughout this document beside the adopted AED 7.05.</w:t>
      </w:r>
    </w:p>
    <w:p>
      <w:pPr>
        <w:spacing w:after="120" w:before="0"/>
      </w:pPr>
      <w:r>
        <w:rPr>
          <w:b w:val="0"/>
          <w:i w:val="0"/>
          <w:color w:val="1C3A36"/>
          <w:sz w:val="21"/>
        </w:rPr>
        <w:t xml:space="preserve">The same rule governs correction, and it extends to a study's own words about itself. Where a study has been reviewed and found wrong, the correction is made at the point it bears on — in the section whose number it changes, with the superseded construction reprinted beside the new one at full size rather than quietly replaced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