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231</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263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182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377</w:t>
            </w:r>
          </w:p>
        </w:tc>
      </w:tr>
    </w:tbl>
    <w:p/>
    <w:p>
      <w:pPr>
        <w:spacing w:after="120"/>
      </w:pPr>
      <w:r>
        <w:rPr>
          <w:b/>
          <w:i w:val="0"/>
          <w:color w:val="1A1D21"/>
          <w:sz w:val="21"/>
        </w:rPr>
        <w:t>The price engine is well tested; the fundamental method is not. 20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377 forecasts across 20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