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8 August 2026  ·  Reporting and valuation currency: Egyptian pounds  ·  Anchor price EGP 13.98 at the close of 2026-08-06</w:t>
      </w:r>
    </w:p>
    <w:p>
      <w:pPr>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Four lenses give a field, not a point. Where they disagree, the disagreement is the information — section 4 isolates which assumption drives which gap.</w:t>
            </w:r>
          </w:p>
        </w:tc>
      </w:tr>
    </w:tbl>
    <w:p>
      <w:pPr>
        <w:spacing w:after="40"/>
      </w:pPr>
    </w:p>
    <w:p>
      <w:pPr>
        <w:spacing w:after="120" w:before="280"/>
      </w:pPr>
      <w:r>
        <w:rPr>
          <w:b/>
          <w:i w:val="0"/>
          <w:color w:val="1C3A36"/>
          <w:sz w:val="30"/>
        </w:rPr>
        <w:t>Headline</w:t>
      </w:r>
    </w:p>
    <w:p>
      <w:pPr>
        <w:spacing w:after="120" w:before="0"/>
      </w:pPr>
      <w:r>
        <w:rPr>
          <w:b/>
          <w:i w:val="0"/>
          <w:color w:val="1C3A36"/>
          <w:sz w:val="21"/>
        </w:rPr>
        <w:t>Four lenses put this company between EGP 0.00 and EGP 6.92 a share. It trades at EGP 13.98. The gap is not a rounding difference and it does not close under any single assumption: the cheapest lens to satisfy — a peer multiple on forward operating profit — still lands at EGP 6.92, and that lens reaches its answer only by never asking what the capital programme does to cash.</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10.1%, against a sovereign ten-year yield of 23.0% on the same day. That is the disagreement stated precisely rather than argued.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25.0% to 20.4%, terminal growth 7.0%</w:t>
            </w:r>
          </w:p>
        </w:tc>
        <w:tc>
          <w:tcPr>
            <w:tcW w:type="dxa" w:w="1512"/>
          </w:tcPr>
          <w:p>
            <w:pPr>
              <w:spacing w:after="20"/>
              <w:jc w:val="right"/>
            </w:pPr>
            <w:r>
              <w:rPr>
                <w:color w:val="1C3A36"/>
                <w:sz w:val="15"/>
              </w:rPr>
              <w:t>-2.87 to 1.47</w:t>
            </w:r>
          </w:p>
        </w:tc>
        <w:tc>
          <w:tcPr>
            <w:tcW w:type="dxa" w:w="1008"/>
          </w:tcPr>
          <w:p>
            <w:pPr>
              <w:spacing w:after="20"/>
              <w:jc w:val="right"/>
            </w:pPr>
            <w:r>
              <w:rPr>
                <w:color w:val="1C3A36"/>
                <w:sz w:val="15"/>
              </w:rPr>
              <w:t>-0.79</w:t>
            </w:r>
          </w:p>
        </w:tc>
        <w:tc>
          <w:tcPr>
            <w:tcW w:type="dxa" w:w="936"/>
          </w:tcPr>
          <w:p>
            <w:pPr>
              <w:spacing w:after="20"/>
              <w:jc w:val="right"/>
            </w:pPr>
            <w:r>
              <w:rPr>
                <w:color w:val="1C3A36"/>
                <w:sz w:val="15"/>
              </w:rPr>
              <w:t>-106%</w:t>
            </w:r>
          </w:p>
        </w:tc>
      </w:tr>
      <w:t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0.70 to 2.55</w:t>
            </w:r>
          </w:p>
        </w:tc>
        <w:tc>
          <w:tcPr>
            <w:tcW w:type="dxa" w:w="1008"/>
          </w:tcPr>
          <w:p>
            <w:pPr>
              <w:spacing w:after="20"/>
              <w:jc w:val="right"/>
            </w:pPr>
            <w:r>
              <w:rPr>
                <w:color w:val="1C3A36"/>
                <w:sz w:val="15"/>
              </w:rPr>
              <w:t>2.49</w:t>
            </w:r>
          </w:p>
        </w:tc>
        <w:tc>
          <w:tcPr>
            <w:tcW w:type="dxa" w:w="936"/>
          </w:tcPr>
          <w:p>
            <w:pPr>
              <w:spacing w:after="20"/>
              <w:jc w:val="right"/>
            </w:pPr>
            <w:r>
              <w:rPr>
                <w:color w:val="1C3A36"/>
                <w:sz w:val="15"/>
              </w:rPr>
              <w:t>-82%</w:t>
            </w:r>
          </w:p>
        </w:tc>
      </w:tr>
      <w:t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3.0x to 6.0x, the Egyptian industrial range, with 4.5x central</w:t>
            </w:r>
          </w:p>
        </w:tc>
        <w:tc>
          <w:tcPr>
            <w:tcW w:type="dxa" w:w="1512"/>
          </w:tcPr>
          <w:p>
            <w:pPr>
              <w:spacing w:after="20"/>
              <w:jc w:val="right"/>
            </w:pPr>
            <w:r>
              <w:rPr>
                <w:color w:val="1C3A36"/>
                <w:sz w:val="15"/>
              </w:rPr>
              <w:t>3.52 to 10.31</w:t>
            </w:r>
          </w:p>
        </w:tc>
        <w:tc>
          <w:tcPr>
            <w:tcW w:type="dxa" w:w="1008"/>
          </w:tcPr>
          <w:p>
            <w:pPr>
              <w:spacing w:after="20"/>
              <w:jc w:val="right"/>
            </w:pPr>
            <w:r>
              <w:rPr>
                <w:color w:val="1C3A36"/>
                <w:sz w:val="15"/>
              </w:rPr>
              <w:t>6.92</w:t>
            </w:r>
          </w:p>
        </w:tc>
        <w:tc>
          <w:tcPr>
            <w:tcW w:type="dxa" w:w="936"/>
          </w:tcPr>
          <w:p>
            <w:pPr>
              <w:spacing w:after="20"/>
              <w:jc w:val="right"/>
            </w:pPr>
            <w:r>
              <w:rPr>
                <w:color w:val="1C3A36"/>
                <w:sz w:val="15"/>
              </w:rPr>
              <w:t>-51%</w:t>
            </w:r>
          </w:p>
        </w:tc>
      </w:tr>
      <w:t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1,400m at 8x to 12x, 10x central</w:t>
            </w:r>
          </w:p>
        </w:tc>
        <w:tc>
          <w:tcPr>
            <w:tcW w:type="dxa" w:w="1512"/>
          </w:tcPr>
          <w:p>
            <w:pPr>
              <w:spacing w:after="20"/>
              <w:jc w:val="right"/>
            </w:pPr>
            <w:r>
              <w:rPr>
                <w:color w:val="1C3A36"/>
                <w:sz w:val="15"/>
              </w:rPr>
              <w:t>2.37 to 5.19</w:t>
            </w:r>
          </w:p>
        </w:tc>
        <w:tc>
          <w:tcPr>
            <w:tcW w:type="dxa" w:w="1008"/>
          </w:tcPr>
          <w:p>
            <w:pPr>
              <w:spacing w:after="20"/>
              <w:jc w:val="right"/>
            </w:pPr>
            <w:r>
              <w:rPr>
                <w:color w:val="1C3A36"/>
                <w:sz w:val="15"/>
              </w:rPr>
              <w:t>3.78</w:t>
            </w:r>
          </w:p>
        </w:tc>
        <w:tc>
          <w:tcPr>
            <w:tcW w:type="dxa" w:w="936"/>
          </w:tcPr>
          <w:p>
            <w:pPr>
              <w:spacing w:after="20"/>
              <w:jc w:val="right"/>
            </w:pPr>
            <w:r>
              <w:rPr>
                <w:color w:val="1C3A36"/>
                <w:sz w:val="15"/>
              </w:rPr>
              <w:t>-73%</w:t>
            </w:r>
          </w:p>
        </w:tc>
      </w:tr>
      <w:t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31.3%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c>
          <w:tcPr>
            <w:tcW w:type="dxa" w:w="2232"/>
            <w:shd w:val="clear" w:color="auto" w:fill="F6F1E6"/>
          </w:tcPr>
          <w:p>
            <w:pPr>
              <w:spacing w:after="20"/>
            </w:pPr>
            <w:r>
              <w:rPr>
                <w:b/>
                <w:color w:val="1C3A36"/>
                <w:sz w:val="15"/>
              </w:rPr>
              <w:t>THE FIELD, all four lenses</w:t>
            </w:r>
          </w:p>
        </w:tc>
        <w:tc>
          <w:tcPr>
            <w:tcW w:type="dxa" w:w="3960"/>
            <w:shd w:val="clear" w:color="auto" w:fill="F6F1E6"/>
          </w:tcPr>
          <w:p>
            <w:pPr>
              <w:spacing w:after="20"/>
            </w:pPr>
            <w:r>
              <w:rPr>
                <w:b/>
                <w:color w:val="1C3A36"/>
                <w:sz w:val="15"/>
              </w:rPr>
              <w:t>Low to high across every read above. The two cash-flow readings are the contested judgement and are never averaged into one another</w:t>
            </w:r>
          </w:p>
        </w:tc>
        <w:tc>
          <w:tcPr>
            <w:tcW w:type="dxa" w:w="1512"/>
            <w:shd w:val="clear" w:color="auto" w:fill="F6F1E6"/>
          </w:tcPr>
          <w:p>
            <w:pPr>
              <w:spacing w:after="20"/>
              <w:jc w:val="right"/>
            </w:pPr>
            <w:r>
              <w:rPr>
                <w:b/>
                <w:color w:val="1C3A36"/>
                <w:sz w:val="15"/>
              </w:rPr>
              <w:t>0.00 to 6.92</w:t>
            </w:r>
          </w:p>
        </w:tc>
        <w:tc>
          <w:tcPr>
            <w:tcW w:type="dxa" w:w="1008"/>
            <w:shd w:val="clear" w:color="auto" w:fill="F6F1E6"/>
          </w:tcPr>
          <w:p>
            <w:pPr>
              <w:spacing w:after="20"/>
              <w:jc w:val="right"/>
            </w:pPr>
            <w:r>
              <w:rPr>
                <w:b/>
                <w:color w:val="1C3A36"/>
                <w:sz w:val="15"/>
              </w:rPr>
              <w:t>—</w:t>
            </w:r>
          </w:p>
        </w:tc>
        <w:tc>
          <w:tcPr>
            <w:tcW w:type="dxa" w:w="936"/>
            <w:shd w:val="clear" w:color="auto" w:fill="F6F1E6"/>
          </w:tcPr>
          <w:p>
            <w:pPr>
              <w:spacing w:after="20"/>
              <w:jc w:val="right"/>
            </w:pPr>
            <w:r>
              <w:rPr>
                <w:b/>
                <w:color w:val="1C3A36"/>
                <w:sz w:val="15"/>
              </w:rPr>
              <w:t>—</w:t>
            </w:r>
          </w:p>
        </w:tc>
      </w:tr>
      <w:t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13.98</w:t>
            </w:r>
          </w:p>
        </w:tc>
        <w:tc>
          <w:tcPr>
            <w:tcW w:type="dxa" w:w="936"/>
            <w:shd w:val="clear" w:color="auto" w:fill="F6F1E6"/>
          </w:tcPr>
          <w:p>
            <w:pPr>
              <w:spacing w:after="20"/>
              <w:jc w:val="right"/>
            </w:pPr>
            <w:r>
              <w:rPr>
                <w:b/>
                <w:color w:val="1C3A36"/>
                <w:sz w:val="15"/>
              </w:rPr>
              <w:t>—</w:t>
            </w:r>
          </w:p>
        </w:tc>
      </w:tr>
      <w:t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0.14</w:t>
            </w:r>
          </w:p>
        </w:tc>
        <w:tc>
          <w:tcPr>
            <w:tcW w:type="dxa" w:w="936"/>
          </w:tcPr>
          <w:p>
            <w:pPr>
              <w:spacing w:after="20"/>
              <w:jc w:val="right"/>
            </w:pPr>
            <w:r>
              <w:rPr>
                <w:color w:val="1C3A36"/>
                <w:sz w:val="15"/>
              </w:rPr>
              <w:t>-99%</w:t>
            </w:r>
          </w:p>
        </w:tc>
      </w:tr>
      <w:t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-1.48</w:t>
            </w:r>
          </w:p>
        </w:tc>
        <w:tc>
          <w:tcPr>
            <w:tcW w:type="dxa" w:w="936"/>
          </w:tcPr>
          <w:p>
            <w:pPr>
              <w:spacing w:after="20"/>
              <w:jc w:val="right"/>
            </w:pPr>
            <w:r>
              <w:rPr>
                <w:color w:val="1C3A36"/>
                <w:sz w:val="15"/>
              </w:rPr>
              <w:t>-111%</w:t>
            </w:r>
          </w:p>
        </w:tc>
      </w:tr>
      <w:t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-0.81</w:t>
            </w:r>
          </w:p>
        </w:tc>
        <w:tc>
          <w:tcPr>
            <w:tcW w:type="dxa" w:w="936"/>
          </w:tcPr>
          <w:p>
            <w:pPr>
              <w:spacing w:after="20"/>
              <w:jc w:val="right"/>
            </w:pPr>
            <w:r>
              <w:rPr>
                <w:color w:val="1C3A36"/>
                <w:sz w:val="15"/>
              </w:rPr>
              <w:t>-106%</w:t>
            </w:r>
          </w:p>
        </w:tc>
      </w:tr>
      <w:tr>
        <w:tc>
          <w:tcPr>
            <w:tcW w:type="dxa" w:w="2232"/>
          </w:tcPr>
          <w:p>
            <w:pPr>
              <w:spacing w:after="20"/>
            </w:pPr>
            <w:r>
              <w:rPr>
                <w:color w:val="1C3A36"/>
                <w:sz w:val="15"/>
              </w:rPr>
              <w:t>Beta from the five-year weekly regression of the share against its own local index</w:t>
            </w:r>
          </w:p>
        </w:tc>
        <w:tc>
          <w:tcPr>
            <w:tcW w:type="dxa" w:w="3960"/>
          </w:tcPr>
          <w:p>
            <w:pPr>
              <w:spacing w:after="20"/>
            </w:pPr>
            <w:r>
              <w:rPr>
                <w:color w:val="1C3A36"/>
                <w:sz w:val="15"/>
              </w:rPr>
              <w:t>The Dimson sum-beta from the same regression, which corrects for co-movement booked late because the share does not trade every session</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-0.15</w:t>
            </w:r>
          </w:p>
        </w:tc>
        <w:tc>
          <w:tcPr>
            <w:tcW w:type="dxa" w:w="936"/>
          </w:tcPr>
          <w:p>
            <w:pPr>
              <w:spacing w:after="20"/>
              <w:jc w:val="right"/>
            </w:pPr>
            <w:r>
              <w:rPr>
                <w:color w:val="1C3A36"/>
                <w:sz w:val="15"/>
              </w:rPr>
              <w:t>-101%</w:t>
            </w:r>
          </w:p>
        </w:tc>
      </w:tr>
      <w:t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-2.58</w:t>
            </w:r>
          </w:p>
        </w:tc>
        <w:tc>
          <w:tcPr>
            <w:tcW w:type="dxa" w:w="936"/>
          </w:tcPr>
          <w:p>
            <w:pPr>
              <w:spacing w:after="20"/>
              <w:jc w:val="right"/>
            </w:pPr>
            <w:r>
              <w:rPr>
                <w:color w:val="1C3A36"/>
                <w:sz w:val="15"/>
              </w:rPr>
              <w:t>-118%</w:t>
            </w:r>
          </w:p>
        </w:tc>
      </w:tr>
      <w:t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-0.64</w:t>
            </w:r>
          </w:p>
        </w:tc>
        <w:tc>
          <w:tcPr>
            <w:tcW w:type="dxa" w:w="936"/>
          </w:tcPr>
          <w:p>
            <w:pPr>
              <w:spacing w:after="20"/>
              <w:jc w:val="right"/>
            </w:pPr>
            <w:r>
              <w:rPr>
                <w:color w:val="1C3A36"/>
                <w:sz w:val="15"/>
              </w:rPr>
              <w:t>-105%</w:t>
            </w:r>
          </w:p>
        </w:tc>
      </w:tr>
      <w:t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-1.57</w:t>
            </w:r>
          </w:p>
        </w:tc>
        <w:tc>
          <w:tcPr>
            <w:tcW w:type="dxa" w:w="936"/>
          </w:tcPr>
          <w:p>
            <w:pPr>
              <w:spacing w:after="20"/>
              <w:jc w:val="right"/>
            </w:pPr>
            <w:r>
              <w:rPr>
                <w:color w:val="1C3A36"/>
                <w:sz w:val="15"/>
              </w:rPr>
              <w:t>-111%</w:t>
            </w:r>
          </w:p>
        </w:tc>
      </w:tr>
      <w:t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-0.22</w:t>
            </w:r>
          </w:p>
        </w:tc>
        <w:tc>
          <w:tcPr>
            <w:tcW w:type="dxa" w:w="936"/>
          </w:tcPr>
          <w:p>
            <w:pPr>
              <w:spacing w:after="20"/>
              <w:jc w:val="right"/>
            </w:pPr>
            <w:r>
              <w:rPr>
                <w:color w:val="1C3A36"/>
                <w:sz w:val="15"/>
              </w:rPr>
              <w:t>-102%</w:t>
            </w:r>
          </w:p>
        </w:tc>
      </w:tr>
      <w:t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-1.01</w:t>
            </w:r>
          </w:p>
        </w:tc>
        <w:tc>
          <w:tcPr>
            <w:tcW w:type="dxa" w:w="936"/>
          </w:tcPr>
          <w:p>
            <w:pPr>
              <w:spacing w:after="20"/>
              <w:jc w:val="right"/>
            </w:pPr>
            <w:r>
              <w:rPr>
                <w:color w:val="1C3A36"/>
                <w:sz w:val="15"/>
              </w:rPr>
              <w:t>-107%</w:t>
            </w:r>
          </w:p>
        </w:tc>
      </w:tr>
    </w:tbl>
    <w:p>
      <w:pPr>
        <w:spacing w:after="40"/>
      </w:pPr>
    </w:p>
    <w:p>
      <w:pPr>
        <w:spacing w:after="200" w:before="0"/>
      </w:pPr>
      <w:r>
        <w:rPr>
          <w:b w:val="0"/>
          <w:i/>
          <w:color w:val="6E7B77"/>
          <w:sz w:val="17"/>
        </w:rPr>
        <w:t>Table 1.  Egyptian pounds a share against a traded price of EGP 13.98.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c>
          <w:tcPr>
            <w:tcW w:type="dxa" w:w="4608"/>
          </w:tcPr>
          <w:p>
            <w:pPr>
              <w:spacing w:after="20"/>
            </w:pPr>
            <w:r>
              <w:rPr>
                <w:color w:val="1C3A36"/>
                <w:sz w:val="17"/>
              </w:rPr>
              <w:t>Discounted cash-flow lens</w:t>
            </w:r>
          </w:p>
        </w:tc>
        <w:tc>
          <w:tcPr>
            <w:tcW w:type="dxa" w:w="2736"/>
          </w:tcPr>
          <w:p>
            <w:pPr>
              <w:spacing w:after="20"/>
              <w:jc w:val="right"/>
            </w:pPr>
            <w:r>
              <w:rPr>
                <w:color w:val="1C3A36"/>
                <w:sz w:val="17"/>
              </w:rPr>
              <w:t>90.3%</w:t>
            </w:r>
          </w:p>
        </w:tc>
        <w:tc>
          <w:tcPr>
            <w:tcW w:type="dxa" w:w="2736"/>
          </w:tcPr>
          <w:p>
            <w:pPr>
              <w:spacing w:after="20"/>
              <w:jc w:val="right"/>
            </w:pPr>
            <w:r>
              <w:rPr>
                <w:color w:val="1C3A36"/>
                <w:sz w:val="17"/>
              </w:rPr>
              <w:t>32.4%</w:t>
            </w:r>
          </w:p>
        </w:tc>
      </w:tr>
    </w:tbl>
    <w:p>
      <w:pPr>
        <w:spacing w:after="40"/>
      </w:pPr>
    </w:p>
    <w:p>
      <w:pPr>
        <w:spacing w:after="200" w:before="0"/>
      </w:pPr>
      <w:r>
        <w:rPr>
          <w:b w:val="0"/>
          <w:i/>
          <w:color w:val="6E7B77"/>
          <w:sz w:val="17"/>
        </w:rPr>
        <w:t>Table 2.  Reported beside the cash-flow lens because on this company it is the number that decides the answer. Above one hundred per cent means the five explicit years contribute negative present value: the capital programme absorbs more cash than the plant generates, so the terminal block carries the whole enterprise value and then some.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1.79 a share. The narrowest is terminal growth, worth EGP 0.02. Not one of them, alone or together, reaches the traded price — which is the finding this study reports, and the reason the headline states the discount rate the market itself implies rather than asserting that the market is wrong.</w:t>
      </w:r>
    </w:p>
    <w:p>
      <w:pPr>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c>
          <w:tcPr>
            <w:tcW w:type="dxa" w:w="2952"/>
          </w:tcPr>
          <w:p>
            <w:pPr>
              <w:spacing w:after="20"/>
            </w:pPr>
            <w:r>
              <w:rPr>
                <w:color w:val="1C3A36"/>
                <w:sz w:val="16"/>
              </w:rPr>
              <w:t>Revenue</w:t>
            </w:r>
          </w:p>
        </w:tc>
        <w:tc>
          <w:tcPr>
            <w:tcW w:type="dxa" w:w="1426"/>
          </w:tcPr>
          <w:p>
            <w:pPr>
              <w:spacing w:after="20"/>
              <w:jc w:val="right"/>
            </w:pPr>
            <w:r>
              <w:rPr>
                <w:color w:val="1C3A36"/>
                <w:sz w:val="16"/>
              </w:rPr>
              <w:t>11,014</w:t>
            </w:r>
          </w:p>
        </w:tc>
        <w:tc>
          <w:tcPr>
            <w:tcW w:type="dxa" w:w="1426"/>
          </w:tcPr>
          <w:p>
            <w:pPr>
              <w:spacing w:after="20"/>
              <w:jc w:val="right"/>
            </w:pPr>
            <w:r>
              <w:rPr>
                <w:color w:val="1C3A36"/>
                <w:sz w:val="16"/>
              </w:rPr>
              <w:t>11,101</w:t>
            </w:r>
          </w:p>
        </w:tc>
        <w:tc>
          <w:tcPr>
            <w:tcW w:type="dxa" w:w="1426"/>
          </w:tcPr>
          <w:p>
            <w:pPr>
              <w:spacing w:after="20"/>
              <w:jc w:val="right"/>
            </w:pPr>
            <w:r>
              <w:rPr>
                <w:color w:val="1C3A36"/>
                <w:sz w:val="16"/>
              </w:rPr>
              <w:t>11,160</w:t>
            </w:r>
          </w:p>
        </w:tc>
        <w:tc>
          <w:tcPr>
            <w:tcW w:type="dxa" w:w="1426"/>
          </w:tcPr>
          <w:p>
            <w:pPr>
              <w:spacing w:after="20"/>
              <w:jc w:val="right"/>
            </w:pPr>
            <w:r>
              <w:rPr>
                <w:color w:val="1C3A36"/>
                <w:sz w:val="16"/>
              </w:rPr>
              <w:t>11,387</w:t>
            </w:r>
          </w:p>
        </w:tc>
        <w:tc>
          <w:tcPr>
            <w:tcW w:type="dxa" w:w="1426"/>
          </w:tcPr>
          <w:p>
            <w:pPr>
              <w:spacing w:after="20"/>
              <w:jc w:val="right"/>
            </w:pPr>
            <w:r>
              <w:rPr>
                <w:color w:val="1C3A36"/>
                <w:sz w:val="16"/>
              </w:rPr>
              <w:t>11,822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4,497</w:t>
            </w:r>
          </w:p>
        </w:tc>
        <w:tc>
          <w:tcPr>
            <w:tcW w:type="dxa" w:w="1426"/>
            <w:shd w:val="clear" w:color="auto" w:fill="F6F1E6"/>
          </w:tcPr>
          <w:p>
            <w:pPr>
              <w:spacing w:after="20"/>
              <w:jc w:val="right"/>
            </w:pPr>
            <w:r>
              <w:rPr>
                <w:b/>
                <w:color w:val="1C3A36"/>
                <w:sz w:val="16"/>
              </w:rPr>
              <w:t>4,172</w:t>
            </w:r>
          </w:p>
        </w:tc>
        <w:tc>
          <w:tcPr>
            <w:tcW w:type="dxa" w:w="1426"/>
            <w:shd w:val="clear" w:color="auto" w:fill="F6F1E6"/>
          </w:tcPr>
          <w:p>
            <w:pPr>
              <w:spacing w:after="20"/>
              <w:jc w:val="right"/>
            </w:pPr>
            <w:r>
              <w:rPr>
                <w:b/>
                <w:color w:val="1C3A36"/>
                <w:sz w:val="16"/>
              </w:rPr>
              <w:t>3,806</w:t>
            </w:r>
          </w:p>
        </w:tc>
        <w:tc>
          <w:tcPr>
            <w:tcW w:type="dxa" w:w="1426"/>
            <w:shd w:val="clear" w:color="auto" w:fill="F6F1E6"/>
          </w:tcPr>
          <w:p>
            <w:pPr>
              <w:spacing w:after="20"/>
              <w:jc w:val="right"/>
            </w:pPr>
            <w:r>
              <w:rPr>
                <w:b/>
                <w:color w:val="1C3A36"/>
                <w:sz w:val="16"/>
              </w:rPr>
              <w:t>3,585</w:t>
            </w:r>
          </w:p>
        </w:tc>
        <w:tc>
          <w:tcPr>
            <w:tcW w:type="dxa" w:w="1426"/>
            <w:shd w:val="clear" w:color="auto" w:fill="F6F1E6"/>
          </w:tcPr>
          <w:p>
            <w:pPr>
              <w:spacing w:after="20"/>
              <w:jc w:val="right"/>
            </w:pPr>
            <w:r>
              <w:rPr>
                <w:b/>
                <w:color w:val="1C3A36"/>
                <w:sz w:val="16"/>
              </w:rPr>
              <w:t>3,537</w:t>
            </w:r>
          </w:p>
        </w:tc>
      </w:tr>
      <w:t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3,607</w:t>
            </w:r>
          </w:p>
        </w:tc>
        <w:tc>
          <w:tcPr>
            <w:tcW w:type="dxa" w:w="1426"/>
            <w:shd w:val="clear" w:color="auto" w:fill="F6F1E6"/>
          </w:tcPr>
          <w:p>
            <w:pPr>
              <w:spacing w:after="20"/>
              <w:jc w:val="right"/>
            </w:pPr>
            <w:r>
              <w:rPr>
                <w:b/>
                <w:color w:val="1C3A36"/>
                <w:sz w:val="16"/>
              </w:rPr>
              <w:t>3,266</w:t>
            </w:r>
          </w:p>
        </w:tc>
        <w:tc>
          <w:tcPr>
            <w:tcW w:type="dxa" w:w="1426"/>
            <w:shd w:val="clear" w:color="auto" w:fill="F6F1E6"/>
          </w:tcPr>
          <w:p>
            <w:pPr>
              <w:spacing w:after="20"/>
              <w:jc w:val="right"/>
            </w:pPr>
            <w:r>
              <w:rPr>
                <w:b/>
                <w:color w:val="1C3A36"/>
                <w:sz w:val="16"/>
              </w:rPr>
              <w:t>2,884</w:t>
            </w:r>
          </w:p>
        </w:tc>
        <w:tc>
          <w:tcPr>
            <w:tcW w:type="dxa" w:w="1426"/>
            <w:shd w:val="clear" w:color="auto" w:fill="F6F1E6"/>
          </w:tcPr>
          <w:p>
            <w:pPr>
              <w:spacing w:after="20"/>
              <w:jc w:val="right"/>
            </w:pPr>
            <w:r>
              <w:rPr>
                <w:b/>
                <w:color w:val="1C3A36"/>
                <w:sz w:val="16"/>
              </w:rPr>
              <w:t>2,648</w:t>
            </w:r>
          </w:p>
        </w:tc>
        <w:tc>
          <w:tcPr>
            <w:tcW w:type="dxa" w:w="1426"/>
            <w:shd w:val="clear" w:color="auto" w:fill="F6F1E6"/>
          </w:tcPr>
          <w:p>
            <w:pPr>
              <w:spacing w:after="20"/>
              <w:jc w:val="right"/>
            </w:pPr>
            <w:r>
              <w:rPr>
                <w:b/>
                <w:color w:val="1C3A36"/>
                <w:sz w:val="16"/>
              </w:rPr>
              <w:t>2,585</w:t>
            </w:r>
          </w:p>
        </w:tc>
      </w:tr>
      <w:tr>
        <w:tc>
          <w:tcPr>
            <w:tcW w:type="dxa" w:w="2952"/>
          </w:tcPr>
          <w:p>
            <w:pPr>
              <w:spacing w:after="20"/>
            </w:pPr>
            <w:r>
              <w:rPr>
                <w:color w:val="1C3A36"/>
                <w:sz w:val="16"/>
              </w:rPr>
              <w:t>NOPAT — EBIT after tax</w:t>
            </w:r>
          </w:p>
        </w:tc>
        <w:tc>
          <w:tcPr>
            <w:tcW w:type="dxa" w:w="1426"/>
          </w:tcPr>
          <w:p>
            <w:pPr>
              <w:spacing w:after="20"/>
              <w:jc w:val="right"/>
            </w:pPr>
            <w:r>
              <w:rPr>
                <w:color w:val="1C3A36"/>
                <w:sz w:val="16"/>
              </w:rPr>
              <w:t>2,795</w:t>
            </w:r>
          </w:p>
        </w:tc>
        <w:tc>
          <w:tcPr>
            <w:tcW w:type="dxa" w:w="1426"/>
          </w:tcPr>
          <w:p>
            <w:pPr>
              <w:spacing w:after="20"/>
              <w:jc w:val="right"/>
            </w:pPr>
            <w:r>
              <w:rPr>
                <w:color w:val="1C3A36"/>
                <w:sz w:val="16"/>
              </w:rPr>
              <w:t>2,531</w:t>
            </w:r>
          </w:p>
        </w:tc>
        <w:tc>
          <w:tcPr>
            <w:tcW w:type="dxa" w:w="1426"/>
          </w:tcPr>
          <w:p>
            <w:pPr>
              <w:spacing w:after="20"/>
              <w:jc w:val="right"/>
            </w:pPr>
            <w:r>
              <w:rPr>
                <w:color w:val="1C3A36"/>
                <w:sz w:val="16"/>
              </w:rPr>
              <w:t>2,235</w:t>
            </w:r>
          </w:p>
        </w:tc>
        <w:tc>
          <w:tcPr>
            <w:tcW w:type="dxa" w:w="1426"/>
          </w:tcPr>
          <w:p>
            <w:pPr>
              <w:spacing w:after="20"/>
              <w:jc w:val="right"/>
            </w:pPr>
            <w:r>
              <w:rPr>
                <w:color w:val="1C3A36"/>
                <w:sz w:val="16"/>
              </w:rPr>
              <w:t>2,052</w:t>
            </w:r>
          </w:p>
        </w:tc>
        <w:tc>
          <w:tcPr>
            <w:tcW w:type="dxa" w:w="1426"/>
          </w:tcPr>
          <w:p>
            <w:pPr>
              <w:spacing w:after="20"/>
              <w:jc w:val="right"/>
            </w:pPr>
            <w:r>
              <w:rPr>
                <w:color w:val="1C3A36"/>
                <w:sz w:val="16"/>
              </w:rPr>
              <w:t>2,003</w:t>
            </w:r>
          </w:p>
        </w:tc>
      </w:tr>
      <w:t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-2,722</w:t>
            </w:r>
          </w:p>
        </w:tc>
        <w:tc>
          <w:tcPr>
            <w:tcW w:type="dxa" w:w="1426"/>
          </w:tcPr>
          <w:p>
            <w:pPr>
              <w:spacing w:after="20"/>
              <w:jc w:val="right"/>
            </w:pPr>
            <w:r>
              <w:rPr>
                <w:color w:val="1C3A36"/>
                <w:sz w:val="16"/>
              </w:rPr>
              <w:t>-3,224</w:t>
            </w:r>
          </w:p>
        </w:tc>
        <w:tc>
          <w:tcPr>
            <w:tcW w:type="dxa" w:w="1426"/>
          </w:tcPr>
          <w:p>
            <w:pPr>
              <w:spacing w:after="20"/>
              <w:jc w:val="right"/>
            </w:pPr>
            <w:r>
              <w:rPr>
                <w:color w:val="1C3A36"/>
                <w:sz w:val="16"/>
              </w:rPr>
              <w:t>-3,425</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-2,621</w:t>
            </w:r>
          </w:p>
        </w:tc>
      </w:tr>
      <w:t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-94</w:t>
            </w:r>
          </w:p>
        </w:tc>
        <w:tc>
          <w:tcPr>
            <w:tcW w:type="dxa" w:w="1426"/>
          </w:tcPr>
          <w:p>
            <w:pPr>
              <w:spacing w:after="20"/>
              <w:jc w:val="right"/>
            </w:pPr>
            <w:r>
              <w:rPr>
                <w:color w:val="1C3A36"/>
                <w:sz w:val="16"/>
              </w:rPr>
              <w:t>-87</w:t>
            </w:r>
          </w:p>
        </w:tc>
        <w:tc>
          <w:tcPr>
            <w:tcW w:type="dxa" w:w="1426"/>
          </w:tcPr>
          <w:p>
            <w:pPr>
              <w:spacing w:after="20"/>
              <w:jc w:val="right"/>
            </w:pPr>
            <w:r>
              <w:rPr>
                <w:color w:val="1C3A36"/>
                <w:sz w:val="16"/>
              </w:rPr>
              <w:t>-86</w:t>
            </w:r>
          </w:p>
        </w:tc>
        <w:tc>
          <w:tcPr>
            <w:tcW w:type="dxa" w:w="1426"/>
          </w:tcPr>
          <w:p>
            <w:pPr>
              <w:spacing w:after="20"/>
              <w:jc w:val="right"/>
            </w:pPr>
            <w:r>
              <w:rPr>
                <w:color w:val="1C3A36"/>
                <w:sz w:val="16"/>
              </w:rPr>
              <w:t>-101</w:t>
            </w:r>
          </w:p>
        </w:tc>
        <w:tc>
          <w:tcPr>
            <w:tcW w:type="dxa" w:w="1426"/>
          </w:tcPr>
          <w:p>
            <w:pPr>
              <w:spacing w:after="20"/>
              <w:jc w:val="right"/>
            </w:pPr>
            <w:r>
              <w:rPr>
                <w:color w:val="1C3A36"/>
                <w:sz w:val="16"/>
              </w:rPr>
              <w:t>-123</w:t>
            </w:r>
          </w:p>
        </w:tc>
      </w:tr>
      <w:t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870</w:t>
            </w:r>
          </w:p>
        </w:tc>
        <w:tc>
          <w:tcPr>
            <w:tcW w:type="dxa" w:w="1426"/>
            <w:shd w:val="clear" w:color="auto" w:fill="F6F1E6"/>
          </w:tcPr>
          <w:p>
            <w:pPr>
              <w:spacing w:after="20"/>
              <w:jc w:val="right"/>
            </w:pPr>
            <w:r>
              <w:rPr>
                <w:b/>
                <w:color w:val="1C3A36"/>
                <w:sz w:val="16"/>
              </w:rPr>
              <w:t>126</w:t>
            </w:r>
          </w:p>
        </w:tc>
        <w:tc>
          <w:tcPr>
            <w:tcW w:type="dxa" w:w="1426"/>
            <w:shd w:val="clear" w:color="auto" w:fill="F6F1E6"/>
          </w:tcPr>
          <w:p>
            <w:pPr>
              <w:spacing w:after="20"/>
              <w:jc w:val="right"/>
            </w:pPr>
            <w:r>
              <w:rPr>
                <w:b/>
                <w:color w:val="1C3A36"/>
                <w:sz w:val="16"/>
              </w:rPr>
              <w:t>-354</w:t>
            </w:r>
          </w:p>
        </w:tc>
        <w:tc>
          <w:tcPr>
            <w:tcW w:type="dxa" w:w="1426"/>
            <w:shd w:val="clear" w:color="auto" w:fill="F6F1E6"/>
          </w:tcPr>
          <w:p>
            <w:pPr>
              <w:spacing w:after="20"/>
              <w:jc w:val="right"/>
            </w:pPr>
            <w:r>
              <w:rPr>
                <w:b/>
                <w:color w:val="1C3A36"/>
                <w:sz w:val="16"/>
              </w:rPr>
              <w:t>-439</w:t>
            </w:r>
          </w:p>
        </w:tc>
        <w:tc>
          <w:tcPr>
            <w:tcW w:type="dxa" w:w="1426"/>
            <w:shd w:val="clear" w:color="auto" w:fill="F6F1E6"/>
          </w:tcPr>
          <w:p>
            <w:pPr>
              <w:spacing w:after="20"/>
              <w:jc w:val="right"/>
            </w:pPr>
            <w:r>
              <w:rPr>
                <w:b/>
                <w:color w:val="1C3A36"/>
                <w:sz w:val="16"/>
              </w:rPr>
              <w:t>211</w:t>
            </w:r>
          </w:p>
        </w:tc>
      </w:tr>
      <w:t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24.97%</w:t>
            </w:r>
          </w:p>
        </w:tc>
        <w:tc>
          <w:tcPr>
            <w:tcW w:type="dxa" w:w="1426"/>
          </w:tcPr>
          <w:p>
            <w:pPr>
              <w:spacing w:after="20"/>
              <w:jc w:val="right"/>
            </w:pPr>
            <w:r>
              <w:rPr>
                <w:color w:val="1C3A36"/>
                <w:sz w:val="16"/>
              </w:rPr>
              <w:t>24.05%</w:t>
            </w:r>
          </w:p>
        </w:tc>
        <w:tc>
          <w:tcPr>
            <w:tcW w:type="dxa" w:w="1426"/>
          </w:tcPr>
          <w:p>
            <w:pPr>
              <w:spacing w:after="20"/>
              <w:jc w:val="right"/>
            </w:pPr>
            <w:r>
              <w:rPr>
                <w:color w:val="1C3A36"/>
                <w:sz w:val="16"/>
              </w:rPr>
              <w:t>23.13%</w:t>
            </w:r>
          </w:p>
        </w:tc>
        <w:tc>
          <w:tcPr>
            <w:tcW w:type="dxa" w:w="1426"/>
          </w:tcPr>
          <w:p>
            <w:pPr>
              <w:spacing w:after="20"/>
              <w:jc w:val="right"/>
            </w:pPr>
            <w:r>
              <w:rPr>
                <w:color w:val="1C3A36"/>
                <w:sz w:val="16"/>
              </w:rPr>
              <w:t>22.21%</w:t>
            </w:r>
          </w:p>
        </w:tc>
        <w:tc>
          <w:tcPr>
            <w:tcW w:type="dxa" w:w="1426"/>
          </w:tcPr>
          <w:p>
            <w:pPr>
              <w:spacing w:after="20"/>
              <w:jc w:val="right"/>
            </w:pPr>
            <w:r>
              <w:rPr>
                <w:color w:val="1C3A36"/>
                <w:sz w:val="16"/>
              </w:rPr>
              <w:t>21.29%</w:t>
            </w:r>
          </w:p>
        </w:tc>
      </w:tr>
      <w:tr>
        <w:tc>
          <w:tcPr>
            <w:tcW w:type="dxa" w:w="2952"/>
          </w:tcPr>
          <w:p>
            <w:pPr>
              <w:spacing w:after="20"/>
            </w:pPr>
            <w:r>
              <w:rPr>
                <w:color w:val="1C3A36"/>
                <w:sz w:val="16"/>
              </w:rPr>
              <w:t>Discount factor</w:t>
            </w:r>
          </w:p>
        </w:tc>
        <w:tc>
          <w:tcPr>
            <w:tcW w:type="dxa" w:w="1426"/>
          </w:tcPr>
          <w:p>
            <w:pPr>
              <w:spacing w:after="20"/>
              <w:jc w:val="right"/>
            </w:pPr>
            <w:r>
              <w:rPr>
                <w:color w:val="1C3A36"/>
                <w:sz w:val="16"/>
              </w:rPr>
              <w:t>0.8002</w:t>
            </w:r>
          </w:p>
        </w:tc>
        <w:tc>
          <w:tcPr>
            <w:tcW w:type="dxa" w:w="1426"/>
          </w:tcPr>
          <w:p>
            <w:pPr>
              <w:spacing w:after="20"/>
              <w:jc w:val="right"/>
            </w:pPr>
            <w:r>
              <w:rPr>
                <w:color w:val="1C3A36"/>
                <w:sz w:val="16"/>
              </w:rPr>
              <w:t>0.6450</w:t>
            </w:r>
          </w:p>
        </w:tc>
        <w:tc>
          <w:tcPr>
            <w:tcW w:type="dxa" w:w="1426"/>
          </w:tcPr>
          <w:p>
            <w:pPr>
              <w:spacing w:after="20"/>
              <w:jc w:val="right"/>
            </w:pPr>
            <w:r>
              <w:rPr>
                <w:color w:val="1C3A36"/>
                <w:sz w:val="16"/>
              </w:rPr>
              <w:t>0.5239</w:t>
            </w:r>
          </w:p>
        </w:tc>
        <w:tc>
          <w:tcPr>
            <w:tcW w:type="dxa" w:w="1426"/>
          </w:tcPr>
          <w:p>
            <w:pPr>
              <w:spacing w:after="20"/>
              <w:jc w:val="right"/>
            </w:pPr>
            <w:r>
              <w:rPr>
                <w:color w:val="1C3A36"/>
                <w:sz w:val="16"/>
              </w:rPr>
              <w:t>0.4287</w:t>
            </w:r>
          </w:p>
        </w:tc>
        <w:tc>
          <w:tcPr>
            <w:tcW w:type="dxa" w:w="1426"/>
          </w:tcPr>
          <w:p>
            <w:pPr>
              <w:spacing w:after="20"/>
              <w:jc w:val="right"/>
            </w:pPr>
            <w:r>
              <w:rPr>
                <w:color w:val="1C3A36"/>
                <w:sz w:val="16"/>
              </w:rPr>
              <w:t>0.3534</w:t>
            </w:r>
          </w:p>
        </w:tc>
      </w:tr>
      <w:t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696</w:t>
            </w:r>
          </w:p>
        </w:tc>
        <w:tc>
          <w:tcPr>
            <w:tcW w:type="dxa" w:w="1426"/>
            <w:shd w:val="clear" w:color="auto" w:fill="F6F1E6"/>
          </w:tcPr>
          <w:p>
            <w:pPr>
              <w:spacing w:after="20"/>
              <w:jc w:val="right"/>
            </w:pPr>
            <w:r>
              <w:rPr>
                <w:b/>
                <w:color w:val="1C3A36"/>
                <w:sz w:val="16"/>
              </w:rPr>
              <w:t>82</w:t>
            </w:r>
          </w:p>
        </w:tc>
        <w:tc>
          <w:tcPr>
            <w:tcW w:type="dxa" w:w="1426"/>
            <w:shd w:val="clear" w:color="auto" w:fill="F6F1E6"/>
          </w:tcPr>
          <w:p>
            <w:pPr>
              <w:spacing w:after="20"/>
              <w:jc w:val="right"/>
            </w:pPr>
            <w:r>
              <w:rPr>
                <w:b/>
                <w:color w:val="1C3A36"/>
                <w:sz w:val="16"/>
              </w:rPr>
              <w:t>-186</w:t>
            </w:r>
          </w:p>
        </w:tc>
        <w:tc>
          <w:tcPr>
            <w:tcW w:type="dxa" w:w="1426"/>
            <w:shd w:val="clear" w:color="auto" w:fill="F6F1E6"/>
          </w:tcPr>
          <w:p>
            <w:pPr>
              <w:spacing w:after="20"/>
              <w:jc w:val="right"/>
            </w:pPr>
            <w:r>
              <w:rPr>
                <w:b/>
                <w:color w:val="1C3A36"/>
                <w:sz w:val="16"/>
              </w:rPr>
              <w:t>-188</w:t>
            </w:r>
          </w:p>
        </w:tc>
        <w:tc>
          <w:tcPr>
            <w:tcW w:type="dxa" w:w="1426"/>
            <w:shd w:val="clear" w:color="auto" w:fill="F6F1E6"/>
          </w:tcPr>
          <w:p>
            <w:pPr>
              <w:spacing w:after="20"/>
              <w:jc w:val="right"/>
            </w:pPr>
            <w:r>
              <w:rPr>
                <w:b/>
                <w:color w:val="1C3A36"/>
                <w:sz w:val="16"/>
              </w:rPr>
              <w:t>75</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479</w:t>
            </w:r>
          </w:p>
        </w:tc>
        <w:tc>
          <w:tcPr>
            <w:tcW w:type="dxa" w:w="2808"/>
          </w:tcPr>
          <w:p>
            <w:pPr>
              <w:spacing w:after="20"/>
              <w:jc w:val="right"/>
            </w:pPr>
            <w:r>
              <w:rPr>
                <w:color w:val="1C3A36"/>
                <w:sz w:val="17"/>
              </w:rPr>
              <w:t>7,738</w:t>
            </w:r>
          </w:p>
        </w:tc>
      </w:tr>
      <w:t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4,444</w:t>
            </w:r>
          </w:p>
        </w:tc>
        <w:tc>
          <w:tcPr>
            <w:tcW w:type="dxa" w:w="2808"/>
          </w:tcPr>
          <w:p>
            <w:pPr>
              <w:spacing w:after="20"/>
              <w:jc w:val="right"/>
            </w:pPr>
            <w:r>
              <w:rPr>
                <w:color w:val="1C3A36"/>
                <w:sz w:val="17"/>
              </w:rPr>
              <w:t>3,707</w:t>
            </w:r>
          </w:p>
        </w:tc>
      </w:tr>
      <w:t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4,923</w:t>
            </w:r>
          </w:p>
        </w:tc>
        <w:tc>
          <w:tcPr>
            <w:tcW w:type="dxa" w:w="2808"/>
            <w:shd w:val="clear" w:color="auto" w:fill="F6F1E6"/>
          </w:tcPr>
          <w:p>
            <w:pPr>
              <w:spacing w:after="20"/>
              <w:jc w:val="right"/>
            </w:pPr>
            <w:r>
              <w:rPr>
                <w:b/>
                <w:color w:val="1C3A36"/>
                <w:sz w:val="17"/>
              </w:rPr>
              <w:t>11,445</w:t>
            </w:r>
          </w:p>
        </w:tc>
      </w:tr>
      <w:t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90.3%</w:t>
            </w:r>
          </w:p>
        </w:tc>
        <w:tc>
          <w:tcPr>
            <w:tcW w:type="dxa" w:w="2808"/>
            <w:shd w:val="clear" w:color="auto" w:fill="F6F1E6"/>
          </w:tcPr>
          <w:p>
            <w:pPr>
              <w:spacing w:after="20"/>
              <w:jc w:val="right"/>
            </w:pPr>
            <w:r>
              <w:rPr>
                <w:b/>
                <w:color w:val="1C3A36"/>
                <w:sz w:val="17"/>
              </w:rPr>
              <w:t>32.4%</w:t>
            </w:r>
          </w:p>
        </w:tc>
      </w:tr>
      <w:t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-1,572</w:t>
            </w:r>
          </w:p>
        </w:tc>
        <w:tc>
          <w:tcPr>
            <w:tcW w:type="dxa" w:w="2808"/>
            <w:shd w:val="clear" w:color="auto" w:fill="F6F1E6"/>
          </w:tcPr>
          <w:p>
            <w:pPr>
              <w:spacing w:after="20"/>
              <w:jc w:val="right"/>
            </w:pPr>
            <w:r>
              <w:rPr>
                <w:b/>
                <w:color w:val="1C3A36"/>
                <w:sz w:val="17"/>
              </w:rPr>
              <w:t>4,950</w:t>
            </w:r>
          </w:p>
        </w:tc>
      </w:tr>
      <w:t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-0.79</w:t>
            </w:r>
          </w:p>
        </w:tc>
        <w:tc>
          <w:tcPr>
            <w:tcW w:type="dxa" w:w="2808"/>
            <w:shd w:val="clear" w:color="auto" w:fill="F6F1E6"/>
          </w:tcPr>
          <w:p>
            <w:pPr>
              <w:spacing w:after="20"/>
              <w:jc w:val="right"/>
            </w:pPr>
            <w:r>
              <w:rPr>
                <w:b/>
                <w:color w:val="1C3A36"/>
                <w:sz w:val="17"/>
              </w:rPr>
              <w:t>2.49</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c>
          <w:tcPr>
            <w:tcW w:type="dxa" w:w="6336"/>
          </w:tcPr>
          <w:p>
            <w:pPr>
              <w:spacing w:after="20"/>
            </w:pPr>
            <w:r>
              <w:rPr>
                <w:color w:val="1C3A36"/>
                <w:sz w:val="17"/>
              </w:rPr>
              <w:t>Cost of equity</w:t>
            </w:r>
          </w:p>
        </w:tc>
        <w:tc>
          <w:tcPr>
            <w:tcW w:type="dxa" w:w="3600"/>
          </w:tcPr>
          <w:p>
            <w:pPr>
              <w:spacing w:after="20"/>
              <w:jc w:val="right"/>
            </w:pPr>
            <w:r>
              <w:rPr>
                <w:color w:val="1C3A36"/>
                <w:sz w:val="17"/>
              </w:rPr>
              <w:t>31.30%</w:t>
            </w:r>
          </w:p>
        </w:tc>
      </w:tr>
      <w:t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1.71x</w:t>
            </w:r>
          </w:p>
        </w:tc>
      </w:tr>
    </w:tbl>
    <w:p>
      <w:pPr>
        <w:spacing w:after="40"/>
      </w:pPr>
    </w:p>
    <w:p>
      <w:pPr>
        <w:spacing w:after="200" w:before="0"/>
      </w:pPr>
      <w:r>
        <w:rPr>
          <w:b w:val="0"/>
          <w:i/>
          <w:color w:val="6E7B77"/>
          <w:sz w:val="17"/>
        </w:rPr>
        <w:t>Table 6.  The justified multiple of book is negative before flooring, and that is the finding rather than a rounding artefact: a sustainable return of 6.9% does not cover even nominal maintenance growth of 7.0%, let alone a 31.30% cost of equity. On this lens the book is worth nothing beyond what the assets would fetch, and the market pays 1.71 times it.</w:t>
      </w:r>
    </w:p>
    <w:p>
      <w:pPr>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3.0 and 6.0 times operating profit before depreciation. On forward EBITDA of EGP 4,497 million the mid-point implies an enterprise value of EGP 20,238 million and, after the debt and the non-operating stack, EGP 6.92 a share — a range of EGP 3.52 to EGP 10.31 across the band.</w:t>
      </w:r>
    </w:p>
    <w:p>
      <w:pPr>
        <w:spacing w:after="120" w:before="0"/>
      </w:pPr>
      <w:r>
        <w:rPr>
          <w:b/>
          <w:i w:val="0"/>
          <w:color w:val="1C3A36"/>
          <w:sz w:val="21"/>
        </w:rPr>
        <w:t>The two numbers worth putting side by side are these: at the traded price the shares change hands at 8.4 times that same forward EBITDA, while the cash-flow lens values them at 1.1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c>
          <w:tcPr>
            <w:tcW w:type="dxa" w:w="6336"/>
          </w:tcPr>
          <w:p>
            <w:pPr>
              <w:spacing w:after="20"/>
            </w:pPr>
            <w:r>
              <w:rPr>
                <w:color w:val="1C3A36"/>
                <w:sz w:val="17"/>
              </w:rPr>
              <w:t>Mid-cycle revenue</w:t>
            </w:r>
          </w:p>
        </w:tc>
        <w:tc>
          <w:tcPr>
            <w:tcW w:type="dxa" w:w="3600"/>
          </w:tcPr>
          <w:p>
            <w:pPr>
              <w:spacing w:after="20"/>
              <w:jc w:val="right"/>
            </w:pPr>
            <w:r>
              <w:rPr>
                <w:color w:val="1C3A36"/>
                <w:sz w:val="17"/>
              </w:rPr>
              <w:t>9,404</w:t>
            </w:r>
          </w:p>
        </w:tc>
      </w:tr>
      <w:tr>
        <w:tc>
          <w:tcPr>
            <w:tcW w:type="dxa" w:w="6336"/>
          </w:tcPr>
          <w:p>
            <w:pPr>
              <w:spacing w:after="20"/>
            </w:pPr>
            <w:r>
              <w:rPr>
                <w:color w:val="1C3A36"/>
                <w:sz w:val="17"/>
              </w:rPr>
              <w:t>Natural gas</w:t>
            </w:r>
          </w:p>
        </w:tc>
        <w:tc>
          <w:tcPr>
            <w:tcW w:type="dxa" w:w="3600"/>
          </w:tcPr>
          <w:p>
            <w:pPr>
              <w:spacing w:after="20"/>
              <w:jc w:val="right"/>
            </w:pPr>
            <w:r>
              <w:rPr>
                <w:color w:val="1C3A36"/>
                <w:sz w:val="17"/>
              </w:rPr>
              <w:t>-3,877</w:t>
            </w:r>
          </w:p>
        </w:tc>
      </w:tr>
      <w:t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2,697</w:t>
            </w:r>
          </w:p>
        </w:tc>
      </w:tr>
      <w:t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1,400</w:t>
            </w:r>
          </w:p>
        </w:tc>
      </w:tr>
      <w:t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13,996</w:t>
            </w:r>
          </w:p>
        </w:tc>
      </w:tr>
      <w:t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3.78</w:t>
            </w:r>
          </w:p>
        </w:tc>
      </w:tr>
      <w:tr>
        <w:tc>
          <w:tcPr>
            <w:tcW w:type="dxa" w:w="6336"/>
          </w:tcPr>
          <w:p>
            <w:pPr>
              <w:spacing w:after="20"/>
            </w:pPr>
            <w:r>
              <w:rPr>
                <w:color w:val="1C3A36"/>
                <w:sz w:val="17"/>
              </w:rPr>
              <w:t>At eight times (EGP)</w:t>
            </w:r>
          </w:p>
        </w:tc>
        <w:tc>
          <w:tcPr>
            <w:tcW w:type="dxa" w:w="3600"/>
          </w:tcPr>
          <w:p>
            <w:pPr>
              <w:spacing w:after="20"/>
              <w:jc w:val="right"/>
            </w:pPr>
            <w:r>
              <w:rPr>
                <w:color w:val="1C3A36"/>
                <w:sz w:val="17"/>
              </w:rPr>
              <w:t>2.37</w:t>
            </w:r>
          </w:p>
        </w:tc>
      </w:tr>
      <w:tr>
        <w:tc>
          <w:tcPr>
            <w:tcW w:type="dxa" w:w="6336"/>
          </w:tcPr>
          <w:p>
            <w:pPr>
              <w:spacing w:after="20"/>
            </w:pPr>
            <w:r>
              <w:rPr>
                <w:color w:val="1C3A36"/>
                <w:sz w:val="17"/>
              </w:rPr>
              <w:t>At twelve times (EGP)</w:t>
            </w:r>
          </w:p>
        </w:tc>
        <w:tc>
          <w:tcPr>
            <w:tcW w:type="dxa" w:w="3600"/>
          </w:tcPr>
          <w:p>
            <w:pPr>
              <w:spacing w:after="20"/>
              <w:jc w:val="right"/>
            </w:pPr>
            <w:r>
              <w:rPr>
                <w:color w:val="1C3A36"/>
                <w:sz w:val="17"/>
              </w:rPr>
              <w:t>5.19</w:t>
            </w:r>
          </w:p>
        </w:tc>
      </w:tr>
    </w:tbl>
    <w:p>
      <w:pPr>
        <w:spacing w:after="40"/>
      </w:pPr>
    </w:p>
    <w:p>
      <w:pPr>
        <w:spacing w:after="200" w:before="0"/>
      </w:pPr>
      <w:r>
        <w:rPr>
          <w:b w:val="0"/>
          <w:i/>
          <w:color w:val="6E7B77"/>
          <w:sz w:val="17"/>
        </w:rPr>
        <w:t>Table 7.  A mature single-asset industrial in a high-inflation economy does not deserve more than ten times, and the band either side is shown.</w:t>
      </w:r>
    </w:p>
    <w:p>
      <w:pPr>
        <w:spacing w:after="80" w:before="200"/>
      </w:pPr>
      <w:r>
        <w:rPr>
          <w:b/>
          <w:i w:val="0"/>
          <w:color w:val="1C3A36"/>
          <w:sz w:val="24"/>
        </w:rPr>
        <w:t>1.5  Synthesis — four lenses, one field</w:t>
      </w:r>
    </w:p>
    <w:p>
      <w:pPr>
        <w:spacing w:after="120" w:before="0"/>
      </w:pPr>
      <w:r>
        <w:rPr>
          <w:b w:val="0"/>
          <w:i w:val="0"/>
          <w:color w:val="1C3A36"/>
          <w:sz w:val="21"/>
        </w:rPr>
        <w:t>The field runs from EGP 0.00 to EGP 6.92 a share. It is a wide field, and the width is honest: the lenses disagree because they ask different questions of a company whose asset base is changing underneath its earnings. What none of them does is reach EGP 13.98.</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zero because a 6.9% sustainable return on equity does not clear a 31.30%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8.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440</w:t>
            </w:r>
          </w:p>
        </w:tc>
      </w:tr>
      <w:tr>
        <w:tc>
          <w:tcPr>
            <w:tcW w:type="dxa" w:w="2304"/>
          </w:tcPr>
          <w:p>
            <w:pPr>
              <w:spacing w:after="20"/>
            </w:pPr>
            <w:r>
              <w:rPr>
                <w:color w:val="1C3A36"/>
                <w:sz w:val="17"/>
              </w:rPr>
              <w:t>Exchange rate (EGP/US$)</w:t>
            </w:r>
          </w:p>
        </w:tc>
        <w:tc>
          <w:tcPr>
            <w:tcW w:type="dxa" w:w="3960"/>
          </w:tcPr>
          <w:p>
            <w:pPr>
              <w:spacing w:after="20"/>
            </w:pPr>
            <w:r>
              <w:rPr>
                <w:color w:val="1C3A36"/>
                <w:sz w:val="17"/>
              </w:rPr>
              <w:t>Spot, depreciating 4.5% a year</w:t>
            </w:r>
          </w:p>
        </w:tc>
        <w:tc>
          <w:tcPr>
            <w:tcW w:type="dxa" w:w="1843"/>
          </w:tcPr>
          <w:p>
            <w:pPr>
              <w:spacing w:after="20"/>
              <w:jc w:val="right"/>
            </w:pPr>
            <w:r>
              <w:rPr>
                <w:color w:val="1C3A36"/>
                <w:sz w:val="17"/>
              </w:rPr>
              <w:t>51.90</w:t>
            </w:r>
          </w:p>
        </w:tc>
        <w:tc>
          <w:tcPr>
            <w:tcW w:type="dxa" w:w="1843"/>
          </w:tcPr>
          <w:p>
            <w:pPr>
              <w:spacing w:after="20"/>
              <w:jc w:val="right"/>
            </w:pPr>
            <w:r>
              <w:rPr>
                <w:color w:val="1C3A36"/>
                <w:sz w:val="17"/>
              </w:rPr>
              <w:t>61.90</w:t>
            </w:r>
          </w:p>
        </w:tc>
      </w:tr>
      <w:t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8.58</w:t>
            </w:r>
          </w:p>
        </w:tc>
        <w:tc>
          <w:tcPr>
            <w:tcW w:type="dxa" w:w="1843"/>
          </w:tcPr>
          <w:p>
            <w:pPr>
              <w:spacing w:after="20"/>
              <w:jc w:val="right"/>
            </w:pPr>
            <w:r>
              <w:rPr>
                <w:color w:val="1C3A36"/>
                <w:sz w:val="17"/>
              </w:rPr>
              <w:t>10.23</w:t>
            </w:r>
          </w:p>
        </w:tc>
      </w:tr>
      <w:t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7.0%</w:t>
            </w:r>
          </w:p>
        </w:tc>
      </w:tr>
      <w:t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45.2%</w:t>
            </w:r>
          </w:p>
        </w:tc>
        <w:tc>
          <w:tcPr>
            <w:tcW w:type="dxa" w:w="1843"/>
            <w:shd w:val="clear" w:color="auto" w:fill="F6F1E6"/>
          </w:tcPr>
          <w:p>
            <w:pPr>
              <w:spacing w:after="20"/>
              <w:jc w:val="right"/>
            </w:pPr>
            <w:r>
              <w:rPr>
                <w:b/>
                <w:color w:val="1C3A36"/>
                <w:sz w:val="17"/>
              </w:rPr>
              <w:t>36.3%</w:t>
            </w:r>
          </w:p>
        </w:tc>
      </w:tr>
      <w:t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40.8%</w:t>
            </w:r>
          </w:p>
        </w:tc>
        <w:tc>
          <w:tcPr>
            <w:tcW w:type="dxa" w:w="1843"/>
            <w:shd w:val="clear" w:color="auto" w:fill="F6F1E6"/>
          </w:tcPr>
          <w:p>
            <w:pPr>
              <w:spacing w:after="20"/>
              <w:jc w:val="right"/>
            </w:pPr>
            <w:r>
              <w:rPr>
                <w:b/>
                <w:color w:val="1C3A36"/>
                <w:sz w:val="17"/>
              </w:rPr>
              <w:t>29.9%</w:t>
            </w:r>
          </w:p>
        </w:tc>
      </w:tr>
    </w:tbl>
    <w:p>
      <w:pPr>
        <w:spacing w:after="40"/>
      </w:pPr>
    </w:p>
    <w:p>
      <w:pPr>
        <w:spacing w:after="200" w:before="0"/>
      </w:pPr>
      <w:r>
        <w:rPr>
          <w:b w:val="0"/>
          <w:i/>
          <w:color w:val="6E7B77"/>
          <w:sz w:val="17"/>
        </w:rPr>
        <w:t>Table 9.  Each cost class escalates on its own driver and never on one blended index: gas is a globally traded input and escalates on its dollar price through the exchange rate, while wages, inland haulage and administration escalate on Egyptian consumer prices and the subsidised price follows its own administered path.</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c>
          <w:tcPr>
            <w:tcW w:type="dxa" w:w="2952"/>
          </w:tcPr>
          <w:p>
            <w:pPr>
              <w:spacing w:after="20"/>
            </w:pPr>
            <w:r>
              <w:rPr>
                <w:color w:val="1C3A36"/>
                <w:sz w:val="16"/>
              </w:rPr>
              <w:t>Revenue</w:t>
            </w:r>
          </w:p>
        </w:tc>
        <w:tc>
          <w:tcPr>
            <w:tcW w:type="dxa" w:w="1426"/>
          </w:tcPr>
          <w:p>
            <w:pPr>
              <w:spacing w:after="20"/>
              <w:jc w:val="right"/>
            </w:pPr>
            <w:r>
              <w:rPr>
                <w:color w:val="1C3A36"/>
                <w:sz w:val="16"/>
              </w:rPr>
              <w:t>11,014</w:t>
            </w:r>
          </w:p>
        </w:tc>
        <w:tc>
          <w:tcPr>
            <w:tcW w:type="dxa" w:w="1426"/>
          </w:tcPr>
          <w:p>
            <w:pPr>
              <w:spacing w:after="20"/>
              <w:jc w:val="right"/>
            </w:pPr>
            <w:r>
              <w:rPr>
                <w:color w:val="1C3A36"/>
                <w:sz w:val="16"/>
              </w:rPr>
              <w:t>11,101</w:t>
            </w:r>
          </w:p>
        </w:tc>
        <w:tc>
          <w:tcPr>
            <w:tcW w:type="dxa" w:w="1426"/>
          </w:tcPr>
          <w:p>
            <w:pPr>
              <w:spacing w:after="20"/>
              <w:jc w:val="right"/>
            </w:pPr>
            <w:r>
              <w:rPr>
                <w:color w:val="1C3A36"/>
                <w:sz w:val="16"/>
              </w:rPr>
              <w:t>11,160</w:t>
            </w:r>
          </w:p>
        </w:tc>
        <w:tc>
          <w:tcPr>
            <w:tcW w:type="dxa" w:w="1426"/>
          </w:tcPr>
          <w:p>
            <w:pPr>
              <w:spacing w:after="20"/>
              <w:jc w:val="right"/>
            </w:pPr>
            <w:r>
              <w:rPr>
                <w:color w:val="1C3A36"/>
                <w:sz w:val="16"/>
              </w:rPr>
              <w:t>11,387</w:t>
            </w:r>
          </w:p>
        </w:tc>
        <w:tc>
          <w:tcPr>
            <w:tcW w:type="dxa" w:w="1426"/>
          </w:tcPr>
          <w:p>
            <w:pPr>
              <w:spacing w:after="20"/>
              <w:jc w:val="right"/>
            </w:pPr>
            <w:r>
              <w:rPr>
                <w:color w:val="1C3A36"/>
                <w:sz w:val="16"/>
              </w:rPr>
              <w:t>11,822</w:t>
            </w:r>
          </w:p>
        </w:tc>
      </w:tr>
      <w:tr>
        <w:tc>
          <w:tcPr>
            <w:tcW w:type="dxa" w:w="2952"/>
          </w:tcPr>
          <w:p>
            <w:pPr>
              <w:spacing w:after="20"/>
            </w:pPr>
            <w:r>
              <w:rPr>
                <w:color w:val="1C3A36"/>
                <w:sz w:val="16"/>
              </w:rPr>
              <w:t>Cost of sales</w:t>
            </w:r>
          </w:p>
        </w:tc>
        <w:tc>
          <w:tcPr>
            <w:tcW w:type="dxa" w:w="1426"/>
          </w:tcPr>
          <w:p>
            <w:pPr>
              <w:spacing w:after="20"/>
              <w:jc w:val="right"/>
            </w:pPr>
            <w:r>
              <w:rPr>
                <w:color w:val="1C3A36"/>
                <w:sz w:val="16"/>
              </w:rPr>
              <w:t>6,035</w:t>
            </w:r>
          </w:p>
        </w:tc>
        <w:tc>
          <w:tcPr>
            <w:tcW w:type="dxa" w:w="1426"/>
          </w:tcPr>
          <w:p>
            <w:pPr>
              <w:spacing w:after="20"/>
              <w:jc w:val="right"/>
            </w:pPr>
            <w:r>
              <w:rPr>
                <w:color w:val="1C3A36"/>
                <w:sz w:val="16"/>
              </w:rPr>
              <w:t>6,392</w:t>
            </w:r>
          </w:p>
        </w:tc>
        <w:tc>
          <w:tcPr>
            <w:tcW w:type="dxa" w:w="1426"/>
          </w:tcPr>
          <w:p>
            <w:pPr>
              <w:spacing w:after="20"/>
              <w:jc w:val="right"/>
            </w:pPr>
            <w:r>
              <w:rPr>
                <w:color w:val="1C3A36"/>
                <w:sz w:val="16"/>
              </w:rPr>
              <w:t>6,756</w:t>
            </w:r>
          </w:p>
        </w:tc>
        <w:tc>
          <w:tcPr>
            <w:tcW w:type="dxa" w:w="1426"/>
          </w:tcPr>
          <w:p>
            <w:pPr>
              <w:spacing w:after="20"/>
              <w:jc w:val="right"/>
            </w:pPr>
            <w:r>
              <w:rPr>
                <w:color w:val="1C3A36"/>
                <w:sz w:val="16"/>
              </w:rPr>
              <w:t>7,132</w:t>
            </w:r>
          </w:p>
        </w:tc>
        <w:tc>
          <w:tcPr>
            <w:tcW w:type="dxa" w:w="1426"/>
          </w:tcPr>
          <w:p>
            <w:pPr>
              <w:spacing w:after="20"/>
              <w:jc w:val="right"/>
            </w:pPr>
            <w:r>
              <w:rPr>
                <w:color w:val="1C3A36"/>
                <w:sz w:val="16"/>
              </w:rPr>
              <w:t>7,536</w:t>
            </w:r>
          </w:p>
        </w:tc>
      </w:tr>
      <w:tr>
        <w:tc>
          <w:tcPr>
            <w:tcW w:type="dxa" w:w="2952"/>
          </w:tcPr>
          <w:p>
            <w:pPr>
              <w:spacing w:after="20"/>
            </w:pPr>
            <w:r>
              <w:rPr>
                <w:color w:val="1C3A36"/>
                <w:sz w:val="16"/>
              </w:rPr>
              <w:t>Gross profit</w:t>
            </w:r>
          </w:p>
        </w:tc>
        <w:tc>
          <w:tcPr>
            <w:tcW w:type="dxa" w:w="1426"/>
          </w:tcPr>
          <w:p>
            <w:pPr>
              <w:spacing w:after="20"/>
              <w:jc w:val="right"/>
            </w:pPr>
            <w:r>
              <w:rPr>
                <w:color w:val="1C3A36"/>
                <w:sz w:val="16"/>
              </w:rPr>
              <w:t>4,978</w:t>
            </w:r>
          </w:p>
        </w:tc>
        <w:tc>
          <w:tcPr>
            <w:tcW w:type="dxa" w:w="1426"/>
          </w:tcPr>
          <w:p>
            <w:pPr>
              <w:spacing w:after="20"/>
              <w:jc w:val="right"/>
            </w:pPr>
            <w:r>
              <w:rPr>
                <w:color w:val="1C3A36"/>
                <w:sz w:val="16"/>
              </w:rPr>
              <w:t>4,709</w:t>
            </w:r>
          </w:p>
        </w:tc>
        <w:tc>
          <w:tcPr>
            <w:tcW w:type="dxa" w:w="1426"/>
          </w:tcPr>
          <w:p>
            <w:pPr>
              <w:spacing w:after="20"/>
              <w:jc w:val="right"/>
            </w:pPr>
            <w:r>
              <w:rPr>
                <w:color w:val="1C3A36"/>
                <w:sz w:val="16"/>
              </w:rPr>
              <w:t>4,404</w:t>
            </w:r>
          </w:p>
        </w:tc>
        <w:tc>
          <w:tcPr>
            <w:tcW w:type="dxa" w:w="1426"/>
          </w:tcPr>
          <w:p>
            <w:pPr>
              <w:spacing w:after="20"/>
              <w:jc w:val="right"/>
            </w:pPr>
            <w:r>
              <w:rPr>
                <w:color w:val="1C3A36"/>
                <w:sz w:val="16"/>
              </w:rPr>
              <w:t>4,255</w:t>
            </w:r>
          </w:p>
        </w:tc>
        <w:tc>
          <w:tcPr>
            <w:tcW w:type="dxa" w:w="1426"/>
          </w:tcPr>
          <w:p>
            <w:pPr>
              <w:spacing w:after="20"/>
              <w:jc w:val="right"/>
            </w:pPr>
            <w:r>
              <w:rPr>
                <w:color w:val="1C3A36"/>
                <w:sz w:val="16"/>
              </w:rPr>
              <w:t>4,286</w:t>
            </w:r>
          </w:p>
        </w:tc>
      </w:tr>
      <w:t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45.2%</w:t>
            </w:r>
          </w:p>
        </w:tc>
        <w:tc>
          <w:tcPr>
            <w:tcW w:type="dxa" w:w="1426"/>
            <w:shd w:val="clear" w:color="auto" w:fill="F6F1E6"/>
          </w:tcPr>
          <w:p>
            <w:pPr>
              <w:spacing w:after="20"/>
              <w:jc w:val="right"/>
            </w:pPr>
            <w:r>
              <w:rPr>
                <w:b/>
                <w:color w:val="1C3A36"/>
                <w:sz w:val="16"/>
              </w:rPr>
              <w:t>42.4%</w:t>
            </w:r>
          </w:p>
        </w:tc>
        <w:tc>
          <w:tcPr>
            <w:tcW w:type="dxa" w:w="1426"/>
            <w:shd w:val="clear" w:color="auto" w:fill="F6F1E6"/>
          </w:tcPr>
          <w:p>
            <w:pPr>
              <w:spacing w:after="20"/>
              <w:jc w:val="right"/>
            </w:pPr>
            <w:r>
              <w:rPr>
                <w:b/>
                <w:color w:val="1C3A36"/>
                <w:sz w:val="16"/>
              </w:rPr>
              <w:t>39.5%</w:t>
            </w:r>
          </w:p>
        </w:tc>
        <w:tc>
          <w:tcPr>
            <w:tcW w:type="dxa" w:w="1426"/>
            <w:shd w:val="clear" w:color="auto" w:fill="F6F1E6"/>
          </w:tcPr>
          <w:p>
            <w:pPr>
              <w:spacing w:after="20"/>
              <w:jc w:val="right"/>
            </w:pPr>
            <w:r>
              <w:rPr>
                <w:b/>
                <w:color w:val="1C3A36"/>
                <w:sz w:val="16"/>
              </w:rPr>
              <w:t>37.4%</w:t>
            </w:r>
          </w:p>
        </w:tc>
        <w:tc>
          <w:tcPr>
            <w:tcW w:type="dxa" w:w="1426"/>
            <w:shd w:val="clear" w:color="auto" w:fill="F6F1E6"/>
          </w:tcPr>
          <w:p>
            <w:pPr>
              <w:spacing w:after="20"/>
              <w:jc w:val="right"/>
            </w:pPr>
            <w:r>
              <w:rPr>
                <w:b/>
                <w:color w:val="1C3A36"/>
                <w:sz w:val="16"/>
              </w:rPr>
              <w:t>36.3%</w:t>
            </w:r>
          </w:p>
        </w:tc>
      </w:tr>
      <w:t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4,497</w:t>
            </w:r>
          </w:p>
        </w:tc>
        <w:tc>
          <w:tcPr>
            <w:tcW w:type="dxa" w:w="1426"/>
          </w:tcPr>
          <w:p>
            <w:pPr>
              <w:spacing w:after="20"/>
              <w:jc w:val="right"/>
            </w:pPr>
            <w:r>
              <w:rPr>
                <w:color w:val="1C3A36"/>
                <w:sz w:val="16"/>
              </w:rPr>
              <w:t>4,172</w:t>
            </w:r>
          </w:p>
        </w:tc>
        <w:tc>
          <w:tcPr>
            <w:tcW w:type="dxa" w:w="1426"/>
          </w:tcPr>
          <w:p>
            <w:pPr>
              <w:spacing w:after="20"/>
              <w:jc w:val="right"/>
            </w:pPr>
            <w:r>
              <w:rPr>
                <w:color w:val="1C3A36"/>
                <w:sz w:val="16"/>
              </w:rPr>
              <w:t>3,806</w:t>
            </w:r>
          </w:p>
        </w:tc>
        <w:tc>
          <w:tcPr>
            <w:tcW w:type="dxa" w:w="1426"/>
          </w:tcPr>
          <w:p>
            <w:pPr>
              <w:spacing w:after="20"/>
              <w:jc w:val="right"/>
            </w:pPr>
            <w:r>
              <w:rPr>
                <w:color w:val="1C3A36"/>
                <w:sz w:val="16"/>
              </w:rPr>
              <w:t>3,585</w:t>
            </w:r>
          </w:p>
        </w:tc>
        <w:tc>
          <w:tcPr>
            <w:tcW w:type="dxa" w:w="1426"/>
          </w:tcPr>
          <w:p>
            <w:pPr>
              <w:spacing w:after="20"/>
              <w:jc w:val="right"/>
            </w:pPr>
            <w:r>
              <w:rPr>
                <w:color w:val="1C3A36"/>
                <w:sz w:val="16"/>
              </w:rPr>
              <w:t>3,537</w:t>
            </w:r>
          </w:p>
        </w:tc>
      </w:tr>
      <w:t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40.8%</w:t>
            </w:r>
          </w:p>
        </w:tc>
        <w:tc>
          <w:tcPr>
            <w:tcW w:type="dxa" w:w="1426"/>
            <w:shd w:val="clear" w:color="auto" w:fill="F6F1E6"/>
          </w:tcPr>
          <w:p>
            <w:pPr>
              <w:spacing w:after="20"/>
              <w:jc w:val="right"/>
            </w:pPr>
            <w:r>
              <w:rPr>
                <w:b/>
                <w:color w:val="1C3A36"/>
                <w:sz w:val="16"/>
              </w:rPr>
              <w:t>37.6%</w:t>
            </w:r>
          </w:p>
        </w:tc>
        <w:tc>
          <w:tcPr>
            <w:tcW w:type="dxa" w:w="1426"/>
            <w:shd w:val="clear" w:color="auto" w:fill="F6F1E6"/>
          </w:tcPr>
          <w:p>
            <w:pPr>
              <w:spacing w:after="20"/>
              <w:jc w:val="right"/>
            </w:pPr>
            <w:r>
              <w:rPr>
                <w:b/>
                <w:color w:val="1C3A36"/>
                <w:sz w:val="16"/>
              </w:rPr>
              <w:t>34.1%</w:t>
            </w:r>
          </w:p>
        </w:tc>
        <w:tc>
          <w:tcPr>
            <w:tcW w:type="dxa" w:w="1426"/>
            <w:shd w:val="clear" w:color="auto" w:fill="F6F1E6"/>
          </w:tcPr>
          <w:p>
            <w:pPr>
              <w:spacing w:after="20"/>
              <w:jc w:val="right"/>
            </w:pPr>
            <w:r>
              <w:rPr>
                <w:b/>
                <w:color w:val="1C3A36"/>
                <w:sz w:val="16"/>
              </w:rPr>
              <w:t>31.5%</w:t>
            </w:r>
          </w:p>
        </w:tc>
        <w:tc>
          <w:tcPr>
            <w:tcW w:type="dxa" w:w="1426"/>
            <w:shd w:val="clear" w:color="auto" w:fill="F6F1E6"/>
          </w:tcPr>
          <w:p>
            <w:pPr>
              <w:spacing w:after="20"/>
              <w:jc w:val="right"/>
            </w:pPr>
            <w:r>
              <w:rPr>
                <w:b/>
                <w:color w:val="1C3A36"/>
                <w:sz w:val="16"/>
              </w:rPr>
              <w:t>29.9%</w:t>
            </w:r>
          </w:p>
        </w:tc>
      </w:tr>
      <w:tr>
        <w:tc>
          <w:tcPr>
            <w:tcW w:type="dxa" w:w="2952"/>
          </w:tcPr>
          <w:p>
            <w:pPr>
              <w:spacing w:after="20"/>
            </w:pPr>
            <w:r>
              <w:rPr>
                <w:color w:val="1C3A36"/>
                <w:sz w:val="16"/>
              </w:rPr>
              <w:t>Operating profit</w:t>
            </w:r>
          </w:p>
        </w:tc>
        <w:tc>
          <w:tcPr>
            <w:tcW w:type="dxa" w:w="1426"/>
          </w:tcPr>
          <w:p>
            <w:pPr>
              <w:spacing w:after="20"/>
              <w:jc w:val="right"/>
            </w:pPr>
            <w:r>
              <w:rPr>
                <w:color w:val="1C3A36"/>
                <w:sz w:val="16"/>
              </w:rPr>
              <w:t>3,607</w:t>
            </w:r>
          </w:p>
        </w:tc>
        <w:tc>
          <w:tcPr>
            <w:tcW w:type="dxa" w:w="1426"/>
          </w:tcPr>
          <w:p>
            <w:pPr>
              <w:spacing w:after="20"/>
              <w:jc w:val="right"/>
            </w:pPr>
            <w:r>
              <w:rPr>
                <w:color w:val="1C3A36"/>
                <w:sz w:val="16"/>
              </w:rPr>
              <w:t>3,266</w:t>
            </w:r>
          </w:p>
        </w:tc>
        <w:tc>
          <w:tcPr>
            <w:tcW w:type="dxa" w:w="1426"/>
          </w:tcPr>
          <w:p>
            <w:pPr>
              <w:spacing w:after="20"/>
              <w:jc w:val="right"/>
            </w:pPr>
            <w:r>
              <w:rPr>
                <w:color w:val="1C3A36"/>
                <w:sz w:val="16"/>
              </w:rPr>
              <w:t>2,884</w:t>
            </w:r>
          </w:p>
        </w:tc>
        <w:tc>
          <w:tcPr>
            <w:tcW w:type="dxa" w:w="1426"/>
          </w:tcPr>
          <w:p>
            <w:pPr>
              <w:spacing w:after="20"/>
              <w:jc w:val="right"/>
            </w:pPr>
            <w:r>
              <w:rPr>
                <w:color w:val="1C3A36"/>
                <w:sz w:val="16"/>
              </w:rPr>
              <w:t>2,648</w:t>
            </w:r>
          </w:p>
        </w:tc>
        <w:tc>
          <w:tcPr>
            <w:tcW w:type="dxa" w:w="1426"/>
          </w:tcPr>
          <w:p>
            <w:pPr>
              <w:spacing w:after="20"/>
              <w:jc w:val="right"/>
            </w:pPr>
            <w:r>
              <w:rPr>
                <w:color w:val="1C3A36"/>
                <w:sz w:val="16"/>
              </w:rPr>
              <w:t>2,585</w:t>
            </w:r>
          </w:p>
        </w:tc>
      </w:tr>
      <w:tr>
        <w:tc>
          <w:tcPr>
            <w:tcW w:type="dxa" w:w="2952"/>
          </w:tcPr>
          <w:p>
            <w:pPr>
              <w:spacing w:after="20"/>
            </w:pPr>
            <w:r>
              <w:rPr>
                <w:color w:val="1C3A36"/>
                <w:sz w:val="16"/>
              </w:rPr>
              <w:t>Operating margin</w:t>
            </w:r>
          </w:p>
        </w:tc>
        <w:tc>
          <w:tcPr>
            <w:tcW w:type="dxa" w:w="1426"/>
          </w:tcPr>
          <w:p>
            <w:pPr>
              <w:spacing w:after="20"/>
              <w:jc w:val="right"/>
            </w:pPr>
            <w:r>
              <w:rPr>
                <w:color w:val="1C3A36"/>
                <w:sz w:val="16"/>
              </w:rPr>
              <w:t>32.7%</w:t>
            </w:r>
          </w:p>
        </w:tc>
        <w:tc>
          <w:tcPr>
            <w:tcW w:type="dxa" w:w="1426"/>
          </w:tcPr>
          <w:p>
            <w:pPr>
              <w:spacing w:after="20"/>
              <w:jc w:val="right"/>
            </w:pPr>
            <w:r>
              <w:rPr>
                <w:color w:val="1C3A36"/>
                <w:sz w:val="16"/>
              </w:rPr>
              <w:t>29.4%</w:t>
            </w:r>
          </w:p>
        </w:tc>
        <w:tc>
          <w:tcPr>
            <w:tcW w:type="dxa" w:w="1426"/>
          </w:tcPr>
          <w:p>
            <w:pPr>
              <w:spacing w:after="20"/>
              <w:jc w:val="right"/>
            </w:pPr>
            <w:r>
              <w:rPr>
                <w:color w:val="1C3A36"/>
                <w:sz w:val="16"/>
              </w:rPr>
              <w:t>25.8%</w:t>
            </w:r>
          </w:p>
        </w:tc>
        <w:tc>
          <w:tcPr>
            <w:tcW w:type="dxa" w:w="1426"/>
          </w:tcPr>
          <w:p>
            <w:pPr>
              <w:spacing w:after="20"/>
              <w:jc w:val="right"/>
            </w:pPr>
            <w:r>
              <w:rPr>
                <w:color w:val="1C3A36"/>
                <w:sz w:val="16"/>
              </w:rPr>
              <w:t>23.3%</w:t>
            </w:r>
          </w:p>
        </w:tc>
        <w:tc>
          <w:tcPr>
            <w:tcW w:type="dxa" w:w="1426"/>
          </w:tcPr>
          <w:p>
            <w:pPr>
              <w:spacing w:after="20"/>
              <w:jc w:val="right"/>
            </w:pPr>
            <w:r>
              <w:rPr>
                <w:color w:val="1C3A36"/>
                <w:sz w:val="16"/>
              </w:rPr>
              <w:t>21.9%</w:t>
            </w:r>
          </w:p>
        </w:tc>
      </w:tr>
    </w:tbl>
    <w:p>
      <w:pPr>
        <w:spacing w:after="40"/>
      </w:pPr>
    </w:p>
    <w:p>
      <w:pPr>
        <w:spacing w:after="200" w:before="0"/>
      </w:pPr>
      <w:r>
        <w:rPr>
          <w:b w:val="0"/>
          <w:i/>
          <w:color w:val="6E7B77"/>
          <w:sz w:val="17"/>
        </w:rPr>
        <w:t>Table 10.  Not one margin in this table is set. Each is revenue less a cost stack that was built from physical consumption times a unit price, so the margin path is a consequence of the tonnes, the prices and the escalators above it. The margin falls across the window because the export price mean-reverts faster than the domestic cost base disinflates — which is a statement about two sourced paths, not a view about management.</w:t>
      </w:r>
    </w:p>
    <w:p>
      <w:pPr>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c>
          <w:tcPr>
            <w:tcW w:type="dxa" w:w="2592"/>
          </w:tcPr>
          <w:p>
            <w:pPr>
              <w:spacing w:after="20"/>
            </w:pPr>
            <w:r>
              <w:rPr>
                <w:color w:val="1C3A36"/>
                <w:sz w:val="17"/>
              </w:rPr>
              <w:t>Export urea</w:t>
            </w:r>
          </w:p>
        </w:tc>
        <w:tc>
          <w:tcPr>
            <w:tcW w:type="dxa" w:w="1944"/>
          </w:tcPr>
          <w:p>
            <w:pPr>
              <w:spacing w:after="20"/>
              <w:jc w:val="right"/>
            </w:pPr>
            <w:r>
              <w:rPr>
                <w:color w:val="1C3A36"/>
                <w:sz w:val="17"/>
              </w:rPr>
              <w:t>8,166</w:t>
            </w:r>
          </w:p>
        </w:tc>
        <w:tc>
          <w:tcPr>
            <w:tcW w:type="dxa" w:w="1296"/>
          </w:tcPr>
          <w:p>
            <w:pPr>
              <w:spacing w:after="20"/>
              <w:jc w:val="right"/>
            </w:pPr>
            <w:r>
              <w:rPr>
                <w:color w:val="1C3A36"/>
                <w:sz w:val="17"/>
              </w:rPr>
              <w:t>74.1%</w:t>
            </w:r>
          </w:p>
        </w:tc>
        <w:tc>
          <w:tcPr>
            <w:tcW w:type="dxa" w:w="1944"/>
          </w:tcPr>
          <w:p>
            <w:pPr>
              <w:spacing w:after="20"/>
              <w:jc w:val="right"/>
            </w:pPr>
            <w:r>
              <w:rPr>
                <w:color w:val="1C3A36"/>
                <w:sz w:val="17"/>
              </w:rPr>
              <w:t>7,991</w:t>
            </w:r>
          </w:p>
        </w:tc>
        <w:tc>
          <w:tcPr>
            <w:tcW w:type="dxa" w:w="1296"/>
          </w:tcPr>
          <w:p>
            <w:pPr>
              <w:spacing w:after="20"/>
              <w:jc w:val="right"/>
            </w:pPr>
            <w:r>
              <w:rPr>
                <w:color w:val="1C3A36"/>
                <w:sz w:val="17"/>
              </w:rPr>
              <w:t>67.6%</w:t>
            </w:r>
          </w:p>
        </w:tc>
      </w:tr>
      <w:t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10.6%</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16.2%</w:t>
            </w:r>
          </w:p>
        </w:tc>
      </w:tr>
      <w:tr>
        <w:tc>
          <w:tcPr>
            <w:tcW w:type="dxa" w:w="2592"/>
          </w:tcPr>
          <w:p>
            <w:pPr>
              <w:spacing w:after="20"/>
            </w:pPr>
            <w:r>
              <w:rPr>
                <w:color w:val="1C3A36"/>
                <w:sz w:val="17"/>
              </w:rPr>
              <w:t>Free-market urea</w:t>
            </w:r>
          </w:p>
        </w:tc>
        <w:tc>
          <w:tcPr>
            <w:tcW w:type="dxa" w:w="1944"/>
          </w:tcPr>
          <w:p>
            <w:pPr>
              <w:spacing w:after="20"/>
              <w:jc w:val="right"/>
            </w:pPr>
            <w:r>
              <w:rPr>
                <w:color w:val="1C3A36"/>
                <w:sz w:val="17"/>
              </w:rPr>
              <w:t>990</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1,079</w:t>
            </w:r>
          </w:p>
        </w:tc>
        <w:tc>
          <w:tcPr>
            <w:tcW w:type="dxa" w:w="1296"/>
          </w:tcPr>
          <w:p>
            <w:pPr>
              <w:spacing w:after="20"/>
              <w:jc w:val="right"/>
            </w:pPr>
            <w:r>
              <w:rPr>
                <w:color w:val="1C3A36"/>
                <w:sz w:val="17"/>
              </w:rPr>
              <w:t>9.1%</w:t>
            </w:r>
          </w:p>
        </w:tc>
      </w:tr>
      <w:tr>
        <w:tc>
          <w:tcPr>
            <w:tcW w:type="dxa" w:w="2592"/>
          </w:tcPr>
          <w:p>
            <w:pPr>
              <w:spacing w:after="20"/>
            </w:pPr>
            <w:r>
              <w:rPr>
                <w:color w:val="1C3A36"/>
                <w:sz w:val="17"/>
              </w:rPr>
              <w:t>Nitrates</w:t>
            </w:r>
          </w:p>
        </w:tc>
        <w:tc>
          <w:tcPr>
            <w:tcW w:type="dxa" w:w="1944"/>
          </w:tcPr>
          <w:p>
            <w:pPr>
              <w:spacing w:after="20"/>
              <w:jc w:val="right"/>
            </w:pPr>
            <w:r>
              <w:rPr>
                <w:color w:val="1C3A36"/>
                <w:sz w:val="17"/>
              </w:rPr>
              <w:t>551</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657</w:t>
            </w:r>
          </w:p>
        </w:tc>
        <w:tc>
          <w:tcPr>
            <w:tcW w:type="dxa" w:w="1296"/>
          </w:tcPr>
          <w:p>
            <w:pPr>
              <w:spacing w:after="20"/>
              <w:jc w:val="right"/>
            </w:pPr>
            <w:r>
              <w:rPr>
                <w:color w:val="1C3A36"/>
                <w:sz w:val="17"/>
              </w:rPr>
              <w:t>5.6%</w:t>
            </w:r>
          </w:p>
        </w:tc>
      </w:tr>
      <w:t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1.3%</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1.6%</w:t>
            </w:r>
          </w:p>
        </w:tc>
      </w:tr>
      <w:t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11,014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11,822</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11.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27.8 billion. EGP 5,654 million sat in construction at 31 March 2026 and the auditor put physical progress at 12.9% against a 37.0% plan.</w:t>
      </w:r>
    </w:p>
    <w:p>
      <w:pPr>
        <w:spacing w:after="120" w:before="0"/>
      </w:pPr>
      <w:r>
        <w:rPr>
          <w:b/>
          <w:i w:val="0"/>
          <w:color w:val="1C3A36"/>
          <w:sz w:val="21"/>
        </w:rPr>
        <w:t>Carried through, the programme is worth EGP -0.79 a share. Stopped, EGP 2.49. The difference, EGP 3.28 a share or EGP 6,522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73.2%</w:t>
            </w:r>
          </w:p>
        </w:tc>
        <w:tc>
          <w:tcPr>
            <w:tcW w:type="dxa" w:w="3456"/>
          </w:tcPr>
          <w:p>
            <w:pPr>
              <w:spacing w:after="20"/>
            </w:pPr>
            <w:r>
              <w:rPr>
                <w:color w:val="1C3A36"/>
                <w:sz w:val="16"/>
              </w:rPr>
              <w:t>Against a market value of EGP 27,772m</w:t>
            </w:r>
          </w:p>
        </w:tc>
      </w:tr>
      <w:t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c>
          <w:tcPr>
            <w:tcW w:type="dxa" w:w="4104"/>
          </w:tcPr>
          <w:p>
            <w:pPr>
              <w:spacing w:after="20"/>
            </w:pPr>
            <w:r>
              <w:rPr>
                <w:color w:val="1C3A36"/>
                <w:sz w:val="16"/>
              </w:rPr>
              <w:t>Derived nameplate</w:t>
            </w:r>
          </w:p>
        </w:tc>
        <w:tc>
          <w:tcPr>
            <w:tcW w:type="dxa" w:w="2520"/>
          </w:tcPr>
          <w:p>
            <w:pPr>
              <w:spacing w:after="20"/>
              <w:jc w:val="right"/>
            </w:pPr>
            <w:r>
              <w:rPr>
                <w:color w:val="1C3A36"/>
                <w:sz w:val="16"/>
              </w:rPr>
              <w:t>189,863 tonnes a year</w:t>
            </w:r>
          </w:p>
        </w:tc>
        <w:tc>
          <w:tcPr>
            <w:tcW w:type="dxa" w:w="3456"/>
          </w:tcPr>
          <w:p>
            <w:pPr>
              <w:spacing w:after="20"/>
            </w:pPr>
            <w:r>
              <w:rPr>
                <w:color w:val="1C3A36"/>
                <w:sz w:val="16"/>
              </w:rPr>
              <w:t>FLAGGED as derived: no filing states it</w:t>
            </w:r>
          </w:p>
        </w:tc>
      </w:tr>
      <w:t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107,139</w:t>
            </w:r>
          </w:p>
        </w:tc>
        <w:tc>
          <w:tcPr>
            <w:tcW w:type="dxa" w:w="3456"/>
          </w:tcPr>
          <w:p>
            <w:pPr>
              <w:spacing w:after="20"/>
            </w:pPr>
            <w:r>
              <w:rPr>
                <w:color w:val="1C3A36"/>
                <w:sz w:val="16"/>
              </w:rPr>
              <w:t>Approved cost over derived nameplate</w:t>
            </w:r>
          </w:p>
        </w:tc>
      </w:tr>
      <w:t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426m</w:t>
            </w:r>
          </w:p>
        </w:tc>
        <w:tc>
          <w:tcPr>
            <w:tcW w:type="dxa" w:w="3456"/>
          </w:tcPr>
          <w:p>
            <w:pPr>
              <w:spacing w:after="20"/>
            </w:pPr>
            <w:r>
              <w:rPr>
                <w:color w:val="1C3A36"/>
                <w:sz w:val="16"/>
              </w:rPr>
              <w:t>The model's own terminal year</w:t>
            </w:r>
          </w:p>
        </w:tc>
      </w:tr>
      <w:t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2.1%</w:t>
            </w:r>
          </w:p>
        </w:tc>
        <w:tc>
          <w:tcPr>
            <w:tcW w:type="dxa" w:w="3456"/>
            <w:shd w:val="clear" w:color="auto" w:fill="F6F1E6"/>
          </w:tcPr>
          <w:p>
            <w:pPr>
              <w:spacing w:after="20"/>
            </w:pPr>
            <w:r>
              <w:rPr>
                <w:b/>
                <w:color w:val="1C3A36"/>
                <w:sz w:val="16"/>
              </w:rPr>
              <w:t>Derived</w:t>
            </w:r>
          </w:p>
        </w:tc>
      </w:tr>
      <w:t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20.4%</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12.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13.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almost three times anything this company has ever spent to keep this plant running,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0.78 a share between them. They are not averaged.</w:t>
      </w:r>
    </w:p>
    <w:p>
      <w:pPr>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2,165</w:t>
            </w:r>
          </w:p>
        </w:tc>
      </w:tr>
      <w:t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19.7%</w:t>
            </w:r>
          </w:p>
        </w:tc>
      </w:tr>
    </w:tbl>
    <w:p>
      <w:pPr>
        <w:spacing w:after="40"/>
      </w:pPr>
    </w:p>
    <w:p>
      <w:pPr>
        <w:spacing w:after="200" w:before="0"/>
      </w:pPr>
      <w:r>
        <w:rPr>
          <w:b w:val="0"/>
          <w:i/>
          <w:color w:val="6E7B77"/>
          <w:sz w:val="17"/>
        </w:rPr>
        <w:t>Table 14.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3.55%</w:t>
            </w:r>
          </w:p>
        </w:tc>
        <w:tc>
          <w:tcPr>
            <w:tcW w:type="dxa" w:w="4248"/>
          </w:tcPr>
          <w:p>
            <w:pPr>
              <w:spacing w:after="20"/>
            </w:pPr>
            <w:r>
              <w:rPr>
                <w:color w:val="1C3A36"/>
                <w:sz w:val="17"/>
              </w:rPr>
              <w:t>Country-premium workbook, Egypt row</w:t>
            </w:r>
          </w:p>
        </w:tc>
      </w:tr>
      <w:t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19.45%</w:t>
            </w:r>
          </w:p>
        </w:tc>
        <w:tc>
          <w:tcPr>
            <w:tcW w:type="dxa" w:w="4248"/>
            <w:shd w:val="clear" w:color="auto" w:fill="F6F1E6"/>
          </w:tcPr>
          <w:p>
            <w:pPr>
              <w:spacing w:after="20"/>
            </w:pPr>
            <w:r>
              <w:rPr>
                <w:b/>
                <w:color w:val="1C3A36"/>
                <w:sz w:val="17"/>
              </w:rPr>
              <w:t>Built, not quoted</w:t>
            </w:r>
          </w:p>
        </w:tc>
      </w:tr>
      <w:t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9.42%</w:t>
            </w:r>
          </w:p>
        </w:tc>
        <w:tc>
          <w:tcPr>
            <w:tcW w:type="dxa" w:w="4248"/>
          </w:tcPr>
          <w:p>
            <w:pPr>
              <w:spacing w:after="20"/>
            </w:pPr>
            <w:r>
              <w:rPr>
                <w:color w:val="1C3A36"/>
                <w:sz w:val="17"/>
              </w:rPr>
              <w:t>Mature-market 4.23% plus the Egypt country premium</w:t>
            </w:r>
          </w:p>
        </w:tc>
      </w:tr>
      <w:tr>
        <w:tc>
          <w:tcPr>
            <w:tcW w:type="dxa" w:w="2664"/>
          </w:tcPr>
          <w:p>
            <w:pPr>
              <w:spacing w:after="20"/>
            </w:pPr>
            <w:r>
              <w:rPr>
                <w:color w:val="1C3A36"/>
                <w:sz w:val="17"/>
              </w:rPr>
              <w:t>Beta</w:t>
            </w:r>
          </w:p>
        </w:tc>
        <w:tc>
          <w:tcPr>
            <w:tcW w:type="dxa" w:w="1512"/>
          </w:tcPr>
          <w:p>
            <w:pPr>
              <w:spacing w:after="20"/>
              <w:jc w:val="right"/>
            </w:pPr>
            <w:r>
              <w:rPr>
                <w:color w:val="1C3A36"/>
                <w:sz w:val="17"/>
              </w:rPr>
              <w:t>1.053</w:t>
            </w:r>
          </w:p>
        </w:tc>
        <w:tc>
          <w:tcPr>
            <w:tcW w:type="dxa" w:w="1512"/>
          </w:tcPr>
          <w:p>
            <w:pPr>
              <w:spacing w:after="20"/>
              <w:jc w:val="right"/>
            </w:pPr>
            <w:r>
              <w:rPr>
                <w:color w:val="1C3A36"/>
                <w:sz w:val="17"/>
              </w:rPr>
              <w:t>1.053</w:t>
            </w:r>
          </w:p>
        </w:tc>
        <w:tc>
          <w:tcPr>
            <w:tcW w:type="dxa" w:w="4248"/>
          </w:tcPr>
          <w:p>
            <w:pPr>
              <w:spacing w:after="20"/>
            </w:pPr>
            <w:r>
              <w:rPr>
                <w:color w:val="1C3A36"/>
                <w:sz w:val="17"/>
              </w:rPr>
              <w:t>Own-stock weekly regression, 257 observations, R-squared 0.283, standard error 0.105</w:t>
            </w:r>
          </w:p>
        </w:tc>
      </w:tr>
      <w:t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31.30%</w:t>
            </w:r>
          </w:p>
        </w:tc>
        <w:tc>
          <w:tcPr>
            <w:tcW w:type="dxa" w:w="1512"/>
            <w:shd w:val="clear" w:color="auto" w:fill="F6F1E6"/>
          </w:tcPr>
          <w:p>
            <w:pPr>
              <w:spacing w:after="20"/>
              <w:jc w:val="right"/>
            </w:pPr>
            <w:r>
              <w:rPr>
                <w:b/>
                <w:color w:val="1C3A36"/>
                <w:sz w:val="17"/>
              </w:rPr>
              <w:t>29.37%</w:t>
            </w:r>
          </w:p>
        </w:tc>
        <w:tc>
          <w:tcPr>
            <w:tcW w:type="dxa" w:w="4248"/>
            <w:shd w:val="clear" w:color="auto" w:fill="F6F1E6"/>
          </w:tcPr>
          <w:p>
            <w:pPr>
              <w:spacing w:after="20"/>
            </w:pPr>
            <w:r>
              <w:rPr>
                <w:b/>
                <w:color w:val="1C3A36"/>
                <w:sz w:val="17"/>
              </w:rPr>
            </w:r>
          </w:p>
        </w:tc>
      </w:tr>
      <w:tr>
        <w:tc>
          <w:tcPr>
            <w:tcW w:type="dxa" w:w="2664"/>
          </w:tcPr>
          <w:p>
            <w:pPr>
              <w:spacing w:after="20"/>
            </w:pPr>
            <w:r>
              <w:rPr>
                <w:color w:val="1C3A36"/>
                <w:sz w:val="17"/>
              </w:rPr>
              <w:t>Cost of debt after tax</w:t>
            </w:r>
          </w:p>
        </w:tc>
        <w:tc>
          <w:tcPr>
            <w:tcW w:type="dxa" w:w="1512"/>
          </w:tcPr>
          <w:p>
            <w:pPr>
              <w:spacing w:after="20"/>
              <w:jc w:val="right"/>
            </w:pPr>
            <w:r>
              <w:rPr>
                <w:color w:val="1C3A36"/>
                <w:sz w:val="17"/>
              </w:rPr>
              <w:t>12.97%</w:t>
            </w:r>
          </w:p>
        </w:tc>
        <w:tc>
          <w:tcPr>
            <w:tcW w:type="dxa" w:w="1512"/>
          </w:tcPr>
          <w:p>
            <w:pPr>
              <w:spacing w:after="20"/>
              <w:jc w:val="right"/>
            </w:pPr>
            <w:r>
              <w:rPr>
                <w:color w:val="1C3A36"/>
                <w:sz w:val="17"/>
              </w:rPr>
              <w:t>12.97%</w:t>
            </w:r>
          </w:p>
        </w:tc>
        <w:tc>
          <w:tcPr>
            <w:tcW w:type="dxa" w:w="4248"/>
          </w:tcPr>
          <w:p>
            <w:pPr>
              <w:spacing w:after="20"/>
            </w:pPr>
            <w:r>
              <w:rPr>
                <w:color w:val="1C3A36"/>
                <w:sz w:val="17"/>
              </w:rPr>
              <w:t>99.7% dollar, carried at local-equivalent cost</w:t>
            </w:r>
          </w:p>
        </w:tc>
      </w:tr>
      <w:tr>
        <w:tc>
          <w:tcPr>
            <w:tcW w:type="dxa" w:w="2664"/>
          </w:tcPr>
          <w:p>
            <w:pPr>
              <w:spacing w:after="20"/>
            </w:pPr>
            <w:r>
              <w:rPr>
                <w:color w:val="1C3A36"/>
                <w:sz w:val="17"/>
              </w:rPr>
              <w:t>Weights, equity and debt</w:t>
            </w:r>
          </w:p>
        </w:tc>
        <w:tc>
          <w:tcPr>
            <w:tcW w:type="dxa" w:w="1512"/>
          </w:tcPr>
          <w:p>
            <w:pPr>
              <w:spacing w:after="20"/>
              <w:jc w:val="right"/>
            </w:pPr>
            <w:r>
              <w:rPr>
                <w:color w:val="1C3A36"/>
                <w:sz w:val="17"/>
              </w:rPr>
              <w:t>65.5% / 34.5%</w:t>
            </w:r>
          </w:p>
        </w:tc>
        <w:tc>
          <w:tcPr>
            <w:tcW w:type="dxa" w:w="1512"/>
          </w:tcPr>
          <w:p>
            <w:pPr>
              <w:spacing w:after="20"/>
              <w:jc w:val="right"/>
            </w:pPr>
            <w:r>
              <w:rPr>
                <w:color w:val="1C3A36"/>
                <w:sz w:val="17"/>
              </w:rPr>
              <w:t>65.5% / 34.5%</w:t>
            </w:r>
          </w:p>
        </w:tc>
        <w:tc>
          <w:tcPr>
            <w:tcW w:type="dxa" w:w="4248"/>
          </w:tcPr>
          <w:p>
            <w:pPr>
              <w:spacing w:after="20"/>
            </w:pPr>
            <w:r>
              <w:rPr>
                <w:color w:val="1C3A36"/>
                <w:sz w:val="17"/>
              </w:rPr>
              <w:t>Market-value equity, never book</w:t>
            </w:r>
          </w:p>
        </w:tc>
      </w:tr>
      <w:t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24.97%</w:t>
            </w:r>
          </w:p>
        </w:tc>
        <w:tc>
          <w:tcPr>
            <w:tcW w:type="dxa" w:w="1512"/>
            <w:shd w:val="clear" w:color="auto" w:fill="F6F1E6"/>
          </w:tcPr>
          <w:p>
            <w:pPr>
              <w:spacing w:after="20"/>
              <w:jc w:val="right"/>
            </w:pPr>
            <w:r>
              <w:rPr>
                <w:b/>
                <w:color w:val="1C3A36"/>
                <w:sz w:val="17"/>
              </w:rPr>
              <w:t>23.71%</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15.  The cost of capital, built rather than assumed, on both premium bases.</w:t>
      </w:r>
    </w:p>
    <w:p>
      <w:pPr>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by a 4.5% expected depreciation to a local-equivalent 16.73% — and the same wedge drives the currency path in the revenue build, so the two cannot quietly disagree.</w:t>
      </w:r>
    </w:p>
    <w:p>
      <w:pPr>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7.0% target. Capitalising one at the other is a units mismatch, and on a company whose value sits in its terminal year it would be the largest error in the study. The rate therefore glides to a terminal rate built from its own components: 7.0% inflation compounded with a 3.5% real rate gives a normalised risk-free rate of 10.75%, and the terminal cost of capital is 20.36%. Discount factors compound the glide year by year rather than raising one rate to a power.</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Seven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-0.79</w:t>
            </w:r>
          </w:p>
        </w:tc>
        <w:tc>
          <w:tcPr>
            <w:tcW w:type="dxa" w:w="3139"/>
            <w:shd w:val="clear" w:color="auto" w:fill="EAF0EE"/>
          </w:tcPr>
          <w:p>
            <w:pPr>
              <w:spacing w:after="20"/>
            </w:pPr>
            <w:r>
              <w:rPr>
                <w:b/>
                <w:color w:val="1C3A36"/>
                <w:sz w:val="15"/>
              </w:rPr>
              <w:t>Why we keep ours</w:t>
            </w:r>
          </w:p>
        </w:tc>
      </w:tr>
      <w:t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0.14</w:t>
            </w:r>
          </w:p>
        </w:tc>
        <w:tc>
          <w:tcPr>
            <w:tcW w:type="dxa" w:w="950"/>
          </w:tcPr>
          <w:p>
            <w:pPr>
              <w:spacing w:after="20"/>
              <w:jc w:val="right"/>
            </w:pPr>
            <w:r>
              <w:rPr>
                <w:color w:val="1C3A36"/>
                <w:sz w:val="15"/>
              </w:rPr>
              <w:t>+0.93</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-1.48</w:t>
            </w:r>
          </w:p>
        </w:tc>
        <w:tc>
          <w:tcPr>
            <w:tcW w:type="dxa" w:w="950"/>
          </w:tcPr>
          <w:p>
            <w:pPr>
              <w:spacing w:after="20"/>
              <w:jc w:val="right"/>
            </w:pPr>
            <w:r>
              <w:rPr>
                <w:color w:val="1C3A36"/>
                <w:sz w:val="15"/>
              </w:rPr>
              <w:t>-0.69</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-0.81</w:t>
            </w:r>
          </w:p>
        </w:tc>
        <w:tc>
          <w:tcPr>
            <w:tcW w:type="dxa" w:w="950"/>
          </w:tcPr>
          <w:p>
            <w:pPr>
              <w:spacing w:after="20"/>
              <w:jc w:val="right"/>
            </w:pPr>
            <w:r>
              <w:rPr>
                <w:color w:val="1C3A36"/>
                <w:sz w:val="15"/>
              </w:rPr>
              <w:t>-0.02</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c>
          <w:tcPr>
            <w:tcW w:type="dxa" w:w="2477"/>
          </w:tcPr>
          <w:p>
            <w:pPr>
              <w:spacing w:after="20"/>
            </w:pPr>
            <w:r>
              <w:rPr>
                <w:color w:val="1C3A36"/>
                <w:sz w:val="15"/>
              </w:rPr>
              <w:t>Beta from the five-year weekly regression of the share against its own local index</w:t>
            </w:r>
          </w:p>
        </w:tc>
        <w:tc>
          <w:tcPr>
            <w:tcW w:type="dxa" w:w="2563"/>
          </w:tcPr>
          <w:p>
            <w:pPr>
              <w:spacing w:after="20"/>
            </w:pPr>
            <w:r>
              <w:rPr>
                <w:color w:val="1C3A36"/>
                <w:sz w:val="15"/>
              </w:rPr>
              <w:t>The Dimson sum-beta from the same regression, which corrects for co-movement booked late because the share does not trade every session</w:t>
            </w:r>
          </w:p>
        </w:tc>
        <w:tc>
          <w:tcPr>
            <w:tcW w:type="dxa" w:w="950"/>
          </w:tcPr>
          <w:p>
            <w:pPr>
              <w:spacing w:after="20"/>
              <w:jc w:val="right"/>
            </w:pPr>
            <w:r>
              <w:rPr>
                <w:color w:val="1C3A36"/>
                <w:sz w:val="15"/>
              </w:rPr>
              <w:t>-0.15</w:t>
            </w:r>
          </w:p>
        </w:tc>
        <w:tc>
          <w:tcPr>
            <w:tcW w:type="dxa" w:w="950"/>
          </w:tcPr>
          <w:p>
            <w:pPr>
              <w:spacing w:after="20"/>
              <w:jc w:val="right"/>
            </w:pPr>
            <w:r>
              <w:rPr>
                <w:color w:val="1C3A36"/>
                <w:sz w:val="15"/>
              </w:rPr>
              <w:t>+0.64</w:t>
            </w:r>
          </w:p>
        </w:tc>
        <w:tc>
          <w:tcPr>
            <w:tcW w:type="dxa" w:w="3139"/>
          </w:tcPr>
          <w:p>
            <w:pPr>
              <w:spacing w:after="20"/>
            </w:pPr>
            <w:r>
              <w:rPr>
                <w:color w:val="1C3A36"/>
                <w:sz w:val="15"/>
              </w:rPr>
              <w:t>The regression passes all three conditions of the usability test and the sum-beta sits inside its confidence interval, so the direct estimate is adopted and the correction is disclosed rather than substituted.</w:t>
            </w:r>
          </w:p>
        </w:tc>
      </w:tr>
      <w:t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-2.58</w:t>
            </w:r>
          </w:p>
        </w:tc>
        <w:tc>
          <w:tcPr>
            <w:tcW w:type="dxa" w:w="950"/>
          </w:tcPr>
          <w:p>
            <w:pPr>
              <w:spacing w:after="20"/>
              <w:jc w:val="right"/>
            </w:pPr>
            <w:r>
              <w:rPr>
                <w:color w:val="1C3A36"/>
                <w:sz w:val="15"/>
              </w:rPr>
              <w:t>-1.79</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-0.64</w:t>
            </w:r>
          </w:p>
        </w:tc>
        <w:tc>
          <w:tcPr>
            <w:tcW w:type="dxa" w:w="950"/>
          </w:tcPr>
          <w:p>
            <w:pPr>
              <w:spacing w:after="20"/>
              <w:jc w:val="right"/>
            </w:pPr>
            <w:r>
              <w:rPr>
                <w:color w:val="1C3A36"/>
                <w:sz w:val="15"/>
              </w:rPr>
              <w:t>+0.15</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-1.57</w:t>
            </w:r>
          </w:p>
        </w:tc>
        <w:tc>
          <w:tcPr>
            <w:tcW w:type="dxa" w:w="950"/>
          </w:tcPr>
          <w:p>
            <w:pPr>
              <w:spacing w:after="20"/>
              <w:jc w:val="right"/>
            </w:pPr>
            <w:r>
              <w:rPr>
                <w:color w:val="1C3A36"/>
                <w:sz w:val="15"/>
              </w:rPr>
              <w:t>-0.78</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-0.22</w:t>
            </w:r>
          </w:p>
        </w:tc>
        <w:tc>
          <w:tcPr>
            <w:tcW w:type="dxa" w:w="950"/>
          </w:tcPr>
          <w:p>
            <w:pPr>
              <w:spacing w:after="20"/>
              <w:jc w:val="right"/>
            </w:pPr>
            <w:r>
              <w:rPr>
                <w:color w:val="1C3A36"/>
                <w:sz w:val="15"/>
              </w:rPr>
              <w:t>+0.57</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-1.01</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16.  The premium basis and the gas price are the two that move the answer most, in opposite directions, and both are published on both readings elsewhere in this study. None of the seven, and no combination of them, closes the gap to the traded price.</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c>
          <w:tcPr>
            <w:tcW w:type="dxa" w:w="2520"/>
          </w:tcPr>
          <w:p>
            <w:pPr>
              <w:spacing w:after="20"/>
            </w:pPr>
            <w:r>
              <w:rPr>
                <w:color w:val="1C3A36"/>
                <w:sz w:val="17"/>
              </w:rPr>
              <w:t>17.0%</w:t>
            </w:r>
          </w:p>
        </w:tc>
        <w:tc>
          <w:tcPr>
            <w:tcW w:type="dxa" w:w="1483"/>
          </w:tcPr>
          <w:p>
            <w:pPr>
              <w:spacing w:after="20"/>
              <w:jc w:val="right"/>
            </w:pPr>
            <w:r>
              <w:rPr>
                <w:color w:val="1C3A36"/>
                <w:sz w:val="17"/>
              </w:rPr>
              <w:t>-2.85</w:t>
            </w:r>
          </w:p>
        </w:tc>
        <w:tc>
          <w:tcPr>
            <w:tcW w:type="dxa" w:w="1483"/>
          </w:tcPr>
          <w:p>
            <w:pPr>
              <w:spacing w:after="20"/>
              <w:jc w:val="right"/>
            </w:pPr>
            <w:r>
              <w:rPr>
                <w:color w:val="1C3A36"/>
                <w:sz w:val="17"/>
              </w:rPr>
              <w:t>-1.31</w:t>
            </w:r>
          </w:p>
        </w:tc>
        <w:tc>
          <w:tcPr>
            <w:tcW w:type="dxa" w:w="1483"/>
          </w:tcPr>
          <w:p>
            <w:pPr>
              <w:spacing w:after="20"/>
              <w:jc w:val="right"/>
            </w:pPr>
            <w:r>
              <w:rPr>
                <w:color w:val="1C3A36"/>
                <w:sz w:val="17"/>
              </w:rPr>
              <w:t>0.22</w:t>
            </w:r>
          </w:p>
        </w:tc>
        <w:tc>
          <w:tcPr>
            <w:tcW w:type="dxa" w:w="1483"/>
          </w:tcPr>
          <w:p>
            <w:pPr>
              <w:spacing w:after="20"/>
              <w:jc w:val="right"/>
            </w:pPr>
            <w:r>
              <w:rPr>
                <w:color w:val="1C3A36"/>
                <w:sz w:val="17"/>
              </w:rPr>
              <w:t>1.76</w:t>
            </w:r>
          </w:p>
        </w:tc>
        <w:tc>
          <w:tcPr>
            <w:tcW w:type="dxa" w:w="1483"/>
          </w:tcPr>
          <w:p>
            <w:pPr>
              <w:spacing w:after="20"/>
              <w:jc w:val="right"/>
            </w:pPr>
            <w:r>
              <w:rPr>
                <w:color w:val="1C3A36"/>
                <w:sz w:val="17"/>
              </w:rPr>
              <w:t>3.30</w:t>
            </w:r>
          </w:p>
        </w:tc>
      </w:tr>
      <w:tr>
        <w:tc>
          <w:tcPr>
            <w:tcW w:type="dxa" w:w="2520"/>
          </w:tcPr>
          <w:p>
            <w:pPr>
              <w:spacing w:after="20"/>
            </w:pPr>
            <w:r>
              <w:rPr>
                <w:color w:val="1C3A36"/>
                <w:sz w:val="17"/>
              </w:rPr>
              <w:t>18.5%</w:t>
            </w:r>
          </w:p>
        </w:tc>
        <w:tc>
          <w:tcPr>
            <w:tcW w:type="dxa" w:w="1483"/>
          </w:tcPr>
          <w:p>
            <w:pPr>
              <w:spacing w:after="20"/>
              <w:jc w:val="right"/>
            </w:pPr>
            <w:r>
              <w:rPr>
                <w:color w:val="1C3A36"/>
                <w:sz w:val="17"/>
              </w:rPr>
              <w:t>-3.09</w:t>
            </w:r>
          </w:p>
        </w:tc>
        <w:tc>
          <w:tcPr>
            <w:tcW w:type="dxa" w:w="1483"/>
          </w:tcPr>
          <w:p>
            <w:pPr>
              <w:spacing w:after="20"/>
              <w:jc w:val="right"/>
            </w:pPr>
            <w:r>
              <w:rPr>
                <w:color w:val="1C3A36"/>
                <w:sz w:val="17"/>
              </w:rPr>
              <w:t>-1.65</w:t>
            </w:r>
          </w:p>
        </w:tc>
        <w:tc>
          <w:tcPr>
            <w:tcW w:type="dxa" w:w="1483"/>
          </w:tcPr>
          <w:p>
            <w:pPr>
              <w:spacing w:after="20"/>
              <w:jc w:val="right"/>
            </w:pPr>
            <w:r>
              <w:rPr>
                <w:color w:val="1C3A36"/>
                <w:sz w:val="17"/>
              </w:rPr>
              <w:t>-0.22</w:t>
            </w:r>
          </w:p>
        </w:tc>
        <w:tc>
          <w:tcPr>
            <w:tcW w:type="dxa" w:w="1483"/>
          </w:tcPr>
          <w:p>
            <w:pPr>
              <w:spacing w:after="20"/>
              <w:jc w:val="right"/>
            </w:pPr>
            <w:r>
              <w:rPr>
                <w:color w:val="1C3A36"/>
                <w:sz w:val="17"/>
              </w:rPr>
              <w:t>1.22</w:t>
            </w:r>
          </w:p>
        </w:tc>
        <w:tc>
          <w:tcPr>
            <w:tcW w:type="dxa" w:w="1483"/>
          </w:tcPr>
          <w:p>
            <w:pPr>
              <w:spacing w:after="20"/>
              <w:jc w:val="right"/>
            </w:pPr>
            <w:r>
              <w:rPr>
                <w:color w:val="1C3A36"/>
                <w:sz w:val="17"/>
              </w:rPr>
              <w:t>2.65</w:t>
            </w:r>
          </w:p>
        </w:tc>
      </w:tr>
      <w:tr>
        <w:tc>
          <w:tcPr>
            <w:tcW w:type="dxa" w:w="2520"/>
          </w:tcPr>
          <w:p>
            <w:pPr>
              <w:spacing w:after="20"/>
            </w:pPr>
            <w:r>
              <w:rPr>
                <w:color w:val="1C3A36"/>
                <w:sz w:val="17"/>
              </w:rPr>
              <w:t>20.4%</w:t>
            </w:r>
          </w:p>
        </w:tc>
        <w:tc>
          <w:tcPr>
            <w:tcW w:type="dxa" w:w="1483"/>
          </w:tcPr>
          <w:p>
            <w:pPr>
              <w:spacing w:after="20"/>
              <w:jc w:val="right"/>
            </w:pPr>
            <w:r>
              <w:rPr>
                <w:color w:val="1C3A36"/>
                <w:sz w:val="17"/>
              </w:rPr>
              <w:t>-3.31</w:t>
            </w:r>
          </w:p>
        </w:tc>
        <w:tc>
          <w:tcPr>
            <w:tcW w:type="dxa" w:w="1483"/>
          </w:tcPr>
          <w:p>
            <w:pPr>
              <w:spacing w:after="20"/>
              <w:jc w:val="right"/>
            </w:pPr>
            <w:r>
              <w:rPr>
                <w:color w:val="1C3A36"/>
                <w:sz w:val="17"/>
              </w:rPr>
              <w:t>-1.97</w:t>
            </w:r>
          </w:p>
        </w:tc>
        <w:tc>
          <w:tcPr>
            <w:tcW w:type="dxa" w:w="1483"/>
          </w:tcPr>
          <w:p>
            <w:pPr>
              <w:spacing w:after="20"/>
              <w:jc w:val="right"/>
            </w:pPr>
            <w:r>
              <w:rPr>
                <w:color w:val="1C3A36"/>
                <w:sz w:val="17"/>
              </w:rPr>
              <w:t>-0.64</w:t>
            </w:r>
          </w:p>
        </w:tc>
        <w:tc>
          <w:tcPr>
            <w:tcW w:type="dxa" w:w="1483"/>
          </w:tcPr>
          <w:p>
            <w:pPr>
              <w:spacing w:after="20"/>
              <w:jc w:val="right"/>
            </w:pPr>
            <w:r>
              <w:rPr>
                <w:color w:val="1C3A36"/>
                <w:sz w:val="17"/>
              </w:rPr>
              <w:t>0.70</w:t>
            </w:r>
          </w:p>
        </w:tc>
        <w:tc>
          <w:tcPr>
            <w:tcW w:type="dxa" w:w="1483"/>
          </w:tcPr>
          <w:p>
            <w:pPr>
              <w:spacing w:after="20"/>
              <w:jc w:val="right"/>
            </w:pPr>
            <w:r>
              <w:rPr>
                <w:color w:val="1C3A36"/>
                <w:sz w:val="17"/>
              </w:rPr>
              <w:t>2.04</w:t>
            </w:r>
          </w:p>
        </w:tc>
      </w:tr>
      <w:tr>
        <w:tc>
          <w:tcPr>
            <w:tcW w:type="dxa" w:w="2520"/>
          </w:tcPr>
          <w:p>
            <w:pPr>
              <w:spacing w:after="20"/>
            </w:pPr>
            <w:r>
              <w:rPr>
                <w:color w:val="1C3A36"/>
                <w:sz w:val="17"/>
              </w:rPr>
              <w:t>22.0%</w:t>
            </w:r>
          </w:p>
        </w:tc>
        <w:tc>
          <w:tcPr>
            <w:tcW w:type="dxa" w:w="1483"/>
          </w:tcPr>
          <w:p>
            <w:pPr>
              <w:spacing w:after="20"/>
              <w:jc w:val="right"/>
            </w:pPr>
            <w:r>
              <w:rPr>
                <w:color w:val="1C3A36"/>
                <w:sz w:val="17"/>
              </w:rPr>
              <w:t>-3.45</w:t>
            </w:r>
          </w:p>
        </w:tc>
        <w:tc>
          <w:tcPr>
            <w:tcW w:type="dxa" w:w="1483"/>
          </w:tcPr>
          <w:p>
            <w:pPr>
              <w:spacing w:after="20"/>
              <w:jc w:val="right"/>
            </w:pPr>
            <w:r>
              <w:rPr>
                <w:color w:val="1C3A36"/>
                <w:sz w:val="17"/>
              </w:rPr>
              <w:t>-2.18</w:t>
            </w:r>
          </w:p>
        </w:tc>
        <w:tc>
          <w:tcPr>
            <w:tcW w:type="dxa" w:w="1483"/>
          </w:tcPr>
          <w:p>
            <w:pPr>
              <w:spacing w:after="20"/>
              <w:jc w:val="right"/>
            </w:pPr>
            <w:r>
              <w:rPr>
                <w:color w:val="1C3A36"/>
                <w:sz w:val="17"/>
              </w:rPr>
              <w:t>-0.91</w:t>
            </w:r>
          </w:p>
        </w:tc>
        <w:tc>
          <w:tcPr>
            <w:tcW w:type="dxa" w:w="1483"/>
          </w:tcPr>
          <w:p>
            <w:pPr>
              <w:spacing w:after="20"/>
              <w:jc w:val="right"/>
            </w:pPr>
            <w:r>
              <w:rPr>
                <w:color w:val="1C3A36"/>
                <w:sz w:val="17"/>
              </w:rPr>
              <w:t>0.37</w:t>
            </w:r>
          </w:p>
        </w:tc>
        <w:tc>
          <w:tcPr>
            <w:tcW w:type="dxa" w:w="1483"/>
          </w:tcPr>
          <w:p>
            <w:pPr>
              <w:spacing w:after="20"/>
              <w:jc w:val="right"/>
            </w:pPr>
            <w:r>
              <w:rPr>
                <w:color w:val="1C3A36"/>
                <w:sz w:val="17"/>
              </w:rPr>
              <w:t>1.64</w:t>
            </w:r>
          </w:p>
        </w:tc>
      </w:tr>
      <w:tr>
        <w:tc>
          <w:tcPr>
            <w:tcW w:type="dxa" w:w="2520"/>
          </w:tcPr>
          <w:p>
            <w:pPr>
              <w:spacing w:after="20"/>
            </w:pPr>
            <w:r>
              <w:rPr>
                <w:color w:val="1C3A36"/>
                <w:sz w:val="17"/>
              </w:rPr>
              <w:t>24.0%</w:t>
            </w:r>
          </w:p>
        </w:tc>
        <w:tc>
          <w:tcPr>
            <w:tcW w:type="dxa" w:w="1483"/>
          </w:tcPr>
          <w:p>
            <w:pPr>
              <w:spacing w:after="20"/>
              <w:jc w:val="right"/>
            </w:pPr>
            <w:r>
              <w:rPr>
                <w:color w:val="1C3A36"/>
                <w:sz w:val="17"/>
              </w:rPr>
              <w:t>-3.59</w:t>
            </w:r>
          </w:p>
        </w:tc>
        <w:tc>
          <w:tcPr>
            <w:tcW w:type="dxa" w:w="1483"/>
          </w:tcPr>
          <w:p>
            <w:pPr>
              <w:spacing w:after="20"/>
              <w:jc w:val="right"/>
            </w:pPr>
            <w:r>
              <w:rPr>
                <w:color w:val="1C3A36"/>
                <w:sz w:val="17"/>
              </w:rPr>
              <w:t>-2.38</w:t>
            </w:r>
          </w:p>
        </w:tc>
        <w:tc>
          <w:tcPr>
            <w:tcW w:type="dxa" w:w="1483"/>
          </w:tcPr>
          <w:p>
            <w:pPr>
              <w:spacing w:after="20"/>
              <w:jc w:val="right"/>
            </w:pPr>
            <w:r>
              <w:rPr>
                <w:color w:val="1C3A36"/>
                <w:sz w:val="17"/>
              </w:rPr>
              <w:t>-1.17</w:t>
            </w:r>
          </w:p>
        </w:tc>
        <w:tc>
          <w:tcPr>
            <w:tcW w:type="dxa" w:w="1483"/>
          </w:tcPr>
          <w:p>
            <w:pPr>
              <w:spacing w:after="20"/>
              <w:jc w:val="right"/>
            </w:pPr>
            <w:r>
              <w:rPr>
                <w:color w:val="1C3A36"/>
                <w:sz w:val="17"/>
              </w:rPr>
              <w:t>0.04</w:t>
            </w:r>
          </w:p>
        </w:tc>
        <w:tc>
          <w:tcPr>
            <w:tcW w:type="dxa" w:w="1483"/>
          </w:tcPr>
          <w:p>
            <w:pPr>
              <w:spacing w:after="20"/>
              <w:jc w:val="right"/>
            </w:pPr>
            <w:r>
              <w:rPr>
                <w:color w:val="1C3A36"/>
                <w:sz w:val="17"/>
              </w:rPr>
              <w:t>1.25</w:t>
            </w:r>
          </w:p>
        </w:tc>
      </w:tr>
    </w:tbl>
    <w:p>
      <w:pPr>
        <w:spacing w:after="40"/>
      </w:pPr>
    </w:p>
    <w:p>
      <w:pPr>
        <w:spacing w:after="200" w:before="0"/>
      </w:pPr>
      <w:r>
        <w:rPr>
          <w:b w:val="0"/>
          <w:i/>
          <w:color w:val="6E7B77"/>
          <w:sz w:val="17"/>
        </w:rPr>
        <w:t>Table 17.  The highest cell in the grid is EGP 3.30, at a long-run export price above today's spot and a terminal rate below the sovereign's own short-term yield. Reaching EGP 13.98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-3.31 to 2.04</w:t>
            </w:r>
          </w:p>
        </w:tc>
        <w:tc>
          <w:tcPr>
            <w:tcW w:type="dxa" w:w="1152"/>
            <w:shd w:val="clear" w:color="auto" w:fill="F6F1E6"/>
          </w:tcPr>
          <w:p>
            <w:pPr>
              <w:spacing w:after="20"/>
              <w:jc w:val="right"/>
            </w:pPr>
            <w:r>
              <w:rPr>
                <w:b/>
                <w:color w:val="1C3A36"/>
                <w:sz w:val="16"/>
              </w:rPr>
              <w:t>5.35</w:t>
            </w:r>
          </w:p>
        </w:tc>
      </w:tr>
      <w:t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-0.79 to 2.49</w:t>
            </w:r>
          </w:p>
        </w:tc>
        <w:tc>
          <w:tcPr>
            <w:tcW w:type="dxa" w:w="1152"/>
          </w:tcPr>
          <w:p>
            <w:pPr>
              <w:spacing w:after="20"/>
              <w:jc w:val="right"/>
            </w:pPr>
            <w:r>
              <w:rPr>
                <w:color w:val="1C3A36"/>
                <w:sz w:val="16"/>
              </w:rPr>
              <w:t>3.28</w:t>
            </w:r>
          </w:p>
        </w:tc>
      </w:tr>
      <w:t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-2.58 to -0.79</w:t>
            </w:r>
          </w:p>
        </w:tc>
        <w:tc>
          <w:tcPr>
            <w:tcW w:type="dxa" w:w="1152"/>
          </w:tcPr>
          <w:p>
            <w:pPr>
              <w:spacing w:after="20"/>
              <w:jc w:val="right"/>
            </w:pPr>
            <w:r>
              <w:rPr>
                <w:color w:val="1C3A36"/>
                <w:sz w:val="16"/>
              </w:rPr>
              <w:t>1.79</w:t>
            </w:r>
          </w:p>
        </w:tc>
      </w:tr>
      <w:t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-1.17 to 0.22</w:t>
            </w:r>
          </w:p>
        </w:tc>
        <w:tc>
          <w:tcPr>
            <w:tcW w:type="dxa" w:w="1152"/>
          </w:tcPr>
          <w:p>
            <w:pPr>
              <w:spacing w:after="20"/>
              <w:jc w:val="right"/>
            </w:pPr>
            <w:r>
              <w:rPr>
                <w:color w:val="1C3A36"/>
                <w:sz w:val="16"/>
              </w:rPr>
              <w:t>1.39</w:t>
            </w:r>
          </w:p>
        </w:tc>
      </w:tr>
      <w:t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-0.79 to 0.14</w:t>
            </w:r>
          </w:p>
        </w:tc>
        <w:tc>
          <w:tcPr>
            <w:tcW w:type="dxa" w:w="1152"/>
          </w:tcPr>
          <w:p>
            <w:pPr>
              <w:spacing w:after="20"/>
              <w:jc w:val="right"/>
            </w:pPr>
            <w:r>
              <w:rPr>
                <w:color w:val="1C3A36"/>
                <w:sz w:val="16"/>
              </w:rPr>
              <w:t>0.93</w:t>
            </w:r>
          </w:p>
        </w:tc>
      </w:tr>
      <w:t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-1.57 to -0.79</w:t>
            </w:r>
          </w:p>
        </w:tc>
        <w:tc>
          <w:tcPr>
            <w:tcW w:type="dxa" w:w="1152"/>
          </w:tcPr>
          <w:p>
            <w:pPr>
              <w:spacing w:after="20"/>
              <w:jc w:val="right"/>
            </w:pPr>
            <w:r>
              <w:rPr>
                <w:color w:val="1C3A36"/>
                <w:sz w:val="16"/>
              </w:rPr>
              <w:t>0.78</w:t>
            </w:r>
          </w:p>
        </w:tc>
      </w:tr>
      <w:tr>
        <w:tc>
          <w:tcPr>
            <w:tcW w:type="dxa" w:w="2736"/>
          </w:tcPr>
          <w:p>
            <w:pPr>
              <w:spacing w:after="20"/>
            </w:pPr>
            <w:r>
              <w:rPr>
                <w:color w:val="1C3A36"/>
                <w:sz w:val="16"/>
              </w:rPr>
              <w:t>Beta</w:t>
            </w:r>
          </w:p>
        </w:tc>
        <w:tc>
          <w:tcPr>
            <w:tcW w:type="dxa" w:w="3384"/>
          </w:tcPr>
          <w:p>
            <w:pPr>
              <w:spacing w:after="20"/>
            </w:pPr>
            <w:r>
              <w:rPr>
                <w:color w:val="1C3A36"/>
                <w:sz w:val="16"/>
              </w:rPr>
              <w:t>1.053 against the Dimson sum-beta of 0.828</w:t>
            </w:r>
          </w:p>
        </w:tc>
        <w:tc>
          <w:tcPr>
            <w:tcW w:type="dxa" w:w="2160"/>
          </w:tcPr>
          <w:p>
            <w:pPr>
              <w:spacing w:after="20"/>
              <w:jc w:val="right"/>
            </w:pPr>
            <w:r>
              <w:rPr>
                <w:color w:val="1C3A36"/>
                <w:sz w:val="16"/>
              </w:rPr>
              <w:t>-0.79 to -0.15</w:t>
            </w:r>
          </w:p>
        </w:tc>
        <w:tc>
          <w:tcPr>
            <w:tcW w:type="dxa" w:w="1152"/>
          </w:tcPr>
          <w:p>
            <w:pPr>
              <w:spacing w:after="20"/>
              <w:jc w:val="right"/>
            </w:pPr>
            <w:r>
              <w:rPr>
                <w:color w:val="1C3A36"/>
                <w:sz w:val="16"/>
              </w:rPr>
              <w:t>0.64</w:t>
            </w:r>
          </w:p>
        </w:tc>
      </w:tr>
      <w:t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-0.79 to -0.64</w:t>
            </w:r>
          </w:p>
        </w:tc>
        <w:tc>
          <w:tcPr>
            <w:tcW w:type="dxa" w:w="1152"/>
          </w:tcPr>
          <w:p>
            <w:pPr>
              <w:spacing w:after="20"/>
              <w:jc w:val="right"/>
            </w:pPr>
            <w:r>
              <w:rPr>
                <w:color w:val="1C3A36"/>
                <w:sz w:val="16"/>
              </w:rPr>
              <w:t>0.15</w:t>
            </w:r>
          </w:p>
        </w:tc>
      </w:tr>
      <w:tr>
        <w:tc>
          <w:tcPr>
            <w:tcW w:type="dxa" w:w="2736"/>
          </w:tcPr>
          <w:p>
            <w:pPr>
              <w:spacing w:after="20"/>
            </w:pPr>
            <w:r>
              <w:rPr>
                <w:color w:val="1C3A36"/>
                <w:sz w:val="16"/>
              </w:rPr>
              <w:t>Terminal growth</w:t>
            </w:r>
          </w:p>
        </w:tc>
        <w:tc>
          <w:tcPr>
            <w:tcW w:type="dxa" w:w="3384"/>
          </w:tcPr>
          <w:p>
            <w:pPr>
              <w:spacing w:after="20"/>
            </w:pPr>
            <w:r>
              <w:rPr>
                <w:color w:val="1C3A36"/>
                <w:sz w:val="16"/>
              </w:rPr>
              <w:t>7.0% against 5.0%</w:t>
            </w:r>
          </w:p>
        </w:tc>
        <w:tc>
          <w:tcPr>
            <w:tcW w:type="dxa" w:w="2160"/>
          </w:tcPr>
          <w:p>
            <w:pPr>
              <w:spacing w:after="20"/>
              <w:jc w:val="right"/>
            </w:pPr>
            <w:r>
              <w:rPr>
                <w:color w:val="1C3A36"/>
                <w:sz w:val="16"/>
              </w:rPr>
              <w:t>-0.81 to -0.79</w:t>
            </w:r>
          </w:p>
        </w:tc>
        <w:tc>
          <w:tcPr>
            <w:tcW w:type="dxa" w:w="1152"/>
          </w:tcPr>
          <w:p>
            <w:pPr>
              <w:spacing w:after="20"/>
              <w:jc w:val="right"/>
            </w:pPr>
            <w:r>
              <w:rPr>
                <w:color w:val="1C3A36"/>
                <w:sz w:val="16"/>
              </w:rPr>
              <w:t>0.02</w:t>
            </w:r>
          </w:p>
        </w:tc>
      </w:tr>
    </w:tbl>
    <w:p>
      <w:pPr>
        <w:spacing w:after="40"/>
      </w:pPr>
    </w:p>
    <w:p>
      <w:pPr>
        <w:spacing w:after="200" w:before="0"/>
      </w:pPr>
      <w:r>
        <w:rPr>
          <w:b w:val="0"/>
          <w:i/>
          <w:color w:val="6E7B77"/>
          <w:sz w:val="17"/>
        </w:rPr>
        <w:t>Table 18.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1.053, from 257 weekly observations over 5 years against an equal-weight index of 35 Egyptian names with the subject itself excluded — leaving a share inside its own index injects a self-covariance term, and doing so here would have returned 1.126 instead. The regression explains 28.3% of the variation with a standard error of 0.105, so all three conditions of the usability test are met and the estimate is adopted rather than defaulted. It was cross-checked two ways. The Dimson sum-beta over one lead and two lags — the correction for co-movement booked late because the share does not trade every session — is 0.828, and the adopted figure sits inside its interval; the share closes unchanged on 5.0% of sessions against 8.7% for the Egyptian library, so it is not unusually thin. And the simple prior for a cyclical, capital-intensive materials business is 1.0 to 1.5. The alternative is priced with the other contested constructions in section 1.8 rather than argued: on the sum-beta the answer is EGP -0.15 instead of EGP -0.79.</w:t>
      </w:r>
    </w:p>
    <w:p>
      <w:pPr>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19.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20.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21.  Probability of touching each level at any point before the check date.</w:t>
      </w:r>
    </w:p>
    <w:p>
      <w:pPr>
        <w:spacing w:after="120" w:before="0"/>
      </w:pPr>
      <w:r>
        <w:rPr>
          <w:b w:val="0"/>
          <w:i w:val="0"/>
          <w:color w:val="1C3A36"/>
          <w:sz w:val="21"/>
        </w:rPr>
        <w:t>How this was tested, in plain terms. The same method was run backwards over the company's own price history in non-overlapping three-month windows and scored against a random walk that carries the same interest-rate drift. Over the 17 windows since the market's last structural break it beat that benchmark by 2.64 per cent on a proper scoring rule, and the advantage held across every resampling block size tested, so it is not an artefact of how the windows were cut. Outcomes fell inside the fifty, eighty and ninety per cent bands 64.7%, 88.2% and 94.1% of the time against the fifty, eighty and ninety they promise. A uniformity test on where each outcome landed within its predicted distribution returns a p-value of 0.625, which is to say the bands are neither too wide nor too narrow to a degree the data can detect. Over the last five years of windows the advantage was 2.04 per cent.</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c>
          <w:tcPr>
            <w:tcW w:type="dxa" w:w="2448"/>
          </w:tcPr>
          <w:p>
            <w:pPr>
              <w:spacing w:after="20"/>
            </w:pPr>
            <w:r>
              <w:rPr>
                <w:color w:val="1C3A36"/>
                <w:sz w:val="16"/>
              </w:rPr>
              <w:t>Cash flow — carried through</w:t>
            </w:r>
          </w:p>
        </w:tc>
        <w:tc>
          <w:tcPr>
            <w:tcW w:type="dxa" w:w="1224"/>
          </w:tcPr>
          <w:p>
            <w:pPr>
              <w:spacing w:after="20"/>
              <w:jc w:val="right"/>
            </w:pPr>
            <w:r>
              <w:rPr>
                <w:color w:val="1C3A36"/>
                <w:sz w:val="16"/>
              </w:rPr>
              <w:t>-0.79</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c>
          <w:tcPr>
            <w:tcW w:type="dxa" w:w="2448"/>
          </w:tcPr>
          <w:p>
            <w:pPr>
              <w:spacing w:after="20"/>
            </w:pPr>
            <w:r>
              <w:rPr>
                <w:color w:val="1C3A36"/>
                <w:sz w:val="16"/>
              </w:rPr>
              <w:t>Cash flow — stopped</w:t>
            </w:r>
          </w:p>
        </w:tc>
        <w:tc>
          <w:tcPr>
            <w:tcW w:type="dxa" w:w="1224"/>
          </w:tcPr>
          <w:p>
            <w:pPr>
              <w:spacing w:after="20"/>
              <w:jc w:val="right"/>
            </w:pPr>
            <w:r>
              <w:rPr>
                <w:color w:val="1C3A36"/>
                <w:sz w:val="16"/>
              </w:rPr>
              <w:t>2.49</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3.28</w:t>
            </w:r>
          </w:p>
        </w:tc>
      </w:tr>
      <w:t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0.00</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c>
          <w:tcPr>
            <w:tcW w:type="dxa" w:w="2448"/>
          </w:tcPr>
          <w:p>
            <w:pPr>
              <w:spacing w:after="20"/>
            </w:pPr>
            <w:r>
              <w:rPr>
                <w:color w:val="1C3A36"/>
                <w:sz w:val="16"/>
              </w:rPr>
              <w:t>Relative multiples</w:t>
            </w:r>
          </w:p>
        </w:tc>
        <w:tc>
          <w:tcPr>
            <w:tcW w:type="dxa" w:w="1224"/>
          </w:tcPr>
          <w:p>
            <w:pPr>
              <w:spacing w:after="20"/>
              <w:jc w:val="right"/>
            </w:pPr>
            <w:r>
              <w:rPr>
                <w:color w:val="1C3A36"/>
                <w:sz w:val="16"/>
              </w:rPr>
              <w:t>6.92</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c>
          <w:tcPr>
            <w:tcW w:type="dxa" w:w="2448"/>
          </w:tcPr>
          <w:p>
            <w:pPr>
              <w:spacing w:after="20"/>
            </w:pPr>
            <w:r>
              <w:rPr>
                <w:color w:val="1C3A36"/>
                <w:sz w:val="16"/>
              </w:rPr>
              <w:t>Normalised earnings power</w:t>
            </w:r>
          </w:p>
        </w:tc>
        <w:tc>
          <w:tcPr>
            <w:tcW w:type="dxa" w:w="1224"/>
          </w:tcPr>
          <w:p>
            <w:pPr>
              <w:spacing w:after="20"/>
              <w:jc w:val="right"/>
            </w:pPr>
            <w:r>
              <w:rPr>
                <w:color w:val="1C3A36"/>
                <w:sz w:val="16"/>
              </w:rPr>
              <w:t>3.78</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22.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6.92 should be read as what the shares would be worth if the programme were free — which it is not. What none of the lenses does, on any construction tested in section 1.8, is reach EGP 13.98. The gap is reported as the flat discount rate that would close it, about 10.1%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23.  Each of these is observable from a disclosure the company already makes. None of them requires an estimate to detect.</w:t>
      </w:r>
    </w:p>
    <w:p>
      <w:pPr>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31.3%, with the capital programme still unfinished.</w:t>
            </w:r>
          </w:p>
        </w:tc>
      </w:tr>
      <w:t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24.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1.79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0.29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0.57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90.3% of enterprise value on the carried-through case and 32.4% on the stopped case. Above one hundred per cent is unusual and is explained rather than smoothed: the explicit window is a construction window with negative free cash flow, so the terminal block carries the whole enterprise value and then some. It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11,014</w:t>
            </w:r>
          </w:p>
        </w:tc>
        <w:tc>
          <w:tcPr>
            <w:tcW w:type="dxa" w:w="893"/>
          </w:tcPr>
          <w:p>
            <w:pPr>
              <w:spacing w:after="20"/>
              <w:jc w:val="right"/>
            </w:pPr>
            <w:r>
              <w:rPr>
                <w:color w:val="1C3A36"/>
                <w:sz w:val="14"/>
              </w:rPr>
              <w:t>11,101</w:t>
            </w:r>
          </w:p>
        </w:tc>
        <w:tc>
          <w:tcPr>
            <w:tcW w:type="dxa" w:w="893"/>
          </w:tcPr>
          <w:p>
            <w:pPr>
              <w:spacing w:after="20"/>
              <w:jc w:val="right"/>
            </w:pPr>
            <w:r>
              <w:rPr>
                <w:color w:val="1C3A36"/>
                <w:sz w:val="14"/>
              </w:rPr>
              <w:t>11,160</w:t>
            </w:r>
          </w:p>
        </w:tc>
        <w:tc>
          <w:tcPr>
            <w:tcW w:type="dxa" w:w="893"/>
          </w:tcPr>
          <w:p>
            <w:pPr>
              <w:spacing w:after="20"/>
              <w:jc w:val="right"/>
            </w:pPr>
            <w:r>
              <w:rPr>
                <w:color w:val="1C3A36"/>
                <w:sz w:val="14"/>
              </w:rPr>
              <w:t>11,387</w:t>
            </w:r>
          </w:p>
        </w:tc>
        <w:tc>
          <w:tcPr>
            <w:tcW w:type="dxa" w:w="893"/>
          </w:tcPr>
          <w:p>
            <w:pPr>
              <w:spacing w:after="20"/>
              <w:jc w:val="right"/>
            </w:pPr>
            <w:r>
              <w:rPr>
                <w:color w:val="1C3A36"/>
                <w:sz w:val="14"/>
              </w:rPr>
              <w:t>11,822</w:t>
            </w:r>
          </w:p>
        </w:tc>
      </w:tr>
      <w:t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6,035</w:t>
            </w:r>
          </w:p>
        </w:tc>
        <w:tc>
          <w:tcPr>
            <w:tcW w:type="dxa" w:w="893"/>
          </w:tcPr>
          <w:p>
            <w:pPr>
              <w:spacing w:after="20"/>
              <w:jc w:val="right"/>
            </w:pPr>
            <w:r>
              <w:rPr>
                <w:color w:val="1C3A36"/>
                <w:sz w:val="14"/>
              </w:rPr>
              <w:t>6,392</w:t>
            </w:r>
          </w:p>
        </w:tc>
        <w:tc>
          <w:tcPr>
            <w:tcW w:type="dxa" w:w="893"/>
          </w:tcPr>
          <w:p>
            <w:pPr>
              <w:spacing w:after="20"/>
              <w:jc w:val="right"/>
            </w:pPr>
            <w:r>
              <w:rPr>
                <w:color w:val="1C3A36"/>
                <w:sz w:val="14"/>
              </w:rPr>
              <w:t>6,756</w:t>
            </w:r>
          </w:p>
        </w:tc>
        <w:tc>
          <w:tcPr>
            <w:tcW w:type="dxa" w:w="893"/>
          </w:tcPr>
          <w:p>
            <w:pPr>
              <w:spacing w:after="20"/>
              <w:jc w:val="right"/>
            </w:pPr>
            <w:r>
              <w:rPr>
                <w:color w:val="1C3A36"/>
                <w:sz w:val="14"/>
              </w:rPr>
              <w:t>7,132</w:t>
            </w:r>
          </w:p>
        </w:tc>
        <w:tc>
          <w:tcPr>
            <w:tcW w:type="dxa" w:w="893"/>
          </w:tcPr>
          <w:p>
            <w:pPr>
              <w:spacing w:after="20"/>
              <w:jc w:val="right"/>
            </w:pPr>
            <w:r>
              <w:rPr>
                <w:color w:val="1C3A36"/>
                <w:sz w:val="14"/>
              </w:rPr>
              <w:t>7,536</w:t>
            </w:r>
          </w:p>
        </w:tc>
      </w:tr>
      <w:t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4,978</w:t>
            </w:r>
          </w:p>
        </w:tc>
        <w:tc>
          <w:tcPr>
            <w:tcW w:type="dxa" w:w="893"/>
            <w:shd w:val="clear" w:color="auto" w:fill="F6F1E6"/>
          </w:tcPr>
          <w:p>
            <w:pPr>
              <w:spacing w:after="20"/>
              <w:jc w:val="right"/>
            </w:pPr>
            <w:r>
              <w:rPr>
                <w:b/>
                <w:color w:val="1C3A36"/>
                <w:sz w:val="14"/>
              </w:rPr>
              <w:t>4,709</w:t>
            </w:r>
          </w:p>
        </w:tc>
        <w:tc>
          <w:tcPr>
            <w:tcW w:type="dxa" w:w="893"/>
            <w:shd w:val="clear" w:color="auto" w:fill="F6F1E6"/>
          </w:tcPr>
          <w:p>
            <w:pPr>
              <w:spacing w:after="20"/>
              <w:jc w:val="right"/>
            </w:pPr>
            <w:r>
              <w:rPr>
                <w:b/>
                <w:color w:val="1C3A36"/>
                <w:sz w:val="14"/>
              </w:rPr>
              <w:t>4,404</w:t>
            </w:r>
          </w:p>
        </w:tc>
        <w:tc>
          <w:tcPr>
            <w:tcW w:type="dxa" w:w="893"/>
            <w:shd w:val="clear" w:color="auto" w:fill="F6F1E6"/>
          </w:tcPr>
          <w:p>
            <w:pPr>
              <w:spacing w:after="20"/>
              <w:jc w:val="right"/>
            </w:pPr>
            <w:r>
              <w:rPr>
                <w:b/>
                <w:color w:val="1C3A36"/>
                <w:sz w:val="14"/>
              </w:rPr>
              <w:t>4,255</w:t>
            </w:r>
          </w:p>
        </w:tc>
        <w:tc>
          <w:tcPr>
            <w:tcW w:type="dxa" w:w="893"/>
            <w:shd w:val="clear" w:color="auto" w:fill="F6F1E6"/>
          </w:tcPr>
          <w:p>
            <w:pPr>
              <w:spacing w:after="20"/>
              <w:jc w:val="right"/>
            </w:pPr>
            <w:r>
              <w:rPr>
                <w:b/>
                <w:color w:val="1C3A36"/>
                <w:sz w:val="14"/>
              </w:rPr>
              <w:t>4,286</w:t>
            </w:r>
          </w:p>
        </w:tc>
      </w:tr>
      <w:t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894</w:t>
            </w:r>
          </w:p>
        </w:tc>
        <w:tc>
          <w:tcPr>
            <w:tcW w:type="dxa" w:w="893"/>
          </w:tcPr>
          <w:p>
            <w:pPr>
              <w:spacing w:after="20"/>
              <w:jc w:val="right"/>
            </w:pPr>
            <w:r>
              <w:rPr>
                <w:color w:val="1C3A36"/>
                <w:sz w:val="14"/>
              </w:rPr>
              <w:t>958</w:t>
            </w:r>
          </w:p>
        </w:tc>
        <w:tc>
          <w:tcPr>
            <w:tcW w:type="dxa" w:w="893"/>
          </w:tcPr>
          <w:p>
            <w:pPr>
              <w:spacing w:after="20"/>
              <w:jc w:val="right"/>
            </w:pPr>
            <w:r>
              <w:rPr>
                <w:color w:val="1C3A36"/>
                <w:sz w:val="14"/>
              </w:rPr>
              <w:t>1,023</w:t>
            </w:r>
          </w:p>
        </w:tc>
        <w:tc>
          <w:tcPr>
            <w:tcW w:type="dxa" w:w="893"/>
          </w:tcPr>
          <w:p>
            <w:pPr>
              <w:spacing w:after="20"/>
              <w:jc w:val="right"/>
            </w:pPr>
            <w:r>
              <w:rPr>
                <w:color w:val="1C3A36"/>
                <w:sz w:val="14"/>
              </w:rPr>
              <w:t>1,093</w:t>
            </w:r>
          </w:p>
        </w:tc>
      </w:tr>
      <w:t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429</w:t>
            </w:r>
          </w:p>
        </w:tc>
        <w:tc>
          <w:tcPr>
            <w:tcW w:type="dxa" w:w="893"/>
          </w:tcPr>
          <w:p>
            <w:pPr>
              <w:spacing w:after="20"/>
              <w:jc w:val="right"/>
            </w:pPr>
            <w:r>
              <w:rPr>
                <w:color w:val="1C3A36"/>
                <w:sz w:val="14"/>
              </w:rPr>
              <w:t>461</w:t>
            </w:r>
          </w:p>
        </w:tc>
        <w:tc>
          <w:tcPr>
            <w:tcW w:type="dxa" w:w="893"/>
          </w:tcPr>
          <w:p>
            <w:pPr>
              <w:spacing w:after="20"/>
              <w:jc w:val="right"/>
            </w:pPr>
            <w:r>
              <w:rPr>
                <w:color w:val="1C3A36"/>
                <w:sz w:val="14"/>
              </w:rPr>
              <w:t>494</w:t>
            </w:r>
          </w:p>
        </w:tc>
        <w:tc>
          <w:tcPr>
            <w:tcW w:type="dxa" w:w="893"/>
          </w:tcPr>
          <w:p>
            <w:pPr>
              <w:spacing w:after="20"/>
              <w:jc w:val="right"/>
            </w:pPr>
            <w:r>
              <w:rPr>
                <w:color w:val="1C3A36"/>
                <w:sz w:val="14"/>
              </w:rPr>
              <w:t>528</w:t>
            </w:r>
          </w:p>
        </w:tc>
      </w:tr>
      <w:t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3,607</w:t>
            </w:r>
          </w:p>
        </w:tc>
        <w:tc>
          <w:tcPr>
            <w:tcW w:type="dxa" w:w="893"/>
            <w:shd w:val="clear" w:color="auto" w:fill="F6F1E6"/>
          </w:tcPr>
          <w:p>
            <w:pPr>
              <w:spacing w:after="20"/>
              <w:jc w:val="right"/>
            </w:pPr>
            <w:r>
              <w:rPr>
                <w:b/>
                <w:color w:val="1C3A36"/>
                <w:sz w:val="14"/>
              </w:rPr>
              <w:t>3,266</w:t>
            </w:r>
          </w:p>
        </w:tc>
        <w:tc>
          <w:tcPr>
            <w:tcW w:type="dxa" w:w="893"/>
            <w:shd w:val="clear" w:color="auto" w:fill="F6F1E6"/>
          </w:tcPr>
          <w:p>
            <w:pPr>
              <w:spacing w:after="20"/>
              <w:jc w:val="right"/>
            </w:pPr>
            <w:r>
              <w:rPr>
                <w:b/>
                <w:color w:val="1C3A36"/>
                <w:sz w:val="14"/>
              </w:rPr>
              <w:t>2,884</w:t>
            </w:r>
          </w:p>
        </w:tc>
        <w:tc>
          <w:tcPr>
            <w:tcW w:type="dxa" w:w="893"/>
            <w:shd w:val="clear" w:color="auto" w:fill="F6F1E6"/>
          </w:tcPr>
          <w:p>
            <w:pPr>
              <w:spacing w:after="20"/>
              <w:jc w:val="right"/>
            </w:pPr>
            <w:r>
              <w:rPr>
                <w:b/>
                <w:color w:val="1C3A36"/>
                <w:sz w:val="14"/>
              </w:rPr>
              <w:t>2,648</w:t>
            </w:r>
          </w:p>
        </w:tc>
        <w:tc>
          <w:tcPr>
            <w:tcW w:type="dxa" w:w="893"/>
            <w:shd w:val="clear" w:color="auto" w:fill="F6F1E6"/>
          </w:tcPr>
          <w:p>
            <w:pPr>
              <w:spacing w:after="20"/>
              <w:jc w:val="right"/>
            </w:pPr>
            <w:r>
              <w:rPr>
                <w:b/>
                <w:color w:val="1C3A36"/>
                <w:sz w:val="14"/>
              </w:rPr>
              <w:t>2,585</w:t>
            </w:r>
          </w:p>
        </w:tc>
      </w:tr>
      <w:t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906</w:t>
            </w:r>
          </w:p>
        </w:tc>
        <w:tc>
          <w:tcPr>
            <w:tcW w:type="dxa" w:w="893"/>
          </w:tcPr>
          <w:p>
            <w:pPr>
              <w:spacing w:after="20"/>
              <w:jc w:val="right"/>
            </w:pPr>
            <w:r>
              <w:rPr>
                <w:color w:val="1C3A36"/>
                <w:sz w:val="14"/>
              </w:rPr>
              <w:t>921</w:t>
            </w:r>
          </w:p>
        </w:tc>
        <w:tc>
          <w:tcPr>
            <w:tcW w:type="dxa" w:w="893"/>
          </w:tcPr>
          <w:p>
            <w:pPr>
              <w:spacing w:after="20"/>
              <w:jc w:val="right"/>
            </w:pPr>
            <w:r>
              <w:rPr>
                <w:color w:val="1C3A36"/>
                <w:sz w:val="14"/>
              </w:rPr>
              <w:t>937</w:t>
            </w:r>
          </w:p>
        </w:tc>
        <w:tc>
          <w:tcPr>
            <w:tcW w:type="dxa" w:w="893"/>
          </w:tcPr>
          <w:p>
            <w:pPr>
              <w:spacing w:after="20"/>
              <w:jc w:val="right"/>
            </w:pPr>
            <w:r>
              <w:rPr>
                <w:color w:val="1C3A36"/>
                <w:sz w:val="14"/>
              </w:rPr>
              <w:t>952</w:t>
            </w:r>
          </w:p>
        </w:tc>
      </w:tr>
      <w:t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4,497</w:t>
            </w:r>
          </w:p>
        </w:tc>
        <w:tc>
          <w:tcPr>
            <w:tcW w:type="dxa" w:w="893"/>
            <w:shd w:val="clear" w:color="auto" w:fill="F6F1E6"/>
          </w:tcPr>
          <w:p>
            <w:pPr>
              <w:spacing w:after="20"/>
              <w:jc w:val="right"/>
            </w:pPr>
            <w:r>
              <w:rPr>
                <w:b/>
                <w:color w:val="1C3A36"/>
                <w:sz w:val="14"/>
              </w:rPr>
              <w:t>4,172</w:t>
            </w:r>
          </w:p>
        </w:tc>
        <w:tc>
          <w:tcPr>
            <w:tcW w:type="dxa" w:w="893"/>
            <w:shd w:val="clear" w:color="auto" w:fill="F6F1E6"/>
          </w:tcPr>
          <w:p>
            <w:pPr>
              <w:spacing w:after="20"/>
              <w:jc w:val="right"/>
            </w:pPr>
            <w:r>
              <w:rPr>
                <w:b/>
                <w:color w:val="1C3A36"/>
                <w:sz w:val="14"/>
              </w:rPr>
              <w:t>3,806</w:t>
            </w:r>
          </w:p>
        </w:tc>
        <w:tc>
          <w:tcPr>
            <w:tcW w:type="dxa" w:w="893"/>
            <w:shd w:val="clear" w:color="auto" w:fill="F6F1E6"/>
          </w:tcPr>
          <w:p>
            <w:pPr>
              <w:spacing w:after="20"/>
              <w:jc w:val="right"/>
            </w:pPr>
            <w:r>
              <w:rPr>
                <w:b/>
                <w:color w:val="1C3A36"/>
                <w:sz w:val="14"/>
              </w:rPr>
              <w:t>3,585</w:t>
            </w:r>
          </w:p>
        </w:tc>
        <w:tc>
          <w:tcPr>
            <w:tcW w:type="dxa" w:w="893"/>
            <w:shd w:val="clear" w:color="auto" w:fill="F6F1E6"/>
          </w:tcPr>
          <w:p>
            <w:pPr>
              <w:spacing w:after="20"/>
              <w:jc w:val="right"/>
            </w:pPr>
            <w:r>
              <w:rPr>
                <w:b/>
                <w:color w:val="1C3A36"/>
                <w:sz w:val="14"/>
              </w:rPr>
              <w:t>3,537</w:t>
            </w:r>
          </w:p>
        </w:tc>
      </w:tr>
      <w:t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45.2%</w:t>
            </w:r>
          </w:p>
        </w:tc>
        <w:tc>
          <w:tcPr>
            <w:tcW w:type="dxa" w:w="893"/>
          </w:tcPr>
          <w:p>
            <w:pPr>
              <w:spacing w:after="20"/>
              <w:jc w:val="right"/>
            </w:pPr>
            <w:r>
              <w:rPr>
                <w:color w:val="1C3A36"/>
                <w:sz w:val="14"/>
              </w:rPr>
              <w:t>42.4%</w:t>
            </w:r>
          </w:p>
        </w:tc>
        <w:tc>
          <w:tcPr>
            <w:tcW w:type="dxa" w:w="893"/>
          </w:tcPr>
          <w:p>
            <w:pPr>
              <w:spacing w:after="20"/>
              <w:jc w:val="right"/>
            </w:pPr>
            <w:r>
              <w:rPr>
                <w:color w:val="1C3A36"/>
                <w:sz w:val="14"/>
              </w:rPr>
              <w:t>39.5%</w:t>
            </w:r>
          </w:p>
        </w:tc>
        <w:tc>
          <w:tcPr>
            <w:tcW w:type="dxa" w:w="893"/>
          </w:tcPr>
          <w:p>
            <w:pPr>
              <w:spacing w:after="20"/>
              <w:jc w:val="right"/>
            </w:pPr>
            <w:r>
              <w:rPr>
                <w:color w:val="1C3A36"/>
                <w:sz w:val="14"/>
              </w:rPr>
              <w:t>37.4%</w:t>
            </w:r>
          </w:p>
        </w:tc>
        <w:tc>
          <w:tcPr>
            <w:tcW w:type="dxa" w:w="893"/>
          </w:tcPr>
          <w:p>
            <w:pPr>
              <w:spacing w:after="20"/>
              <w:jc w:val="right"/>
            </w:pPr>
            <w:r>
              <w:rPr>
                <w:color w:val="1C3A36"/>
                <w:sz w:val="14"/>
              </w:rPr>
              <w:t>36.3%</w:t>
            </w:r>
          </w:p>
        </w:tc>
      </w:tr>
      <w:t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40.8%</w:t>
            </w:r>
          </w:p>
        </w:tc>
        <w:tc>
          <w:tcPr>
            <w:tcW w:type="dxa" w:w="893"/>
          </w:tcPr>
          <w:p>
            <w:pPr>
              <w:spacing w:after="20"/>
              <w:jc w:val="right"/>
            </w:pPr>
            <w:r>
              <w:rPr>
                <w:color w:val="1C3A36"/>
                <w:sz w:val="14"/>
              </w:rPr>
              <w:t>37.6%</w:t>
            </w:r>
          </w:p>
        </w:tc>
        <w:tc>
          <w:tcPr>
            <w:tcW w:type="dxa" w:w="893"/>
          </w:tcPr>
          <w:p>
            <w:pPr>
              <w:spacing w:after="20"/>
              <w:jc w:val="right"/>
            </w:pPr>
            <w:r>
              <w:rPr>
                <w:color w:val="1C3A36"/>
                <w:sz w:val="14"/>
              </w:rPr>
              <w:t>34.1%</w:t>
            </w:r>
          </w:p>
        </w:tc>
        <w:tc>
          <w:tcPr>
            <w:tcW w:type="dxa" w:w="893"/>
          </w:tcPr>
          <w:p>
            <w:pPr>
              <w:spacing w:after="20"/>
              <w:jc w:val="right"/>
            </w:pPr>
            <w:r>
              <w:rPr>
                <w:color w:val="1C3A36"/>
                <w:sz w:val="14"/>
              </w:rPr>
              <w:t>31.5%</w:t>
            </w:r>
          </w:p>
        </w:tc>
        <w:tc>
          <w:tcPr>
            <w:tcW w:type="dxa" w:w="893"/>
          </w:tcPr>
          <w:p>
            <w:pPr>
              <w:spacing w:after="20"/>
              <w:jc w:val="right"/>
            </w:pPr>
            <w:r>
              <w:rPr>
                <w:color w:val="1C3A36"/>
                <w:sz w:val="14"/>
              </w:rPr>
              <w:t>29.9%</w:t>
            </w:r>
          </w:p>
        </w:tc>
      </w:tr>
      <w:t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25.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2,722</w:t>
            </w:r>
          </w:p>
        </w:tc>
        <w:tc>
          <w:tcPr>
            <w:tcW w:type="dxa" w:w="1426"/>
          </w:tcPr>
          <w:p>
            <w:pPr>
              <w:spacing w:after="20"/>
              <w:jc w:val="right"/>
            </w:pPr>
            <w:r>
              <w:rPr>
                <w:color w:val="1C3A36"/>
                <w:sz w:val="16"/>
              </w:rPr>
              <w:t>3,224</w:t>
            </w:r>
          </w:p>
        </w:tc>
        <w:tc>
          <w:tcPr>
            <w:tcW w:type="dxa" w:w="1426"/>
          </w:tcPr>
          <w:p>
            <w:pPr>
              <w:spacing w:after="20"/>
              <w:jc w:val="right"/>
            </w:pPr>
            <w:r>
              <w:rPr>
                <w:color w:val="1C3A36"/>
                <w:sz w:val="16"/>
              </w:rPr>
              <w:t>3,425</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2,621</w:t>
            </w:r>
          </w:p>
        </w:tc>
      </w:tr>
      <w:t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c>
          <w:tcPr>
            <w:tcW w:type="dxa" w:w="2952"/>
          </w:tcPr>
          <w:p>
            <w:pPr>
              <w:spacing w:after="20"/>
            </w:pPr>
            <w:r>
              <w:rPr>
                <w:color w:val="1C3A36"/>
                <w:sz w:val="16"/>
              </w:rPr>
              <w:t>Receivables</w:t>
            </w:r>
          </w:p>
        </w:tc>
        <w:tc>
          <w:tcPr>
            <w:tcW w:type="dxa" w:w="1426"/>
          </w:tcPr>
          <w:p>
            <w:pPr>
              <w:spacing w:after="20"/>
              <w:jc w:val="right"/>
            </w:pPr>
            <w:r>
              <w:rPr>
                <w:color w:val="1C3A36"/>
                <w:sz w:val="16"/>
              </w:rPr>
              <w:t>808</w:t>
            </w:r>
          </w:p>
        </w:tc>
        <w:tc>
          <w:tcPr>
            <w:tcW w:type="dxa" w:w="1426"/>
          </w:tcPr>
          <w:p>
            <w:pPr>
              <w:spacing w:after="20"/>
              <w:jc w:val="right"/>
            </w:pPr>
            <w:r>
              <w:rPr>
                <w:color w:val="1C3A36"/>
                <w:sz w:val="16"/>
              </w:rPr>
              <w:t>814</w:t>
            </w:r>
          </w:p>
        </w:tc>
        <w:tc>
          <w:tcPr>
            <w:tcW w:type="dxa" w:w="1426"/>
          </w:tcPr>
          <w:p>
            <w:pPr>
              <w:spacing w:after="20"/>
              <w:jc w:val="right"/>
            </w:pPr>
            <w:r>
              <w:rPr>
                <w:color w:val="1C3A36"/>
                <w:sz w:val="16"/>
              </w:rPr>
              <w:t>819</w:t>
            </w:r>
          </w:p>
        </w:tc>
        <w:tc>
          <w:tcPr>
            <w:tcW w:type="dxa" w:w="1426"/>
          </w:tcPr>
          <w:p>
            <w:pPr>
              <w:spacing w:after="20"/>
              <w:jc w:val="right"/>
            </w:pPr>
            <w:r>
              <w:rPr>
                <w:color w:val="1C3A36"/>
                <w:sz w:val="16"/>
              </w:rPr>
              <w:t>835</w:t>
            </w:r>
          </w:p>
        </w:tc>
        <w:tc>
          <w:tcPr>
            <w:tcW w:type="dxa" w:w="1426"/>
          </w:tcPr>
          <w:p>
            <w:pPr>
              <w:spacing w:after="20"/>
              <w:jc w:val="right"/>
            </w:pPr>
            <w:r>
              <w:rPr>
                <w:color w:val="1C3A36"/>
                <w:sz w:val="16"/>
              </w:rPr>
              <w:t>867</w:t>
            </w:r>
          </w:p>
        </w:tc>
      </w:tr>
      <w:tr>
        <w:tc>
          <w:tcPr>
            <w:tcW w:type="dxa" w:w="2952"/>
          </w:tcPr>
          <w:p>
            <w:pPr>
              <w:spacing w:after="20"/>
            </w:pPr>
            <w:r>
              <w:rPr>
                <w:color w:val="1C3A36"/>
                <w:sz w:val="16"/>
              </w:rPr>
              <w:t>Inventory</w:t>
            </w:r>
          </w:p>
        </w:tc>
        <w:tc>
          <w:tcPr>
            <w:tcW w:type="dxa" w:w="1426"/>
          </w:tcPr>
          <w:p>
            <w:pPr>
              <w:spacing w:after="20"/>
              <w:jc w:val="right"/>
            </w:pPr>
            <w:r>
              <w:rPr>
                <w:color w:val="1C3A36"/>
                <w:sz w:val="16"/>
              </w:rPr>
              <w:t>2,732</w:t>
            </w:r>
          </w:p>
        </w:tc>
        <w:tc>
          <w:tcPr>
            <w:tcW w:type="dxa" w:w="1426"/>
          </w:tcPr>
          <w:p>
            <w:pPr>
              <w:spacing w:after="20"/>
              <w:jc w:val="right"/>
            </w:pPr>
            <w:r>
              <w:rPr>
                <w:color w:val="1C3A36"/>
                <w:sz w:val="16"/>
              </w:rPr>
              <w:t>2,894</w:t>
            </w:r>
          </w:p>
        </w:tc>
        <w:tc>
          <w:tcPr>
            <w:tcW w:type="dxa" w:w="1426"/>
          </w:tcPr>
          <w:p>
            <w:pPr>
              <w:spacing w:after="20"/>
              <w:jc w:val="right"/>
            </w:pPr>
            <w:r>
              <w:rPr>
                <w:color w:val="1C3A36"/>
                <w:sz w:val="16"/>
              </w:rPr>
              <w:t>3,059</w:t>
            </w:r>
          </w:p>
        </w:tc>
        <w:tc>
          <w:tcPr>
            <w:tcW w:type="dxa" w:w="1426"/>
          </w:tcPr>
          <w:p>
            <w:pPr>
              <w:spacing w:after="20"/>
              <w:jc w:val="right"/>
            </w:pPr>
            <w:r>
              <w:rPr>
                <w:color w:val="1C3A36"/>
                <w:sz w:val="16"/>
              </w:rPr>
              <w:t>3,229</w:t>
            </w:r>
          </w:p>
        </w:tc>
        <w:tc>
          <w:tcPr>
            <w:tcW w:type="dxa" w:w="1426"/>
          </w:tcPr>
          <w:p>
            <w:pPr>
              <w:spacing w:after="20"/>
              <w:jc w:val="right"/>
            </w:pPr>
            <w:r>
              <w:rPr>
                <w:color w:val="1C3A36"/>
                <w:sz w:val="16"/>
              </w:rPr>
              <w:t>3,412</w:t>
            </w:r>
          </w:p>
        </w:tc>
      </w:tr>
      <w:tr>
        <w:tc>
          <w:tcPr>
            <w:tcW w:type="dxa" w:w="2952"/>
          </w:tcPr>
          <w:p>
            <w:pPr>
              <w:spacing w:after="20"/>
            </w:pPr>
            <w:r>
              <w:rPr>
                <w:color w:val="1C3A36"/>
                <w:sz w:val="16"/>
              </w:rPr>
              <w:t>Payables</w:t>
            </w:r>
          </w:p>
        </w:tc>
        <w:tc>
          <w:tcPr>
            <w:tcW w:type="dxa" w:w="1426"/>
          </w:tcPr>
          <w:p>
            <w:pPr>
              <w:spacing w:after="20"/>
              <w:jc w:val="right"/>
            </w:pPr>
            <w:r>
              <w:rPr>
                <w:color w:val="1C3A36"/>
                <w:sz w:val="16"/>
              </w:rPr>
              <w:t>1,375</w:t>
            </w:r>
          </w:p>
        </w:tc>
        <w:tc>
          <w:tcPr>
            <w:tcW w:type="dxa" w:w="1426"/>
          </w:tcPr>
          <w:p>
            <w:pPr>
              <w:spacing w:after="20"/>
              <w:jc w:val="right"/>
            </w:pPr>
            <w:r>
              <w:rPr>
                <w:color w:val="1C3A36"/>
                <w:sz w:val="16"/>
              </w:rPr>
              <w:t>1,456</w:t>
            </w:r>
          </w:p>
        </w:tc>
        <w:tc>
          <w:tcPr>
            <w:tcW w:type="dxa" w:w="1426"/>
          </w:tcPr>
          <w:p>
            <w:pPr>
              <w:spacing w:after="20"/>
              <w:jc w:val="right"/>
            </w:pPr>
            <w:r>
              <w:rPr>
                <w:color w:val="1C3A36"/>
                <w:sz w:val="16"/>
              </w:rPr>
              <w:t>1,539</w:t>
            </w:r>
          </w:p>
        </w:tc>
        <w:tc>
          <w:tcPr>
            <w:tcW w:type="dxa" w:w="1426"/>
          </w:tcPr>
          <w:p>
            <w:pPr>
              <w:spacing w:after="20"/>
              <w:jc w:val="right"/>
            </w:pPr>
            <w:r>
              <w:rPr>
                <w:color w:val="1C3A36"/>
                <w:sz w:val="16"/>
              </w:rPr>
              <w:t>1,625</w:t>
            </w:r>
          </w:p>
        </w:tc>
        <w:tc>
          <w:tcPr>
            <w:tcW w:type="dxa" w:w="1426"/>
          </w:tcPr>
          <w:p>
            <w:pPr>
              <w:spacing w:after="20"/>
              <w:jc w:val="right"/>
            </w:pPr>
            <w:r>
              <w:rPr>
                <w:color w:val="1C3A36"/>
                <w:sz w:val="16"/>
              </w:rPr>
              <w:t>1,717</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2,165</w:t>
            </w:r>
          </w:p>
        </w:tc>
        <w:tc>
          <w:tcPr>
            <w:tcW w:type="dxa" w:w="1426"/>
          </w:tcPr>
          <w:p>
            <w:pPr>
              <w:spacing w:after="20"/>
              <w:jc w:val="right"/>
            </w:pPr>
            <w:r>
              <w:rPr>
                <w:color w:val="1C3A36"/>
                <w:sz w:val="16"/>
              </w:rPr>
              <w:t>2,252</w:t>
            </w:r>
          </w:p>
        </w:tc>
        <w:tc>
          <w:tcPr>
            <w:tcW w:type="dxa" w:w="1426"/>
          </w:tcPr>
          <w:p>
            <w:pPr>
              <w:spacing w:after="20"/>
              <w:jc w:val="right"/>
            </w:pPr>
            <w:r>
              <w:rPr>
                <w:color w:val="1C3A36"/>
                <w:sz w:val="16"/>
              </w:rPr>
              <w:t>2,338</w:t>
            </w:r>
          </w:p>
        </w:tc>
        <w:tc>
          <w:tcPr>
            <w:tcW w:type="dxa" w:w="1426"/>
          </w:tcPr>
          <w:p>
            <w:pPr>
              <w:spacing w:after="20"/>
              <w:jc w:val="right"/>
            </w:pPr>
            <w:r>
              <w:rPr>
                <w:color w:val="1C3A36"/>
                <w:sz w:val="16"/>
              </w:rPr>
              <w:t>2,439</w:t>
            </w:r>
          </w:p>
        </w:tc>
        <w:tc>
          <w:tcPr>
            <w:tcW w:type="dxa" w:w="1426"/>
          </w:tcPr>
          <w:p>
            <w:pPr>
              <w:spacing w:after="20"/>
              <w:jc w:val="right"/>
            </w:pPr>
            <w:r>
              <w:rPr>
                <w:color w:val="1C3A36"/>
                <w:sz w:val="16"/>
              </w:rPr>
              <w:t>2,562</w:t>
            </w:r>
          </w:p>
        </w:tc>
      </w:tr>
      <w:t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94</w:t>
            </w:r>
          </w:p>
        </w:tc>
        <w:tc>
          <w:tcPr>
            <w:tcW w:type="dxa" w:w="1426"/>
          </w:tcPr>
          <w:p>
            <w:pPr>
              <w:spacing w:after="20"/>
              <w:jc w:val="right"/>
            </w:pPr>
            <w:r>
              <w:rPr>
                <w:color w:val="1C3A36"/>
                <w:sz w:val="16"/>
              </w:rPr>
              <w:t>87</w:t>
            </w:r>
          </w:p>
        </w:tc>
        <w:tc>
          <w:tcPr>
            <w:tcW w:type="dxa" w:w="1426"/>
          </w:tcPr>
          <w:p>
            <w:pPr>
              <w:spacing w:after="20"/>
              <w:jc w:val="right"/>
            </w:pPr>
            <w:r>
              <w:rPr>
                <w:color w:val="1C3A36"/>
                <w:sz w:val="16"/>
              </w:rPr>
              <w:t>86</w:t>
            </w:r>
          </w:p>
        </w:tc>
        <w:tc>
          <w:tcPr>
            <w:tcW w:type="dxa" w:w="1426"/>
          </w:tcPr>
          <w:p>
            <w:pPr>
              <w:spacing w:after="20"/>
              <w:jc w:val="right"/>
            </w:pPr>
            <w:r>
              <w:rPr>
                <w:color w:val="1C3A36"/>
                <w:sz w:val="16"/>
              </w:rPr>
              <w:t>101</w:t>
            </w:r>
          </w:p>
        </w:tc>
        <w:tc>
          <w:tcPr>
            <w:tcW w:type="dxa" w:w="1426"/>
          </w:tcPr>
          <w:p>
            <w:pPr>
              <w:spacing w:after="20"/>
              <w:jc w:val="right"/>
            </w:pPr>
            <w:r>
              <w:rPr>
                <w:color w:val="1C3A36"/>
                <w:sz w:val="16"/>
              </w:rPr>
              <w:t>123</w:t>
            </w:r>
          </w:p>
        </w:tc>
      </w:tr>
      <w:t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870</w:t>
            </w:r>
          </w:p>
        </w:tc>
        <w:tc>
          <w:tcPr>
            <w:tcW w:type="dxa" w:w="1426"/>
            <w:shd w:val="clear" w:color="auto" w:fill="F6F1E6"/>
          </w:tcPr>
          <w:p>
            <w:pPr>
              <w:spacing w:after="20"/>
              <w:jc w:val="right"/>
            </w:pPr>
            <w:r>
              <w:rPr>
                <w:b/>
                <w:color w:val="1C3A36"/>
                <w:sz w:val="16"/>
              </w:rPr>
              <w:t>126</w:t>
            </w:r>
          </w:p>
        </w:tc>
        <w:tc>
          <w:tcPr>
            <w:tcW w:type="dxa" w:w="1426"/>
            <w:shd w:val="clear" w:color="auto" w:fill="F6F1E6"/>
          </w:tcPr>
          <w:p>
            <w:pPr>
              <w:spacing w:after="20"/>
              <w:jc w:val="right"/>
            </w:pPr>
            <w:r>
              <w:rPr>
                <w:b/>
                <w:color w:val="1C3A36"/>
                <w:sz w:val="16"/>
              </w:rPr>
              <w:t>-354</w:t>
            </w:r>
          </w:p>
        </w:tc>
        <w:tc>
          <w:tcPr>
            <w:tcW w:type="dxa" w:w="1426"/>
            <w:shd w:val="clear" w:color="auto" w:fill="F6F1E6"/>
          </w:tcPr>
          <w:p>
            <w:pPr>
              <w:spacing w:after="20"/>
              <w:jc w:val="right"/>
            </w:pPr>
            <w:r>
              <w:rPr>
                <w:b/>
                <w:color w:val="1C3A36"/>
                <w:sz w:val="16"/>
              </w:rPr>
              <w:t>-439</w:t>
            </w:r>
          </w:p>
        </w:tc>
        <w:tc>
          <w:tcPr>
            <w:tcW w:type="dxa" w:w="1426"/>
            <w:shd w:val="clear" w:color="auto" w:fill="F6F1E6"/>
          </w:tcPr>
          <w:p>
            <w:pPr>
              <w:spacing w:after="20"/>
              <w:jc w:val="right"/>
            </w:pPr>
            <w:r>
              <w:rPr>
                <w:b/>
                <w:color w:val="1C3A36"/>
                <w:sz w:val="16"/>
              </w:rPr>
              <w:t>211</w:t>
            </w:r>
          </w:p>
        </w:tc>
      </w:tr>
    </w:tbl>
    <w:p>
      <w:pPr>
        <w:spacing w:after="40"/>
      </w:pPr>
    </w:p>
    <w:p>
      <w:pPr>
        <w:spacing w:after="200" w:before="0"/>
      </w:pPr>
      <w:r>
        <w:rPr>
          <w:b w:val="0"/>
          <w:i/>
          <w:color w:val="6E7B77"/>
          <w:sz w:val="17"/>
        </w:rPr>
        <w:t>Table 26.  Working capital is projected from the day counts the audited statements themselves imply — 26.8 days of receivables, 165.2 of inventory and 83.2 of payables — rather than plugged.</w:t>
      </w:r>
    </w:p>
    <w:p>
      <w:pPr>
        <w:spacing w:after="120" w:before="280"/>
      </w:pPr>
      <w:r>
        <w:rPr>
          <w:b/>
          <w:i w:val="0"/>
          <w:color w:val="1C3A36"/>
          <w:sz w:val="30"/>
        </w:rPr>
        <w:t>Appendix B  Peer frame, risk register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179</w:t>
            </w:r>
          </w:p>
        </w:tc>
      </w:tr>
      <w:t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13</w:t>
            </w:r>
          </w:p>
        </w:tc>
      </w:tr>
      <w:t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9</w:t>
            </w:r>
          </w:p>
        </w:tc>
      </w:tr>
      <w:t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17</w:t>
            </w:r>
          </w:p>
        </w:tc>
      </w:tr>
      <w:t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57</w:t>
            </w:r>
          </w:p>
        </w:tc>
      </w:tr>
      <w:t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275</w:t>
            </w:r>
          </w:p>
        </w:tc>
      </w:tr>
    </w:tbl>
    <w:p>
      <w:pPr>
        <w:spacing w:after="40"/>
      </w:pPr>
    </w:p>
    <w:p>
      <w:pPr>
        <w:spacing w:after="200" w:before="0"/>
      </w:pPr>
      <w:r>
        <w:rPr>
          <w:b w:val="0"/>
          <w:i/>
          <w:color w:val="6E7B77"/>
          <w:sz w:val="17"/>
        </w:rPr>
        <w:t>Table 27.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28.  Expert 1's workings in full — every intermediate line, not a summary of them.</w:t>
      </w:r>
    </w:p>
    <w:p>
      <w:pPr>
        <w:spacing w:after="120" w:before="0"/>
      </w:pPr>
      <w:r>
        <w:rPr>
          <w:b/>
          <w:i w:val="0"/>
          <w:color w:val="1C3A36"/>
          <w:sz w:val="21"/>
        </w:rPr>
        <w:t>Range: EGP 4.47 to EGP 7.44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is the swing factor. At US$550 per annual tonne the range starts at EGP 3.82; at US$700 it reaches EGP 5.11. The control discount moves it by about a third either way.</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c>
          <w:tcPr>
            <w:tcW w:type="dxa" w:w="4320"/>
          </w:tcPr>
          <w:p>
            <w:pPr>
              <w:spacing w:after="20"/>
            </w:pPr>
            <w:r>
              <w:rPr>
                <w:color w:val="1C3A36"/>
                <w:sz w:val="16"/>
              </w:rPr>
              <w:t>Exchange rate</w:t>
            </w:r>
          </w:p>
        </w:tc>
        <w:tc>
          <w:tcPr>
            <w:tcW w:type="dxa" w:w="1944"/>
          </w:tcPr>
          <w:p>
            <w:pPr>
              <w:spacing w:after="20"/>
              <w:jc w:val="right"/>
            </w:pPr>
            <w:r>
              <w:rPr>
                <w:color w:val="1C3A36"/>
                <w:sz w:val="16"/>
              </w:rPr>
              <w:t>54</w:t>
            </w:r>
          </w:p>
        </w:tc>
        <w:tc>
          <w:tcPr>
            <w:tcW w:type="dxa" w:w="3672"/>
          </w:tcPr>
          <w:p>
            <w:pPr>
              <w:spacing w:after="20"/>
            </w:pPr>
            <w:r>
              <w:rPr>
                <w:color w:val="1C3A36"/>
                <w:sz w:val="16"/>
              </w:rPr>
            </w:r>
          </w:p>
        </w:tc>
      </w:tr>
      <w:tr>
        <w:tc>
          <w:tcPr>
            <w:tcW w:type="dxa" w:w="4320"/>
          </w:tcPr>
          <w:p>
            <w:pPr>
              <w:spacing w:after="20"/>
            </w:pPr>
            <w:r>
              <w:rPr>
                <w:color w:val="1C3A36"/>
                <w:sz w:val="16"/>
              </w:rPr>
              <w:t>Export revenue (EGP m)</w:t>
            </w:r>
          </w:p>
        </w:tc>
        <w:tc>
          <w:tcPr>
            <w:tcW w:type="dxa" w:w="1944"/>
          </w:tcPr>
          <w:p>
            <w:pPr>
              <w:spacing w:after="20"/>
              <w:jc w:val="right"/>
            </w:pPr>
            <w:r>
              <w:rPr>
                <w:color w:val="1C3A36"/>
                <w:sz w:val="16"/>
              </w:rPr>
              <w:t>6,742</w:t>
            </w:r>
          </w:p>
        </w:tc>
        <w:tc>
          <w:tcPr>
            <w:tcW w:type="dxa" w:w="3672"/>
          </w:tcPr>
          <w:p>
            <w:pPr>
              <w:spacing w:after="20"/>
            </w:pPr>
            <w:r>
              <w:rPr>
                <w:color w:val="1C3A36"/>
                <w:sz w:val="16"/>
              </w:rPr>
              <w:t>net of the 10% duty</w:t>
            </w:r>
          </w:p>
        </w:tc>
      </w:tr>
      <w:t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780</w:t>
            </w:r>
          </w:p>
        </w:tc>
        <w:tc>
          <w:tcPr>
            <w:tcW w:type="dxa" w:w="3672"/>
          </w:tcPr>
          <w:p>
            <w:pPr>
              <w:spacing w:after="20"/>
            </w:pPr>
            <w:r>
              <w:rPr>
                <w:color w:val="1C3A36"/>
                <w:sz w:val="16"/>
              </w:rPr>
            </w:r>
          </w:p>
        </w:tc>
      </w:tr>
      <w:tr>
        <w:tc>
          <w:tcPr>
            <w:tcW w:type="dxa" w:w="4320"/>
          </w:tcPr>
          <w:p>
            <w:pPr>
              <w:spacing w:after="20"/>
            </w:pPr>
            <w:r>
              <w:rPr>
                <w:color w:val="1C3A36"/>
                <w:sz w:val="16"/>
              </w:rPr>
              <w:t>Nitrate revenue (EGP m)</w:t>
            </w:r>
          </w:p>
        </w:tc>
        <w:tc>
          <w:tcPr>
            <w:tcW w:type="dxa" w:w="1944"/>
          </w:tcPr>
          <w:p>
            <w:pPr>
              <w:spacing w:after="20"/>
              <w:jc w:val="right"/>
            </w:pPr>
            <w:r>
              <w:rPr>
                <w:color w:val="1C3A36"/>
                <w:sz w:val="16"/>
              </w:rPr>
              <w:t>575</w:t>
            </w:r>
          </w:p>
        </w:tc>
        <w:tc>
          <w:tcPr>
            <w:tcW w:type="dxa" w:w="3672"/>
          </w:tcPr>
          <w:p>
            <w:pPr>
              <w:spacing w:after="20"/>
            </w:pPr>
            <w:r>
              <w:rPr>
                <w:color w:val="1C3A36"/>
                <w:sz w:val="16"/>
              </w:rPr>
            </w:r>
          </w:p>
        </w:tc>
      </w:tr>
      <w:t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c>
          <w:tcPr>
            <w:tcW w:type="dxa" w:w="4320"/>
          </w:tcPr>
          <w:p>
            <w:pPr>
              <w:spacing w:after="20"/>
            </w:pPr>
            <w:r>
              <w:rPr>
                <w:color w:val="1C3A36"/>
                <w:sz w:val="16"/>
              </w:rPr>
              <w:t>MID-CYCLE REVENUE (EGP m)</w:t>
            </w:r>
          </w:p>
        </w:tc>
        <w:tc>
          <w:tcPr>
            <w:tcW w:type="dxa" w:w="1944"/>
          </w:tcPr>
          <w:p>
            <w:pPr>
              <w:spacing w:after="20"/>
              <w:jc w:val="right"/>
            </w:pPr>
            <w:r>
              <w:rPr>
                <w:color w:val="1C3A36"/>
                <w:sz w:val="16"/>
              </w:rPr>
              <w:t>9,404</w:t>
            </w:r>
          </w:p>
        </w:tc>
        <w:tc>
          <w:tcPr>
            <w:tcW w:type="dxa" w:w="3672"/>
          </w:tcPr>
          <w:p>
            <w:pPr>
              <w:spacing w:after="20"/>
            </w:pPr>
            <w:r>
              <w:rPr>
                <w:color w:val="1C3A36"/>
                <w:sz w:val="16"/>
              </w:rPr>
            </w:r>
          </w:p>
        </w:tc>
      </w:tr>
      <w:tr>
        <w:tc>
          <w:tcPr>
            <w:tcW w:type="dxa" w:w="4320"/>
          </w:tcPr>
          <w:p>
            <w:pPr>
              <w:spacing w:after="20"/>
            </w:pPr>
            <w:r>
              <w:rPr>
                <w:color w:val="1C3A36"/>
                <w:sz w:val="16"/>
              </w:rPr>
              <w:t>Natural gas (EGP m)</w:t>
            </w:r>
          </w:p>
        </w:tc>
        <w:tc>
          <w:tcPr>
            <w:tcW w:type="dxa" w:w="1944"/>
          </w:tcPr>
          <w:p>
            <w:pPr>
              <w:spacing w:after="20"/>
              <w:jc w:val="right"/>
            </w:pPr>
            <w:r>
              <w:rPr>
                <w:color w:val="1C3A36"/>
                <w:sz w:val="16"/>
              </w:rPr>
              <w:t>-3,877</w:t>
            </w:r>
          </w:p>
        </w:tc>
        <w:tc>
          <w:tcPr>
            <w:tcW w:type="dxa" w:w="3672"/>
          </w:tcPr>
          <w:p>
            <w:pPr>
              <w:spacing w:after="20"/>
            </w:pPr>
            <w:r>
              <w:rPr>
                <w:color w:val="1C3A36"/>
                <w:sz w:val="16"/>
              </w:rPr>
              <w:t>consumption x price x the rate</w:t>
            </w:r>
          </w:p>
        </w:tc>
      </w:tr>
      <w:t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c>
          <w:tcPr>
            <w:tcW w:type="dxa" w:w="4320"/>
          </w:tcPr>
          <w:p>
            <w:pPr>
              <w:spacing w:after="20"/>
            </w:pPr>
            <w:r>
              <w:rPr>
                <w:color w:val="1C3A36"/>
                <w:sz w:val="16"/>
              </w:rPr>
              <w:t>MID-CYCLE EBITDA (EGP m)</w:t>
            </w:r>
          </w:p>
        </w:tc>
        <w:tc>
          <w:tcPr>
            <w:tcW w:type="dxa" w:w="1944"/>
          </w:tcPr>
          <w:p>
            <w:pPr>
              <w:spacing w:after="20"/>
              <w:jc w:val="right"/>
            </w:pPr>
            <w:r>
              <w:rPr>
                <w:color w:val="1C3A36"/>
                <w:sz w:val="16"/>
              </w:rPr>
              <w:t>2,697</w:t>
            </w:r>
          </w:p>
        </w:tc>
        <w:tc>
          <w:tcPr>
            <w:tcW w:type="dxa" w:w="3672"/>
          </w:tcPr>
          <w:p>
            <w:pPr>
              <w:spacing w:after="20"/>
            </w:pPr>
            <w:r>
              <w:rPr>
                <w:color w:val="1C3A36"/>
                <w:sz w:val="16"/>
              </w:rPr>
            </w:r>
          </w:p>
        </w:tc>
      </w:tr>
      <w:t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c>
          <w:tcPr>
            <w:tcW w:type="dxa" w:w="4320"/>
          </w:tcPr>
          <w:p>
            <w:pPr>
              <w:spacing w:after="20"/>
            </w:pPr>
            <w:r>
              <w:rPr>
                <w:color w:val="1C3A36"/>
                <w:sz w:val="16"/>
              </w:rPr>
              <w:t>Tax at the statutory rate</w:t>
            </w:r>
          </w:p>
        </w:tc>
        <w:tc>
          <w:tcPr>
            <w:tcW w:type="dxa" w:w="1944"/>
          </w:tcPr>
          <w:p>
            <w:pPr>
              <w:spacing w:after="20"/>
              <w:jc w:val="right"/>
            </w:pPr>
            <w:r>
              <w:rPr>
                <w:color w:val="1C3A36"/>
                <w:sz w:val="16"/>
              </w:rPr>
              <w:t>-406</w:t>
            </w:r>
          </w:p>
        </w:tc>
        <w:tc>
          <w:tcPr>
            <w:tcW w:type="dxa" w:w="3672"/>
          </w:tcPr>
          <w:p>
            <w:pPr>
              <w:spacing w:after="20"/>
            </w:pPr>
            <w:r>
              <w:rPr>
                <w:color w:val="1C3A36"/>
                <w:sz w:val="16"/>
              </w:rPr>
            </w:r>
          </w:p>
        </w:tc>
      </w:tr>
      <w:t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1,400</w:t>
            </w:r>
          </w:p>
        </w:tc>
        <w:tc>
          <w:tcPr>
            <w:tcW w:type="dxa" w:w="3672"/>
          </w:tcPr>
          <w:p>
            <w:pPr>
              <w:spacing w:after="20"/>
            </w:pPr>
            <w:r>
              <w:rPr>
                <w:color w:val="1C3A36"/>
                <w:sz w:val="16"/>
              </w:rPr>
            </w:r>
          </w:p>
        </w:tc>
      </w:tr>
      <w:t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13,996</w:t>
            </w:r>
          </w:p>
        </w:tc>
        <w:tc>
          <w:tcPr>
            <w:tcW w:type="dxa" w:w="3672"/>
          </w:tcPr>
          <w:p>
            <w:pPr>
              <w:spacing w:after="20"/>
            </w:pPr>
            <w:r>
              <w:rPr>
                <w:color w:val="1C3A36"/>
                <w:sz w:val="16"/>
              </w:rPr>
            </w:r>
          </w:p>
        </w:tc>
      </w:tr>
      <w:t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c>
          <w:tcPr>
            <w:tcW w:type="dxa" w:w="4320"/>
          </w:tcPr>
          <w:p>
            <w:pPr>
              <w:spacing w:after="20"/>
            </w:pPr>
            <w:r>
              <w:rPr>
                <w:color w:val="1C3A36"/>
                <w:sz w:val="16"/>
              </w:rPr>
              <w:t>PER SHARE (EGP)</w:t>
            </w:r>
          </w:p>
        </w:tc>
        <w:tc>
          <w:tcPr>
            <w:tcW w:type="dxa" w:w="1944"/>
          </w:tcPr>
          <w:p>
            <w:pPr>
              <w:spacing w:after="20"/>
              <w:jc w:val="right"/>
            </w:pPr>
            <w:r>
              <w:rPr>
                <w:color w:val="1C3A36"/>
                <w:sz w:val="16"/>
              </w:rPr>
              <w:t>3.78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29.  Expert 2's workings in full — every intermediate line, not a summary of them.</w:t>
      </w:r>
    </w:p>
    <w:p>
      <w:pPr>
        <w:spacing w:after="120" w:before="0"/>
      </w:pPr>
      <w:r>
        <w:rPr>
          <w:b/>
          <w:i w:val="0"/>
          <w:color w:val="1C3A36"/>
          <w:sz w:val="21"/>
        </w:rPr>
        <w:t>Range: EGP 2.37 to EGP 5.19 a share.</w:t>
      </w:r>
    </w:p>
    <w:p>
      <w:pPr>
        <w:spacing w:after="120" w:before="0"/>
      </w:pPr>
      <w:r>
        <w:rPr>
          <w:b w:val="0"/>
          <w:i w:val="0"/>
          <w:color w:val="1C3A36"/>
          <w:sz w:val="19"/>
        </w:rPr>
        <w:t>Reading it.  The middle reading, and the one closest to a conventional analyst's answer. It credits an ordinary year — EGP 9,404m of revenue and EGP 2,697m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2.37, twelve times EGP 5.19.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8,461</w:t>
            </w:r>
          </w:p>
        </w:tc>
        <w:tc>
          <w:tcPr>
            <w:tcW w:type="dxa" w:w="3672"/>
          </w:tcPr>
          <w:p>
            <w:pPr>
              <w:spacing w:after="20"/>
            </w:pPr>
            <w:r>
              <w:rPr>
                <w:color w:val="1C3A36"/>
                <w:sz w:val="16"/>
              </w:rPr>
              <w:t>the underlying</w:t>
            </w:r>
          </w:p>
        </w:tc>
      </w:tr>
      <w:t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4,442</w:t>
            </w:r>
          </w:p>
        </w:tc>
        <w:tc>
          <w:tcPr>
            <w:tcW w:type="dxa" w:w="3672"/>
          </w:tcPr>
          <w:p>
            <w:pPr>
              <w:spacing w:after="20"/>
            </w:pPr>
            <w:r>
              <w:rPr>
                <w:color w:val="1C3A36"/>
                <w:sz w:val="16"/>
              </w:rPr>
            </w:r>
          </w:p>
        </w:tc>
      </w:tr>
      <w:tr>
        <w:tc>
          <w:tcPr>
            <w:tcW w:type="dxa" w:w="4320"/>
          </w:tcPr>
          <w:p>
            <w:pPr>
              <w:spacing w:after="20"/>
            </w:pPr>
            <w:r>
              <w:rPr>
                <w:color w:val="1C3A36"/>
                <w:sz w:val="16"/>
              </w:rPr>
              <w:t>At 35% volatility (EGP m)</w:t>
            </w:r>
          </w:p>
        </w:tc>
        <w:tc>
          <w:tcPr>
            <w:tcW w:type="dxa" w:w="1944"/>
          </w:tcPr>
          <w:p>
            <w:pPr>
              <w:spacing w:after="20"/>
              <w:jc w:val="right"/>
            </w:pPr>
            <w:r>
              <w:rPr>
                <w:color w:val="1C3A36"/>
                <w:sz w:val="16"/>
              </w:rPr>
              <w:t>3,963</w:t>
            </w:r>
          </w:p>
        </w:tc>
        <w:tc>
          <w:tcPr>
            <w:tcW w:type="dxa" w:w="3672"/>
          </w:tcPr>
          <w:p>
            <w:pPr>
              <w:spacing w:after="20"/>
            </w:pPr>
            <w:r>
              <w:rPr>
                <w:color w:val="1C3A36"/>
                <w:sz w:val="16"/>
              </w:rPr>
            </w:r>
          </w:p>
        </w:tc>
      </w:tr>
      <w:tr>
        <w:tc>
          <w:tcPr>
            <w:tcW w:type="dxa" w:w="4320"/>
          </w:tcPr>
          <w:p>
            <w:pPr>
              <w:spacing w:after="20"/>
            </w:pPr>
            <w:r>
              <w:rPr>
                <w:color w:val="1C3A36"/>
                <w:sz w:val="16"/>
              </w:rPr>
              <w:t>At 55% volatility (EGP m)</w:t>
            </w:r>
          </w:p>
        </w:tc>
        <w:tc>
          <w:tcPr>
            <w:tcW w:type="dxa" w:w="1944"/>
          </w:tcPr>
          <w:p>
            <w:pPr>
              <w:spacing w:after="20"/>
              <w:jc w:val="right"/>
            </w:pPr>
            <w:r>
              <w:rPr>
                <w:color w:val="1C3A36"/>
                <w:sz w:val="16"/>
              </w:rPr>
              <w:t>4,916</w:t>
            </w:r>
          </w:p>
        </w:tc>
        <w:tc>
          <w:tcPr>
            <w:tcW w:type="dxa" w:w="3672"/>
          </w:tcPr>
          <w:p>
            <w:pPr>
              <w:spacing w:after="20"/>
            </w:pPr>
            <w:r>
              <w:rPr>
                <w:color w:val="1C3A36"/>
                <w:sz w:val="16"/>
              </w:rPr>
            </w:r>
          </w:p>
        </w:tc>
      </w:tr>
      <w:t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c>
          <w:tcPr>
            <w:tcW w:type="dxa" w:w="4320"/>
          </w:tcPr>
          <w:p>
            <w:pPr>
              <w:spacing w:after="20"/>
            </w:pPr>
            <w:r>
              <w:rPr>
                <w:color w:val="1C3A36"/>
                <w:sz w:val="16"/>
              </w:rPr>
              <w:t>Adjusted call value (EGP m)</w:t>
            </w:r>
          </w:p>
        </w:tc>
        <w:tc>
          <w:tcPr>
            <w:tcW w:type="dxa" w:w="1944"/>
          </w:tcPr>
          <w:p>
            <w:pPr>
              <w:spacing w:after="20"/>
              <w:jc w:val="right"/>
            </w:pPr>
            <w:r>
              <w:rPr>
                <w:color w:val="1C3A36"/>
                <w:sz w:val="16"/>
              </w:rPr>
              <w:t>3,331</w:t>
            </w:r>
          </w:p>
        </w:tc>
        <w:tc>
          <w:tcPr>
            <w:tcW w:type="dxa" w:w="3672"/>
          </w:tcPr>
          <w:p>
            <w:pPr>
              <w:spacing w:after="20"/>
            </w:pPr>
            <w:r>
              <w:rPr>
                <w:color w:val="1C3A36"/>
                <w:sz w:val="16"/>
              </w:rPr>
            </w:r>
          </w:p>
        </w:tc>
      </w:tr>
      <w:tr>
        <w:tc>
          <w:tcPr>
            <w:tcW w:type="dxa" w:w="4320"/>
          </w:tcPr>
          <w:p>
            <w:pPr>
              <w:spacing w:after="20"/>
            </w:pPr>
            <w:r>
              <w:rPr>
                <w:color w:val="1C3A36"/>
                <w:sz w:val="16"/>
              </w:rPr>
              <w:t>PER SHARE (EGP)</w:t>
            </w:r>
          </w:p>
        </w:tc>
        <w:tc>
          <w:tcPr>
            <w:tcW w:type="dxa" w:w="1944"/>
          </w:tcPr>
          <w:p>
            <w:pPr>
              <w:spacing w:after="20"/>
              <w:jc w:val="right"/>
            </w:pPr>
            <w:r>
              <w:rPr>
                <w:color w:val="1C3A36"/>
                <w:sz w:val="16"/>
              </w:rPr>
              <w:t>1.68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30.  Expert 3's workings in full — every intermediate line, not a summary of them.</w:t>
      </w:r>
    </w:p>
    <w:p>
      <w:pPr>
        <w:spacing w:after="120" w:before="0"/>
      </w:pPr>
      <w:r>
        <w:rPr>
          <w:b/>
          <w:i w:val="0"/>
          <w:color w:val="1C3A36"/>
          <w:sz w:val="21"/>
        </w:rPr>
        <w:t>Range: EGP 0.00 to EGP 1.86 a share.</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8,461m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0.72 a share, and at 60% over seven years EGP 2.36.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c>
          <w:tcPr>
            <w:tcW w:type="dxa" w:w="2232"/>
          </w:tcPr>
          <w:p>
            <w:pPr>
              <w:spacing w:after="20"/>
            </w:pPr>
            <w:r>
              <w:rPr>
                <w:color w:val="1C3A36"/>
                <w:sz w:val="17"/>
              </w:rPr>
              <w:t>3 years</w:t>
            </w:r>
          </w:p>
        </w:tc>
        <w:tc>
          <w:tcPr>
            <w:tcW w:type="dxa" w:w="1541"/>
          </w:tcPr>
          <w:p>
            <w:pPr>
              <w:spacing w:after="20"/>
              <w:jc w:val="right"/>
            </w:pPr>
            <w:r>
              <w:rPr>
                <w:color w:val="1C3A36"/>
                <w:sz w:val="17"/>
              </w:rPr>
              <w:t>0.72</w:t>
            </w:r>
          </w:p>
        </w:tc>
        <w:tc>
          <w:tcPr>
            <w:tcW w:type="dxa" w:w="1541"/>
          </w:tcPr>
          <w:p>
            <w:pPr>
              <w:spacing w:after="20"/>
              <w:jc w:val="right"/>
            </w:pPr>
            <w:r>
              <w:rPr>
                <w:color w:val="1C3A36"/>
                <w:sz w:val="17"/>
              </w:rPr>
              <w:t>0.82</w:t>
            </w:r>
          </w:p>
        </w:tc>
        <w:tc>
          <w:tcPr>
            <w:tcW w:type="dxa" w:w="1541"/>
          </w:tcPr>
          <w:p>
            <w:pPr>
              <w:spacing w:after="20"/>
              <w:jc w:val="right"/>
            </w:pPr>
            <w:r>
              <w:rPr>
                <w:color w:val="1C3A36"/>
                <w:sz w:val="17"/>
              </w:rPr>
              <w:t>1.03</w:t>
            </w:r>
          </w:p>
        </w:tc>
        <w:tc>
          <w:tcPr>
            <w:tcW w:type="dxa" w:w="1541"/>
          </w:tcPr>
          <w:p>
            <w:pPr>
              <w:spacing w:after="20"/>
              <w:jc w:val="right"/>
            </w:pPr>
            <w:r>
              <w:rPr>
                <w:color w:val="1C3A36"/>
                <w:sz w:val="17"/>
              </w:rPr>
              <w:t>1.22</w:t>
            </w:r>
          </w:p>
        </w:tc>
        <w:tc>
          <w:tcPr>
            <w:tcW w:type="dxa" w:w="1541"/>
          </w:tcPr>
          <w:p>
            <w:pPr>
              <w:spacing w:after="20"/>
              <w:jc w:val="right"/>
            </w:pPr>
            <w:r>
              <w:rPr>
                <w:color w:val="1C3A36"/>
                <w:sz w:val="17"/>
              </w:rPr>
              <w:t>1.32</w:t>
            </w:r>
          </w:p>
        </w:tc>
      </w:tr>
      <w:tr>
        <w:tc>
          <w:tcPr>
            <w:tcW w:type="dxa" w:w="2232"/>
          </w:tcPr>
          <w:p>
            <w:pPr>
              <w:spacing w:after="20"/>
            </w:pPr>
            <w:r>
              <w:rPr>
                <w:color w:val="1C3A36"/>
                <w:sz w:val="17"/>
              </w:rPr>
              <w:t>5 years</w:t>
            </w:r>
          </w:p>
        </w:tc>
        <w:tc>
          <w:tcPr>
            <w:tcW w:type="dxa" w:w="1541"/>
          </w:tcPr>
          <w:p>
            <w:pPr>
              <w:spacing w:after="20"/>
              <w:jc w:val="right"/>
            </w:pPr>
            <w:r>
              <w:rPr>
                <w:color w:val="1C3A36"/>
                <w:sz w:val="17"/>
              </w:rPr>
              <w:t>1.41</w:t>
            </w:r>
          </w:p>
        </w:tc>
        <w:tc>
          <w:tcPr>
            <w:tcW w:type="dxa" w:w="1541"/>
          </w:tcPr>
          <w:p>
            <w:pPr>
              <w:spacing w:after="20"/>
              <w:jc w:val="right"/>
            </w:pPr>
            <w:r>
              <w:rPr>
                <w:color w:val="1C3A36"/>
                <w:sz w:val="17"/>
              </w:rPr>
              <w:t>1.50</w:t>
            </w:r>
          </w:p>
        </w:tc>
        <w:tc>
          <w:tcPr>
            <w:tcW w:type="dxa" w:w="1541"/>
          </w:tcPr>
          <w:p>
            <w:pPr>
              <w:spacing w:after="20"/>
              <w:jc w:val="right"/>
            </w:pPr>
            <w:r>
              <w:rPr>
                <w:color w:val="1C3A36"/>
                <w:sz w:val="17"/>
              </w:rPr>
              <w:t>1.68</w:t>
            </w:r>
          </w:p>
        </w:tc>
        <w:tc>
          <w:tcPr>
            <w:tcW w:type="dxa" w:w="1541"/>
          </w:tcPr>
          <w:p>
            <w:pPr>
              <w:spacing w:after="20"/>
              <w:jc w:val="right"/>
            </w:pPr>
            <w:r>
              <w:rPr>
                <w:color w:val="1C3A36"/>
                <w:sz w:val="17"/>
              </w:rPr>
              <w:t>1.86</w:t>
            </w:r>
          </w:p>
        </w:tc>
        <w:tc>
          <w:tcPr>
            <w:tcW w:type="dxa" w:w="1541"/>
          </w:tcPr>
          <w:p>
            <w:pPr>
              <w:spacing w:after="20"/>
              <w:jc w:val="right"/>
            </w:pPr>
            <w:r>
              <w:rPr>
                <w:color w:val="1C3A36"/>
                <w:sz w:val="17"/>
              </w:rPr>
              <w:t>1.94</w:t>
            </w:r>
          </w:p>
        </w:tc>
      </w:tr>
      <w:tr>
        <w:tc>
          <w:tcPr>
            <w:tcW w:type="dxa" w:w="2232"/>
          </w:tcPr>
          <w:p>
            <w:pPr>
              <w:spacing w:after="20"/>
            </w:pPr>
            <w:r>
              <w:rPr>
                <w:color w:val="1C3A36"/>
                <w:sz w:val="17"/>
              </w:rPr>
              <w:t>7 years</w:t>
            </w:r>
          </w:p>
        </w:tc>
        <w:tc>
          <w:tcPr>
            <w:tcW w:type="dxa" w:w="1541"/>
          </w:tcPr>
          <w:p>
            <w:pPr>
              <w:spacing w:after="20"/>
              <w:jc w:val="right"/>
            </w:pPr>
            <w:r>
              <w:rPr>
                <w:color w:val="1C3A36"/>
                <w:sz w:val="17"/>
              </w:rPr>
              <w:t>1.95</w:t>
            </w:r>
          </w:p>
        </w:tc>
        <w:tc>
          <w:tcPr>
            <w:tcW w:type="dxa" w:w="1541"/>
          </w:tcPr>
          <w:p>
            <w:pPr>
              <w:spacing w:after="20"/>
              <w:jc w:val="right"/>
            </w:pPr>
            <w:r>
              <w:rPr>
                <w:color w:val="1C3A36"/>
                <w:sz w:val="17"/>
              </w:rPr>
              <w:t>2.01</w:t>
            </w:r>
          </w:p>
        </w:tc>
        <w:tc>
          <w:tcPr>
            <w:tcW w:type="dxa" w:w="1541"/>
          </w:tcPr>
          <w:p>
            <w:pPr>
              <w:spacing w:after="20"/>
              <w:jc w:val="right"/>
            </w:pPr>
            <w:r>
              <w:rPr>
                <w:color w:val="1C3A36"/>
                <w:sz w:val="17"/>
              </w:rPr>
              <w:t>2.14</w:t>
            </w:r>
          </w:p>
        </w:tc>
        <w:tc>
          <w:tcPr>
            <w:tcW w:type="dxa" w:w="1541"/>
          </w:tcPr>
          <w:p>
            <w:pPr>
              <w:spacing w:after="20"/>
              <w:jc w:val="right"/>
            </w:pPr>
            <w:r>
              <w:rPr>
                <w:color w:val="1C3A36"/>
                <w:sz w:val="17"/>
              </w:rPr>
              <w:t>2.29</w:t>
            </w:r>
          </w:p>
        </w:tc>
        <w:tc>
          <w:tcPr>
            <w:tcW w:type="dxa" w:w="1541"/>
          </w:tcPr>
          <w:p>
            <w:pPr>
              <w:spacing w:after="20"/>
              <w:jc w:val="right"/>
            </w:pPr>
            <w:r>
              <w:rPr>
                <w:color w:val="1C3A36"/>
                <w:sz w:val="17"/>
              </w:rPr>
              <w:t>2.36</w:t>
            </w:r>
          </w:p>
        </w:tc>
      </w:tr>
    </w:tbl>
    <w:p>
      <w:pPr>
        <w:spacing w:after="40"/>
      </w:pPr>
    </w:p>
    <w:p>
      <w:pPr>
        <w:spacing w:after="200" w:before="0"/>
      </w:pPr>
      <w:r>
        <w:rPr>
          <w:b w:val="0"/>
          <w:i/>
          <w:color w:val="6E7B77"/>
          <w:sz w:val="17"/>
        </w:rPr>
        <w:t>Table 31.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1.50 a share, at 55% EGP 1.86.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7.44.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c>
          <w:tcPr>
            <w:tcW w:type="dxa" w:w="2736"/>
          </w:tcPr>
          <w:p>
            <w:pPr>
              <w:spacing w:after="20"/>
            </w:pPr>
            <w:r>
              <w:rPr>
                <w:color w:val="1C3A36"/>
                <w:sz w:val="16"/>
              </w:rPr>
              <w:t>Expert 1 against Expert 2</w:t>
            </w:r>
          </w:p>
        </w:tc>
        <w:tc>
          <w:tcPr>
            <w:tcW w:type="dxa" w:w="1440"/>
          </w:tcPr>
          <w:p>
            <w:pPr>
              <w:spacing w:after="20"/>
              <w:jc w:val="right"/>
            </w:pPr>
            <w:r>
              <w:rPr>
                <w:color w:val="1C3A36"/>
                <w:sz w:val="16"/>
              </w:rPr>
              <w:t>2.10</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c>
          <w:tcPr>
            <w:tcW w:type="dxa" w:w="2736"/>
          </w:tcPr>
          <w:p>
            <w:pPr>
              <w:spacing w:after="20"/>
            </w:pPr>
            <w:r>
              <w:rPr>
                <w:color w:val="1C3A36"/>
                <w:sz w:val="16"/>
              </w:rPr>
              <w:t>Expert 2 against Expert 3</w:t>
            </w:r>
          </w:p>
        </w:tc>
        <w:tc>
          <w:tcPr>
            <w:tcW w:type="dxa" w:w="1440"/>
          </w:tcPr>
          <w:p>
            <w:pPr>
              <w:spacing w:after="20"/>
              <w:jc w:val="right"/>
            </w:pPr>
            <w:r>
              <w:rPr>
                <w:color w:val="1C3A36"/>
                <w:sz w:val="16"/>
              </w:rPr>
              <w:t>0.51</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c>
          <w:tcPr>
            <w:tcW w:type="dxa" w:w="2736"/>
          </w:tcPr>
          <w:p>
            <w:pPr>
              <w:spacing w:after="20"/>
            </w:pPr>
            <w:r>
              <w:rPr>
                <w:color w:val="1C3A36"/>
                <w:sz w:val="16"/>
              </w:rPr>
              <w:t>Expert 1 against Expert 3</w:t>
            </w:r>
          </w:p>
        </w:tc>
        <w:tc>
          <w:tcPr>
            <w:tcW w:type="dxa" w:w="1440"/>
          </w:tcPr>
          <w:p>
            <w:pPr>
              <w:spacing w:after="20"/>
              <w:jc w:val="right"/>
            </w:pPr>
            <w:r>
              <w:rPr>
                <w:color w:val="1C3A36"/>
                <w:sz w:val="16"/>
              </w:rPr>
              <w:t>2.61</w:t>
            </w:r>
          </w:p>
        </w:tc>
        <w:tc>
          <w:tcPr>
            <w:tcW w:type="dxa" w:w="5904"/>
          </w:tcPr>
          <w:p>
            <w:pPr>
              <w:spacing w:after="20"/>
            </w:pPr>
            <w:r>
              <w:rPr>
                <w:color w:val="1C3A36"/>
                <w:sz w:val="16"/>
              </w:rPr>
              <w:t>Both of the above at once, which is why this is the widest pair.</w:t>
            </w:r>
          </w:p>
        </w:tc>
      </w:tr>
      <w:t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0.79</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c>
          <w:tcPr>
            <w:tcW w:type="dxa" w:w="2736"/>
          </w:tcPr>
          <w:p>
            <w:pPr>
              <w:spacing w:after="20"/>
            </w:pPr>
            <w:r>
              <w:rPr>
                <w:color w:val="1C3A36"/>
                <w:sz w:val="16"/>
              </w:rPr>
              <w:t>The whole study against the market</w:t>
            </w:r>
          </w:p>
        </w:tc>
        <w:tc>
          <w:tcPr>
            <w:tcW w:type="dxa" w:w="1440"/>
          </w:tcPr>
          <w:p>
            <w:pPr>
              <w:spacing w:after="20"/>
              <w:jc w:val="right"/>
            </w:pPr>
            <w:r>
              <w:rPr>
                <w:color w:val="1C3A36"/>
                <w:sz w:val="16"/>
              </w:rPr>
              <w:t>-7.06</w:t>
            </w:r>
          </w:p>
        </w:tc>
        <w:tc>
          <w:tcPr>
            <w:tcW w:type="dxa" w:w="5904"/>
          </w:tcPr>
          <w:p>
            <w:pPr>
              <w:spacing w:after="20"/>
            </w:pPr>
            <w:r>
              <w:rPr>
                <w:color w:val="1C3A36"/>
                <w:sz w:val="16"/>
              </w:rPr>
              <w:t>The discount rate, and only the discount rate. At about 10.1% the market's price is reproduced; at any rate anchored to Egypt's sovereign it is not.</w:t>
            </w:r>
          </w:p>
        </w:tc>
      </w:tr>
    </w:tbl>
    <w:p>
      <w:pPr>
        <w:spacing w:after="40"/>
      </w:pPr>
    </w:p>
    <w:p>
      <w:pPr>
        <w:spacing w:after="200" w:before="0"/>
      </w:pPr>
      <w:r>
        <w:rPr>
          <w:b w:val="0"/>
          <w:i/>
          <w:color w:val="6E7B77"/>
          <w:sz w:val="17"/>
        </w:rPr>
        <w:t>Table 32.  Each gap isolated to the one assumption that creates it.</w:t>
      </w:r>
    </w:p>
    <w:p>
      <w:pPr>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275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8 August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