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160"/>
      </w:pPr>
      <w:r>
        <w:rPr>
          <w:b/>
          <w:i w:val="0"/>
          <w:color w:val="1C3A36"/>
          <w:sz w:val="44"/>
        </w:rPr>
        <w:t>Elm Company</w:t>
      </w:r>
    </w:p>
    <w:p>
      <w:pPr>
        <w:spacing w:after="20" w:before="0"/>
      </w:pPr>
      <w:r>
        <w:rPr>
          <w:b w:val="0"/>
          <w:i w:val="0"/>
          <w:color w:val="896F36"/>
          <w:sz w:val="24"/>
        </w:rPr>
        <w:t>Valuation Study — Tadawul: 7203  ·  reporting currency SAR</w:t>
      </w:r>
    </w:p>
    <w:p>
      <w:pPr>
        <w:spacing w:after="120" w:before="0"/>
      </w:pPr>
      <w:r>
        <w:rPr>
          <w:b w:val="0"/>
          <w:i/>
          <w:color w:val="6E7B77"/>
          <w:sz w:val="21"/>
        </w:rPr>
        <w:t>Fundamental analysis · Technical analysis · Monte Carlo simulation — one integrated read</w:t>
      </w:r>
    </w:p>
    <w:p>
      <w:pPr>
        <w:spacing w:after="120" w:before="0"/>
      </w:pPr>
      <w:r>
        <w:rPr>
          <w:b/>
          <w:i w:val="0"/>
          <w:color w:val="1C3A36"/>
          <w:sz w:val="20"/>
        </w:rPr>
        <w:t xml:space="preserve">Spot </w:t>
      </w:r>
      <w:r>
        <w:rPr>
          <w:b w:val="0"/>
          <w:i w:val="0"/>
          <w:color w:val="1C3A36"/>
          <w:sz w:val="20"/>
        </w:rPr>
        <w:t>SAR 658.50</w:t>
      </w:r>
      <w:r>
        <w:rPr>
          <w:b/>
          <w:i w:val="0"/>
          <w:color w:val="1C3A36"/>
          <w:sz w:val="20"/>
        </w:rPr>
        <w:t xml:space="preserve">   ·   close </w:t>
      </w:r>
      <w:r>
        <w:rPr>
          <w:b w:val="0"/>
          <w:i w:val="0"/>
          <w:color w:val="1C3A36"/>
          <w:sz w:val="20"/>
        </w:rPr>
        <w:t>2026-07-07</w:t>
      </w:r>
      <w:r>
        <w:rPr>
          <w:b/>
          <w:i w:val="0"/>
          <w:color w:val="1C3A36"/>
          <w:sz w:val="20"/>
        </w:rPr>
        <w:t xml:space="preserve">   ·   shares </w:t>
      </w:r>
      <w:r>
        <w:rPr>
          <w:b w:val="0"/>
          <w:i w:val="0"/>
          <w:color w:val="1C3A36"/>
          <w:sz w:val="20"/>
        </w:rPr>
        <w:t>80m</w:t>
      </w:r>
      <w:r>
        <w:rPr>
          <w:b/>
          <w:i w:val="0"/>
          <w:color w:val="1C3A36"/>
          <w:sz w:val="20"/>
        </w:rPr>
        <w:t xml:space="preserve">   ·   market cap </w:t>
      </w:r>
      <w:r>
        <w:rPr>
          <w:b w:val="0"/>
          <w:i w:val="0"/>
          <w:color w:val="1C3A36"/>
          <w:sz w:val="20"/>
        </w:rPr>
        <w:t>SAR 52.7bn</w:t>
      </w:r>
      <w:r>
        <w:rPr>
          <w:b/>
          <w:i w:val="0"/>
          <w:color w:val="1C3A36"/>
          <w:sz w:val="20"/>
        </w:rPr>
        <w:t xml:space="preserve">   ·   div yield </w:t>
      </w:r>
      <w:r>
        <w:rPr>
          <w:b w:val="0"/>
          <w:i w:val="0"/>
          <w:color w:val="1C3A36"/>
          <w:sz w:val="20"/>
        </w:rPr>
        <w:t>1.3%</w:t>
      </w:r>
    </w:p>
    <w:p>
      <w:pPr>
        <w:spacing w:after="120" w:before="0"/>
      </w:pPr>
      <w:r>
        <w:rPr>
          <w:b/>
          <w:i w:val="0"/>
          <w:color w:val="1C3A36"/>
          <w:sz w:val="20"/>
        </w:rPr>
        <w:t xml:space="preserve">One-line thesis: </w:t>
      </w:r>
      <w:r>
        <w:rPr>
          <w:b w:val="0"/>
          <w:i/>
          <w:color w:val="1C3A36"/>
          <w:sz w:val="20"/>
        </w:rPr>
        <w:t>a monopolistic government-digital-platform compounder that has de-rated ~49% from its Jan-2025 peak; after the crash it trades roughly around a neutral-beta fair value, and the swing factor is now the discount rate the market assigns it.</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w:t>
            </w:r>
            <w:r>
              <w:rPr>
                <w:color w:val="1C3A36"/>
                <w:sz w:val="19"/>
              </w:rPr>
              <w:t>This is an educational valuation study, not investment advice, and contains no recommendation, rating, or price target. It presents a range of fair value and a probability distribution of the three-month price path — descriptive, never directive. Elm has a short (~4.4-year) listed history dominated by one boom-bust cycle; several forecast inputs are the preparer’s own flagged views, and the discount rate — the single largest swing factor — is deliberately shown across a wide sensitivity band rather than as a point. The preparer may hold, and may in future take or dispose of, a position in the security discussed.</w:t>
            </w:r>
          </w:p>
        </w:tc>
      </w:tr>
    </w:tbl>
    <w:p>
      <w:pPr>
        <w:spacing w:after="40"/>
      </w:pPr>
    </w:p>
    <w:p>
      <w:pPr>
        <w:spacing w:after="100" w:before="260"/>
      </w:pPr>
      <w:r>
        <w:rPr>
          <w:b/>
          <w:i w:val="0"/>
          <w:color w:val="1C3A36"/>
          <w:sz w:val="29"/>
        </w:rPr>
        <w:t>The company</w:t>
      </w:r>
    </w:p>
    <w:p>
      <w:pPr>
        <w:spacing w:after="120" w:before="0"/>
      </w:pPr>
      <w:r>
        <w:rPr>
          <w:b w:val="0"/>
          <w:i w:val="0"/>
          <w:color w:val="1C3A36"/>
          <w:sz w:val="20"/>
        </w:rPr>
        <w:t>Elm Company is Saudi Arabia’s leading provider of digital-government services and business-process outsourcing. Founded in Riyadh in 1988 and majority-owned by the state through the Public Investment Fund, Elm builds and operates the digital platforms through which Saudi citizens, residents and businesses transact with the government — among them Absher (national identity, visa and traffic services), Muqeem (residency and work permits) and Nusuk (pilgrimage planning) — alongside a business-enablement and outsourcing arm and a professional-services and consulting practice. Its competitive moat rests on privileged, largely exclusive access to the Kingdom’s national data registry, which the company turns into high-margin, transaction- and subscription-based products; roughly 70% of revenue is recurring and about 38% is earned from the public sector. Since listing on the Tadawul in February 2022, Elm has compounded revenue at about 25% a year to SAR 7.4bn in 2024 while earning exceptional returns on capital (ROIC ~88%) from an asset-light, net-cash balance sheet — making it one of the most direct listed proxies for Vision 2030’s drive to digitise the Saudi economy.</w:t>
      </w:r>
    </w:p>
    <w:p>
      <w:pPr>
        <w:spacing w:after="60" w:before="180"/>
      </w:pPr>
      <w:r>
        <w:rPr>
          <w:b/>
          <w:i w:val="0"/>
          <w:color w:val="1C3A36"/>
          <w:sz w:val="23"/>
        </w:rPr>
        <w:t>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2736"/>
            <w:shd w:val="clear" w:color="auto" w:fill="EAF0EE"/>
          </w:tcPr>
          <w:p>
            <w:pPr>
              <w:spacing w:after="20"/>
            </w:pPr>
            <w:r>
              <w:rPr>
                <w:b/>
                <w:color w:val="1C3A36"/>
                <w:sz w:val="17"/>
              </w:rPr>
              <w:t>Item</w:t>
            </w:r>
          </w:p>
        </w:tc>
        <w:tc>
          <w:tcPr>
            <w:tcW w:type="dxa" w:w="7344"/>
            <w:shd w:val="clear" w:color="auto" w:fill="EAF0EE"/>
          </w:tcPr>
          <w:p>
            <w:pPr>
              <w:spacing w:after="20"/>
            </w:pPr>
            <w:r>
              <w:rPr>
                <w:b/>
                <w:color w:val="1C3A36"/>
                <w:sz w:val="17"/>
              </w:rPr>
              <w:t>Value</w:t>
            </w:r>
          </w:p>
        </w:tc>
      </w:tr>
      <w:tr>
        <w:tc>
          <w:tcPr>
            <w:tcW w:type="dxa" w:w="2736"/>
          </w:tcPr>
          <w:p>
            <w:pPr>
              <w:spacing w:after="20"/>
            </w:pPr>
            <w:r>
              <w:rPr>
                <w:b/>
                <w:color w:val="1C3A36"/>
                <w:sz w:val="17"/>
              </w:rPr>
              <w:t>Listing</w:t>
            </w:r>
          </w:p>
        </w:tc>
        <w:tc>
          <w:tcPr>
            <w:tcW w:type="dxa" w:w="7344"/>
          </w:tcPr>
          <w:p>
            <w:pPr>
              <w:spacing w:after="20"/>
              <w:jc w:val="right"/>
            </w:pPr>
            <w:r>
              <w:rPr>
                <w:color w:val="1C3A36"/>
                <w:sz w:val="17"/>
              </w:rPr>
              <w:t>Tadawul: 7203 (IPO 9 Feb 2022 at SAR 128; capital SAR 800mn, 80.0m shares @ par 10)</w:t>
            </w:r>
          </w:p>
        </w:tc>
      </w:tr>
      <w:tr>
        <w:tc>
          <w:tcPr>
            <w:tcW w:type="dxa" w:w="2736"/>
          </w:tcPr>
          <w:p>
            <w:pPr>
              <w:spacing w:after="20"/>
            </w:pPr>
            <w:r>
              <w:rPr>
                <w:b/>
                <w:color w:val="1C3A36"/>
                <w:sz w:val="17"/>
              </w:rPr>
              <w:t>Business</w:t>
            </w:r>
          </w:p>
        </w:tc>
        <w:tc>
          <w:tcPr>
            <w:tcW w:type="dxa" w:w="7344"/>
          </w:tcPr>
          <w:p>
            <w:pPr>
              <w:spacing w:after="20"/>
              <w:jc w:val="right"/>
            </w:pPr>
            <w:r>
              <w:rPr>
                <w:color w:val="1C3A36"/>
                <w:sz w:val="17"/>
              </w:rPr>
              <w:t>Saudi Arabia’s leading digital-services &amp; business-process-outsourcing group (founded 1988)</w:t>
            </w:r>
          </w:p>
        </w:tc>
      </w:tr>
      <w:tr>
        <w:tc>
          <w:tcPr>
            <w:tcW w:type="dxa" w:w="2736"/>
          </w:tcPr>
          <w:p>
            <w:pPr>
              <w:spacing w:after="20"/>
            </w:pPr>
            <w:r>
              <w:rPr>
                <w:b/>
                <w:color w:val="1C3A36"/>
                <w:sz w:val="17"/>
              </w:rPr>
              <w:t>Segments</w:t>
            </w:r>
          </w:p>
        </w:tc>
        <w:tc>
          <w:tcPr>
            <w:tcW w:type="dxa" w:w="7344"/>
          </w:tcPr>
          <w:p>
            <w:pPr>
              <w:spacing w:after="20"/>
              <w:jc w:val="right"/>
            </w:pPr>
            <w:r>
              <w:rPr>
                <w:color w:val="1C3A36"/>
                <w:sz w:val="17"/>
              </w:rPr>
              <w:t>Digital Business (73.8% of 2024 revenue), Business Process Outsourcing, Professional Services</w:t>
            </w:r>
          </w:p>
        </w:tc>
      </w:tr>
      <w:tr>
        <w:tc>
          <w:tcPr>
            <w:tcW w:type="dxa" w:w="2736"/>
          </w:tcPr>
          <w:p>
            <w:pPr>
              <w:spacing w:after="20"/>
            </w:pPr>
            <w:r>
              <w:rPr>
                <w:b/>
                <w:color w:val="1C3A36"/>
                <w:sz w:val="17"/>
              </w:rPr>
              <w:t>Flagship platforms</w:t>
            </w:r>
          </w:p>
        </w:tc>
        <w:tc>
          <w:tcPr>
            <w:tcW w:type="dxa" w:w="7344"/>
          </w:tcPr>
          <w:p>
            <w:pPr>
              <w:spacing w:after="20"/>
              <w:jc w:val="right"/>
            </w:pPr>
            <w:r>
              <w:rPr>
                <w:color w:val="1C3A36"/>
                <w:sz w:val="17"/>
              </w:rPr>
              <w:t>Absher (e-visa/permits), Muqeem (work permits), Nusuk (pilgrimage), Tabadul, Thiqah — national-registry access</w:t>
            </w:r>
          </w:p>
        </w:tc>
      </w:tr>
      <w:tr>
        <w:tc>
          <w:tcPr>
            <w:tcW w:type="dxa" w:w="2736"/>
          </w:tcPr>
          <w:p>
            <w:pPr>
              <w:spacing w:after="20"/>
            </w:pPr>
            <w:r>
              <w:rPr>
                <w:b/>
                <w:color w:val="1C3A36"/>
                <w:sz w:val="17"/>
              </w:rPr>
              <w:t>FY2024 revenue / net profit</w:t>
            </w:r>
          </w:p>
        </w:tc>
        <w:tc>
          <w:tcPr>
            <w:tcW w:type="dxa" w:w="7344"/>
          </w:tcPr>
          <w:p>
            <w:pPr>
              <w:spacing w:after="20"/>
              <w:jc w:val="right"/>
            </w:pPr>
            <w:r>
              <w:rPr>
                <w:color w:val="1C3A36"/>
                <w:sz w:val="17"/>
              </w:rPr>
              <w:t>SAR 7,407mn (+25.6%) / SAR 1,824mn (+35%); EPS SAR 23.51</w:t>
            </w:r>
          </w:p>
        </w:tc>
      </w:tr>
      <w:tr>
        <w:tc>
          <w:tcPr>
            <w:tcW w:type="dxa" w:w="2736"/>
          </w:tcPr>
          <w:p>
            <w:pPr>
              <w:spacing w:after="20"/>
            </w:pPr>
            <w:r>
              <w:rPr>
                <w:b/>
                <w:color w:val="1C3A36"/>
                <w:sz w:val="17"/>
              </w:rPr>
              <w:t>Profitability</w:t>
            </w:r>
          </w:p>
        </w:tc>
        <w:tc>
          <w:tcPr>
            <w:tcW w:type="dxa" w:w="7344"/>
          </w:tcPr>
          <w:p>
            <w:pPr>
              <w:spacing w:after="20"/>
              <w:jc w:val="right"/>
            </w:pPr>
            <w:r>
              <w:rPr>
                <w:color w:val="1C3A36"/>
                <w:sz w:val="17"/>
              </w:rPr>
              <w:t>Gross margin 40.9%, EBIT margin 23.0%, ROE ~39% (avg equity; ~47% trailing), ROIC ~88%; ~70% recurring revenue</w:t>
            </w:r>
          </w:p>
        </w:tc>
      </w:tr>
      <w:tr>
        <w:tc>
          <w:tcPr>
            <w:tcW w:type="dxa" w:w="2736"/>
          </w:tcPr>
          <w:p>
            <w:pPr>
              <w:spacing w:after="20"/>
            </w:pPr>
            <w:r>
              <w:rPr>
                <w:b/>
                <w:color w:val="1C3A36"/>
                <w:sz w:val="17"/>
              </w:rPr>
              <w:t>Balance sheet</w:t>
            </w:r>
          </w:p>
        </w:tc>
        <w:tc>
          <w:tcPr>
            <w:tcW w:type="dxa" w:w="7344"/>
          </w:tcPr>
          <w:p>
            <w:pPr>
              <w:spacing w:after="20"/>
              <w:jc w:val="right"/>
            </w:pPr>
            <w:r>
              <w:rPr>
                <w:color w:val="1C3A36"/>
                <w:sz w:val="17"/>
              </w:rPr>
              <w:t>Net cash (~SAR 4.2bn cash &amp; Murabaha; ~SAR 1.9bn net of leases/income-sharing); negligible financial debt</w:t>
            </w:r>
          </w:p>
        </w:tc>
      </w:tr>
      <w:tr>
        <w:tc>
          <w:tcPr>
            <w:tcW w:type="dxa" w:w="2736"/>
          </w:tcPr>
          <w:p>
            <w:pPr>
              <w:spacing w:after="20"/>
            </w:pPr>
            <w:r>
              <w:rPr>
                <w:b/>
                <w:color w:val="1C3A36"/>
                <w:sz w:val="17"/>
              </w:rPr>
              <w:t>Ownership / customer mix</w:t>
            </w:r>
          </w:p>
        </w:tc>
        <w:tc>
          <w:tcPr>
            <w:tcW w:type="dxa" w:w="7344"/>
          </w:tcPr>
          <w:p>
            <w:pPr>
              <w:spacing w:after="20"/>
              <w:jc w:val="right"/>
            </w:pPr>
            <w:r>
              <w:rPr>
                <w:color w:val="1C3A36"/>
                <w:sz w:val="17"/>
              </w:rPr>
              <w:t>~38.5% of 2024 revenue from the public sector; strategic government relationships</w:t>
            </w:r>
          </w:p>
        </w:tc>
      </w:tr>
      <w:tr>
        <w:tc>
          <w:tcPr>
            <w:tcW w:type="dxa" w:w="2736"/>
          </w:tcPr>
          <w:p>
            <w:pPr>
              <w:spacing w:after="20"/>
            </w:pPr>
            <w:r>
              <w:rPr>
                <w:b/>
                <w:color w:val="1C3A36"/>
                <w:sz w:val="17"/>
              </w:rPr>
              <w:t>Spot / range</w:t>
            </w:r>
          </w:p>
        </w:tc>
        <w:tc>
          <w:tcPr>
            <w:tcW w:type="dxa" w:w="7344"/>
          </w:tcPr>
          <w:p>
            <w:pPr>
              <w:spacing w:after="20"/>
              <w:jc w:val="right"/>
            </w:pPr>
            <w:r>
              <w:rPr>
                <w:color w:val="1C3A36"/>
                <w:sz w:val="17"/>
              </w:rPr>
              <w:t>SAR 658.5; 52-week SAR 509–983; all-time high SAR 1,289 (Jan 2025)</w:t>
            </w:r>
          </w:p>
        </w:tc>
      </w:tr>
    </w:tbl>
    <w:p>
      <w:pPr>
        <w:spacing w:after="40"/>
      </w:pPr>
    </w:p>
    <w:p>
      <w:pPr>
        <w:spacing w:after="100" w:before="260"/>
      </w:pPr>
      <w:r>
        <w:rPr>
          <w:b/>
          <w:i w:val="0"/>
          <w:color w:val="1C3A36"/>
          <w:sz w:val="29"/>
        </w:rPr>
        <w:t>Headline</w:t>
      </w:r>
    </w:p>
    <w:p>
      <w:pPr>
        <w:spacing w:after="120" w:before="0"/>
      </w:pPr>
      <w:r>
        <w:rPr>
          <w:b w:val="0"/>
          <w:i w:val="0"/>
          <w:color w:val="1C3A36"/>
          <w:sz w:val="20"/>
        </w:rPr>
        <w:t xml:space="preserve">Elm listed in February 2022 at SAR 128, ran ~10× to an all-time high of SAR 1,289 (P/E ~56×) in January 2025, and has since de-rated to </w:t>
      </w:r>
      <w:r>
        <w:rPr>
          <w:b/>
          <w:i w:val="0"/>
          <w:color w:val="1C3A36"/>
          <w:sz w:val="20"/>
        </w:rPr>
        <w:t>SAR 658</w:t>
      </w:r>
      <w:r>
        <w:rPr>
          <w:b w:val="0"/>
          <w:i w:val="0"/>
          <w:color w:val="1C3A36"/>
          <w:sz w:val="20"/>
        </w:rPr>
        <w:t xml:space="preserve"> (P/E ~24×) — down ~49% from the peak and ~10% below its 200-day average. </w:t>
      </w:r>
      <w:r>
        <w:rPr>
          <w:b w:val="0"/>
          <w:i w:val="0"/>
          <w:color w:val="1C3A36"/>
          <w:sz w:val="20"/>
        </w:rPr>
        <w:t xml:space="preserve">The crash has done most of the work of correcting the euphoria. On a neutral-beta base case (β 1.0, WACC </w:t>
      </w:r>
      <w:r>
        <w:rPr>
          <w:b/>
          <w:i w:val="0"/>
          <w:color w:val="1C3A36"/>
          <w:sz w:val="20"/>
        </w:rPr>
        <w:t>10.5%</w:t>
      </w:r>
      <w:r>
        <w:rPr>
          <w:b w:val="0"/>
          <w:i w:val="0"/>
          <w:color w:val="1C3A36"/>
          <w:sz w:val="20"/>
        </w:rPr>
        <w:t xml:space="preserve">) the discounted-cash-flow value is ~SAR 576, the relative lenses bracket spot (EV/EBITDA ~SAR 590–660, forward P/E ~SAR 690), and a weighted central fair value sits near </w:t>
      </w:r>
      <w:r>
        <w:rPr>
          <w:b/>
          <w:i w:val="0"/>
          <w:color w:val="1C3A36"/>
          <w:sz w:val="20"/>
        </w:rPr>
        <w:t>SAR 620 (range ~530–720)</w:t>
      </w:r>
      <w:r>
        <w:rPr>
          <w:b w:val="0"/>
          <w:i w:val="0"/>
          <w:color w:val="1C3A36"/>
          <w:sz w:val="20"/>
        </w:rPr>
        <w:t xml:space="preserve">. Spot at SAR 658 is therefore ~6% above that central estimate — roughly fairly valued, a slight premium. </w:t>
      </w:r>
      <w:r>
        <w:rPr>
          <w:b w:val="0"/>
          <w:i w:val="0"/>
          <w:color w:val="1C3A36"/>
          <w:sz w:val="20"/>
        </w:rPr>
        <w:t>The whole valuation, though, hinges on one number: the discount rate a de-rated hyper-grower deserves. At Elm’s unusually low historical beta (~0.37 → WACC ~8%) the DCF says ~SAR 750–900; at a neutral beta ~SAR 576; and if the market now re-rates Elm as a high-beta name post-crash (β ~1.6–2.0 → WACC ~13.5–15.7%) the DCF falls to ~SAR 370–430. That fork is the study’s crux.</w:t>
      </w:r>
    </w:p>
    <w:p>
      <w:pPr>
        <w:spacing w:after="100" w:before="260"/>
      </w:pPr>
      <w:r>
        <w:rPr>
          <w:b/>
          <w:i w:val="0"/>
          <w:color w:val="1C3A36"/>
          <w:sz w:val="29"/>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952"/>
            <w:shd w:val="clear" w:color="auto" w:fill="EAF0EE"/>
          </w:tcPr>
          <w:p>
            <w:pPr>
              <w:spacing w:after="20"/>
            </w:pPr>
            <w:r>
              <w:rPr>
                <w:b/>
                <w:color w:val="1C3A36"/>
                <w:sz w:val="16"/>
              </w:rPr>
              <w:t>Lens</w:t>
            </w:r>
          </w:p>
        </w:tc>
        <w:tc>
          <w:tcPr>
            <w:tcW w:type="dxa" w:w="3672"/>
            <w:shd w:val="clear" w:color="auto" w:fill="EAF0EE"/>
          </w:tcPr>
          <w:p>
            <w:pPr>
              <w:spacing w:after="20"/>
            </w:pPr>
            <w:r>
              <w:rPr>
                <w:b/>
                <w:color w:val="1C3A36"/>
                <w:sz w:val="16"/>
              </w:rPr>
              <w:t>Method</w:t>
            </w:r>
          </w:p>
        </w:tc>
        <w:tc>
          <w:tcPr>
            <w:tcW w:type="dxa" w:w="2952"/>
            <w:shd w:val="clear" w:color="auto" w:fill="EAF0EE"/>
          </w:tcPr>
          <w:p>
            <w:pPr>
              <w:spacing w:after="20"/>
            </w:pPr>
            <w:r>
              <w:rPr>
                <w:b/>
                <w:color w:val="1C3A36"/>
                <w:sz w:val="16"/>
              </w:rPr>
              <w:t>Fair-value read (SAR)</w:t>
            </w:r>
          </w:p>
        </w:tc>
        <w:tc>
          <w:tcPr>
            <w:tcW w:type="dxa" w:w="792"/>
            <w:shd w:val="clear" w:color="auto" w:fill="EAF0EE"/>
          </w:tcPr>
          <w:p>
            <w:pPr>
              <w:spacing w:after="20"/>
            </w:pPr>
            <w:r>
              <w:rPr>
                <w:b/>
                <w:color w:val="1C3A36"/>
                <w:sz w:val="16"/>
              </w:rPr>
              <w:t>Weight</w:t>
            </w:r>
          </w:p>
        </w:tc>
      </w:tr>
      <w:tr>
        <w:tc>
          <w:tcPr>
            <w:tcW w:type="dxa" w:w="2952"/>
          </w:tcPr>
          <w:p>
            <w:pPr>
              <w:spacing w:after="20"/>
            </w:pPr>
            <w:r>
              <w:rPr>
                <w:color w:val="1C3A36"/>
                <w:sz w:val="16"/>
              </w:rPr>
              <w:t>FUNDAMENTAL</w:t>
            </w:r>
          </w:p>
        </w:tc>
        <w:tc>
          <w:tcPr>
            <w:tcW w:type="dxa" w:w="3672"/>
          </w:tcPr>
          <w:p>
            <w:pPr>
              <w:spacing w:after="20"/>
              <w:jc w:val="right"/>
            </w:pPr>
            <w:r>
              <w:rPr>
                <w:color w:val="1C3A36"/>
                <w:sz w:val="16"/>
              </w:rPr>
            </w:r>
          </w:p>
        </w:tc>
        <w:tc>
          <w:tcPr>
            <w:tcW w:type="dxa" w:w="2952"/>
          </w:tcPr>
          <w:p>
            <w:pPr>
              <w:spacing w:after="20"/>
              <w:jc w:val="right"/>
            </w:pPr>
            <w:r>
              <w:rPr>
                <w:color w:val="1C3A36"/>
                <w:sz w:val="16"/>
              </w:rPr>
            </w:r>
          </w:p>
        </w:tc>
        <w:tc>
          <w:tcPr>
            <w:tcW w:type="dxa" w:w="792"/>
          </w:tcPr>
          <w:p>
            <w:pPr>
              <w:spacing w:after="20"/>
              <w:jc w:val="right"/>
            </w:pPr>
            <w:r>
              <w:rPr>
                <w:color w:val="1C3A36"/>
                <w:sz w:val="16"/>
              </w:rPr>
            </w:r>
          </w:p>
        </w:tc>
      </w:tr>
      <w:tr>
        <w:tc>
          <w:tcPr>
            <w:tcW w:type="dxa" w:w="2952"/>
          </w:tcPr>
          <w:p>
            <w:pPr>
              <w:spacing w:after="20"/>
            </w:pPr>
            <w:r>
              <w:rPr>
                <w:color w:val="1C3A36"/>
                <w:sz w:val="16"/>
              </w:rPr>
              <w:t xml:space="preserve">  1.1 Primary — DCF</w:t>
            </w:r>
          </w:p>
        </w:tc>
        <w:tc>
          <w:tcPr>
            <w:tcW w:type="dxa" w:w="3672"/>
          </w:tcPr>
          <w:p>
            <w:pPr>
              <w:spacing w:after="20"/>
              <w:jc w:val="right"/>
            </w:pPr>
            <w:r>
              <w:rPr>
                <w:color w:val="1C3A36"/>
                <w:sz w:val="16"/>
              </w:rPr>
              <w:t>5-yr FCFF, β 1.0, WACC 10.5% (rating) / 11.2% (CDS), g 4%</w:t>
            </w:r>
          </w:p>
        </w:tc>
        <w:tc>
          <w:tcPr>
            <w:tcW w:type="dxa" w:w="2952"/>
          </w:tcPr>
          <w:p>
            <w:pPr>
              <w:spacing w:after="20"/>
              <w:jc w:val="right"/>
            </w:pPr>
            <w:r>
              <w:rPr>
                <w:color w:val="1C3A36"/>
                <w:sz w:val="16"/>
              </w:rPr>
              <w:t>576  (range 396–750 on β 0.7–1.6)</w:t>
            </w:r>
          </w:p>
        </w:tc>
        <w:tc>
          <w:tcPr>
            <w:tcW w:type="dxa" w:w="792"/>
          </w:tcPr>
          <w:p>
            <w:pPr>
              <w:spacing w:after="20"/>
              <w:jc w:val="right"/>
            </w:pPr>
            <w:r>
              <w:rPr>
                <w:color w:val="1C3A36"/>
                <w:sz w:val="16"/>
              </w:rPr>
              <w:t>40%</w:t>
            </w:r>
          </w:p>
        </w:tc>
      </w:tr>
      <w:tr>
        <w:tc>
          <w:tcPr>
            <w:tcW w:type="dxa" w:w="2952"/>
          </w:tcPr>
          <w:p>
            <w:pPr>
              <w:spacing w:after="20"/>
            </w:pPr>
            <w:r>
              <w:rPr>
                <w:color w:val="1C3A36"/>
                <w:sz w:val="16"/>
              </w:rPr>
              <w:t xml:space="preserve">  1.2 Cash-flow cross-check</w:t>
            </w:r>
          </w:p>
        </w:tc>
        <w:tc>
          <w:tcPr>
            <w:tcW w:type="dxa" w:w="3672"/>
          </w:tcPr>
          <w:p>
            <w:pPr>
              <w:spacing w:after="20"/>
              <w:jc w:val="right"/>
            </w:pPr>
            <w:r>
              <w:rPr>
                <w:color w:val="1C3A36"/>
                <w:sz w:val="16"/>
              </w:rPr>
              <w:t>FCFF yield &amp; ROIC-vs-WACC spread</w:t>
            </w:r>
          </w:p>
        </w:tc>
        <w:tc>
          <w:tcPr>
            <w:tcW w:type="dxa" w:w="2952"/>
          </w:tcPr>
          <w:p>
            <w:pPr>
              <w:spacing w:after="20"/>
              <w:jc w:val="right"/>
            </w:pPr>
            <w:r>
              <w:rPr>
                <w:color w:val="1C3A36"/>
                <w:sz w:val="16"/>
              </w:rPr>
              <w:t>directional — supports mid-600s</w:t>
            </w:r>
          </w:p>
        </w:tc>
        <w:tc>
          <w:tcPr>
            <w:tcW w:type="dxa" w:w="792"/>
          </w:tcPr>
          <w:p>
            <w:pPr>
              <w:spacing w:after="20"/>
              <w:jc w:val="right"/>
            </w:pPr>
            <w:r>
              <w:rPr>
                <w:color w:val="1C3A36"/>
                <w:sz w:val="16"/>
              </w:rPr>
            </w:r>
          </w:p>
        </w:tc>
      </w:tr>
      <w:tr>
        <w:tc>
          <w:tcPr>
            <w:tcW w:type="dxa" w:w="2952"/>
          </w:tcPr>
          <w:p>
            <w:pPr>
              <w:spacing w:after="20"/>
            </w:pPr>
            <w:r>
              <w:rPr>
                <w:color w:val="1C3A36"/>
                <w:sz w:val="16"/>
              </w:rPr>
              <w:t xml:space="preserve">  1.3 Relative — EV/EBITDA</w:t>
            </w:r>
          </w:p>
        </w:tc>
        <w:tc>
          <w:tcPr>
            <w:tcW w:type="dxa" w:w="3672"/>
          </w:tcPr>
          <w:p>
            <w:pPr>
              <w:spacing w:after="20"/>
              <w:jc w:val="right"/>
            </w:pPr>
            <w:r>
              <w:rPr>
                <w:color w:val="1C3A36"/>
                <w:sz w:val="16"/>
              </w:rPr>
              <w:t>16–22× 2025e EBITDA of SAR 2,529mn</w:t>
            </w:r>
          </w:p>
        </w:tc>
        <w:tc>
          <w:tcPr>
            <w:tcW w:type="dxa" w:w="2952"/>
          </w:tcPr>
          <w:p>
            <w:pPr>
              <w:spacing w:after="20"/>
              <w:jc w:val="right"/>
            </w:pPr>
            <w:r>
              <w:rPr>
                <w:color w:val="1C3A36"/>
                <w:sz w:val="16"/>
              </w:rPr>
              <w:t>529–719 (18–20× ≈ 593–656)</w:t>
            </w:r>
          </w:p>
        </w:tc>
        <w:tc>
          <w:tcPr>
            <w:tcW w:type="dxa" w:w="792"/>
          </w:tcPr>
          <w:p>
            <w:pPr>
              <w:spacing w:after="20"/>
              <w:jc w:val="right"/>
            </w:pPr>
            <w:r>
              <w:rPr>
                <w:color w:val="1C3A36"/>
                <w:sz w:val="16"/>
              </w:rPr>
              <w:t>25%</w:t>
            </w:r>
          </w:p>
        </w:tc>
      </w:tr>
      <w:tr>
        <w:tc>
          <w:tcPr>
            <w:tcW w:type="dxa" w:w="2952"/>
          </w:tcPr>
          <w:p>
            <w:pPr>
              <w:spacing w:after="20"/>
            </w:pPr>
            <w:r>
              <w:rPr>
                <w:color w:val="1C3A36"/>
                <w:sz w:val="16"/>
              </w:rPr>
              <w:t xml:space="preserve">  1.3 Relative — forward P/E</w:t>
            </w:r>
          </w:p>
        </w:tc>
        <w:tc>
          <w:tcPr>
            <w:tcW w:type="dxa" w:w="3672"/>
          </w:tcPr>
          <w:p>
            <w:pPr>
              <w:spacing w:after="20"/>
              <w:jc w:val="right"/>
            </w:pPr>
            <w:r>
              <w:rPr>
                <w:color w:val="1C3A36"/>
                <w:sz w:val="16"/>
              </w:rPr>
              <w:t>20–28× 2025e EPS of SAR 28.6</w:t>
            </w:r>
          </w:p>
        </w:tc>
        <w:tc>
          <w:tcPr>
            <w:tcW w:type="dxa" w:w="2952"/>
          </w:tcPr>
          <w:p>
            <w:pPr>
              <w:spacing w:after="20"/>
              <w:jc w:val="right"/>
            </w:pPr>
            <w:r>
              <w:rPr>
                <w:color w:val="1C3A36"/>
                <w:sz w:val="16"/>
              </w:rPr>
              <w:t>572–800 (24× ≈ 686)</w:t>
            </w:r>
          </w:p>
        </w:tc>
        <w:tc>
          <w:tcPr>
            <w:tcW w:type="dxa" w:w="792"/>
          </w:tcPr>
          <w:p>
            <w:pPr>
              <w:spacing w:after="20"/>
              <w:jc w:val="right"/>
            </w:pPr>
            <w:r>
              <w:rPr>
                <w:color w:val="1C3A36"/>
                <w:sz w:val="16"/>
              </w:rPr>
              <w:t>30%</w:t>
            </w:r>
          </w:p>
        </w:tc>
      </w:tr>
      <w:tr>
        <w:tc>
          <w:tcPr>
            <w:tcW w:type="dxa" w:w="2952"/>
          </w:tcPr>
          <w:p>
            <w:pPr>
              <w:spacing w:after="20"/>
            </w:pPr>
            <w:r>
              <w:rPr>
                <w:color w:val="1C3A36"/>
                <w:sz w:val="16"/>
              </w:rPr>
              <w:t xml:space="preserve">  1.4 Version/recurring cycle</w:t>
            </w:r>
          </w:p>
        </w:tc>
        <w:tc>
          <w:tcPr>
            <w:tcW w:type="dxa" w:w="3672"/>
          </w:tcPr>
          <w:p>
            <w:pPr>
              <w:spacing w:after="20"/>
              <w:jc w:val="right"/>
            </w:pPr>
            <w:r>
              <w:rPr>
                <w:color w:val="1C3A36"/>
                <w:sz w:val="16"/>
              </w:rPr>
              <w:t>~70% recurring, platform-launch cadence</w:t>
            </w:r>
          </w:p>
        </w:tc>
        <w:tc>
          <w:tcPr>
            <w:tcW w:type="dxa" w:w="2952"/>
          </w:tcPr>
          <w:p>
            <w:pPr>
              <w:spacing w:after="20"/>
              <w:jc w:val="right"/>
            </w:pPr>
            <w:r>
              <w:rPr>
                <w:color w:val="1C3A36"/>
                <w:sz w:val="16"/>
              </w:rPr>
              <w:t>qualitative — durability check</w:t>
            </w:r>
          </w:p>
        </w:tc>
        <w:tc>
          <w:tcPr>
            <w:tcW w:type="dxa" w:w="792"/>
          </w:tcPr>
          <w:p>
            <w:pPr>
              <w:spacing w:after="20"/>
              <w:jc w:val="right"/>
            </w:pPr>
            <w:r>
              <w:rPr>
                <w:color w:val="1C3A36"/>
                <w:sz w:val="16"/>
              </w:rPr>
            </w:r>
          </w:p>
        </w:tc>
      </w:tr>
      <w:tr>
        <w:tc>
          <w:tcPr>
            <w:tcW w:type="dxa" w:w="2952"/>
          </w:tcPr>
          <w:p>
            <w:pPr>
              <w:spacing w:after="20"/>
            </w:pPr>
            <w:r>
              <w:rPr>
                <w:color w:val="1C3A36"/>
                <w:sz w:val="16"/>
              </w:rPr>
              <w:t>TECHNICAL</w:t>
            </w:r>
          </w:p>
        </w:tc>
        <w:tc>
          <w:tcPr>
            <w:tcW w:type="dxa" w:w="3672"/>
          </w:tcPr>
          <w:p>
            <w:pPr>
              <w:spacing w:after="20"/>
              <w:jc w:val="right"/>
            </w:pPr>
            <w:r>
              <w:rPr>
                <w:color w:val="1C3A36"/>
                <w:sz w:val="16"/>
              </w:rPr>
            </w:r>
          </w:p>
        </w:tc>
        <w:tc>
          <w:tcPr>
            <w:tcW w:type="dxa" w:w="2952"/>
          </w:tcPr>
          <w:p>
            <w:pPr>
              <w:spacing w:after="20"/>
              <w:jc w:val="right"/>
            </w:pPr>
            <w:r>
              <w:rPr>
                <w:color w:val="1C3A36"/>
                <w:sz w:val="16"/>
              </w:rPr>
            </w:r>
          </w:p>
        </w:tc>
        <w:tc>
          <w:tcPr>
            <w:tcW w:type="dxa" w:w="792"/>
          </w:tcPr>
          <w:p>
            <w:pPr>
              <w:spacing w:after="20"/>
              <w:jc w:val="right"/>
            </w:pPr>
            <w:r>
              <w:rPr>
                <w:color w:val="1C3A36"/>
                <w:sz w:val="16"/>
              </w:rPr>
            </w:r>
          </w:p>
        </w:tc>
      </w:tr>
      <w:tr>
        <w:tc>
          <w:tcPr>
            <w:tcW w:type="dxa" w:w="2952"/>
          </w:tcPr>
          <w:p>
            <w:pPr>
              <w:spacing w:after="20"/>
            </w:pPr>
            <w:r>
              <w:rPr>
                <w:color w:val="1C3A36"/>
                <w:sz w:val="16"/>
              </w:rPr>
              <w:t xml:space="preserve">  2 Price structure</w:t>
            </w:r>
          </w:p>
        </w:tc>
        <w:tc>
          <w:tcPr>
            <w:tcW w:type="dxa" w:w="3672"/>
          </w:tcPr>
          <w:p>
            <w:pPr>
              <w:spacing w:after="20"/>
              <w:jc w:val="right"/>
            </w:pPr>
            <w:r>
              <w:rPr>
                <w:color w:val="1C3A36"/>
                <w:sz w:val="16"/>
              </w:rPr>
              <w:t>Below MA20/50/100/200; RSI ~37 (oversold); MACD negative</w:t>
            </w:r>
          </w:p>
        </w:tc>
        <w:tc>
          <w:tcPr>
            <w:tcW w:type="dxa" w:w="2952"/>
          </w:tcPr>
          <w:p>
            <w:pPr>
              <w:spacing w:after="20"/>
              <w:jc w:val="right"/>
            </w:pPr>
            <w:r>
              <w:rPr>
                <w:color w:val="1C3A36"/>
                <w:sz w:val="16"/>
              </w:rPr>
              <w:t>downtrend, oversold near support</w:t>
            </w:r>
          </w:p>
        </w:tc>
        <w:tc>
          <w:tcPr>
            <w:tcW w:type="dxa" w:w="792"/>
          </w:tcPr>
          <w:p>
            <w:pPr>
              <w:spacing w:after="20"/>
              <w:jc w:val="right"/>
            </w:pPr>
            <w:r>
              <w:rPr>
                <w:color w:val="1C3A36"/>
                <w:sz w:val="16"/>
              </w:rPr>
            </w:r>
          </w:p>
        </w:tc>
      </w:tr>
      <w:tr>
        <w:tc>
          <w:tcPr>
            <w:tcW w:type="dxa" w:w="2952"/>
          </w:tcPr>
          <w:p>
            <w:pPr>
              <w:spacing w:after="20"/>
            </w:pPr>
            <w:r>
              <w:rPr>
                <w:color w:val="1C3A36"/>
                <w:sz w:val="16"/>
              </w:rPr>
              <w:t>MONTE CARLO</w:t>
            </w:r>
          </w:p>
        </w:tc>
        <w:tc>
          <w:tcPr>
            <w:tcW w:type="dxa" w:w="3672"/>
          </w:tcPr>
          <w:p>
            <w:pPr>
              <w:spacing w:after="20"/>
              <w:jc w:val="right"/>
            </w:pPr>
            <w:r>
              <w:rPr>
                <w:color w:val="1C3A36"/>
                <w:sz w:val="16"/>
              </w:rPr>
            </w:r>
          </w:p>
        </w:tc>
        <w:tc>
          <w:tcPr>
            <w:tcW w:type="dxa" w:w="2952"/>
          </w:tcPr>
          <w:p>
            <w:pPr>
              <w:spacing w:after="20"/>
              <w:jc w:val="right"/>
            </w:pPr>
            <w:r>
              <w:rPr>
                <w:color w:val="1C3A36"/>
                <w:sz w:val="16"/>
              </w:rPr>
            </w:r>
          </w:p>
        </w:tc>
        <w:tc>
          <w:tcPr>
            <w:tcW w:type="dxa" w:w="792"/>
          </w:tcPr>
          <w:p>
            <w:pPr>
              <w:spacing w:after="20"/>
              <w:jc w:val="right"/>
            </w:pPr>
            <w:r>
              <w:rPr>
                <w:color w:val="1C3A36"/>
                <w:sz w:val="16"/>
              </w:rPr>
            </w:r>
          </w:p>
        </w:tc>
      </w:tr>
      <w:tr>
        <w:tc>
          <w:tcPr>
            <w:tcW w:type="dxa" w:w="2952"/>
          </w:tcPr>
          <w:p>
            <w:pPr>
              <w:spacing w:after="20"/>
            </w:pPr>
            <w:r>
              <w:rPr>
                <w:color w:val="1C3A36"/>
                <w:sz w:val="16"/>
              </w:rPr>
              <w:t xml:space="preserve">  3 Path distribution (T+60)</w:t>
            </w:r>
          </w:p>
        </w:tc>
        <w:tc>
          <w:tcPr>
            <w:tcW w:type="dxa" w:w="3672"/>
          </w:tcPr>
          <w:p>
            <w:pPr>
              <w:spacing w:after="20"/>
              <w:jc w:val="right"/>
            </w:pPr>
            <w:r>
              <w:rPr>
                <w:color w:val="1C3A36"/>
                <w:sz w:val="16"/>
              </w:rPr>
              <w:t>Saudi-fitted ν=5, carry-anchored, 50k paths</w:t>
            </w:r>
          </w:p>
        </w:tc>
        <w:tc>
          <w:tcPr>
            <w:tcW w:type="dxa" w:w="2952"/>
          </w:tcPr>
          <w:p>
            <w:pPr>
              <w:spacing w:after="20"/>
              <w:jc w:val="right"/>
            </w:pPr>
            <w:r>
              <w:rPr>
                <w:color w:val="1C3A36"/>
                <w:sz w:val="16"/>
              </w:rPr>
              <w:t>median 662 (+0.6%); 50% band 589–746</w:t>
            </w:r>
          </w:p>
        </w:tc>
        <w:tc>
          <w:tcPr>
            <w:tcW w:type="dxa" w:w="792"/>
          </w:tcPr>
          <w:p>
            <w:pPr>
              <w:spacing w:after="20"/>
              <w:jc w:val="right"/>
            </w:pPr>
            <w:r>
              <w:rPr>
                <w:color w:val="1C3A36"/>
                <w:sz w:val="16"/>
              </w:rPr>
            </w:r>
          </w:p>
        </w:tc>
      </w:tr>
      <w:tr>
        <w:tc>
          <w:tcPr>
            <w:tcW w:type="dxa" w:w="2952"/>
          </w:tcPr>
          <w:p>
            <w:pPr>
              <w:spacing w:after="20"/>
            </w:pPr>
            <w:r>
              <w:rPr>
                <w:color w:val="1C3A36"/>
                <w:sz w:val="16"/>
              </w:rPr>
              <w:t>EXPERT PANEL</w:t>
            </w:r>
          </w:p>
        </w:tc>
        <w:tc>
          <w:tcPr>
            <w:tcW w:type="dxa" w:w="3672"/>
          </w:tcPr>
          <w:p>
            <w:pPr>
              <w:spacing w:after="20"/>
              <w:jc w:val="right"/>
            </w:pPr>
            <w:r>
              <w:rPr>
                <w:color w:val="1C3A36"/>
                <w:sz w:val="16"/>
              </w:rPr>
            </w:r>
          </w:p>
        </w:tc>
        <w:tc>
          <w:tcPr>
            <w:tcW w:type="dxa" w:w="2952"/>
          </w:tcPr>
          <w:p>
            <w:pPr>
              <w:spacing w:after="20"/>
              <w:jc w:val="right"/>
            </w:pPr>
            <w:r>
              <w:rPr>
                <w:color w:val="1C3A36"/>
                <w:sz w:val="16"/>
              </w:rPr>
            </w:r>
          </w:p>
        </w:tc>
        <w:tc>
          <w:tcPr>
            <w:tcW w:type="dxa" w:w="792"/>
          </w:tcPr>
          <w:p>
            <w:pPr>
              <w:spacing w:after="20"/>
              <w:jc w:val="right"/>
            </w:pPr>
            <w:r>
              <w:rPr>
                <w:color w:val="1C3A36"/>
                <w:sz w:val="16"/>
              </w:rPr>
            </w:r>
          </w:p>
        </w:tc>
      </w:tr>
      <w:tr>
        <w:tc>
          <w:tcPr>
            <w:tcW w:type="dxa" w:w="2952"/>
          </w:tcPr>
          <w:p>
            <w:pPr>
              <w:spacing w:after="20"/>
            </w:pPr>
            <w:r>
              <w:rPr>
                <w:color w:val="1C3A36"/>
                <w:sz w:val="16"/>
              </w:rPr>
              <w:t xml:space="preserve">  Expert 1 — growth durability</w:t>
            </w:r>
          </w:p>
        </w:tc>
        <w:tc>
          <w:tcPr>
            <w:tcW w:type="dxa" w:w="3672"/>
          </w:tcPr>
          <w:p>
            <w:pPr>
              <w:spacing w:after="20"/>
              <w:jc w:val="right"/>
            </w:pPr>
            <w:r>
              <w:rPr>
                <w:color w:val="1C3A36"/>
                <w:sz w:val="16"/>
              </w:rPr>
              <w:t>discount-rate-anchored DCF</w:t>
            </w:r>
          </w:p>
        </w:tc>
        <w:tc>
          <w:tcPr>
            <w:tcW w:type="dxa" w:w="2952"/>
          </w:tcPr>
          <w:p>
            <w:pPr>
              <w:spacing w:after="20"/>
              <w:jc w:val="right"/>
            </w:pPr>
            <w:r>
              <w:rPr>
                <w:color w:val="1C3A36"/>
                <w:sz w:val="16"/>
              </w:rPr>
              <w:t>~560–680</w:t>
            </w:r>
          </w:p>
        </w:tc>
        <w:tc>
          <w:tcPr>
            <w:tcW w:type="dxa" w:w="792"/>
          </w:tcPr>
          <w:p>
            <w:pPr>
              <w:spacing w:after="20"/>
              <w:jc w:val="right"/>
            </w:pPr>
            <w:r>
              <w:rPr>
                <w:color w:val="1C3A36"/>
                <w:sz w:val="16"/>
              </w:rPr>
            </w:r>
          </w:p>
        </w:tc>
      </w:tr>
      <w:tr>
        <w:tc>
          <w:tcPr>
            <w:tcW w:type="dxa" w:w="2952"/>
          </w:tcPr>
          <w:p>
            <w:pPr>
              <w:spacing w:after="20"/>
            </w:pPr>
            <w:r>
              <w:rPr>
                <w:color w:val="1C3A36"/>
                <w:sz w:val="16"/>
              </w:rPr>
              <w:t xml:space="preserve">  Expert 2 — quality &amp; moat</w:t>
            </w:r>
          </w:p>
        </w:tc>
        <w:tc>
          <w:tcPr>
            <w:tcW w:type="dxa" w:w="3672"/>
          </w:tcPr>
          <w:p>
            <w:pPr>
              <w:spacing w:after="20"/>
              <w:jc w:val="right"/>
            </w:pPr>
            <w:r>
              <w:rPr>
                <w:color w:val="1C3A36"/>
                <w:sz w:val="16"/>
              </w:rPr>
              <w:t>ROIC-vs-WACC / normalized power</w:t>
            </w:r>
          </w:p>
        </w:tc>
        <w:tc>
          <w:tcPr>
            <w:tcW w:type="dxa" w:w="2952"/>
          </w:tcPr>
          <w:p>
            <w:pPr>
              <w:spacing w:after="20"/>
              <w:jc w:val="right"/>
            </w:pPr>
            <w:r>
              <w:rPr>
                <w:color w:val="1C3A36"/>
                <w:sz w:val="16"/>
              </w:rPr>
              <w:t>~600–720</w:t>
            </w:r>
          </w:p>
        </w:tc>
        <w:tc>
          <w:tcPr>
            <w:tcW w:type="dxa" w:w="792"/>
          </w:tcPr>
          <w:p>
            <w:pPr>
              <w:spacing w:after="20"/>
              <w:jc w:val="right"/>
            </w:pPr>
            <w:r>
              <w:rPr>
                <w:color w:val="1C3A36"/>
                <w:sz w:val="16"/>
              </w:rPr>
            </w:r>
          </w:p>
        </w:tc>
      </w:tr>
      <w:tr>
        <w:tc>
          <w:tcPr>
            <w:tcW w:type="dxa" w:w="2952"/>
          </w:tcPr>
          <w:p>
            <w:pPr>
              <w:spacing w:after="20"/>
            </w:pPr>
            <w:r>
              <w:rPr>
                <w:color w:val="1C3A36"/>
                <w:sz w:val="16"/>
              </w:rPr>
              <w:t xml:space="preserve">  Expert 3 — macro / Vision 2030</w:t>
            </w:r>
          </w:p>
        </w:tc>
        <w:tc>
          <w:tcPr>
            <w:tcW w:type="dxa" w:w="3672"/>
          </w:tcPr>
          <w:p>
            <w:pPr>
              <w:spacing w:after="20"/>
              <w:jc w:val="right"/>
            </w:pPr>
            <w:r>
              <w:rPr>
                <w:color w:val="1C3A36"/>
                <w:sz w:val="16"/>
              </w:rPr>
              <w:t>TAM penetration</w:t>
            </w:r>
          </w:p>
        </w:tc>
        <w:tc>
          <w:tcPr>
            <w:tcW w:type="dxa" w:w="2952"/>
          </w:tcPr>
          <w:p>
            <w:pPr>
              <w:spacing w:after="20"/>
              <w:jc w:val="right"/>
            </w:pPr>
            <w:r>
              <w:rPr>
                <w:color w:val="1C3A36"/>
                <w:sz w:val="16"/>
              </w:rPr>
              <w:t>~560–700</w:t>
            </w:r>
          </w:p>
        </w:tc>
        <w:tc>
          <w:tcPr>
            <w:tcW w:type="dxa" w:w="792"/>
          </w:tcPr>
          <w:p>
            <w:pPr>
              <w:spacing w:after="20"/>
              <w:jc w:val="right"/>
            </w:pPr>
            <w:r>
              <w:rPr>
                <w:color w:val="1C3A36"/>
                <w:sz w:val="16"/>
              </w:rPr>
            </w:r>
          </w:p>
        </w:tc>
      </w:tr>
      <w:tr>
        <w:tc>
          <w:tcPr>
            <w:tcW w:type="dxa" w:w="2952"/>
          </w:tcPr>
          <w:p>
            <w:pPr>
              <w:spacing w:after="20"/>
            </w:pPr>
            <w:r>
              <w:rPr>
                <w:color w:val="1C3A36"/>
                <w:sz w:val="16"/>
              </w:rPr>
              <w:t>WEIGHTED CENTRAL FAIR VALUE</w:t>
            </w:r>
          </w:p>
        </w:tc>
        <w:tc>
          <w:tcPr>
            <w:tcW w:type="dxa" w:w="3672"/>
          </w:tcPr>
          <w:p>
            <w:pPr>
              <w:spacing w:after="20"/>
              <w:jc w:val="right"/>
            </w:pPr>
            <w:r>
              <w:rPr>
                <w:color w:val="1C3A36"/>
                <w:sz w:val="16"/>
              </w:rPr>
            </w:r>
          </w:p>
        </w:tc>
        <w:tc>
          <w:tcPr>
            <w:tcW w:type="dxa" w:w="2952"/>
          </w:tcPr>
          <w:p>
            <w:pPr>
              <w:spacing w:after="20"/>
              <w:jc w:val="right"/>
            </w:pPr>
            <w:r>
              <w:rPr>
                <w:color w:val="1C3A36"/>
                <w:sz w:val="16"/>
              </w:rPr>
              <w:t>≈ 620  (range ~530–720)</w:t>
            </w:r>
          </w:p>
        </w:tc>
        <w:tc>
          <w:tcPr>
            <w:tcW w:type="dxa" w:w="792"/>
          </w:tcPr>
          <w:p>
            <w:pPr>
              <w:spacing w:after="20"/>
              <w:jc w:val="right"/>
            </w:pPr>
            <w:r>
              <w:rPr>
                <w:color w:val="1C3A36"/>
                <w:sz w:val="16"/>
              </w:rPr>
              <w:t>100%</w:t>
            </w:r>
          </w:p>
        </w:tc>
      </w:tr>
    </w:tbl>
    <w:p>
      <w:pPr>
        <w:spacing w:after="40"/>
      </w:pPr>
    </w:p>
    <w:p>
      <w:pPr>
        <w:spacing w:after="180" w:before="0"/>
      </w:pPr>
      <w:r>
        <w:rPr>
          <w:b w:val="0"/>
          <w:i/>
          <w:color w:val="6E7B77"/>
          <w:sz w:val="17"/>
        </w:rPr>
        <w:t>Fair-value ranges and a probability distribution — never a rating or target. Spot SAR 658.5 sits ~6% above the weighted central estimate: roughly fairly valued, a slight premium, with the discount rate the dominant swing factor.</w:t>
      </w:r>
    </w:p>
    <w:p>
      <w:pPr>
        <w:spacing w:after="100" w:before="260"/>
      </w:pPr>
      <w:r>
        <w:rPr>
          <w:b/>
          <w:i w:val="0"/>
          <w:color w:val="1C3A36"/>
          <w:sz w:val="29"/>
        </w:rPr>
        <w:t>1 · Fundamental valuation</w:t>
      </w:r>
    </w:p>
    <w:p>
      <w:pPr>
        <w:spacing w:after="120" w:before="0"/>
      </w:pPr>
      <w:r>
        <w:rPr>
          <w:b w:val="0"/>
          <w:i w:val="0"/>
          <w:color w:val="1C3A36"/>
          <w:sz w:val="20"/>
        </w:rPr>
        <w:t>Elm is a digital-government-platform and services company: asset-light, cash-generative, and structurally levered to Saudi Arabia’s digitisation. It is not a bank, a developer, or a holding company, so the instrument-appropriate primary lens is a discounted-cash-flow model on the operating business, cross-checked with relative multiples and a recurring-revenue durability read. The value gap identified here is a ~12-month fundamental anchor and is kept entirely separate from the three-month Monte Carlo path in §3.</w:t>
      </w:r>
    </w:p>
    <w:p>
      <w:pPr>
        <w:spacing w:after="60" w:before="180"/>
      </w:pPr>
      <w:r>
        <w:rPr>
          <w:b/>
          <w:i w:val="0"/>
          <w:color w:val="1C3A36"/>
          <w:sz w:val="23"/>
        </w:rPr>
        <w:t>1.1  Primary lens — discounted cash flow (FCFF)</w:t>
      </w:r>
    </w:p>
    <w:p>
      <w:pPr>
        <w:spacing w:after="120" w:before="0"/>
      </w:pPr>
      <w:r>
        <w:rPr>
          <w:b w:val="0"/>
          <w:i w:val="0"/>
          <w:color w:val="1C3A36"/>
          <w:sz w:val="20"/>
        </w:rPr>
        <w:t>We forecast five explicit years of free cash flow to the firm off the operating business (EBIT, excluding the Murabaha/investment income the cash pile throws off — that cash is added back separately as net cash, so it is not double-counted). Revenue is modelled to compound at ~16% and moderate toward the terminal rate; the EBIT margin expands modestly from 23.0% as the higher-margin Digital Business gains share, partly offset by rising lease depreciation and outsourcing mix. Zakat is applied at the ~7% effective rate Elm actually pays (it pays zakat, not the 20% corporate tax).</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456"/>
            <w:shd w:val="clear" w:color="auto" w:fill="EAF0EE"/>
          </w:tcPr>
          <w:p>
            <w:pPr>
              <w:spacing w:after="20"/>
            </w:pPr>
            <w:r>
              <w:rPr>
                <w:b/>
                <w:color w:val="1C3A36"/>
                <w:sz w:val="16"/>
              </w:rPr>
              <w:t>SAR mn</w:t>
            </w:r>
          </w:p>
        </w:tc>
        <w:tc>
          <w:tcPr>
            <w:tcW w:type="dxa" w:w="1296"/>
            <w:shd w:val="clear" w:color="auto" w:fill="EAF0EE"/>
          </w:tcPr>
          <w:p>
            <w:pPr>
              <w:spacing w:after="20"/>
            </w:pPr>
            <w:r>
              <w:rPr>
                <w:b/>
                <w:color w:val="1C3A36"/>
                <w:sz w:val="16"/>
              </w:rPr>
              <w:t>2025e</w:t>
            </w:r>
          </w:p>
        </w:tc>
        <w:tc>
          <w:tcPr>
            <w:tcW w:type="dxa" w:w="1296"/>
            <w:shd w:val="clear" w:color="auto" w:fill="EAF0EE"/>
          </w:tcPr>
          <w:p>
            <w:pPr>
              <w:spacing w:after="20"/>
            </w:pPr>
            <w:r>
              <w:rPr>
                <w:b/>
                <w:color w:val="1C3A36"/>
                <w:sz w:val="16"/>
              </w:rPr>
              <w:t>2026e</w:t>
            </w:r>
          </w:p>
        </w:tc>
        <w:tc>
          <w:tcPr>
            <w:tcW w:type="dxa" w:w="1296"/>
            <w:shd w:val="clear" w:color="auto" w:fill="EAF0EE"/>
          </w:tcPr>
          <w:p>
            <w:pPr>
              <w:spacing w:after="20"/>
            </w:pPr>
            <w:r>
              <w:rPr>
                <w:b/>
                <w:color w:val="1C3A36"/>
                <w:sz w:val="16"/>
              </w:rPr>
              <w:t>2027e</w:t>
            </w:r>
          </w:p>
        </w:tc>
        <w:tc>
          <w:tcPr>
            <w:tcW w:type="dxa" w:w="1296"/>
            <w:shd w:val="clear" w:color="auto" w:fill="EAF0EE"/>
          </w:tcPr>
          <w:p>
            <w:pPr>
              <w:spacing w:after="20"/>
            </w:pPr>
            <w:r>
              <w:rPr>
                <w:b/>
                <w:color w:val="1C3A36"/>
                <w:sz w:val="16"/>
              </w:rPr>
              <w:t>2028e</w:t>
            </w:r>
          </w:p>
        </w:tc>
        <w:tc>
          <w:tcPr>
            <w:tcW w:type="dxa" w:w="1296"/>
            <w:shd w:val="clear" w:color="auto" w:fill="EAF0EE"/>
          </w:tcPr>
          <w:p>
            <w:pPr>
              <w:spacing w:after="20"/>
            </w:pPr>
            <w:r>
              <w:rPr>
                <w:b/>
                <w:color w:val="1C3A36"/>
                <w:sz w:val="16"/>
              </w:rPr>
              <w:t>2029e</w:t>
            </w:r>
          </w:p>
        </w:tc>
      </w:tr>
      <w:tr>
        <w:tc>
          <w:tcPr>
            <w:tcW w:type="dxa" w:w="3456"/>
          </w:tcPr>
          <w:p>
            <w:pPr>
              <w:spacing w:after="20"/>
            </w:pPr>
            <w:r>
              <w:rPr>
                <w:color w:val="1C3A36"/>
                <w:sz w:val="16"/>
              </w:rPr>
              <w:t>Revenue</w:t>
            </w:r>
          </w:p>
        </w:tc>
        <w:tc>
          <w:tcPr>
            <w:tcW w:type="dxa" w:w="1296"/>
          </w:tcPr>
          <w:p>
            <w:pPr>
              <w:spacing w:after="20"/>
              <w:jc w:val="right"/>
            </w:pPr>
            <w:r>
              <w:rPr>
                <w:color w:val="1C3A36"/>
                <w:sz w:val="16"/>
              </w:rPr>
              <w:t>9,651</w:t>
            </w:r>
          </w:p>
        </w:tc>
        <w:tc>
          <w:tcPr>
            <w:tcW w:type="dxa" w:w="1296"/>
          </w:tcPr>
          <w:p>
            <w:pPr>
              <w:spacing w:after="20"/>
              <w:jc w:val="right"/>
            </w:pPr>
            <w:r>
              <w:rPr>
                <w:color w:val="1C3A36"/>
                <w:sz w:val="16"/>
              </w:rPr>
              <w:t>11,302</w:t>
            </w:r>
          </w:p>
        </w:tc>
        <w:tc>
          <w:tcPr>
            <w:tcW w:type="dxa" w:w="1296"/>
          </w:tcPr>
          <w:p>
            <w:pPr>
              <w:spacing w:after="20"/>
              <w:jc w:val="right"/>
            </w:pPr>
            <w:r>
              <w:rPr>
                <w:color w:val="1C3A36"/>
                <w:sz w:val="16"/>
              </w:rPr>
              <w:t>12,907</w:t>
            </w:r>
          </w:p>
        </w:tc>
        <w:tc>
          <w:tcPr>
            <w:tcW w:type="dxa" w:w="1296"/>
          </w:tcPr>
          <w:p>
            <w:pPr>
              <w:spacing w:after="20"/>
              <w:jc w:val="right"/>
            </w:pPr>
            <w:r>
              <w:rPr>
                <w:color w:val="1C3A36"/>
                <w:sz w:val="16"/>
              </w:rPr>
              <w:t>14,455</w:t>
            </w:r>
          </w:p>
        </w:tc>
        <w:tc>
          <w:tcPr>
            <w:tcW w:type="dxa" w:w="1296"/>
          </w:tcPr>
          <w:p>
            <w:pPr>
              <w:spacing w:after="20"/>
              <w:jc w:val="right"/>
            </w:pPr>
            <w:r>
              <w:rPr>
                <w:color w:val="1C3A36"/>
                <w:sz w:val="16"/>
              </w:rPr>
              <w:t>15,901</w:t>
            </w:r>
          </w:p>
        </w:tc>
      </w:tr>
      <w:tr>
        <w:tc>
          <w:tcPr>
            <w:tcW w:type="dxa" w:w="3456"/>
          </w:tcPr>
          <w:p>
            <w:pPr>
              <w:spacing w:after="20"/>
            </w:pPr>
            <w:r>
              <w:rPr>
                <w:color w:val="1C3A36"/>
                <w:sz w:val="16"/>
              </w:rPr>
              <w:t xml:space="preserve">  growth %</w:t>
            </w:r>
          </w:p>
        </w:tc>
        <w:tc>
          <w:tcPr>
            <w:tcW w:type="dxa" w:w="1296"/>
          </w:tcPr>
          <w:p>
            <w:pPr>
              <w:spacing w:after="20"/>
              <w:jc w:val="right"/>
            </w:pPr>
            <w:r>
              <w:rPr>
                <w:color w:val="1C3A36"/>
                <w:sz w:val="16"/>
              </w:rPr>
              <w:t>30.3%</w:t>
            </w:r>
          </w:p>
        </w:tc>
        <w:tc>
          <w:tcPr>
            <w:tcW w:type="dxa" w:w="1296"/>
          </w:tcPr>
          <w:p>
            <w:pPr>
              <w:spacing w:after="20"/>
              <w:jc w:val="right"/>
            </w:pPr>
            <w:r>
              <w:rPr>
                <w:color w:val="1C3A36"/>
                <w:sz w:val="16"/>
              </w:rPr>
              <w:t>17.1%</w:t>
            </w:r>
          </w:p>
        </w:tc>
        <w:tc>
          <w:tcPr>
            <w:tcW w:type="dxa" w:w="1296"/>
          </w:tcPr>
          <w:p>
            <w:pPr>
              <w:spacing w:after="20"/>
              <w:jc w:val="right"/>
            </w:pPr>
            <w:r>
              <w:rPr>
                <w:color w:val="1C3A36"/>
                <w:sz w:val="16"/>
              </w:rPr>
              <w:t>14.2%</w:t>
            </w:r>
          </w:p>
        </w:tc>
        <w:tc>
          <w:tcPr>
            <w:tcW w:type="dxa" w:w="1296"/>
          </w:tcPr>
          <w:p>
            <w:pPr>
              <w:spacing w:after="20"/>
              <w:jc w:val="right"/>
            </w:pPr>
            <w:r>
              <w:rPr>
                <w:color w:val="1C3A36"/>
                <w:sz w:val="16"/>
              </w:rPr>
              <w:t>12.0%</w:t>
            </w:r>
          </w:p>
        </w:tc>
        <w:tc>
          <w:tcPr>
            <w:tcW w:type="dxa" w:w="1296"/>
          </w:tcPr>
          <w:p>
            <w:pPr>
              <w:spacing w:after="20"/>
              <w:jc w:val="right"/>
            </w:pPr>
            <w:r>
              <w:rPr>
                <w:color w:val="1C3A36"/>
                <w:sz w:val="16"/>
              </w:rPr>
              <w:t>10.0%</w:t>
            </w:r>
          </w:p>
        </w:tc>
      </w:tr>
      <w:tr>
        <w:tc>
          <w:tcPr>
            <w:tcW w:type="dxa" w:w="3456"/>
          </w:tcPr>
          <w:p>
            <w:pPr>
              <w:spacing w:after="20"/>
            </w:pPr>
            <w:r>
              <w:rPr>
                <w:color w:val="1C3A36"/>
                <w:sz w:val="16"/>
              </w:rPr>
              <w:t>EBITDA</w:t>
            </w:r>
          </w:p>
        </w:tc>
        <w:tc>
          <w:tcPr>
            <w:tcW w:type="dxa" w:w="1296"/>
          </w:tcPr>
          <w:p>
            <w:pPr>
              <w:spacing w:after="20"/>
              <w:jc w:val="right"/>
            </w:pPr>
            <w:r>
              <w:rPr>
                <w:color w:val="1C3A36"/>
                <w:sz w:val="16"/>
              </w:rPr>
              <w:t>2,529</w:t>
            </w:r>
          </w:p>
        </w:tc>
        <w:tc>
          <w:tcPr>
            <w:tcW w:type="dxa" w:w="1296"/>
          </w:tcPr>
          <w:p>
            <w:pPr>
              <w:spacing w:after="20"/>
              <w:jc w:val="right"/>
            </w:pPr>
            <w:r>
              <w:rPr>
                <w:color w:val="1C3A36"/>
                <w:sz w:val="16"/>
              </w:rPr>
              <w:t>2,995</w:t>
            </w:r>
          </w:p>
        </w:tc>
        <w:tc>
          <w:tcPr>
            <w:tcW w:type="dxa" w:w="1296"/>
          </w:tcPr>
          <w:p>
            <w:pPr>
              <w:spacing w:after="20"/>
              <w:jc w:val="right"/>
            </w:pPr>
            <w:r>
              <w:rPr>
                <w:color w:val="1C3A36"/>
                <w:sz w:val="16"/>
              </w:rPr>
              <w:t>3,446</w:t>
            </w:r>
          </w:p>
        </w:tc>
        <w:tc>
          <w:tcPr>
            <w:tcW w:type="dxa" w:w="1296"/>
          </w:tcPr>
          <w:p>
            <w:pPr>
              <w:spacing w:after="20"/>
              <w:jc w:val="right"/>
            </w:pPr>
            <w:r>
              <w:rPr>
                <w:color w:val="1C3A36"/>
                <w:sz w:val="16"/>
              </w:rPr>
              <w:t>3,903</w:t>
            </w:r>
          </w:p>
        </w:tc>
        <w:tc>
          <w:tcPr>
            <w:tcW w:type="dxa" w:w="1296"/>
          </w:tcPr>
          <w:p>
            <w:pPr>
              <w:spacing w:after="20"/>
              <w:jc w:val="right"/>
            </w:pPr>
            <w:r>
              <w:rPr>
                <w:color w:val="1C3A36"/>
                <w:sz w:val="16"/>
              </w:rPr>
              <w:t>4,293</w:t>
            </w:r>
          </w:p>
        </w:tc>
      </w:tr>
      <w:tr>
        <w:tc>
          <w:tcPr>
            <w:tcW w:type="dxa" w:w="3456"/>
          </w:tcPr>
          <w:p>
            <w:pPr>
              <w:spacing w:after="20"/>
            </w:pPr>
            <w:r>
              <w:rPr>
                <w:color w:val="1C3A36"/>
                <w:sz w:val="16"/>
              </w:rPr>
              <w:t xml:space="preserve">  − Depreciation &amp; amortisation</w:t>
            </w:r>
          </w:p>
        </w:tc>
        <w:tc>
          <w:tcPr>
            <w:tcW w:type="dxa" w:w="1296"/>
          </w:tcPr>
          <w:p>
            <w:pPr>
              <w:spacing w:after="20"/>
              <w:jc w:val="right"/>
            </w:pPr>
            <w:r>
              <w:rPr>
                <w:color w:val="1C3A36"/>
                <w:sz w:val="16"/>
              </w:rPr>
              <w:t>(290)</w:t>
            </w:r>
          </w:p>
        </w:tc>
        <w:tc>
          <w:tcPr>
            <w:tcW w:type="dxa" w:w="1296"/>
          </w:tcPr>
          <w:p>
            <w:pPr>
              <w:spacing w:after="20"/>
              <w:jc w:val="right"/>
            </w:pPr>
            <w:r>
              <w:rPr>
                <w:color w:val="1C3A36"/>
                <w:sz w:val="16"/>
              </w:rPr>
              <w:t>(339)</w:t>
            </w:r>
          </w:p>
        </w:tc>
        <w:tc>
          <w:tcPr>
            <w:tcW w:type="dxa" w:w="1296"/>
          </w:tcPr>
          <w:p>
            <w:pPr>
              <w:spacing w:after="20"/>
              <w:jc w:val="right"/>
            </w:pPr>
            <w:r>
              <w:rPr>
                <w:color w:val="1C3A36"/>
                <w:sz w:val="16"/>
              </w:rPr>
              <w:t>(387)</w:t>
            </w:r>
          </w:p>
        </w:tc>
        <w:tc>
          <w:tcPr>
            <w:tcW w:type="dxa" w:w="1296"/>
          </w:tcPr>
          <w:p>
            <w:pPr>
              <w:spacing w:after="20"/>
              <w:jc w:val="right"/>
            </w:pPr>
            <w:r>
              <w:rPr>
                <w:color w:val="1C3A36"/>
                <w:sz w:val="16"/>
              </w:rPr>
              <w:t>(434)</w:t>
            </w:r>
          </w:p>
        </w:tc>
        <w:tc>
          <w:tcPr>
            <w:tcW w:type="dxa" w:w="1296"/>
          </w:tcPr>
          <w:p>
            <w:pPr>
              <w:spacing w:after="20"/>
              <w:jc w:val="right"/>
            </w:pPr>
            <w:r>
              <w:rPr>
                <w:color w:val="1C3A36"/>
                <w:sz w:val="16"/>
              </w:rPr>
              <w:t>(477)</w:t>
            </w:r>
          </w:p>
        </w:tc>
      </w:tr>
      <w:tr>
        <w:tc>
          <w:tcPr>
            <w:tcW w:type="dxa" w:w="3456"/>
          </w:tcPr>
          <w:p>
            <w:pPr>
              <w:spacing w:after="20"/>
            </w:pPr>
            <w:r>
              <w:rPr>
                <w:color w:val="1C3A36"/>
                <w:sz w:val="16"/>
              </w:rPr>
              <w:t>EBIT</w:t>
            </w:r>
          </w:p>
        </w:tc>
        <w:tc>
          <w:tcPr>
            <w:tcW w:type="dxa" w:w="1296"/>
          </w:tcPr>
          <w:p>
            <w:pPr>
              <w:spacing w:after="20"/>
              <w:jc w:val="right"/>
            </w:pPr>
            <w:r>
              <w:rPr>
                <w:color w:val="1C3A36"/>
                <w:sz w:val="16"/>
              </w:rPr>
              <w:t>2,239</w:t>
            </w:r>
          </w:p>
        </w:tc>
        <w:tc>
          <w:tcPr>
            <w:tcW w:type="dxa" w:w="1296"/>
          </w:tcPr>
          <w:p>
            <w:pPr>
              <w:spacing w:after="20"/>
              <w:jc w:val="right"/>
            </w:pPr>
            <w:r>
              <w:rPr>
                <w:color w:val="1C3A36"/>
                <w:sz w:val="16"/>
              </w:rPr>
              <w:t>2,656</w:t>
            </w:r>
          </w:p>
        </w:tc>
        <w:tc>
          <w:tcPr>
            <w:tcW w:type="dxa" w:w="1296"/>
          </w:tcPr>
          <w:p>
            <w:pPr>
              <w:spacing w:after="20"/>
              <w:jc w:val="right"/>
            </w:pPr>
            <w:r>
              <w:rPr>
                <w:color w:val="1C3A36"/>
                <w:sz w:val="16"/>
              </w:rPr>
              <w:t>3,059</w:t>
            </w:r>
          </w:p>
        </w:tc>
        <w:tc>
          <w:tcPr>
            <w:tcW w:type="dxa" w:w="1296"/>
          </w:tcPr>
          <w:p>
            <w:pPr>
              <w:spacing w:after="20"/>
              <w:jc w:val="right"/>
            </w:pPr>
            <w:r>
              <w:rPr>
                <w:color w:val="1C3A36"/>
                <w:sz w:val="16"/>
              </w:rPr>
              <w:t>3,469</w:t>
            </w:r>
          </w:p>
        </w:tc>
        <w:tc>
          <w:tcPr>
            <w:tcW w:type="dxa" w:w="1296"/>
          </w:tcPr>
          <w:p>
            <w:pPr>
              <w:spacing w:after="20"/>
              <w:jc w:val="right"/>
            </w:pPr>
            <w:r>
              <w:rPr>
                <w:color w:val="1C3A36"/>
                <w:sz w:val="16"/>
              </w:rPr>
              <w:t>3,816</w:t>
            </w:r>
          </w:p>
        </w:tc>
      </w:tr>
      <w:tr>
        <w:tc>
          <w:tcPr>
            <w:tcW w:type="dxa" w:w="3456"/>
          </w:tcPr>
          <w:p>
            <w:pPr>
              <w:spacing w:after="20"/>
            </w:pPr>
            <w:r>
              <w:rPr>
                <w:color w:val="1C3A36"/>
                <w:sz w:val="16"/>
              </w:rPr>
              <w:t xml:space="preserve">  EBIT margin</w:t>
            </w:r>
          </w:p>
        </w:tc>
        <w:tc>
          <w:tcPr>
            <w:tcW w:type="dxa" w:w="1296"/>
          </w:tcPr>
          <w:p>
            <w:pPr>
              <w:spacing w:after="20"/>
              <w:jc w:val="right"/>
            </w:pPr>
            <w:r>
              <w:rPr>
                <w:color w:val="1C3A36"/>
                <w:sz w:val="16"/>
              </w:rPr>
              <w:t>23.2%</w:t>
            </w:r>
          </w:p>
        </w:tc>
        <w:tc>
          <w:tcPr>
            <w:tcW w:type="dxa" w:w="1296"/>
          </w:tcPr>
          <w:p>
            <w:pPr>
              <w:spacing w:after="20"/>
              <w:jc w:val="right"/>
            </w:pPr>
            <w:r>
              <w:rPr>
                <w:color w:val="1C3A36"/>
                <w:sz w:val="16"/>
              </w:rPr>
              <w:t>23.5%</w:t>
            </w:r>
          </w:p>
        </w:tc>
        <w:tc>
          <w:tcPr>
            <w:tcW w:type="dxa" w:w="1296"/>
          </w:tcPr>
          <w:p>
            <w:pPr>
              <w:spacing w:after="20"/>
              <w:jc w:val="right"/>
            </w:pPr>
            <w:r>
              <w:rPr>
                <w:color w:val="1C3A36"/>
                <w:sz w:val="16"/>
              </w:rPr>
              <w:t>23.7%</w:t>
            </w:r>
          </w:p>
        </w:tc>
        <w:tc>
          <w:tcPr>
            <w:tcW w:type="dxa" w:w="1296"/>
          </w:tcPr>
          <w:p>
            <w:pPr>
              <w:spacing w:after="20"/>
              <w:jc w:val="right"/>
            </w:pPr>
            <w:r>
              <w:rPr>
                <w:color w:val="1C3A36"/>
                <w:sz w:val="16"/>
              </w:rPr>
              <w:t>24.0%</w:t>
            </w:r>
          </w:p>
        </w:tc>
        <w:tc>
          <w:tcPr>
            <w:tcW w:type="dxa" w:w="1296"/>
          </w:tcPr>
          <w:p>
            <w:pPr>
              <w:spacing w:after="20"/>
              <w:jc w:val="right"/>
            </w:pPr>
            <w:r>
              <w:rPr>
                <w:color w:val="1C3A36"/>
                <w:sz w:val="16"/>
              </w:rPr>
              <w:t>24.0%</w:t>
            </w:r>
          </w:p>
        </w:tc>
      </w:tr>
      <w:tr>
        <w:tc>
          <w:tcPr>
            <w:tcW w:type="dxa" w:w="3456"/>
          </w:tcPr>
          <w:p>
            <w:pPr>
              <w:spacing w:after="20"/>
            </w:pPr>
            <w:r>
              <w:rPr>
                <w:color w:val="1C3A36"/>
                <w:sz w:val="16"/>
              </w:rPr>
              <w:t>NOPAT (EBIT×(1−z))</w:t>
            </w:r>
          </w:p>
        </w:tc>
        <w:tc>
          <w:tcPr>
            <w:tcW w:type="dxa" w:w="1296"/>
          </w:tcPr>
          <w:p>
            <w:pPr>
              <w:spacing w:after="20"/>
              <w:jc w:val="right"/>
            </w:pPr>
            <w:r>
              <w:rPr>
                <w:color w:val="1C3A36"/>
                <w:sz w:val="16"/>
              </w:rPr>
              <w:t>2,082</w:t>
            </w:r>
          </w:p>
        </w:tc>
        <w:tc>
          <w:tcPr>
            <w:tcW w:type="dxa" w:w="1296"/>
          </w:tcPr>
          <w:p>
            <w:pPr>
              <w:spacing w:after="20"/>
              <w:jc w:val="right"/>
            </w:pPr>
            <w:r>
              <w:rPr>
                <w:color w:val="1C3A36"/>
                <w:sz w:val="16"/>
              </w:rPr>
              <w:t>2,470</w:t>
            </w:r>
          </w:p>
        </w:tc>
        <w:tc>
          <w:tcPr>
            <w:tcW w:type="dxa" w:w="1296"/>
          </w:tcPr>
          <w:p>
            <w:pPr>
              <w:spacing w:after="20"/>
              <w:jc w:val="right"/>
            </w:pPr>
            <w:r>
              <w:rPr>
                <w:color w:val="1C3A36"/>
                <w:sz w:val="16"/>
              </w:rPr>
              <w:t>2,845</w:t>
            </w:r>
          </w:p>
        </w:tc>
        <w:tc>
          <w:tcPr>
            <w:tcW w:type="dxa" w:w="1296"/>
          </w:tcPr>
          <w:p>
            <w:pPr>
              <w:spacing w:after="20"/>
              <w:jc w:val="right"/>
            </w:pPr>
            <w:r>
              <w:rPr>
                <w:color w:val="1C3A36"/>
                <w:sz w:val="16"/>
              </w:rPr>
              <w:t>3,226</w:t>
            </w:r>
          </w:p>
        </w:tc>
        <w:tc>
          <w:tcPr>
            <w:tcW w:type="dxa" w:w="1296"/>
          </w:tcPr>
          <w:p>
            <w:pPr>
              <w:spacing w:after="20"/>
              <w:jc w:val="right"/>
            </w:pPr>
            <w:r>
              <w:rPr>
                <w:color w:val="1C3A36"/>
                <w:sz w:val="16"/>
              </w:rPr>
              <w:t>3,549</w:t>
            </w:r>
          </w:p>
        </w:tc>
      </w:tr>
      <w:tr>
        <w:tc>
          <w:tcPr>
            <w:tcW w:type="dxa" w:w="3456"/>
          </w:tcPr>
          <w:p>
            <w:pPr>
              <w:spacing w:after="20"/>
            </w:pPr>
            <w:r>
              <w:rPr>
                <w:color w:val="1C3A36"/>
                <w:sz w:val="16"/>
              </w:rPr>
              <w:t xml:space="preserve">  + Depreciation &amp; amortisation</w:t>
            </w:r>
          </w:p>
        </w:tc>
        <w:tc>
          <w:tcPr>
            <w:tcW w:type="dxa" w:w="1296"/>
          </w:tcPr>
          <w:p>
            <w:pPr>
              <w:spacing w:after="20"/>
              <w:jc w:val="right"/>
            </w:pPr>
            <w:r>
              <w:rPr>
                <w:color w:val="1C3A36"/>
                <w:sz w:val="16"/>
              </w:rPr>
              <w:t>290</w:t>
            </w:r>
          </w:p>
        </w:tc>
        <w:tc>
          <w:tcPr>
            <w:tcW w:type="dxa" w:w="1296"/>
          </w:tcPr>
          <w:p>
            <w:pPr>
              <w:spacing w:after="20"/>
              <w:jc w:val="right"/>
            </w:pPr>
            <w:r>
              <w:rPr>
                <w:color w:val="1C3A36"/>
                <w:sz w:val="16"/>
              </w:rPr>
              <w:t>339</w:t>
            </w:r>
          </w:p>
        </w:tc>
        <w:tc>
          <w:tcPr>
            <w:tcW w:type="dxa" w:w="1296"/>
          </w:tcPr>
          <w:p>
            <w:pPr>
              <w:spacing w:after="20"/>
              <w:jc w:val="right"/>
            </w:pPr>
            <w:r>
              <w:rPr>
                <w:color w:val="1C3A36"/>
                <w:sz w:val="16"/>
              </w:rPr>
              <w:t>387</w:t>
            </w:r>
          </w:p>
        </w:tc>
        <w:tc>
          <w:tcPr>
            <w:tcW w:type="dxa" w:w="1296"/>
          </w:tcPr>
          <w:p>
            <w:pPr>
              <w:spacing w:after="20"/>
              <w:jc w:val="right"/>
            </w:pPr>
            <w:r>
              <w:rPr>
                <w:color w:val="1C3A36"/>
                <w:sz w:val="16"/>
              </w:rPr>
              <w:t>434</w:t>
            </w:r>
          </w:p>
        </w:tc>
        <w:tc>
          <w:tcPr>
            <w:tcW w:type="dxa" w:w="1296"/>
          </w:tcPr>
          <w:p>
            <w:pPr>
              <w:spacing w:after="20"/>
              <w:jc w:val="right"/>
            </w:pPr>
            <w:r>
              <w:rPr>
                <w:color w:val="1C3A36"/>
                <w:sz w:val="16"/>
              </w:rPr>
              <w:t>477</w:t>
            </w:r>
          </w:p>
        </w:tc>
      </w:tr>
      <w:tr>
        <w:tc>
          <w:tcPr>
            <w:tcW w:type="dxa" w:w="3456"/>
          </w:tcPr>
          <w:p>
            <w:pPr>
              <w:spacing w:after="20"/>
            </w:pPr>
            <w:r>
              <w:rPr>
                <w:color w:val="1C3A36"/>
                <w:sz w:val="16"/>
              </w:rPr>
              <w:t xml:space="preserve">  − Capex</w:t>
            </w:r>
          </w:p>
        </w:tc>
        <w:tc>
          <w:tcPr>
            <w:tcW w:type="dxa" w:w="1296"/>
          </w:tcPr>
          <w:p>
            <w:pPr>
              <w:spacing w:after="20"/>
              <w:jc w:val="right"/>
            </w:pPr>
            <w:r>
              <w:rPr>
                <w:color w:val="1C3A36"/>
                <w:sz w:val="16"/>
              </w:rPr>
              <w:t>(309)</w:t>
            </w:r>
          </w:p>
        </w:tc>
        <w:tc>
          <w:tcPr>
            <w:tcW w:type="dxa" w:w="1296"/>
          </w:tcPr>
          <w:p>
            <w:pPr>
              <w:spacing w:after="20"/>
              <w:jc w:val="right"/>
            </w:pPr>
            <w:r>
              <w:rPr>
                <w:color w:val="1C3A36"/>
                <w:sz w:val="16"/>
              </w:rPr>
              <w:t>(350)</w:t>
            </w:r>
          </w:p>
        </w:tc>
        <w:tc>
          <w:tcPr>
            <w:tcW w:type="dxa" w:w="1296"/>
          </w:tcPr>
          <w:p>
            <w:pPr>
              <w:spacing w:after="20"/>
              <w:jc w:val="right"/>
            </w:pPr>
            <w:r>
              <w:rPr>
                <w:color w:val="1C3A36"/>
                <w:sz w:val="16"/>
              </w:rPr>
              <w:t>(387)</w:t>
            </w:r>
          </w:p>
        </w:tc>
        <w:tc>
          <w:tcPr>
            <w:tcW w:type="dxa" w:w="1296"/>
          </w:tcPr>
          <w:p>
            <w:pPr>
              <w:spacing w:after="20"/>
              <w:jc w:val="right"/>
            </w:pPr>
            <w:r>
              <w:rPr>
                <w:color w:val="1C3A36"/>
                <w:sz w:val="16"/>
              </w:rPr>
              <w:t>(434)</w:t>
            </w:r>
          </w:p>
        </w:tc>
        <w:tc>
          <w:tcPr>
            <w:tcW w:type="dxa" w:w="1296"/>
          </w:tcPr>
          <w:p>
            <w:pPr>
              <w:spacing w:after="20"/>
              <w:jc w:val="right"/>
            </w:pPr>
            <w:r>
              <w:rPr>
                <w:color w:val="1C3A36"/>
                <w:sz w:val="16"/>
              </w:rPr>
              <w:t>(477)</w:t>
            </w:r>
          </w:p>
        </w:tc>
      </w:tr>
      <w:tr>
        <w:tc>
          <w:tcPr>
            <w:tcW w:type="dxa" w:w="3456"/>
          </w:tcPr>
          <w:p>
            <w:pPr>
              <w:spacing w:after="20"/>
            </w:pPr>
            <w:r>
              <w:rPr>
                <w:color w:val="1C3A36"/>
                <w:sz w:val="16"/>
              </w:rPr>
              <w:t xml:space="preserve">  − Δ working capital</w:t>
            </w:r>
          </w:p>
        </w:tc>
        <w:tc>
          <w:tcPr>
            <w:tcW w:type="dxa" w:w="1296"/>
          </w:tcPr>
          <w:p>
            <w:pPr>
              <w:spacing w:after="20"/>
              <w:jc w:val="right"/>
            </w:pPr>
            <w:r>
              <w:rPr>
                <w:color w:val="1C3A36"/>
                <w:sz w:val="16"/>
              </w:rPr>
              <w:t>(56)</w:t>
            </w:r>
          </w:p>
        </w:tc>
        <w:tc>
          <w:tcPr>
            <w:tcW w:type="dxa" w:w="1296"/>
          </w:tcPr>
          <w:p>
            <w:pPr>
              <w:spacing w:after="20"/>
              <w:jc w:val="right"/>
            </w:pPr>
            <w:r>
              <w:rPr>
                <w:color w:val="1C3A36"/>
                <w:sz w:val="16"/>
              </w:rPr>
              <w:t>(41)</w:t>
            </w:r>
          </w:p>
        </w:tc>
        <w:tc>
          <w:tcPr>
            <w:tcW w:type="dxa" w:w="1296"/>
          </w:tcPr>
          <w:p>
            <w:pPr>
              <w:spacing w:after="20"/>
              <w:jc w:val="right"/>
            </w:pPr>
            <w:r>
              <w:rPr>
                <w:color w:val="1C3A36"/>
                <w:sz w:val="16"/>
              </w:rPr>
              <w:t>(40)</w:t>
            </w:r>
          </w:p>
        </w:tc>
        <w:tc>
          <w:tcPr>
            <w:tcW w:type="dxa" w:w="1296"/>
          </w:tcPr>
          <w:p>
            <w:pPr>
              <w:spacing w:after="20"/>
              <w:jc w:val="right"/>
            </w:pPr>
            <w:r>
              <w:rPr>
                <w:color w:val="1C3A36"/>
                <w:sz w:val="16"/>
              </w:rPr>
              <w:t>(39)</w:t>
            </w:r>
          </w:p>
        </w:tc>
        <w:tc>
          <w:tcPr>
            <w:tcW w:type="dxa" w:w="1296"/>
          </w:tcPr>
          <w:p>
            <w:pPr>
              <w:spacing w:after="20"/>
              <w:jc w:val="right"/>
            </w:pPr>
            <w:r>
              <w:rPr>
                <w:color w:val="1C3A36"/>
                <w:sz w:val="16"/>
              </w:rPr>
              <w:t>(36)</w:t>
            </w:r>
          </w:p>
        </w:tc>
      </w:tr>
      <w:tr>
        <w:tc>
          <w:tcPr>
            <w:tcW w:type="dxa" w:w="3456"/>
          </w:tcPr>
          <w:p>
            <w:pPr>
              <w:spacing w:after="20"/>
            </w:pPr>
            <w:r>
              <w:rPr>
                <w:color w:val="1C3A36"/>
                <w:sz w:val="16"/>
              </w:rPr>
              <w:t>Free cash flow to firm</w:t>
            </w:r>
          </w:p>
        </w:tc>
        <w:tc>
          <w:tcPr>
            <w:tcW w:type="dxa" w:w="1296"/>
          </w:tcPr>
          <w:p>
            <w:pPr>
              <w:spacing w:after="20"/>
              <w:jc w:val="right"/>
            </w:pPr>
            <w:r>
              <w:rPr>
                <w:color w:val="1C3A36"/>
                <w:sz w:val="16"/>
              </w:rPr>
              <w:t>2,007</w:t>
            </w:r>
          </w:p>
        </w:tc>
        <w:tc>
          <w:tcPr>
            <w:tcW w:type="dxa" w:w="1296"/>
          </w:tcPr>
          <w:p>
            <w:pPr>
              <w:spacing w:after="20"/>
              <w:jc w:val="right"/>
            </w:pPr>
            <w:r>
              <w:rPr>
                <w:color w:val="1C3A36"/>
                <w:sz w:val="16"/>
              </w:rPr>
              <w:t>2,417</w:t>
            </w:r>
          </w:p>
        </w:tc>
        <w:tc>
          <w:tcPr>
            <w:tcW w:type="dxa" w:w="1296"/>
          </w:tcPr>
          <w:p>
            <w:pPr>
              <w:spacing w:after="20"/>
              <w:jc w:val="right"/>
            </w:pPr>
            <w:r>
              <w:rPr>
                <w:color w:val="1C3A36"/>
                <w:sz w:val="16"/>
              </w:rPr>
              <w:t>2,805</w:t>
            </w:r>
          </w:p>
        </w:tc>
        <w:tc>
          <w:tcPr>
            <w:tcW w:type="dxa" w:w="1296"/>
          </w:tcPr>
          <w:p>
            <w:pPr>
              <w:spacing w:after="20"/>
              <w:jc w:val="right"/>
            </w:pPr>
            <w:r>
              <w:rPr>
                <w:color w:val="1C3A36"/>
                <w:sz w:val="16"/>
              </w:rPr>
              <w:t>3,188</w:t>
            </w:r>
          </w:p>
        </w:tc>
        <w:tc>
          <w:tcPr>
            <w:tcW w:type="dxa" w:w="1296"/>
          </w:tcPr>
          <w:p>
            <w:pPr>
              <w:spacing w:after="20"/>
              <w:jc w:val="right"/>
            </w:pPr>
            <w:r>
              <w:rPr>
                <w:color w:val="1C3A36"/>
                <w:sz w:val="16"/>
              </w:rPr>
              <w:t>3,513</w:t>
            </w:r>
          </w:p>
        </w:tc>
      </w:tr>
      <w:tr>
        <w:tc>
          <w:tcPr>
            <w:tcW w:type="dxa" w:w="3456"/>
            <w:shd w:val="clear" w:color="auto" w:fill="F6F1E6"/>
          </w:tcPr>
          <w:p>
            <w:pPr>
              <w:spacing w:after="20"/>
            </w:pPr>
            <w:r>
              <w:rPr>
                <w:b/>
                <w:color w:val="1C3A36"/>
                <w:sz w:val="16"/>
              </w:rPr>
              <w:t xml:space="preserve">  Discount factor</w:t>
            </w:r>
          </w:p>
        </w:tc>
        <w:tc>
          <w:tcPr>
            <w:tcW w:type="dxa" w:w="1296"/>
            <w:shd w:val="clear" w:color="auto" w:fill="F6F1E6"/>
          </w:tcPr>
          <w:p>
            <w:pPr>
              <w:spacing w:after="20"/>
              <w:jc w:val="right"/>
            </w:pPr>
            <w:r>
              <w:rPr>
                <w:b/>
                <w:color w:val="1C3A36"/>
                <w:sz w:val="16"/>
              </w:rPr>
              <w:t>1.105</w:t>
            </w:r>
          </w:p>
        </w:tc>
        <w:tc>
          <w:tcPr>
            <w:tcW w:type="dxa" w:w="1296"/>
            <w:shd w:val="clear" w:color="auto" w:fill="F6F1E6"/>
          </w:tcPr>
          <w:p>
            <w:pPr>
              <w:spacing w:after="20"/>
              <w:jc w:val="right"/>
            </w:pPr>
            <w:r>
              <w:rPr>
                <w:b/>
                <w:color w:val="1C3A36"/>
                <w:sz w:val="16"/>
              </w:rPr>
              <w:t>1.221</w:t>
            </w:r>
          </w:p>
        </w:tc>
        <w:tc>
          <w:tcPr>
            <w:tcW w:type="dxa" w:w="1296"/>
            <w:shd w:val="clear" w:color="auto" w:fill="F6F1E6"/>
          </w:tcPr>
          <w:p>
            <w:pPr>
              <w:spacing w:after="20"/>
              <w:jc w:val="right"/>
            </w:pPr>
            <w:r>
              <w:rPr>
                <w:b/>
                <w:color w:val="1C3A36"/>
                <w:sz w:val="16"/>
              </w:rPr>
              <w:t>1.350</w:t>
            </w:r>
          </w:p>
        </w:tc>
        <w:tc>
          <w:tcPr>
            <w:tcW w:type="dxa" w:w="1296"/>
            <w:shd w:val="clear" w:color="auto" w:fill="F6F1E6"/>
          </w:tcPr>
          <w:p>
            <w:pPr>
              <w:spacing w:after="20"/>
              <w:jc w:val="right"/>
            </w:pPr>
            <w:r>
              <w:rPr>
                <w:b/>
                <w:color w:val="1C3A36"/>
                <w:sz w:val="16"/>
              </w:rPr>
              <w:t>1.491</w:t>
            </w:r>
          </w:p>
        </w:tc>
        <w:tc>
          <w:tcPr>
            <w:tcW w:type="dxa" w:w="1296"/>
            <w:shd w:val="clear" w:color="auto" w:fill="F6F1E6"/>
          </w:tcPr>
          <w:p>
            <w:pPr>
              <w:spacing w:after="20"/>
              <w:jc w:val="right"/>
            </w:pPr>
            <w:r>
              <w:rPr>
                <w:b/>
                <w:color w:val="1C3A36"/>
                <w:sz w:val="16"/>
              </w:rPr>
              <w:t>1.648</w:t>
            </w:r>
          </w:p>
        </w:tc>
      </w:tr>
      <w:tr>
        <w:tc>
          <w:tcPr>
            <w:tcW w:type="dxa" w:w="3456"/>
          </w:tcPr>
          <w:p>
            <w:pPr>
              <w:spacing w:after="20"/>
            </w:pPr>
            <w:r>
              <w:rPr>
                <w:color w:val="1C3A36"/>
                <w:sz w:val="16"/>
              </w:rPr>
              <w:t>PV of FCFF</w:t>
            </w:r>
          </w:p>
        </w:tc>
        <w:tc>
          <w:tcPr>
            <w:tcW w:type="dxa" w:w="1296"/>
          </w:tcPr>
          <w:p>
            <w:pPr>
              <w:spacing w:after="20"/>
              <w:jc w:val="right"/>
            </w:pPr>
            <w:r>
              <w:rPr>
                <w:color w:val="1C3A36"/>
                <w:sz w:val="16"/>
              </w:rPr>
              <w:t>1,816</w:t>
            </w:r>
          </w:p>
        </w:tc>
        <w:tc>
          <w:tcPr>
            <w:tcW w:type="dxa" w:w="1296"/>
          </w:tcPr>
          <w:p>
            <w:pPr>
              <w:spacing w:after="20"/>
              <w:jc w:val="right"/>
            </w:pPr>
            <w:r>
              <w:rPr>
                <w:color w:val="1C3A36"/>
                <w:sz w:val="16"/>
              </w:rPr>
              <w:t>1,980</w:t>
            </w:r>
          </w:p>
        </w:tc>
        <w:tc>
          <w:tcPr>
            <w:tcW w:type="dxa" w:w="1296"/>
          </w:tcPr>
          <w:p>
            <w:pPr>
              <w:spacing w:after="20"/>
              <w:jc w:val="right"/>
            </w:pPr>
            <w:r>
              <w:rPr>
                <w:color w:val="1C3A36"/>
                <w:sz w:val="16"/>
              </w:rPr>
              <w:t>2,078</w:t>
            </w:r>
          </w:p>
        </w:tc>
        <w:tc>
          <w:tcPr>
            <w:tcW w:type="dxa" w:w="1296"/>
          </w:tcPr>
          <w:p>
            <w:pPr>
              <w:spacing w:after="20"/>
              <w:jc w:val="right"/>
            </w:pPr>
            <w:r>
              <w:rPr>
                <w:color w:val="1C3A36"/>
                <w:sz w:val="16"/>
              </w:rPr>
              <w:t>2,137</w:t>
            </w:r>
          </w:p>
        </w:tc>
        <w:tc>
          <w:tcPr>
            <w:tcW w:type="dxa" w:w="1296"/>
          </w:tcPr>
          <w:p>
            <w:pPr>
              <w:spacing w:after="20"/>
              <w:jc w:val="right"/>
            </w:pPr>
            <w:r>
              <w:rPr>
                <w:color w:val="1C3A36"/>
                <w:sz w:val="16"/>
              </w:rPr>
              <w:t>2,131</w:t>
            </w:r>
          </w:p>
        </w:tc>
      </w:tr>
    </w:tbl>
    <w:p>
      <w:pPr>
        <w:spacing w:after="40"/>
      </w:pPr>
    </w:p>
    <w:p>
      <w:pPr>
        <w:spacing w:after="180" w:before="0"/>
      </w:pPr>
      <w:r>
        <w:rPr>
          <w:b w:val="0"/>
          <w:i/>
          <w:color w:val="6E7B77"/>
          <w:sz w:val="17"/>
        </w:rPr>
        <w:t>Free cash flow to the firm, five-year explicit forecast. Every input links to the model’s Assumptions sheet. Capex and ΔWC shown in parentheses.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616"/>
            <w:shd w:val="clear" w:color="auto" w:fill="EAF0EE"/>
          </w:tcPr>
          <w:p>
            <w:pPr>
              <w:spacing w:after="20"/>
            </w:pPr>
            <w:r>
              <w:rPr>
                <w:b/>
                <w:color w:val="1C3A36"/>
                <w:sz w:val="18"/>
              </w:rPr>
              <w:t>DCF bridge to value</w:t>
            </w:r>
          </w:p>
        </w:tc>
        <w:tc>
          <w:tcPr>
            <w:tcW w:type="dxa" w:w="3312"/>
            <w:shd w:val="clear" w:color="auto" w:fill="EAF0EE"/>
          </w:tcPr>
          <w:p>
            <w:pPr>
              <w:spacing w:after="20"/>
            </w:pPr>
            <w:r>
              <w:rPr>
                <w:b/>
                <w:color w:val="1C3A36"/>
                <w:sz w:val="18"/>
              </w:rPr>
              <w:t>SAR mn / per share</w:t>
            </w:r>
          </w:p>
        </w:tc>
      </w:tr>
      <w:tr>
        <w:tc>
          <w:tcPr>
            <w:tcW w:type="dxa" w:w="5616"/>
          </w:tcPr>
          <w:p>
            <w:pPr>
              <w:spacing w:after="20"/>
            </w:pPr>
            <w:r>
              <w:rPr>
                <w:color w:val="1C3A36"/>
                <w:sz w:val="18"/>
              </w:rPr>
              <w:t>Sum of PV of explicit FCFF (2025e–29e)</w:t>
            </w:r>
          </w:p>
        </w:tc>
        <w:tc>
          <w:tcPr>
            <w:tcW w:type="dxa" w:w="3312"/>
          </w:tcPr>
          <w:p>
            <w:pPr>
              <w:spacing w:after="20"/>
              <w:jc w:val="right"/>
            </w:pPr>
            <w:r>
              <w:rPr>
                <w:color w:val="1C3A36"/>
                <w:sz w:val="18"/>
              </w:rPr>
              <w:t>10,142</w:t>
            </w:r>
          </w:p>
        </w:tc>
      </w:tr>
      <w:tr>
        <w:tc>
          <w:tcPr>
            <w:tcW w:type="dxa" w:w="5616"/>
          </w:tcPr>
          <w:p>
            <w:pPr>
              <w:spacing w:after="20"/>
            </w:pPr>
            <w:r>
              <w:rPr>
                <w:color w:val="1C3A36"/>
                <w:sz w:val="18"/>
              </w:rPr>
              <w:t>Terminal value (Gordon, g 4%, WACC 10.5%)</w:t>
            </w:r>
          </w:p>
        </w:tc>
        <w:tc>
          <w:tcPr>
            <w:tcW w:type="dxa" w:w="3312"/>
          </w:tcPr>
          <w:p>
            <w:pPr>
              <w:spacing w:after="20"/>
              <w:jc w:val="right"/>
            </w:pPr>
            <w:r>
              <w:rPr>
                <w:color w:val="1C3A36"/>
                <w:sz w:val="18"/>
              </w:rPr>
              <w:t>56,121</w:t>
            </w:r>
          </w:p>
        </w:tc>
      </w:tr>
      <w:tr>
        <w:tc>
          <w:tcPr>
            <w:tcW w:type="dxa" w:w="5616"/>
          </w:tcPr>
          <w:p>
            <w:pPr>
              <w:spacing w:after="20"/>
            </w:pPr>
            <w:r>
              <w:rPr>
                <w:color w:val="1C3A36"/>
                <w:sz w:val="18"/>
              </w:rPr>
              <w:t>PV of terminal value</w:t>
            </w:r>
          </w:p>
        </w:tc>
        <w:tc>
          <w:tcPr>
            <w:tcW w:type="dxa" w:w="3312"/>
          </w:tcPr>
          <w:p>
            <w:pPr>
              <w:spacing w:after="20"/>
              <w:jc w:val="right"/>
            </w:pPr>
            <w:r>
              <w:rPr>
                <w:color w:val="1C3A36"/>
                <w:sz w:val="18"/>
              </w:rPr>
              <w:t>34,050   (77% of EV)</w:t>
            </w:r>
          </w:p>
        </w:tc>
      </w:tr>
      <w:tr>
        <w:tc>
          <w:tcPr>
            <w:tcW w:type="dxa" w:w="5616"/>
          </w:tcPr>
          <w:p>
            <w:pPr>
              <w:spacing w:after="20"/>
            </w:pPr>
            <w:r>
              <w:rPr>
                <w:color w:val="1C3A36"/>
                <w:sz w:val="18"/>
              </w:rPr>
              <w:t>Enterprise value</w:t>
            </w:r>
          </w:p>
        </w:tc>
        <w:tc>
          <w:tcPr>
            <w:tcW w:type="dxa" w:w="3312"/>
          </w:tcPr>
          <w:p>
            <w:pPr>
              <w:spacing w:after="20"/>
              <w:jc w:val="right"/>
            </w:pPr>
            <w:r>
              <w:rPr>
                <w:color w:val="1C3A36"/>
                <w:sz w:val="18"/>
              </w:rPr>
              <w:t>44,192</w:t>
            </w:r>
          </w:p>
        </w:tc>
      </w:tr>
      <w:tr>
        <w:tc>
          <w:tcPr>
            <w:tcW w:type="dxa" w:w="5616"/>
          </w:tcPr>
          <w:p>
            <w:pPr>
              <w:spacing w:after="20"/>
            </w:pPr>
            <w:r>
              <w:rPr>
                <w:color w:val="1C3A36"/>
                <w:sz w:val="18"/>
              </w:rPr>
              <w:t>+ Net cash (net of leases &amp; income-sharing)</w:t>
            </w:r>
          </w:p>
        </w:tc>
        <w:tc>
          <w:tcPr>
            <w:tcW w:type="dxa" w:w="3312"/>
          </w:tcPr>
          <w:p>
            <w:pPr>
              <w:spacing w:after="20"/>
              <w:jc w:val="right"/>
            </w:pPr>
            <w:r>
              <w:rPr>
                <w:color w:val="1C3A36"/>
                <w:sz w:val="18"/>
              </w:rPr>
              <w:t>1,900</w:t>
            </w:r>
          </w:p>
        </w:tc>
      </w:tr>
      <w:tr>
        <w:tc>
          <w:tcPr>
            <w:tcW w:type="dxa" w:w="5616"/>
          </w:tcPr>
          <w:p>
            <w:pPr>
              <w:spacing w:after="20"/>
            </w:pPr>
            <w:r>
              <w:rPr>
                <w:color w:val="1C3A36"/>
                <w:sz w:val="18"/>
              </w:rPr>
              <w:t>Equity value</w:t>
            </w:r>
          </w:p>
        </w:tc>
        <w:tc>
          <w:tcPr>
            <w:tcW w:type="dxa" w:w="3312"/>
          </w:tcPr>
          <w:p>
            <w:pPr>
              <w:spacing w:after="20"/>
              <w:jc w:val="right"/>
            </w:pPr>
            <w:r>
              <w:rPr>
                <w:color w:val="1C3A36"/>
                <w:sz w:val="18"/>
              </w:rPr>
              <w:t>46,092</w:t>
            </w:r>
          </w:p>
        </w:tc>
      </w:tr>
      <w:tr>
        <w:tc>
          <w:tcPr>
            <w:tcW w:type="dxa" w:w="5616"/>
          </w:tcPr>
          <w:p>
            <w:pPr>
              <w:spacing w:after="20"/>
            </w:pPr>
            <w:r>
              <w:rPr>
                <w:color w:val="1C3A36"/>
                <w:sz w:val="18"/>
              </w:rPr>
              <w:t>÷ shares (m)</w:t>
            </w:r>
          </w:p>
        </w:tc>
        <w:tc>
          <w:tcPr>
            <w:tcW w:type="dxa" w:w="3312"/>
          </w:tcPr>
          <w:p>
            <w:pPr>
              <w:spacing w:after="20"/>
              <w:jc w:val="right"/>
            </w:pPr>
            <w:r>
              <w:rPr>
                <w:color w:val="1C3A36"/>
                <w:sz w:val="18"/>
              </w:rPr>
              <w:t>80</w:t>
            </w:r>
          </w:p>
        </w:tc>
      </w:tr>
      <w:tr>
        <w:tc>
          <w:tcPr>
            <w:tcW w:type="dxa" w:w="5616"/>
            <w:shd w:val="clear" w:color="auto" w:fill="F6F1E6"/>
          </w:tcPr>
          <w:p>
            <w:pPr>
              <w:spacing w:after="20"/>
            </w:pPr>
            <w:r>
              <w:rPr>
                <w:b/>
                <w:color w:val="1C3A36"/>
                <w:sz w:val="18"/>
              </w:rPr>
              <w:t>Fair value per share (base case)</w:t>
            </w:r>
          </w:p>
        </w:tc>
        <w:tc>
          <w:tcPr>
            <w:tcW w:type="dxa" w:w="3312"/>
            <w:shd w:val="clear" w:color="auto" w:fill="F6F1E6"/>
          </w:tcPr>
          <w:p>
            <w:pPr>
              <w:spacing w:after="20"/>
              <w:jc w:val="right"/>
            </w:pPr>
            <w:r>
              <w:rPr>
                <w:b/>
                <w:color w:val="1C3A36"/>
                <w:sz w:val="18"/>
              </w:rPr>
              <w:t>SAR 576</w:t>
            </w:r>
          </w:p>
        </w:tc>
      </w:tr>
    </w:tbl>
    <w:p>
      <w:pPr>
        <w:spacing w:after="40"/>
      </w:pPr>
    </w:p>
    <w:p>
      <w:pPr>
        <w:spacing w:after="40"/>
        <w:jc w:val="center"/>
      </w:pPr>
      <w:r>
        <w:drawing>
          <wp:inline xmlns:a="http://schemas.openxmlformats.org/drawingml/2006/main" xmlns:pic="http://schemas.openxmlformats.org/drawingml/2006/picture">
            <wp:extent cx="6126480" cy="2444725"/>
            <wp:docPr id="1" name="Picture 1"/>
            <wp:cNvGraphicFramePr>
              <a:graphicFrameLocks noChangeAspect="1"/>
            </wp:cNvGraphicFramePr>
            <a:graphic>
              <a:graphicData uri="http://schemas.openxmlformats.org/drawingml/2006/picture">
                <pic:pic>
                  <pic:nvPicPr>
                    <pic:cNvPr id="0" name="dcf.png"/>
                    <pic:cNvPicPr/>
                  </pic:nvPicPr>
                  <pic:blipFill>
                    <a:blip r:embed="rId9"/>
                    <a:stretch>
                      <a:fillRect/>
                    </a:stretch>
                  </pic:blipFill>
                  <pic:spPr>
                    <a:xfrm>
                      <a:off x="0" y="0"/>
                      <a:ext cx="6126480" cy="2444725"/>
                    </a:xfrm>
                    <a:prstGeom prst="rect"/>
                  </pic:spPr>
                </pic:pic>
              </a:graphicData>
            </a:graphic>
          </wp:inline>
        </w:drawing>
      </w:r>
    </w:p>
    <w:p>
      <w:pPr>
        <w:spacing w:after="180" w:before="0"/>
      </w:pPr>
      <w:r>
        <w:rPr>
          <w:b w:val="0"/>
          <w:i/>
          <w:color w:val="6E7B77"/>
          <w:sz w:val="17"/>
        </w:rPr>
        <w:t>Present value by year. The terminal block dominates — the signature of any high-growth DCF — which is why the discount rate, not the near-term forecast, drives the answer.</w:t>
      </w:r>
    </w:p>
    <w:p>
      <w:pPr>
        <w:spacing w:after="120" w:before="0"/>
      </w:pPr>
      <w:r>
        <w:rPr>
          <w:b w:val="0"/>
          <w:i w:val="0"/>
          <w:color w:val="1C3A36"/>
          <w:sz w:val="20"/>
        </w:rPr>
        <w:t xml:space="preserve">Terminal value is </w:t>
      </w:r>
      <w:r>
        <w:rPr>
          <w:b/>
          <w:i w:val="0"/>
          <w:color w:val="1C3A36"/>
          <w:sz w:val="20"/>
        </w:rPr>
        <w:t>77% of enterprise value</w:t>
      </w:r>
      <w:r>
        <w:rPr>
          <w:b w:val="0"/>
          <w:i w:val="0"/>
          <w:color w:val="1C3A36"/>
          <w:sz w:val="20"/>
        </w:rPr>
        <w:t xml:space="preserve"> — high, as it must be for any fast-grower, and disclosed rather than buried. That dependency is exactly why the discount rate is the crux and is sensitized so widely in §1.9. The base case rests on a neutral beta of 1.0; the derivation of the cost of capital, and the beta question, are in §1.8.</w:t>
      </w:r>
    </w:p>
    <w:p>
      <w:pPr>
        <w:spacing w:after="60" w:before="180"/>
      </w:pPr>
      <w:r>
        <w:rPr>
          <w:b/>
          <w:i w:val="0"/>
          <w:color w:val="1C3A36"/>
          <w:sz w:val="23"/>
        </w:rPr>
        <w:t>1.2  Cash-flow cross-check — returns on capital</w:t>
      </w:r>
    </w:p>
    <w:p>
      <w:pPr>
        <w:spacing w:after="120" w:before="0"/>
      </w:pPr>
      <w:r>
        <w:rPr>
          <w:b w:val="0"/>
          <w:i w:val="0"/>
          <w:color w:val="1C3A36"/>
          <w:sz w:val="20"/>
        </w:rPr>
        <w:t>Elm converts roughly 90% of net profit into operating cash and earns a return on invested capital near 88% — a function of the asset-light, national-registry-access model where incremental platform transactions carry almost no incremental cost beyond income-sharing. With a cost of capital near 10.5%, the ROIC-vs-WACC spread is enormous, which is the economic case for a premium multiple and for value that is heavily terminal. The cross-check does not produce an independent point estimate; it confirms that the mid-600s implied by the other lenses is consistent with the quality of the franchise, provided the moat holds.</w:t>
      </w:r>
    </w:p>
    <w:p>
      <w:pPr>
        <w:spacing w:after="60" w:before="180"/>
      </w:pPr>
      <w:r>
        <w:rPr>
          <w:b/>
          <w:i w:val="0"/>
          <w:color w:val="1C3A36"/>
          <w:sz w:val="23"/>
        </w:rPr>
        <w:t>1.3  Relative multiples</w:t>
      </w:r>
    </w:p>
    <w:p>
      <w:pPr>
        <w:spacing w:after="120" w:before="0"/>
      </w:pPr>
      <w:r>
        <w:rPr>
          <w:b w:val="0"/>
          <w:i w:val="0"/>
          <w:color w:val="1C3A36"/>
          <w:sz w:val="20"/>
        </w:rPr>
        <w:t>Elm has historically traded at ~42× earnings and briefly 56× at the peak, a ~114% average premium to the TASI (currently ~24× vs TASI ~17.5×). Applying a defensible forward range to 2025e metrics: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456"/>
            <w:shd w:val="clear" w:color="auto" w:fill="EAF0EE"/>
          </w:tcPr>
          <w:p>
            <w:pPr>
              <w:spacing w:after="20"/>
            </w:pPr>
            <w:r>
              <w:rPr>
                <w:b/>
                <w:color w:val="1C3A36"/>
                <w:sz w:val="17"/>
              </w:rPr>
              <w:t>Multiple applied</w:t>
            </w:r>
          </w:p>
        </w:tc>
        <w:tc>
          <w:tcPr>
            <w:tcW w:type="dxa" w:w="1368"/>
            <w:shd w:val="clear" w:color="auto" w:fill="EAF0EE"/>
          </w:tcPr>
          <w:p>
            <w:pPr>
              <w:spacing w:after="20"/>
            </w:pPr>
            <w:r>
              <w:rPr>
                <w:b/>
                <w:color w:val="1C3A36"/>
                <w:sz w:val="17"/>
              </w:rPr>
              <w:t>16×</w:t>
            </w:r>
          </w:p>
        </w:tc>
        <w:tc>
          <w:tcPr>
            <w:tcW w:type="dxa" w:w="1368"/>
            <w:shd w:val="clear" w:color="auto" w:fill="EAF0EE"/>
          </w:tcPr>
          <w:p>
            <w:pPr>
              <w:spacing w:after="20"/>
            </w:pPr>
            <w:r>
              <w:rPr>
                <w:b/>
                <w:color w:val="1C3A36"/>
                <w:sz w:val="17"/>
              </w:rPr>
              <w:t>18×</w:t>
            </w:r>
          </w:p>
        </w:tc>
        <w:tc>
          <w:tcPr>
            <w:tcW w:type="dxa" w:w="1368"/>
            <w:shd w:val="clear" w:color="auto" w:fill="EAF0EE"/>
          </w:tcPr>
          <w:p>
            <w:pPr>
              <w:spacing w:after="20"/>
            </w:pPr>
            <w:r>
              <w:rPr>
                <w:b/>
                <w:color w:val="1C3A36"/>
                <w:sz w:val="17"/>
              </w:rPr>
              <w:t>20×</w:t>
            </w:r>
          </w:p>
        </w:tc>
        <w:tc>
          <w:tcPr>
            <w:tcW w:type="dxa" w:w="1368"/>
            <w:shd w:val="clear" w:color="auto" w:fill="EAF0EE"/>
          </w:tcPr>
          <w:p>
            <w:pPr>
              <w:spacing w:after="20"/>
            </w:pPr>
            <w:r>
              <w:rPr>
                <w:b/>
                <w:color w:val="1C3A36"/>
                <w:sz w:val="17"/>
              </w:rPr>
              <w:t>22×</w:t>
            </w:r>
          </w:p>
        </w:tc>
      </w:tr>
      <w:tr>
        <w:tc>
          <w:tcPr>
            <w:tcW w:type="dxa" w:w="3456"/>
          </w:tcPr>
          <w:p>
            <w:pPr>
              <w:spacing w:after="20"/>
            </w:pPr>
            <w:r>
              <w:rPr>
                <w:color w:val="1C3A36"/>
                <w:sz w:val="17"/>
              </w:rPr>
              <w:t>EV/EBITDA → EV (SAR mn)</w:t>
            </w:r>
          </w:p>
        </w:tc>
        <w:tc>
          <w:tcPr>
            <w:tcW w:type="dxa" w:w="1368"/>
          </w:tcPr>
          <w:p>
            <w:pPr>
              <w:spacing w:after="20"/>
              <w:jc w:val="right"/>
            </w:pPr>
            <w:r>
              <w:rPr>
                <w:color w:val="1C3A36"/>
                <w:sz w:val="17"/>
              </w:rPr>
              <w:t>40,464</w:t>
            </w:r>
          </w:p>
        </w:tc>
        <w:tc>
          <w:tcPr>
            <w:tcW w:type="dxa" w:w="1368"/>
          </w:tcPr>
          <w:p>
            <w:pPr>
              <w:spacing w:after="20"/>
              <w:jc w:val="right"/>
            </w:pPr>
            <w:r>
              <w:rPr>
                <w:color w:val="1C3A36"/>
                <w:sz w:val="17"/>
              </w:rPr>
              <w:t>45,522</w:t>
            </w:r>
          </w:p>
        </w:tc>
        <w:tc>
          <w:tcPr>
            <w:tcW w:type="dxa" w:w="1368"/>
          </w:tcPr>
          <w:p>
            <w:pPr>
              <w:spacing w:after="20"/>
              <w:jc w:val="right"/>
            </w:pPr>
            <w:r>
              <w:rPr>
                <w:color w:val="1C3A36"/>
                <w:sz w:val="17"/>
              </w:rPr>
              <w:t>50,580</w:t>
            </w:r>
          </w:p>
        </w:tc>
        <w:tc>
          <w:tcPr>
            <w:tcW w:type="dxa" w:w="1368"/>
          </w:tcPr>
          <w:p>
            <w:pPr>
              <w:spacing w:after="20"/>
              <w:jc w:val="right"/>
            </w:pPr>
            <w:r>
              <w:rPr>
                <w:color w:val="1C3A36"/>
                <w:sz w:val="17"/>
              </w:rPr>
              <w:t>55,638</w:t>
            </w:r>
          </w:p>
        </w:tc>
      </w:tr>
      <w:tr>
        <w:tc>
          <w:tcPr>
            <w:tcW w:type="dxa" w:w="3456"/>
          </w:tcPr>
          <w:p>
            <w:pPr>
              <w:spacing w:after="20"/>
            </w:pPr>
            <w:r>
              <w:rPr>
                <w:color w:val="1C3A36"/>
                <w:sz w:val="17"/>
              </w:rPr>
              <w:t xml:space="preserve">   → per share (SAR)</w:t>
            </w:r>
          </w:p>
        </w:tc>
        <w:tc>
          <w:tcPr>
            <w:tcW w:type="dxa" w:w="1368"/>
          </w:tcPr>
          <w:p>
            <w:pPr>
              <w:spacing w:after="20"/>
              <w:jc w:val="right"/>
            </w:pPr>
            <w:r>
              <w:rPr>
                <w:color w:val="1C3A36"/>
                <w:sz w:val="17"/>
              </w:rPr>
              <w:t>529</w:t>
            </w:r>
          </w:p>
        </w:tc>
        <w:tc>
          <w:tcPr>
            <w:tcW w:type="dxa" w:w="1368"/>
          </w:tcPr>
          <w:p>
            <w:pPr>
              <w:spacing w:after="20"/>
              <w:jc w:val="right"/>
            </w:pPr>
            <w:r>
              <w:rPr>
                <w:color w:val="1C3A36"/>
                <w:sz w:val="17"/>
              </w:rPr>
              <w:t>593</w:t>
            </w:r>
          </w:p>
        </w:tc>
        <w:tc>
          <w:tcPr>
            <w:tcW w:type="dxa" w:w="1368"/>
          </w:tcPr>
          <w:p>
            <w:pPr>
              <w:spacing w:after="20"/>
              <w:jc w:val="right"/>
            </w:pPr>
            <w:r>
              <w:rPr>
                <w:color w:val="1C3A36"/>
                <w:sz w:val="17"/>
              </w:rPr>
              <w:t>656</w:t>
            </w:r>
          </w:p>
        </w:tc>
        <w:tc>
          <w:tcPr>
            <w:tcW w:type="dxa" w:w="1368"/>
          </w:tcPr>
          <w:p>
            <w:pPr>
              <w:spacing w:after="20"/>
              <w:jc w:val="right"/>
            </w:pPr>
            <w:r>
              <w:rPr>
                <w:color w:val="1C3A36"/>
                <w:sz w:val="17"/>
              </w:rPr>
              <w:t>719</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456"/>
            <w:shd w:val="clear" w:color="auto" w:fill="EAF0EE"/>
          </w:tcPr>
          <w:p>
            <w:pPr>
              <w:spacing w:after="20"/>
            </w:pPr>
            <w:r>
              <w:rPr>
                <w:b/>
                <w:color w:val="1C3A36"/>
                <w:sz w:val="17"/>
              </w:rPr>
              <w:t>Multiple applied</w:t>
            </w:r>
          </w:p>
        </w:tc>
        <w:tc>
          <w:tcPr>
            <w:tcW w:type="dxa" w:w="1368"/>
            <w:shd w:val="clear" w:color="auto" w:fill="EAF0EE"/>
          </w:tcPr>
          <w:p>
            <w:pPr>
              <w:spacing w:after="20"/>
            </w:pPr>
            <w:r>
              <w:rPr>
                <w:b/>
                <w:color w:val="1C3A36"/>
                <w:sz w:val="17"/>
              </w:rPr>
              <w:t>20×</w:t>
            </w:r>
          </w:p>
        </w:tc>
        <w:tc>
          <w:tcPr>
            <w:tcW w:type="dxa" w:w="1368"/>
            <w:shd w:val="clear" w:color="auto" w:fill="EAF0EE"/>
          </w:tcPr>
          <w:p>
            <w:pPr>
              <w:spacing w:after="20"/>
            </w:pPr>
            <w:r>
              <w:rPr>
                <w:b/>
                <w:color w:val="1C3A36"/>
                <w:sz w:val="17"/>
              </w:rPr>
              <w:t>24×</w:t>
            </w:r>
          </w:p>
        </w:tc>
        <w:tc>
          <w:tcPr>
            <w:tcW w:type="dxa" w:w="1368"/>
            <w:shd w:val="clear" w:color="auto" w:fill="EAF0EE"/>
          </w:tcPr>
          <w:p>
            <w:pPr>
              <w:spacing w:after="20"/>
            </w:pPr>
            <w:r>
              <w:rPr>
                <w:b/>
                <w:color w:val="1C3A36"/>
                <w:sz w:val="17"/>
              </w:rPr>
              <w:t>28×</w:t>
            </w:r>
          </w:p>
        </w:tc>
        <w:tc>
          <w:tcPr>
            <w:tcW w:type="dxa" w:w="1368"/>
            <w:shd w:val="clear" w:color="auto" w:fill="EAF0EE"/>
          </w:tcPr>
          <w:p>
            <w:pPr>
              <w:spacing w:after="20"/>
            </w:pPr>
            <w:r>
              <w:rPr>
                <w:b/>
                <w:color w:val="1C3A36"/>
                <w:sz w:val="17"/>
              </w:rPr>
              <w:t>32×</w:t>
            </w:r>
          </w:p>
        </w:tc>
      </w:tr>
      <w:tr>
        <w:tc>
          <w:tcPr>
            <w:tcW w:type="dxa" w:w="3456"/>
          </w:tcPr>
          <w:p>
            <w:pPr>
              <w:spacing w:after="20"/>
            </w:pPr>
            <w:r>
              <w:rPr>
                <w:color w:val="1C3A36"/>
                <w:sz w:val="17"/>
              </w:rPr>
              <w:t>Forward P/E → per share (SAR)</w:t>
            </w:r>
          </w:p>
        </w:tc>
        <w:tc>
          <w:tcPr>
            <w:tcW w:type="dxa" w:w="1368"/>
          </w:tcPr>
          <w:p>
            <w:pPr>
              <w:spacing w:after="20"/>
              <w:jc w:val="right"/>
            </w:pPr>
            <w:r>
              <w:rPr>
                <w:color w:val="1C3A36"/>
                <w:sz w:val="17"/>
              </w:rPr>
              <w:t>572</w:t>
            </w:r>
          </w:p>
        </w:tc>
        <w:tc>
          <w:tcPr>
            <w:tcW w:type="dxa" w:w="1368"/>
          </w:tcPr>
          <w:p>
            <w:pPr>
              <w:spacing w:after="20"/>
              <w:jc w:val="right"/>
            </w:pPr>
            <w:r>
              <w:rPr>
                <w:color w:val="1C3A36"/>
                <w:sz w:val="17"/>
              </w:rPr>
              <w:t>686</w:t>
            </w:r>
          </w:p>
        </w:tc>
        <w:tc>
          <w:tcPr>
            <w:tcW w:type="dxa" w:w="1368"/>
          </w:tcPr>
          <w:p>
            <w:pPr>
              <w:spacing w:after="20"/>
              <w:jc w:val="right"/>
            </w:pPr>
            <w:r>
              <w:rPr>
                <w:color w:val="1C3A36"/>
                <w:sz w:val="17"/>
              </w:rPr>
              <w:t>800</w:t>
            </w:r>
          </w:p>
        </w:tc>
        <w:tc>
          <w:tcPr>
            <w:tcW w:type="dxa" w:w="1368"/>
          </w:tcPr>
          <w:p>
            <w:pPr>
              <w:spacing w:after="20"/>
              <w:jc w:val="right"/>
            </w:pPr>
            <w:r>
              <w:rPr>
                <w:color w:val="1C3A36"/>
                <w:sz w:val="17"/>
              </w:rPr>
              <w:t>915</w:t>
            </w:r>
          </w:p>
        </w:tc>
      </w:tr>
    </w:tbl>
    <w:p>
      <w:pPr>
        <w:spacing w:after="40"/>
      </w:pPr>
    </w:p>
    <w:p>
      <w:pPr>
        <w:spacing w:after="180" w:before="0"/>
      </w:pPr>
      <w:r>
        <w:rPr>
          <w:b w:val="0"/>
          <w:i/>
          <w:color w:val="6E7B77"/>
          <w:sz w:val="17"/>
        </w:rPr>
        <w:t>On 2025e EBITDA of SAR 2,529mn and 2025e EPS of SAR 28.6. The relative lenses bracket spot: EV/EBITDA at a still-premium 18–20× implies SAR 593–656; forward P/E at 24× (well below Elm’s history, roughly the current multiple) implies SAR 686.</w:t>
      </w:r>
    </w:p>
    <w:p>
      <w:pPr>
        <w:spacing w:after="60" w:before="180"/>
      </w:pPr>
      <w:r>
        <w:rPr>
          <w:b/>
          <w:i w:val="0"/>
          <w:color w:val="1C3A36"/>
          <w:sz w:val="23"/>
        </w:rPr>
        <w:t>1.4  Recurring-revenue and platform-cycle framing</w:t>
      </w:r>
    </w:p>
    <w:p>
      <w:pPr>
        <w:spacing w:after="120" w:before="0"/>
      </w:pPr>
      <w:r>
        <w:rPr>
          <w:b w:val="0"/>
          <w:i w:val="0"/>
          <w:color w:val="1C3A36"/>
          <w:sz w:val="20"/>
        </w:rPr>
        <w:t>For a software/platform name, “normalised earnings power” is replaced by a recurring-revenue and platform-cadence read. About 70% of Elm’s revenue is recurring (transactions and subscriptions on established platforms), and the backlog is ~SAR 3.8bn. Growth arrives in steps as new platforms mature and cross-sell compounds; margins on existing products improve with usage. The durability question is not whether Elm grows, but whether its exclusivity — access to the national data registry that underpins the highest-margin Digital Business line — persists. That is the moat, and its potential erosion is the bear case (see §1.7 and Appendix B).</w:t>
      </w:r>
    </w:p>
    <w:p>
      <w:pPr>
        <w:spacing w:after="40"/>
        <w:jc w:val="center"/>
      </w:pPr>
      <w:r>
        <w:drawing>
          <wp:inline xmlns:a="http://schemas.openxmlformats.org/drawingml/2006/main" xmlns:pic="http://schemas.openxmlformats.org/drawingml/2006/picture">
            <wp:extent cx="6126480" cy="2410498"/>
            <wp:docPr id="2" name="Picture 2"/>
            <wp:cNvGraphicFramePr>
              <a:graphicFrameLocks noChangeAspect="1"/>
            </wp:cNvGraphicFramePr>
            <a:graphic>
              <a:graphicData uri="http://schemas.openxmlformats.org/drawingml/2006/picture">
                <pic:pic>
                  <pic:nvPicPr>
                    <pic:cNvPr id="0" name="rev.png"/>
                    <pic:cNvPicPr/>
                  </pic:nvPicPr>
                  <pic:blipFill>
                    <a:blip r:embed="rId10"/>
                    <a:stretch>
                      <a:fillRect/>
                    </a:stretch>
                  </pic:blipFill>
                  <pic:spPr>
                    <a:xfrm>
                      <a:off x="0" y="0"/>
                      <a:ext cx="6126480" cy="2410498"/>
                    </a:xfrm>
                    <a:prstGeom prst="rect"/>
                  </pic:spPr>
                </pic:pic>
              </a:graphicData>
            </a:graphic>
          </wp:inline>
        </w:drawing>
      </w:r>
    </w:p>
    <w:p>
      <w:pPr>
        <w:spacing w:after="180" w:before="0"/>
      </w:pPr>
      <w:r>
        <w:rPr>
          <w:b w:val="0"/>
          <w:i/>
          <w:color w:val="6E7B77"/>
          <w:sz w:val="17"/>
        </w:rPr>
        <w:t>Revenue: three actual years (FY22–24) and the five-year forecast (FY25e–29e), compounding ~16% and moderating — broadly in line with sell-side ranges but built from the preparer’s own drivers.</w:t>
      </w:r>
    </w:p>
    <w:p>
      <w:pPr>
        <w:spacing w:after="60" w:before="180"/>
      </w:pPr>
      <w:r>
        <w:rPr>
          <w:b/>
          <w:i w:val="0"/>
          <w:color w:val="1C3A36"/>
          <w:sz w:val="23"/>
        </w:rPr>
        <w:t>1.5  Synthesis — five lenses and the football field</w:t>
      </w:r>
    </w:p>
    <w:p>
      <w:pPr>
        <w:spacing w:after="40"/>
        <w:jc w:val="center"/>
      </w:pPr>
      <w:r>
        <w:drawing>
          <wp:inline xmlns:a="http://schemas.openxmlformats.org/drawingml/2006/main" xmlns:pic="http://schemas.openxmlformats.org/drawingml/2006/picture">
            <wp:extent cx="6309360" cy="2704729"/>
            <wp:docPr id="3" name="Picture 3"/>
            <wp:cNvGraphicFramePr>
              <a:graphicFrameLocks noChangeAspect="1"/>
            </wp:cNvGraphicFramePr>
            <a:graphic>
              <a:graphicData uri="http://schemas.openxmlformats.org/drawingml/2006/picture">
                <pic:pic>
                  <pic:nvPicPr>
                    <pic:cNvPr id="0" name="ff.png"/>
                    <pic:cNvPicPr/>
                  </pic:nvPicPr>
                  <pic:blipFill>
                    <a:blip r:embed="rId11"/>
                    <a:stretch>
                      <a:fillRect/>
                    </a:stretch>
                  </pic:blipFill>
                  <pic:spPr>
                    <a:xfrm>
                      <a:off x="0" y="0"/>
                      <a:ext cx="6309360" cy="2704729"/>
                    </a:xfrm>
                    <a:prstGeom prst="rect"/>
                  </pic:spPr>
                </pic:pic>
              </a:graphicData>
            </a:graphic>
          </wp:inline>
        </w:drawing>
      </w:r>
    </w:p>
    <w:p>
      <w:pPr>
        <w:spacing w:after="180" w:before="0"/>
      </w:pPr>
      <w:r>
        <w:rPr>
          <w:b w:val="0"/>
          <w:i/>
          <w:color w:val="6E7B77"/>
          <w:sz w:val="17"/>
        </w:rPr>
        <w:t>Every lens on one axis. The DCF spans a wide band because 77% of its value is terminal and therefore discount-rate-driven; the relative lenses and the weighted central (~SAR 620) bracket spot, which sits at the upper edge of the fair-value range.</w:t>
      </w:r>
    </w:p>
    <w:p>
      <w:pPr>
        <w:spacing w:after="120" w:before="0"/>
      </w:pPr>
      <w:r>
        <w:rPr>
          <w:b w:val="0"/>
          <w:i w:val="0"/>
          <w:color w:val="1C3A36"/>
          <w:sz w:val="20"/>
        </w:rPr>
        <w:t>The lenses converge on a central fair value near SAR 620 with a range of roughly SAR 530–720. Spot at SAR 658 is inside that range, ~6% above the centre — the de-rate has removed the euphoria and left Elm trading around intrinsic value on a neutral-beta base case. The dispersion is dominated not by disagreement about the business but by the discount rate.</w:t>
      </w:r>
    </w:p>
    <w:p>
      <w:pPr>
        <w:spacing w:after="60" w:before="180"/>
      </w:pPr>
      <w:r>
        <w:rPr>
          <w:b/>
          <w:i w:val="0"/>
          <w:color w:val="1C3A36"/>
          <w:sz w:val="23"/>
        </w:rPr>
        <w:t>1.6  Segment scorecard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736"/>
            <w:shd w:val="clear" w:color="auto" w:fill="EAF0EE"/>
          </w:tcPr>
          <w:p>
            <w:pPr>
              <w:spacing w:after="20"/>
            </w:pPr>
            <w:r>
              <w:rPr>
                <w:b/>
                <w:color w:val="1C3A36"/>
                <w:sz w:val="16"/>
              </w:rPr>
              <w:t>Segment (FY2024)</w:t>
            </w:r>
          </w:p>
        </w:tc>
        <w:tc>
          <w:tcPr>
            <w:tcW w:type="dxa" w:w="1656"/>
            <w:shd w:val="clear" w:color="auto" w:fill="EAF0EE"/>
          </w:tcPr>
          <w:p>
            <w:pPr>
              <w:spacing w:after="20"/>
            </w:pPr>
            <w:r>
              <w:rPr>
                <w:b/>
                <w:color w:val="1C3A36"/>
                <w:sz w:val="16"/>
              </w:rPr>
              <w:t>Revenue SAR mn</w:t>
            </w:r>
          </w:p>
        </w:tc>
        <w:tc>
          <w:tcPr>
            <w:tcW w:type="dxa" w:w="1152"/>
            <w:shd w:val="clear" w:color="auto" w:fill="EAF0EE"/>
          </w:tcPr>
          <w:p>
            <w:pPr>
              <w:spacing w:after="20"/>
            </w:pPr>
            <w:r>
              <w:rPr>
                <w:b/>
                <w:color w:val="1C3A36"/>
                <w:sz w:val="16"/>
              </w:rPr>
              <w:t>% of total</w:t>
            </w:r>
          </w:p>
        </w:tc>
        <w:tc>
          <w:tcPr>
            <w:tcW w:type="dxa" w:w="1080"/>
            <w:shd w:val="clear" w:color="auto" w:fill="EAF0EE"/>
          </w:tcPr>
          <w:p>
            <w:pPr>
              <w:spacing w:after="20"/>
            </w:pPr>
            <w:r>
              <w:rPr>
                <w:b/>
                <w:color w:val="1C3A36"/>
                <w:sz w:val="16"/>
              </w:rPr>
              <w:t>Growth</w:t>
            </w:r>
          </w:p>
        </w:tc>
        <w:tc>
          <w:tcPr>
            <w:tcW w:type="dxa" w:w="1224"/>
            <w:shd w:val="clear" w:color="auto" w:fill="EAF0EE"/>
          </w:tcPr>
          <w:p>
            <w:pPr>
              <w:spacing w:after="20"/>
            </w:pPr>
            <w:r>
              <w:rPr>
                <w:b/>
                <w:color w:val="1C3A36"/>
                <w:sz w:val="16"/>
              </w:rPr>
              <w:t>Gross margin</w:t>
            </w:r>
          </w:p>
        </w:tc>
        <w:tc>
          <w:tcPr>
            <w:tcW w:type="dxa" w:w="2304"/>
            <w:shd w:val="clear" w:color="auto" w:fill="EAF0EE"/>
          </w:tcPr>
          <w:p>
            <w:pPr>
              <w:spacing w:after="20"/>
            </w:pPr>
            <w:r>
              <w:rPr>
                <w:b/>
                <w:color w:val="1C3A36"/>
                <w:sz w:val="16"/>
              </w:rPr>
              <w:t>Role</w:t>
            </w:r>
          </w:p>
        </w:tc>
      </w:tr>
      <w:tr>
        <w:tc>
          <w:tcPr>
            <w:tcW w:type="dxa" w:w="2736"/>
          </w:tcPr>
          <w:p>
            <w:pPr>
              <w:spacing w:after="20"/>
            </w:pPr>
            <w:r>
              <w:rPr>
                <w:color w:val="1C3A36"/>
                <w:sz w:val="16"/>
              </w:rPr>
              <w:t>Digital Business</w:t>
            </w:r>
          </w:p>
        </w:tc>
        <w:tc>
          <w:tcPr>
            <w:tcW w:type="dxa" w:w="1656"/>
          </w:tcPr>
          <w:p>
            <w:pPr>
              <w:spacing w:after="20"/>
              <w:jc w:val="right"/>
            </w:pPr>
            <w:r>
              <w:rPr>
                <w:color w:val="1C3A36"/>
                <w:sz w:val="16"/>
              </w:rPr>
              <w:t>5,469</w:t>
            </w:r>
          </w:p>
        </w:tc>
        <w:tc>
          <w:tcPr>
            <w:tcW w:type="dxa" w:w="1152"/>
          </w:tcPr>
          <w:p>
            <w:pPr>
              <w:spacing w:after="20"/>
              <w:jc w:val="right"/>
            </w:pPr>
            <w:r>
              <w:rPr>
                <w:color w:val="1C3A36"/>
                <w:sz w:val="16"/>
              </w:rPr>
              <w:t>73.8%</w:t>
            </w:r>
          </w:p>
        </w:tc>
        <w:tc>
          <w:tcPr>
            <w:tcW w:type="dxa" w:w="1080"/>
          </w:tcPr>
          <w:p>
            <w:pPr>
              <w:spacing w:after="20"/>
              <w:jc w:val="right"/>
            </w:pPr>
            <w:r>
              <w:rPr>
                <w:color w:val="1C3A36"/>
                <w:sz w:val="16"/>
              </w:rPr>
              <w:t>+28.5%</w:t>
            </w:r>
          </w:p>
        </w:tc>
        <w:tc>
          <w:tcPr>
            <w:tcW w:type="dxa" w:w="1224"/>
          </w:tcPr>
          <w:p>
            <w:pPr>
              <w:spacing w:after="20"/>
              <w:jc w:val="right"/>
            </w:pPr>
            <w:r>
              <w:rPr>
                <w:color w:val="1C3A36"/>
                <w:sz w:val="16"/>
              </w:rPr>
              <w:t>~46%</w:t>
            </w:r>
          </w:p>
        </w:tc>
        <w:tc>
          <w:tcPr>
            <w:tcW w:type="dxa" w:w="2304"/>
          </w:tcPr>
          <w:p>
            <w:pPr>
              <w:spacing w:after="20"/>
              <w:jc w:val="right"/>
            </w:pPr>
            <w:r>
              <w:rPr>
                <w:color w:val="1C3A36"/>
                <w:sz w:val="16"/>
              </w:rPr>
              <w:t>Highest-margin engine; national-registry platforms</w:t>
            </w:r>
          </w:p>
        </w:tc>
      </w:tr>
      <w:tr>
        <w:tc>
          <w:tcPr>
            <w:tcW w:type="dxa" w:w="2736"/>
          </w:tcPr>
          <w:p>
            <w:pPr>
              <w:spacing w:after="20"/>
            </w:pPr>
            <w:r>
              <w:rPr>
                <w:color w:val="1C3A36"/>
                <w:sz w:val="16"/>
              </w:rPr>
              <w:t>Business Process Outsourcing</w:t>
            </w:r>
          </w:p>
        </w:tc>
        <w:tc>
          <w:tcPr>
            <w:tcW w:type="dxa" w:w="1656"/>
          </w:tcPr>
          <w:p>
            <w:pPr>
              <w:spacing w:after="20"/>
              <w:jc w:val="right"/>
            </w:pPr>
            <w:r>
              <w:rPr>
                <w:color w:val="1C3A36"/>
                <w:sz w:val="16"/>
              </w:rPr>
              <w:t>~1,300</w:t>
            </w:r>
          </w:p>
        </w:tc>
        <w:tc>
          <w:tcPr>
            <w:tcW w:type="dxa" w:w="1152"/>
          </w:tcPr>
          <w:p>
            <w:pPr>
              <w:spacing w:after="20"/>
              <w:jc w:val="right"/>
            </w:pPr>
            <w:r>
              <w:rPr>
                <w:color w:val="1C3A36"/>
                <w:sz w:val="16"/>
              </w:rPr>
              <w:t>~18%</w:t>
            </w:r>
          </w:p>
        </w:tc>
        <w:tc>
          <w:tcPr>
            <w:tcW w:type="dxa" w:w="1080"/>
          </w:tcPr>
          <w:p>
            <w:pPr>
              <w:spacing w:after="20"/>
              <w:jc w:val="right"/>
            </w:pPr>
            <w:r>
              <w:rPr>
                <w:color w:val="1C3A36"/>
                <w:sz w:val="16"/>
              </w:rPr>
              <w:t>+20.7%</w:t>
            </w:r>
          </w:p>
        </w:tc>
        <w:tc>
          <w:tcPr>
            <w:tcW w:type="dxa" w:w="1224"/>
          </w:tcPr>
          <w:p>
            <w:pPr>
              <w:spacing w:after="20"/>
              <w:jc w:val="right"/>
            </w:pPr>
            <w:r>
              <w:rPr>
                <w:color w:val="1C3A36"/>
                <w:sz w:val="16"/>
              </w:rPr>
              <w:t>~25%</w:t>
            </w:r>
          </w:p>
        </w:tc>
        <w:tc>
          <w:tcPr>
            <w:tcW w:type="dxa" w:w="2304"/>
          </w:tcPr>
          <w:p>
            <w:pPr>
              <w:spacing w:after="20"/>
              <w:jc w:val="right"/>
            </w:pPr>
            <w:r>
              <w:rPr>
                <w:color w:val="1C3A36"/>
                <w:sz w:val="16"/>
              </w:rPr>
              <w:t>Scaling; lower margin, large TAM as firms in-source</w:t>
            </w:r>
          </w:p>
        </w:tc>
      </w:tr>
      <w:tr>
        <w:tc>
          <w:tcPr>
            <w:tcW w:type="dxa" w:w="2736"/>
          </w:tcPr>
          <w:p>
            <w:pPr>
              <w:spacing w:after="20"/>
            </w:pPr>
            <w:r>
              <w:rPr>
                <w:color w:val="1C3A36"/>
                <w:sz w:val="16"/>
              </w:rPr>
              <w:t>Professional Services</w:t>
            </w:r>
          </w:p>
        </w:tc>
        <w:tc>
          <w:tcPr>
            <w:tcW w:type="dxa" w:w="1656"/>
          </w:tcPr>
          <w:p>
            <w:pPr>
              <w:spacing w:after="20"/>
              <w:jc w:val="right"/>
            </w:pPr>
            <w:r>
              <w:rPr>
                <w:color w:val="1C3A36"/>
                <w:sz w:val="16"/>
              </w:rPr>
              <w:t>~640</w:t>
            </w:r>
          </w:p>
        </w:tc>
        <w:tc>
          <w:tcPr>
            <w:tcW w:type="dxa" w:w="1152"/>
          </w:tcPr>
          <w:p>
            <w:pPr>
              <w:spacing w:after="20"/>
              <w:jc w:val="right"/>
            </w:pPr>
            <w:r>
              <w:rPr>
                <w:color w:val="1C3A36"/>
                <w:sz w:val="16"/>
              </w:rPr>
              <w:t>~9%</w:t>
            </w:r>
          </w:p>
        </w:tc>
        <w:tc>
          <w:tcPr>
            <w:tcW w:type="dxa" w:w="1080"/>
          </w:tcPr>
          <w:p>
            <w:pPr>
              <w:spacing w:after="20"/>
              <w:jc w:val="right"/>
            </w:pPr>
            <w:r>
              <w:rPr>
                <w:color w:val="1C3A36"/>
                <w:sz w:val="16"/>
              </w:rPr>
              <w:t>−6.7%</w:t>
            </w:r>
          </w:p>
        </w:tc>
        <w:tc>
          <w:tcPr>
            <w:tcW w:type="dxa" w:w="1224"/>
          </w:tcPr>
          <w:p>
            <w:pPr>
              <w:spacing w:after="20"/>
              <w:jc w:val="right"/>
            </w:pPr>
            <w:r>
              <w:rPr>
                <w:color w:val="1C3A36"/>
                <w:sz w:val="16"/>
              </w:rPr>
              <w:t>declining</w:t>
            </w:r>
          </w:p>
        </w:tc>
        <w:tc>
          <w:tcPr>
            <w:tcW w:type="dxa" w:w="2304"/>
          </w:tcPr>
          <w:p>
            <w:pPr>
              <w:spacing w:after="20"/>
              <w:jc w:val="right"/>
            </w:pPr>
            <w:r>
              <w:rPr>
                <w:color w:val="1C3A36"/>
                <w:sz w:val="16"/>
              </w:rPr>
              <w:t>Project-based; lumpy, lowest priority</w:t>
            </w:r>
          </w:p>
        </w:tc>
      </w:tr>
      <w:tr>
        <w:tc>
          <w:tcPr>
            <w:tcW w:type="dxa" w:w="2736"/>
            <w:shd w:val="clear" w:color="auto" w:fill="F6F1E6"/>
          </w:tcPr>
          <w:p>
            <w:pPr>
              <w:spacing w:after="20"/>
            </w:pPr>
            <w:r>
              <w:rPr>
                <w:b/>
                <w:color w:val="1C3A36"/>
                <w:sz w:val="16"/>
              </w:rPr>
              <w:t>Total</w:t>
            </w:r>
          </w:p>
        </w:tc>
        <w:tc>
          <w:tcPr>
            <w:tcW w:type="dxa" w:w="1656"/>
            <w:shd w:val="clear" w:color="auto" w:fill="F6F1E6"/>
          </w:tcPr>
          <w:p>
            <w:pPr>
              <w:spacing w:after="20"/>
              <w:jc w:val="right"/>
            </w:pPr>
            <w:r>
              <w:rPr>
                <w:b/>
                <w:color w:val="1C3A36"/>
                <w:sz w:val="16"/>
              </w:rPr>
              <w:t>7,407</w:t>
            </w:r>
          </w:p>
        </w:tc>
        <w:tc>
          <w:tcPr>
            <w:tcW w:type="dxa" w:w="1152"/>
            <w:shd w:val="clear" w:color="auto" w:fill="F6F1E6"/>
          </w:tcPr>
          <w:p>
            <w:pPr>
              <w:spacing w:after="20"/>
              <w:jc w:val="right"/>
            </w:pPr>
            <w:r>
              <w:rPr>
                <w:b/>
                <w:color w:val="1C3A36"/>
                <w:sz w:val="16"/>
              </w:rPr>
              <w:t>100%</w:t>
            </w:r>
          </w:p>
        </w:tc>
        <w:tc>
          <w:tcPr>
            <w:tcW w:type="dxa" w:w="1080"/>
            <w:shd w:val="clear" w:color="auto" w:fill="F6F1E6"/>
          </w:tcPr>
          <w:p>
            <w:pPr>
              <w:spacing w:after="20"/>
              <w:jc w:val="right"/>
            </w:pPr>
            <w:r>
              <w:rPr>
                <w:b/>
                <w:color w:val="1C3A36"/>
                <w:sz w:val="16"/>
              </w:rPr>
              <w:t>+25.6%</w:t>
            </w:r>
          </w:p>
        </w:tc>
        <w:tc>
          <w:tcPr>
            <w:tcW w:type="dxa" w:w="1224"/>
            <w:shd w:val="clear" w:color="auto" w:fill="F6F1E6"/>
          </w:tcPr>
          <w:p>
            <w:pPr>
              <w:spacing w:after="20"/>
              <w:jc w:val="right"/>
            </w:pPr>
            <w:r>
              <w:rPr>
                <w:b/>
                <w:color w:val="1C3A36"/>
                <w:sz w:val="16"/>
              </w:rPr>
              <w:t>40.9%</w:t>
            </w:r>
          </w:p>
        </w:tc>
        <w:tc>
          <w:tcPr>
            <w:tcW w:type="dxa" w:w="2304"/>
            <w:shd w:val="clear" w:color="auto" w:fill="F6F1E6"/>
          </w:tcPr>
          <w:p>
            <w:pPr>
              <w:spacing w:after="20"/>
              <w:jc w:val="right"/>
            </w:pPr>
            <w:r>
              <w:rPr>
                <w:b/>
                <w:color w:val="1C3A36"/>
                <w:sz w:val="16"/>
              </w:rPr>
              <w:t>—</w:t>
            </w:r>
          </w:p>
        </w:tc>
      </w:tr>
    </w:tbl>
    <w:p>
      <w:pPr>
        <w:spacing w:after="40"/>
      </w:pPr>
    </w:p>
    <w:p>
      <w:pPr>
        <w:spacing w:after="180" w:before="0"/>
      </w:pPr>
      <w:r>
        <w:rPr>
          <w:b w:val="0"/>
          <w:i/>
          <w:color w:val="6E7B77"/>
          <w:sz w:val="17"/>
        </w:rPr>
        <w:t>Segment splits for BPO and Professional Services are estimated from disclosed growth rates and the Digital Business figure; the mix is shifting toward the higher-margin Digital Business line (68.9% of revenue in 2017 → 73.8% in 2024).</w:t>
      </w:r>
    </w:p>
    <w:p>
      <w:pPr>
        <w:spacing w:after="60" w:before="180"/>
      </w:pPr>
      <w:r>
        <w:rPr>
          <w:b/>
          <w:i w:val="0"/>
          <w:color w:val="1C3A36"/>
          <w:sz w:val="23"/>
        </w:rPr>
        <w:t>1.7  The crux — what discount rate does a de-rated hyper-grower deserve?</w:t>
      </w:r>
    </w:p>
    <w:p>
      <w:pPr>
        <w:spacing w:after="120" w:before="0"/>
      </w:pPr>
      <w:r>
        <w:rPr>
          <w:b w:val="0"/>
          <w:i w:val="0"/>
          <w:color w:val="1C3A36"/>
          <w:sz w:val="20"/>
        </w:rPr>
        <w:t>Because ~77% of DCF value is terminal, the fair value is almost entirely a function of the cost of capital, and Elm’s beta is genuinely ambiguous. Over its full listed life it has behaved like a low-correlation, government-linked defensive (published beta ~0.37); over the last three months it has crashed hard alongside — and amplified relative to — the market (a 40-day regression gives beta ~2.0, but that window is the crash itself). The honest base case takes a neutral beta of 1.0; the sensitivity below shows why this single choice moves fair value from ~SAR 370 to ~SAR 900.</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600"/>
            <w:shd w:val="clear" w:color="auto" w:fill="EAF0EE"/>
          </w:tcPr>
          <w:p>
            <w:pPr>
              <w:spacing w:after="20"/>
            </w:pPr>
            <w:r>
              <w:rPr>
                <w:b/>
                <w:color w:val="1C3A36"/>
                <w:sz w:val="17"/>
              </w:rPr>
              <w:t>If the market prices Elm as…</w:t>
            </w:r>
          </w:p>
        </w:tc>
        <w:tc>
          <w:tcPr>
            <w:tcW w:type="dxa" w:w="1368"/>
            <w:shd w:val="clear" w:color="auto" w:fill="EAF0EE"/>
          </w:tcPr>
          <w:p>
            <w:pPr>
              <w:spacing w:after="20"/>
            </w:pPr>
            <w:r>
              <w:rPr>
                <w:b/>
                <w:color w:val="1C3A36"/>
                <w:sz w:val="17"/>
              </w:rPr>
              <w:t>implied beta</w:t>
            </w:r>
          </w:p>
        </w:tc>
        <w:tc>
          <w:tcPr>
            <w:tcW w:type="dxa" w:w="1224"/>
            <w:shd w:val="clear" w:color="auto" w:fill="EAF0EE"/>
          </w:tcPr>
          <w:p>
            <w:pPr>
              <w:spacing w:after="20"/>
            </w:pPr>
            <w:r>
              <w:rPr>
                <w:b/>
                <w:color w:val="1C3A36"/>
                <w:sz w:val="17"/>
              </w:rPr>
              <w:t>WACC</w:t>
            </w:r>
          </w:p>
        </w:tc>
        <w:tc>
          <w:tcPr>
            <w:tcW w:type="dxa" w:w="2304"/>
            <w:shd w:val="clear" w:color="auto" w:fill="EAF0EE"/>
          </w:tcPr>
          <w:p>
            <w:pPr>
              <w:spacing w:after="20"/>
            </w:pPr>
            <w:r>
              <w:rPr>
                <w:b/>
                <w:color w:val="1C3A36"/>
                <w:sz w:val="17"/>
              </w:rPr>
              <w:t>DCF fair value (g 4%)</w:t>
            </w:r>
          </w:p>
        </w:tc>
      </w:tr>
      <w:tr>
        <w:tc>
          <w:tcPr>
            <w:tcW w:type="dxa" w:w="3600"/>
          </w:tcPr>
          <w:p>
            <w:pPr>
              <w:spacing w:after="20"/>
            </w:pPr>
            <w:r>
              <w:rPr>
                <w:color w:val="1C3A36"/>
                <w:sz w:val="17"/>
              </w:rPr>
              <w:t>a low-beta government defensive</w:t>
            </w:r>
          </w:p>
        </w:tc>
        <w:tc>
          <w:tcPr>
            <w:tcW w:type="dxa" w:w="1368"/>
          </w:tcPr>
          <w:p>
            <w:pPr>
              <w:spacing w:after="20"/>
              <w:jc w:val="right"/>
            </w:pPr>
            <w:r>
              <w:rPr>
                <w:color w:val="1C3A36"/>
                <w:sz w:val="17"/>
              </w:rPr>
              <w:t>~0.7</w:t>
            </w:r>
          </w:p>
        </w:tc>
        <w:tc>
          <w:tcPr>
            <w:tcW w:type="dxa" w:w="1224"/>
          </w:tcPr>
          <w:p>
            <w:pPr>
              <w:spacing w:after="20"/>
              <w:jc w:val="right"/>
            </w:pPr>
            <w:r>
              <w:rPr>
                <w:color w:val="1C3A36"/>
                <w:sz w:val="17"/>
              </w:rPr>
              <w:t>9.0%</w:t>
            </w:r>
          </w:p>
        </w:tc>
        <w:tc>
          <w:tcPr>
            <w:tcW w:type="dxa" w:w="2304"/>
          </w:tcPr>
          <w:p>
            <w:pPr>
              <w:spacing w:after="20"/>
              <w:jc w:val="right"/>
            </w:pPr>
            <w:r>
              <w:rPr>
                <w:color w:val="1C3A36"/>
                <w:sz w:val="17"/>
              </w:rPr>
              <w:t>~SAR 750</w:t>
            </w:r>
          </w:p>
        </w:tc>
      </w:tr>
      <w:tr>
        <w:tc>
          <w:tcPr>
            <w:tcW w:type="dxa" w:w="3600"/>
            <w:shd w:val="clear" w:color="auto" w:fill="F6F1E6"/>
          </w:tcPr>
          <w:p>
            <w:pPr>
              <w:spacing w:after="20"/>
            </w:pPr>
            <w:r>
              <w:rPr>
                <w:b/>
                <w:color w:val="1C3A36"/>
                <w:sz w:val="17"/>
              </w:rPr>
              <w:t>a neutral equity (base case)</w:t>
            </w:r>
          </w:p>
        </w:tc>
        <w:tc>
          <w:tcPr>
            <w:tcW w:type="dxa" w:w="1368"/>
            <w:shd w:val="clear" w:color="auto" w:fill="F6F1E6"/>
          </w:tcPr>
          <w:p>
            <w:pPr>
              <w:spacing w:after="20"/>
              <w:jc w:val="right"/>
            </w:pPr>
            <w:r>
              <w:rPr>
                <w:b/>
                <w:color w:val="1C3A36"/>
                <w:sz w:val="17"/>
              </w:rPr>
              <w:t>1.0</w:t>
            </w:r>
          </w:p>
        </w:tc>
        <w:tc>
          <w:tcPr>
            <w:tcW w:type="dxa" w:w="1224"/>
            <w:shd w:val="clear" w:color="auto" w:fill="F6F1E6"/>
          </w:tcPr>
          <w:p>
            <w:pPr>
              <w:spacing w:after="20"/>
              <w:jc w:val="right"/>
            </w:pPr>
            <w:r>
              <w:rPr>
                <w:b/>
                <w:color w:val="1C3A36"/>
                <w:sz w:val="17"/>
              </w:rPr>
              <w:t>10.5%</w:t>
            </w:r>
          </w:p>
        </w:tc>
        <w:tc>
          <w:tcPr>
            <w:tcW w:type="dxa" w:w="2304"/>
            <w:shd w:val="clear" w:color="auto" w:fill="F6F1E6"/>
          </w:tcPr>
          <w:p>
            <w:pPr>
              <w:spacing w:after="20"/>
              <w:jc w:val="right"/>
            </w:pPr>
            <w:r>
              <w:rPr>
                <w:b/>
                <w:color w:val="1C3A36"/>
                <w:sz w:val="17"/>
              </w:rPr>
              <w:t>~SAR 576</w:t>
            </w:r>
          </w:p>
        </w:tc>
      </w:tr>
      <w:tr>
        <w:tc>
          <w:tcPr>
            <w:tcW w:type="dxa" w:w="3600"/>
          </w:tcPr>
          <w:p>
            <w:pPr>
              <w:spacing w:after="20"/>
            </w:pPr>
            <w:r>
              <w:rPr>
                <w:color w:val="1C3A36"/>
                <w:sz w:val="17"/>
              </w:rPr>
              <w:t>a volatile growth name</w:t>
            </w:r>
          </w:p>
        </w:tc>
        <w:tc>
          <w:tcPr>
            <w:tcW w:type="dxa" w:w="1368"/>
          </w:tcPr>
          <w:p>
            <w:pPr>
              <w:spacing w:after="20"/>
              <w:jc w:val="right"/>
            </w:pPr>
            <w:r>
              <w:rPr>
                <w:color w:val="1C3A36"/>
                <w:sz w:val="17"/>
              </w:rPr>
              <w:t>~1.3</w:t>
            </w:r>
          </w:p>
        </w:tc>
        <w:tc>
          <w:tcPr>
            <w:tcW w:type="dxa" w:w="1224"/>
          </w:tcPr>
          <w:p>
            <w:pPr>
              <w:spacing w:after="20"/>
              <w:jc w:val="right"/>
            </w:pPr>
            <w:r>
              <w:rPr>
                <w:color w:val="1C3A36"/>
                <w:sz w:val="17"/>
              </w:rPr>
              <w:t>12.0%</w:t>
            </w:r>
          </w:p>
        </w:tc>
        <w:tc>
          <w:tcPr>
            <w:tcW w:type="dxa" w:w="2304"/>
          </w:tcPr>
          <w:p>
            <w:pPr>
              <w:spacing w:after="20"/>
              <w:jc w:val="right"/>
            </w:pPr>
            <w:r>
              <w:rPr>
                <w:color w:val="1C3A36"/>
                <w:sz w:val="17"/>
              </w:rPr>
              <w:t>~SAR 469</w:t>
            </w:r>
          </w:p>
        </w:tc>
      </w:tr>
      <w:tr>
        <w:tc>
          <w:tcPr>
            <w:tcW w:type="dxa" w:w="3600"/>
          </w:tcPr>
          <w:p>
            <w:pPr>
              <w:spacing w:after="20"/>
            </w:pPr>
            <w:r>
              <w:rPr>
                <w:color w:val="1C3A36"/>
                <w:sz w:val="17"/>
              </w:rPr>
              <w:t>a high-beta, post-crash re-rate</w:t>
            </w:r>
          </w:p>
        </w:tc>
        <w:tc>
          <w:tcPr>
            <w:tcW w:type="dxa" w:w="1368"/>
          </w:tcPr>
          <w:p>
            <w:pPr>
              <w:spacing w:after="20"/>
              <w:jc w:val="right"/>
            </w:pPr>
            <w:r>
              <w:rPr>
                <w:color w:val="1C3A36"/>
                <w:sz w:val="17"/>
              </w:rPr>
              <w:t>~1.6</w:t>
            </w:r>
          </w:p>
        </w:tc>
        <w:tc>
          <w:tcPr>
            <w:tcW w:type="dxa" w:w="1224"/>
          </w:tcPr>
          <w:p>
            <w:pPr>
              <w:spacing w:after="20"/>
              <w:jc w:val="right"/>
            </w:pPr>
            <w:r>
              <w:rPr>
                <w:color w:val="1C3A36"/>
                <w:sz w:val="17"/>
              </w:rPr>
              <w:t>13.5%</w:t>
            </w:r>
          </w:p>
        </w:tc>
        <w:tc>
          <w:tcPr>
            <w:tcW w:type="dxa" w:w="2304"/>
          </w:tcPr>
          <w:p>
            <w:pPr>
              <w:spacing w:after="20"/>
              <w:jc w:val="right"/>
            </w:pPr>
            <w:r>
              <w:rPr>
                <w:color w:val="1C3A36"/>
                <w:sz w:val="17"/>
              </w:rPr>
              <w:t>~SAR 396</w:t>
            </w:r>
          </w:p>
        </w:tc>
      </w:tr>
    </w:tbl>
    <w:p>
      <w:pPr>
        <w:spacing w:after="40"/>
      </w:pPr>
    </w:p>
    <w:p>
      <w:pPr>
        <w:spacing w:after="180" w:before="0"/>
      </w:pPr>
      <w:r>
        <w:rPr>
          <w:b w:val="0"/>
          <w:i/>
          <w:color w:val="6E7B77"/>
          <w:sz w:val="17"/>
        </w:rPr>
        <w:t>The crux in one table. The second driver, terminal growth, moves value far less (±SAR ~40 per 50bp). The full grid is §1.9.</w:t>
      </w:r>
    </w:p>
    <w:p>
      <w:pPr>
        <w:spacing w:after="60" w:before="180"/>
      </w:pPr>
      <w:r>
        <w:rPr>
          <w:b/>
          <w:i w:val="0"/>
          <w:color w:val="1C3A36"/>
          <w:sz w:val="23"/>
        </w:rPr>
        <w:t>1.8  Macro and cost of capital</w:t>
      </w:r>
    </w:p>
    <w:p>
      <w:pPr>
        <w:spacing w:after="120" w:before="0"/>
      </w:pPr>
      <w:r>
        <w:rPr>
          <w:b w:val="0"/>
          <w:i w:val="0"/>
          <w:color w:val="1C3A36"/>
          <w:sz w:val="20"/>
        </w:rPr>
        <w:t>Elm is a leveraged play on Saudi Arabia’s Vision 2030 digitisation: the government targets the digital economy at 19% of GDP by 2030 (from ~15% in 2024), and Elm sits at the centre of e-government service delivery. The cost of capital is built bottom-up for the Saudi market rather than shortcut to a US rate (the currency peg does not make the SAR and USD curves equivalent):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664"/>
            <w:shd w:val="clear" w:color="auto" w:fill="EAF0EE"/>
          </w:tcPr>
          <w:p>
            <w:pPr>
              <w:spacing w:after="20"/>
            </w:pPr>
            <w:r>
              <w:rPr>
                <w:b/>
                <w:color w:val="1C3A36"/>
                <w:sz w:val="16"/>
              </w:rPr>
              <w:t>Cost-of-capital input</w:t>
            </w:r>
          </w:p>
        </w:tc>
        <w:tc>
          <w:tcPr>
            <w:tcW w:type="dxa" w:w="1512"/>
            <w:shd w:val="clear" w:color="auto" w:fill="EAF0EE"/>
          </w:tcPr>
          <w:p>
            <w:pPr>
              <w:spacing w:after="20"/>
            </w:pPr>
            <w:r>
              <w:rPr>
                <w:b/>
                <w:color w:val="1C3A36"/>
                <w:sz w:val="16"/>
              </w:rPr>
              <w:t>Value</w:t>
            </w:r>
          </w:p>
        </w:tc>
        <w:tc>
          <w:tcPr>
            <w:tcW w:type="dxa" w:w="5904"/>
            <w:shd w:val="clear" w:color="auto" w:fill="EAF0EE"/>
          </w:tcPr>
          <w:p>
            <w:pPr>
              <w:spacing w:after="20"/>
            </w:pPr>
            <w:r>
              <w:rPr>
                <w:b/>
                <w:color w:val="1C3A36"/>
                <w:sz w:val="16"/>
              </w:rPr>
              <w:t>Source / note</w:t>
            </w:r>
          </w:p>
        </w:tc>
      </w:tr>
      <w:tr>
        <w:tc>
          <w:tcPr>
            <w:tcW w:type="dxa" w:w="2664"/>
          </w:tcPr>
          <w:p>
            <w:pPr>
              <w:spacing w:after="20"/>
            </w:pPr>
            <w:r>
              <w:rPr>
                <w:color w:val="1C3A36"/>
                <w:sz w:val="16"/>
              </w:rPr>
              <w:t>Risk-free rate (SAR)</w:t>
            </w:r>
          </w:p>
        </w:tc>
        <w:tc>
          <w:tcPr>
            <w:tcW w:type="dxa" w:w="1512"/>
          </w:tcPr>
          <w:p>
            <w:pPr>
              <w:spacing w:after="20"/>
              <w:jc w:val="right"/>
            </w:pPr>
            <w:r>
              <w:rPr>
                <w:color w:val="1C3A36"/>
                <w:sz w:val="16"/>
              </w:rPr>
              <w:t>5.5%</w:t>
            </w:r>
          </w:p>
        </w:tc>
        <w:tc>
          <w:tcPr>
            <w:tcW w:type="dxa" w:w="5904"/>
          </w:tcPr>
          <w:p>
            <w:pPr>
              <w:spacing w:after="20"/>
              <w:jc w:val="right"/>
            </w:pPr>
            <w:r>
              <w:rPr>
                <w:color w:val="1C3A36"/>
                <w:sz w:val="16"/>
              </w:rPr>
              <w:t>Derived SAR 10-year sovereign (KSA USD 10Y UST+95bp + documented SAR-over-USD pickup); short-end anchor 4.6% (1yr Sah sukuk)</w:t>
            </w:r>
          </w:p>
        </w:tc>
      </w:tr>
      <w:tr>
        <w:tc>
          <w:tcPr>
            <w:tcW w:type="dxa" w:w="2664"/>
          </w:tcPr>
          <w:p>
            <w:pPr>
              <w:spacing w:after="20"/>
            </w:pPr>
            <w:r>
              <w:rPr>
                <w:color w:val="1C3A36"/>
                <w:sz w:val="16"/>
              </w:rPr>
              <w:t>Equity risk premium — rating</w:t>
            </w:r>
          </w:p>
        </w:tc>
        <w:tc>
          <w:tcPr>
            <w:tcW w:type="dxa" w:w="1512"/>
          </w:tcPr>
          <w:p>
            <w:pPr>
              <w:spacing w:after="20"/>
              <w:jc w:val="right"/>
            </w:pPr>
            <w:r>
              <w:rPr>
                <w:color w:val="1C3A36"/>
                <w:sz w:val="16"/>
              </w:rPr>
              <w:t>5.01%</w:t>
            </w:r>
          </w:p>
        </w:tc>
        <w:tc>
          <w:tcPr>
            <w:tcW w:type="dxa" w:w="5904"/>
          </w:tcPr>
          <w:p>
            <w:pPr>
              <w:spacing w:after="20"/>
              <w:jc w:val="right"/>
            </w:pPr>
            <w:r>
              <w:rPr>
                <w:color w:val="1C3A36"/>
                <w:sz w:val="16"/>
              </w:rPr>
              <w:t>Damodaran original file, Saudi row (Moody’s Aa3: CRP 0.78% + mature 4.23%)</w:t>
            </w:r>
          </w:p>
        </w:tc>
      </w:tr>
      <w:tr>
        <w:tc>
          <w:tcPr>
            <w:tcW w:type="dxa" w:w="2664"/>
          </w:tcPr>
          <w:p>
            <w:pPr>
              <w:spacing w:after="20"/>
            </w:pPr>
            <w:r>
              <w:rPr>
                <w:color w:val="1C3A36"/>
                <w:sz w:val="16"/>
              </w:rPr>
              <w:t>Equity risk premium — CDS</w:t>
            </w:r>
          </w:p>
        </w:tc>
        <w:tc>
          <w:tcPr>
            <w:tcW w:type="dxa" w:w="1512"/>
          </w:tcPr>
          <w:p>
            <w:pPr>
              <w:spacing w:after="20"/>
              <w:jc w:val="right"/>
            </w:pPr>
            <w:r>
              <w:rPr>
                <w:color w:val="1C3A36"/>
                <w:sz w:val="16"/>
              </w:rPr>
              <w:t>5.72%</w:t>
            </w:r>
          </w:p>
        </w:tc>
        <w:tc>
          <w:tcPr>
            <w:tcW w:type="dxa" w:w="5904"/>
          </w:tcPr>
          <w:p>
            <w:pPr>
              <w:spacing w:after="20"/>
              <w:jc w:val="right"/>
            </w:pPr>
            <w:r>
              <w:rPr>
                <w:color w:val="1C3A36"/>
                <w:sz w:val="16"/>
              </w:rPr>
              <w:t>Same file, Saudi CDS 0.98% (the more conservative of the two)</w:t>
            </w:r>
          </w:p>
        </w:tc>
      </w:tr>
      <w:tr>
        <w:tc>
          <w:tcPr>
            <w:tcW w:type="dxa" w:w="2664"/>
          </w:tcPr>
          <w:p>
            <w:pPr>
              <w:spacing w:after="20"/>
            </w:pPr>
            <w:r>
              <w:rPr>
                <w:color w:val="1C3A36"/>
                <w:sz w:val="16"/>
              </w:rPr>
              <w:t>Beta</w:t>
            </w:r>
          </w:p>
        </w:tc>
        <w:tc>
          <w:tcPr>
            <w:tcW w:type="dxa" w:w="1512"/>
          </w:tcPr>
          <w:p>
            <w:pPr>
              <w:spacing w:after="20"/>
              <w:jc w:val="right"/>
            </w:pPr>
            <w:r>
              <w:rPr>
                <w:color w:val="1C3A36"/>
                <w:sz w:val="16"/>
              </w:rPr>
              <w:t>1.0 (anchor)</w:t>
            </w:r>
          </w:p>
        </w:tc>
        <w:tc>
          <w:tcPr>
            <w:tcW w:type="dxa" w:w="5904"/>
          </w:tcPr>
          <w:p>
            <w:pPr>
              <w:spacing w:after="20"/>
              <w:jc w:val="right"/>
            </w:pPr>
            <w:r>
              <w:rPr>
                <w:color w:val="1C3A36"/>
                <w:sz w:val="16"/>
              </w:rPr>
              <w:t>40-day TASI regression β 2.03 (R² 21%) is crash-contaminated; long-run published β ~0.37; neutral 1.0 used, sensitized 0.7–1.6</w:t>
            </w:r>
          </w:p>
        </w:tc>
      </w:tr>
      <w:tr>
        <w:tc>
          <w:tcPr>
            <w:tcW w:type="dxa" w:w="2664"/>
          </w:tcPr>
          <w:p>
            <w:pPr>
              <w:spacing w:after="20"/>
            </w:pPr>
            <w:r>
              <w:rPr>
                <w:color w:val="1C3A36"/>
                <w:sz w:val="16"/>
              </w:rPr>
              <w:t>Cost of equity</w:t>
            </w:r>
          </w:p>
        </w:tc>
        <w:tc>
          <w:tcPr>
            <w:tcW w:type="dxa" w:w="1512"/>
          </w:tcPr>
          <w:p>
            <w:pPr>
              <w:spacing w:after="20"/>
              <w:jc w:val="right"/>
            </w:pPr>
            <w:r>
              <w:rPr>
                <w:color w:val="1C3A36"/>
                <w:sz w:val="16"/>
              </w:rPr>
              <w:t>10.5% / 11.2%</w:t>
            </w:r>
          </w:p>
        </w:tc>
        <w:tc>
          <w:tcPr>
            <w:tcW w:type="dxa" w:w="5904"/>
          </w:tcPr>
          <w:p>
            <w:pPr>
              <w:spacing w:after="20"/>
              <w:jc w:val="right"/>
            </w:pPr>
            <w:r>
              <w:rPr>
                <w:color w:val="1C3A36"/>
                <w:sz w:val="16"/>
              </w:rPr>
              <w:t>rf + β×ERP, on the rating and CDS premia respectively</w:t>
            </w:r>
          </w:p>
        </w:tc>
      </w:tr>
      <w:tr>
        <w:tc>
          <w:tcPr>
            <w:tcW w:type="dxa" w:w="2664"/>
          </w:tcPr>
          <w:p>
            <w:pPr>
              <w:spacing w:after="20"/>
            </w:pPr>
            <w:r>
              <w:rPr>
                <w:color w:val="1C3A36"/>
                <w:sz w:val="16"/>
              </w:rPr>
              <w:t>Capital structure</w:t>
            </w:r>
          </w:p>
        </w:tc>
        <w:tc>
          <w:tcPr>
            <w:tcW w:type="dxa" w:w="1512"/>
          </w:tcPr>
          <w:p>
            <w:pPr>
              <w:spacing w:after="20"/>
              <w:jc w:val="right"/>
            </w:pPr>
            <w:r>
              <w:rPr>
                <w:color w:val="1C3A36"/>
                <w:sz w:val="16"/>
              </w:rPr>
              <w:t>~100% equity</w:t>
            </w:r>
          </w:p>
        </w:tc>
        <w:tc>
          <w:tcPr>
            <w:tcW w:type="dxa" w:w="5904"/>
          </w:tcPr>
          <w:p>
            <w:pPr>
              <w:spacing w:after="20"/>
              <w:jc w:val="right"/>
            </w:pPr>
            <w:r>
              <w:rPr>
                <w:color w:val="1C3A36"/>
                <w:sz w:val="16"/>
              </w:rPr>
              <w:t>net cash, negligible financial debt (lease liabilities only) → WACC ≈ Ke</w:t>
            </w:r>
          </w:p>
        </w:tc>
      </w:tr>
      <w:tr>
        <w:tc>
          <w:tcPr>
            <w:tcW w:type="dxa" w:w="2664"/>
          </w:tcPr>
          <w:p>
            <w:pPr>
              <w:spacing w:after="20"/>
            </w:pPr>
            <w:r>
              <w:rPr>
                <w:color w:val="1C3A36"/>
                <w:sz w:val="16"/>
              </w:rPr>
              <w:t>WACC (used)</w:t>
            </w:r>
          </w:p>
        </w:tc>
        <w:tc>
          <w:tcPr>
            <w:tcW w:type="dxa" w:w="1512"/>
          </w:tcPr>
          <w:p>
            <w:pPr>
              <w:spacing w:after="20"/>
              <w:jc w:val="right"/>
            </w:pPr>
            <w:r>
              <w:rPr>
                <w:color w:val="1C3A36"/>
                <w:sz w:val="16"/>
              </w:rPr>
              <w:t>10.5% / 11.2%</w:t>
            </w:r>
          </w:p>
        </w:tc>
        <w:tc>
          <w:tcPr>
            <w:tcW w:type="dxa" w:w="5904"/>
          </w:tcPr>
          <w:p>
            <w:pPr>
              <w:spacing w:after="20"/>
              <w:jc w:val="right"/>
            </w:pPr>
            <w:r>
              <w:rPr>
                <w:color w:val="1C3A36"/>
                <w:sz w:val="16"/>
              </w:rPr>
              <w:t>rating-based primary; CDS-based published alongside per house rule</w:t>
            </w:r>
          </w:p>
        </w:tc>
      </w:tr>
    </w:tbl>
    <w:p>
      <w:pPr>
        <w:spacing w:after="40"/>
      </w:pPr>
    </w:p>
    <w:p>
      <w:pPr>
        <w:spacing w:after="180" w:before="0"/>
      </w:pPr>
      <w:r>
        <w:rPr>
          <w:b w:val="0"/>
          <w:i/>
          <w:color w:val="6E7B77"/>
          <w:sz w:val="17"/>
        </w:rPr>
        <w:t>Both equity-risk-premium bases are published. The beta question is the crux (§1.7); the wide WACC sensitivity in §1.9 is the honest response to it.</w:t>
      </w:r>
    </w:p>
    <w:p>
      <w:pPr>
        <w:spacing w:after="60" w:before="180"/>
      </w:pPr>
      <w:r>
        <w:rPr>
          <w:b/>
          <w:i w:val="0"/>
          <w:color w:val="1C3A36"/>
          <w:sz w:val="23"/>
        </w:rPr>
        <w:t>1.9  Sensitivity — WACC × terminal growth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160"/>
            <w:shd w:val="clear" w:color="auto" w:fill="EAF0EE"/>
          </w:tcPr>
          <w:p>
            <w:pPr>
              <w:spacing w:after="20"/>
            </w:pPr>
            <w:r>
              <w:rPr>
                <w:b/>
                <w:color w:val="1C3A36"/>
                <w:sz w:val="16"/>
              </w:rPr>
              <w:t>WACC ＼ terminal g</w:t>
            </w:r>
          </w:p>
        </w:tc>
        <w:tc>
          <w:tcPr>
            <w:tcW w:type="dxa" w:w="1469"/>
            <w:shd w:val="clear" w:color="auto" w:fill="EAF0EE"/>
          </w:tcPr>
          <w:p>
            <w:pPr>
              <w:spacing w:after="20"/>
            </w:pPr>
            <w:r>
              <w:rPr>
                <w:b/>
                <w:color w:val="1C3A36"/>
                <w:sz w:val="16"/>
              </w:rPr>
              <w:t>3.0%</w:t>
            </w:r>
          </w:p>
        </w:tc>
        <w:tc>
          <w:tcPr>
            <w:tcW w:type="dxa" w:w="1469"/>
            <w:shd w:val="clear" w:color="auto" w:fill="EAF0EE"/>
          </w:tcPr>
          <w:p>
            <w:pPr>
              <w:spacing w:after="20"/>
            </w:pPr>
            <w:r>
              <w:rPr>
                <w:b/>
                <w:color w:val="1C3A36"/>
                <w:sz w:val="16"/>
              </w:rPr>
              <w:t>3.5%</w:t>
            </w:r>
          </w:p>
        </w:tc>
        <w:tc>
          <w:tcPr>
            <w:tcW w:type="dxa" w:w="1469"/>
            <w:shd w:val="clear" w:color="auto" w:fill="EAF0EE"/>
          </w:tcPr>
          <w:p>
            <w:pPr>
              <w:spacing w:after="20"/>
            </w:pPr>
            <w:r>
              <w:rPr>
                <w:b/>
                <w:color w:val="1C3A36"/>
                <w:sz w:val="16"/>
              </w:rPr>
              <w:t>4.0%</w:t>
            </w:r>
          </w:p>
        </w:tc>
        <w:tc>
          <w:tcPr>
            <w:tcW w:type="dxa" w:w="1469"/>
            <w:shd w:val="clear" w:color="auto" w:fill="EAF0EE"/>
          </w:tcPr>
          <w:p>
            <w:pPr>
              <w:spacing w:after="20"/>
            </w:pPr>
            <w:r>
              <w:rPr>
                <w:b/>
                <w:color w:val="1C3A36"/>
                <w:sz w:val="16"/>
              </w:rPr>
              <w:t>4.5%</w:t>
            </w:r>
          </w:p>
        </w:tc>
        <w:tc>
          <w:tcPr>
            <w:tcW w:type="dxa" w:w="1469"/>
            <w:shd w:val="clear" w:color="auto" w:fill="EAF0EE"/>
          </w:tcPr>
          <w:p>
            <w:pPr>
              <w:spacing w:after="20"/>
            </w:pPr>
            <w:r>
              <w:rPr>
                <w:b/>
                <w:color w:val="1C3A36"/>
                <w:sz w:val="16"/>
              </w:rPr>
              <w:t>5.0%</w:t>
            </w:r>
          </w:p>
        </w:tc>
      </w:tr>
      <w:tr>
        <w:tc>
          <w:tcPr>
            <w:tcW w:type="dxa" w:w="2160"/>
          </w:tcPr>
          <w:p>
            <w:pPr>
              <w:spacing w:after="20"/>
            </w:pPr>
            <w:r>
              <w:rPr>
                <w:color w:val="1C3A36"/>
                <w:sz w:val="16"/>
              </w:rPr>
              <w:t>7.50%</w:t>
            </w:r>
          </w:p>
        </w:tc>
        <w:tc>
          <w:tcPr>
            <w:tcW w:type="dxa" w:w="1469"/>
          </w:tcPr>
          <w:p>
            <w:pPr>
              <w:spacing w:after="20"/>
              <w:jc w:val="right"/>
            </w:pPr>
            <w:r>
              <w:rPr>
                <w:color w:val="1C3A36"/>
                <w:sz w:val="16"/>
              </w:rPr>
              <w:t>862</w:t>
            </w:r>
          </w:p>
        </w:tc>
        <w:tc>
          <w:tcPr>
            <w:tcW w:type="dxa" w:w="1469"/>
          </w:tcPr>
          <w:p>
            <w:pPr>
              <w:spacing w:after="20"/>
              <w:jc w:val="right"/>
            </w:pPr>
            <w:r>
              <w:rPr>
                <w:color w:val="1C3A36"/>
                <w:sz w:val="16"/>
              </w:rPr>
              <w:t>953</w:t>
            </w:r>
          </w:p>
        </w:tc>
        <w:tc>
          <w:tcPr>
            <w:tcW w:type="dxa" w:w="1469"/>
          </w:tcPr>
          <w:p>
            <w:pPr>
              <w:spacing w:after="20"/>
              <w:jc w:val="right"/>
            </w:pPr>
            <w:r>
              <w:rPr>
                <w:color w:val="1C3A36"/>
                <w:sz w:val="16"/>
              </w:rPr>
              <w:t>1071</w:t>
            </w:r>
          </w:p>
        </w:tc>
        <w:tc>
          <w:tcPr>
            <w:tcW w:type="dxa" w:w="1469"/>
          </w:tcPr>
          <w:p>
            <w:pPr>
              <w:spacing w:after="20"/>
              <w:jc w:val="right"/>
            </w:pPr>
            <w:r>
              <w:rPr>
                <w:color w:val="1C3A36"/>
                <w:sz w:val="16"/>
              </w:rPr>
              <w:t>1227</w:t>
            </w:r>
          </w:p>
        </w:tc>
        <w:tc>
          <w:tcPr>
            <w:tcW w:type="dxa" w:w="1469"/>
          </w:tcPr>
          <w:p>
            <w:pPr>
              <w:spacing w:after="20"/>
              <w:jc w:val="right"/>
            </w:pPr>
            <w:r>
              <w:rPr>
                <w:color w:val="1C3A36"/>
                <w:sz w:val="16"/>
              </w:rPr>
              <w:t>1447</w:t>
            </w:r>
          </w:p>
        </w:tc>
      </w:tr>
      <w:tr>
        <w:tc>
          <w:tcPr>
            <w:tcW w:type="dxa" w:w="2160"/>
          </w:tcPr>
          <w:p>
            <w:pPr>
              <w:spacing w:after="20"/>
            </w:pPr>
            <w:r>
              <w:rPr>
                <w:color w:val="1C3A36"/>
                <w:sz w:val="16"/>
              </w:rPr>
              <w:t>9.00%</w:t>
            </w:r>
          </w:p>
        </w:tc>
        <w:tc>
          <w:tcPr>
            <w:tcW w:type="dxa" w:w="1469"/>
          </w:tcPr>
          <w:p>
            <w:pPr>
              <w:spacing w:after="20"/>
              <w:jc w:val="right"/>
            </w:pPr>
            <w:r>
              <w:rPr>
                <w:color w:val="1C3A36"/>
                <w:sz w:val="16"/>
              </w:rPr>
              <w:t>646</w:t>
            </w:r>
          </w:p>
        </w:tc>
        <w:tc>
          <w:tcPr>
            <w:tcW w:type="dxa" w:w="1469"/>
          </w:tcPr>
          <w:p>
            <w:pPr>
              <w:spacing w:after="20"/>
              <w:jc w:val="right"/>
            </w:pPr>
            <w:r>
              <w:rPr>
                <w:color w:val="1C3A36"/>
                <w:sz w:val="16"/>
              </w:rPr>
              <w:t>693</w:t>
            </w:r>
          </w:p>
        </w:tc>
        <w:tc>
          <w:tcPr>
            <w:tcW w:type="dxa" w:w="1469"/>
          </w:tcPr>
          <w:p>
            <w:pPr>
              <w:spacing w:after="20"/>
              <w:jc w:val="right"/>
            </w:pPr>
            <w:r>
              <w:rPr>
                <w:color w:val="1C3A36"/>
                <w:sz w:val="16"/>
              </w:rPr>
              <w:t>750</w:t>
            </w:r>
          </w:p>
        </w:tc>
        <w:tc>
          <w:tcPr>
            <w:tcW w:type="dxa" w:w="1469"/>
          </w:tcPr>
          <w:p>
            <w:pPr>
              <w:spacing w:after="20"/>
              <w:jc w:val="right"/>
            </w:pPr>
            <w:r>
              <w:rPr>
                <w:color w:val="1C3A36"/>
                <w:sz w:val="16"/>
              </w:rPr>
              <w:t>819</w:t>
            </w:r>
          </w:p>
        </w:tc>
        <w:tc>
          <w:tcPr>
            <w:tcW w:type="dxa" w:w="1469"/>
          </w:tcPr>
          <w:p>
            <w:pPr>
              <w:spacing w:after="20"/>
              <w:jc w:val="right"/>
            </w:pPr>
            <w:r>
              <w:rPr>
                <w:color w:val="1C3A36"/>
                <w:sz w:val="16"/>
              </w:rPr>
              <w:t>905</w:t>
            </w:r>
          </w:p>
        </w:tc>
      </w:tr>
      <w:tr>
        <w:tc>
          <w:tcPr>
            <w:tcW w:type="dxa" w:w="2160"/>
            <w:shd w:val="clear" w:color="auto" w:fill="F6F1E6"/>
          </w:tcPr>
          <w:p>
            <w:pPr>
              <w:spacing w:after="20"/>
            </w:pPr>
            <w:r>
              <w:rPr>
                <w:b/>
                <w:color w:val="1C3A36"/>
                <w:sz w:val="16"/>
              </w:rPr>
              <w:t>10.51%</w:t>
            </w:r>
          </w:p>
        </w:tc>
        <w:tc>
          <w:tcPr>
            <w:tcW w:type="dxa" w:w="1469"/>
            <w:shd w:val="clear" w:color="auto" w:fill="F6F1E6"/>
          </w:tcPr>
          <w:p>
            <w:pPr>
              <w:spacing w:after="20"/>
              <w:jc w:val="right"/>
            </w:pPr>
            <w:r>
              <w:rPr>
                <w:b/>
                <w:color w:val="1C3A36"/>
                <w:sz w:val="16"/>
              </w:rPr>
              <w:t>516</w:t>
            </w:r>
          </w:p>
        </w:tc>
        <w:tc>
          <w:tcPr>
            <w:tcW w:type="dxa" w:w="1469"/>
            <w:shd w:val="clear" w:color="auto" w:fill="F6F1E6"/>
          </w:tcPr>
          <w:p>
            <w:pPr>
              <w:spacing w:after="20"/>
              <w:jc w:val="right"/>
            </w:pPr>
            <w:r>
              <w:rPr>
                <w:b/>
                <w:color w:val="1C3A36"/>
                <w:sz w:val="16"/>
              </w:rPr>
              <w:t>544</w:t>
            </w:r>
          </w:p>
        </w:tc>
        <w:tc>
          <w:tcPr>
            <w:tcW w:type="dxa" w:w="1469"/>
            <w:shd w:val="clear" w:color="auto" w:fill="F6F1E6"/>
          </w:tcPr>
          <w:p>
            <w:pPr>
              <w:spacing w:after="20"/>
              <w:jc w:val="right"/>
            </w:pPr>
            <w:r>
              <w:rPr>
                <w:b/>
                <w:color w:val="1C3A36"/>
                <w:sz w:val="16"/>
              </w:rPr>
              <w:t>576</w:t>
            </w:r>
          </w:p>
        </w:tc>
        <w:tc>
          <w:tcPr>
            <w:tcW w:type="dxa" w:w="1469"/>
            <w:shd w:val="clear" w:color="auto" w:fill="F6F1E6"/>
          </w:tcPr>
          <w:p>
            <w:pPr>
              <w:spacing w:after="20"/>
              <w:jc w:val="right"/>
            </w:pPr>
            <w:r>
              <w:rPr>
                <w:b/>
                <w:color w:val="1C3A36"/>
                <w:sz w:val="16"/>
              </w:rPr>
              <w:t>614</w:t>
            </w:r>
          </w:p>
        </w:tc>
        <w:tc>
          <w:tcPr>
            <w:tcW w:type="dxa" w:w="1469"/>
            <w:shd w:val="clear" w:color="auto" w:fill="F6F1E6"/>
          </w:tcPr>
          <w:p>
            <w:pPr>
              <w:spacing w:after="20"/>
              <w:jc w:val="right"/>
            </w:pPr>
            <w:r>
              <w:rPr>
                <w:b/>
                <w:color w:val="1C3A36"/>
                <w:sz w:val="16"/>
              </w:rPr>
              <w:t>658</w:t>
            </w:r>
          </w:p>
        </w:tc>
      </w:tr>
      <w:tr>
        <w:tc>
          <w:tcPr>
            <w:tcW w:type="dxa" w:w="2160"/>
          </w:tcPr>
          <w:p>
            <w:pPr>
              <w:spacing w:after="20"/>
            </w:pPr>
            <w:r>
              <w:rPr>
                <w:color w:val="1C3A36"/>
                <w:sz w:val="16"/>
              </w:rPr>
              <w:t>12.00%</w:t>
            </w:r>
          </w:p>
        </w:tc>
        <w:tc>
          <w:tcPr>
            <w:tcW w:type="dxa" w:w="1469"/>
          </w:tcPr>
          <w:p>
            <w:pPr>
              <w:spacing w:after="20"/>
              <w:jc w:val="right"/>
            </w:pPr>
            <w:r>
              <w:rPr>
                <w:color w:val="1C3A36"/>
                <w:sz w:val="16"/>
              </w:rPr>
              <w:t>431</w:t>
            </w:r>
          </w:p>
        </w:tc>
        <w:tc>
          <w:tcPr>
            <w:tcW w:type="dxa" w:w="1469"/>
          </w:tcPr>
          <w:p>
            <w:pPr>
              <w:spacing w:after="20"/>
              <w:jc w:val="right"/>
            </w:pPr>
            <w:r>
              <w:rPr>
                <w:color w:val="1C3A36"/>
                <w:sz w:val="16"/>
              </w:rPr>
              <w:t>449</w:t>
            </w:r>
          </w:p>
        </w:tc>
        <w:tc>
          <w:tcPr>
            <w:tcW w:type="dxa" w:w="1469"/>
          </w:tcPr>
          <w:p>
            <w:pPr>
              <w:spacing w:after="20"/>
              <w:jc w:val="right"/>
            </w:pPr>
            <w:r>
              <w:rPr>
                <w:color w:val="1C3A36"/>
                <w:sz w:val="16"/>
              </w:rPr>
              <w:t>469</w:t>
            </w:r>
          </w:p>
        </w:tc>
        <w:tc>
          <w:tcPr>
            <w:tcW w:type="dxa" w:w="1469"/>
          </w:tcPr>
          <w:p>
            <w:pPr>
              <w:spacing w:after="20"/>
              <w:jc w:val="right"/>
            </w:pPr>
            <w:r>
              <w:rPr>
                <w:color w:val="1C3A36"/>
                <w:sz w:val="16"/>
              </w:rPr>
              <w:t>493</w:t>
            </w:r>
          </w:p>
        </w:tc>
        <w:tc>
          <w:tcPr>
            <w:tcW w:type="dxa" w:w="1469"/>
          </w:tcPr>
          <w:p>
            <w:pPr>
              <w:spacing w:after="20"/>
              <w:jc w:val="right"/>
            </w:pPr>
            <w:r>
              <w:rPr>
                <w:color w:val="1C3A36"/>
                <w:sz w:val="16"/>
              </w:rPr>
              <w:t>519</w:t>
            </w:r>
          </w:p>
        </w:tc>
      </w:tr>
      <w:tr>
        <w:tc>
          <w:tcPr>
            <w:tcW w:type="dxa" w:w="2160"/>
          </w:tcPr>
          <w:p>
            <w:pPr>
              <w:spacing w:after="20"/>
            </w:pPr>
            <w:r>
              <w:rPr>
                <w:color w:val="1C3A36"/>
                <w:sz w:val="16"/>
              </w:rPr>
              <w:t>13.50%</w:t>
            </w:r>
          </w:p>
        </w:tc>
        <w:tc>
          <w:tcPr>
            <w:tcW w:type="dxa" w:w="1469"/>
          </w:tcPr>
          <w:p>
            <w:pPr>
              <w:spacing w:after="20"/>
              <w:jc w:val="right"/>
            </w:pPr>
            <w:r>
              <w:rPr>
                <w:color w:val="1C3A36"/>
                <w:sz w:val="16"/>
              </w:rPr>
              <w:t>369</w:t>
            </w:r>
          </w:p>
        </w:tc>
        <w:tc>
          <w:tcPr>
            <w:tcW w:type="dxa" w:w="1469"/>
          </w:tcPr>
          <w:p>
            <w:pPr>
              <w:spacing w:after="20"/>
              <w:jc w:val="right"/>
            </w:pPr>
            <w:r>
              <w:rPr>
                <w:color w:val="1C3A36"/>
                <w:sz w:val="16"/>
              </w:rPr>
              <w:t>382</w:t>
            </w:r>
          </w:p>
        </w:tc>
        <w:tc>
          <w:tcPr>
            <w:tcW w:type="dxa" w:w="1469"/>
          </w:tcPr>
          <w:p>
            <w:pPr>
              <w:spacing w:after="20"/>
              <w:jc w:val="right"/>
            </w:pPr>
            <w:r>
              <w:rPr>
                <w:color w:val="1C3A36"/>
                <w:sz w:val="16"/>
              </w:rPr>
              <w:t>396</w:t>
            </w:r>
          </w:p>
        </w:tc>
        <w:tc>
          <w:tcPr>
            <w:tcW w:type="dxa" w:w="1469"/>
          </w:tcPr>
          <w:p>
            <w:pPr>
              <w:spacing w:after="20"/>
              <w:jc w:val="right"/>
            </w:pPr>
            <w:r>
              <w:rPr>
                <w:color w:val="1C3A36"/>
                <w:sz w:val="16"/>
              </w:rPr>
              <w:t>411</w:t>
            </w:r>
          </w:p>
        </w:tc>
        <w:tc>
          <w:tcPr>
            <w:tcW w:type="dxa" w:w="1469"/>
          </w:tcPr>
          <w:p>
            <w:pPr>
              <w:spacing w:after="20"/>
              <w:jc w:val="right"/>
            </w:pPr>
            <w:r>
              <w:rPr>
                <w:color w:val="1C3A36"/>
                <w:sz w:val="16"/>
              </w:rPr>
              <w:t>429</w:t>
            </w:r>
          </w:p>
        </w:tc>
      </w:tr>
    </w:tbl>
    <w:p>
      <w:pPr>
        <w:spacing w:after="40"/>
      </w:pPr>
    </w:p>
    <w:p>
      <w:pPr>
        <w:spacing w:after="180" w:before="0"/>
      </w:pPr>
      <w:r>
        <w:rPr>
          <w:b w:val="0"/>
          <w:i/>
          <w:color w:val="6E7B77"/>
          <w:sz w:val="17"/>
        </w:rPr>
        <w:t>Fair value per share (SAR). The base case is WACC 10.51% × g 4.0% = SAR 576. The table makes the discount-rate dependency explicit rather than resolving it: a reasonable person could defend anything from the high-500s to the mid-700s depending on how Elm’s post-crash risk is judged.</w:t>
      </w:r>
    </w:p>
    <w:p>
      <w:pPr>
        <w:spacing w:after="100" w:before="260"/>
      </w:pPr>
      <w:r>
        <w:rPr>
          <w:b/>
          <w:i w:val="0"/>
          <w:color w:val="1C3A36"/>
          <w:sz w:val="29"/>
        </w:rPr>
        <w:t>2 · Technical and price structure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304"/>
            <w:shd w:val="clear" w:color="auto" w:fill="EAF0EE"/>
          </w:tcPr>
          <w:p>
            <w:pPr>
              <w:spacing w:after="20"/>
            </w:pPr>
            <w:r>
              <w:rPr>
                <w:b/>
                <w:color w:val="1C3A36"/>
                <w:sz w:val="16"/>
              </w:rPr>
              <w:t>Indicator</w:t>
            </w:r>
          </w:p>
        </w:tc>
        <w:tc>
          <w:tcPr>
            <w:tcW w:type="dxa" w:w="3312"/>
            <w:shd w:val="clear" w:color="auto" w:fill="EAF0EE"/>
          </w:tcPr>
          <w:p>
            <w:pPr>
              <w:spacing w:after="20"/>
            </w:pPr>
            <w:r>
              <w:rPr>
                <w:b/>
                <w:color w:val="1C3A36"/>
                <w:sz w:val="16"/>
              </w:rPr>
              <w:t>Reading</w:t>
            </w:r>
          </w:p>
        </w:tc>
        <w:tc>
          <w:tcPr>
            <w:tcW w:type="dxa" w:w="4320"/>
            <w:shd w:val="clear" w:color="auto" w:fill="EAF0EE"/>
          </w:tcPr>
          <w:p>
            <w:pPr>
              <w:spacing w:after="20"/>
            </w:pPr>
            <w:r>
              <w:rPr>
                <w:b/>
                <w:color w:val="1C3A36"/>
                <w:sz w:val="16"/>
              </w:rPr>
              <w:t>Interpretation</w:t>
            </w:r>
          </w:p>
        </w:tc>
      </w:tr>
      <w:tr>
        <w:tc>
          <w:tcPr>
            <w:tcW w:type="dxa" w:w="2304"/>
          </w:tcPr>
          <w:p>
            <w:pPr>
              <w:spacing w:after="20"/>
            </w:pPr>
            <w:r>
              <w:rPr>
                <w:color w:val="1C3A36"/>
                <w:sz w:val="16"/>
              </w:rPr>
              <w:t>Spot vs 200-day MA</w:t>
            </w:r>
          </w:p>
        </w:tc>
        <w:tc>
          <w:tcPr>
            <w:tcW w:type="dxa" w:w="3312"/>
          </w:tcPr>
          <w:p>
            <w:pPr>
              <w:spacing w:after="20"/>
              <w:jc w:val="right"/>
            </w:pPr>
            <w:r>
              <w:rPr>
                <w:color w:val="1C3A36"/>
                <w:sz w:val="16"/>
              </w:rPr>
              <w:t>SAR 658 vs 730 (-10%)</w:t>
            </w:r>
          </w:p>
        </w:tc>
        <w:tc>
          <w:tcPr>
            <w:tcW w:type="dxa" w:w="4320"/>
          </w:tcPr>
          <w:p>
            <w:pPr>
              <w:spacing w:after="20"/>
              <w:jc w:val="right"/>
            </w:pPr>
            <w:r>
              <w:rPr>
                <w:color w:val="1C3A36"/>
                <w:sz w:val="16"/>
              </w:rPr>
              <w:t>below — established downtrend</w:t>
            </w:r>
          </w:p>
        </w:tc>
      </w:tr>
      <w:tr>
        <w:tc>
          <w:tcPr>
            <w:tcW w:type="dxa" w:w="2304"/>
          </w:tcPr>
          <w:p>
            <w:pPr>
              <w:spacing w:after="20"/>
            </w:pPr>
            <w:r>
              <w:rPr>
                <w:color w:val="1C3A36"/>
                <w:sz w:val="16"/>
              </w:rPr>
              <w:t>MA stack (20/50/100/200)</w:t>
            </w:r>
          </w:p>
        </w:tc>
        <w:tc>
          <w:tcPr>
            <w:tcW w:type="dxa" w:w="3312"/>
          </w:tcPr>
          <w:p>
            <w:pPr>
              <w:spacing w:after="20"/>
              <w:jc w:val="right"/>
            </w:pPr>
            <w:r>
              <w:rPr>
                <w:color w:val="1C3A36"/>
                <w:sz w:val="16"/>
              </w:rPr>
              <w:t>695 / 670 / 634 / 730</w:t>
            </w:r>
          </w:p>
        </w:tc>
        <w:tc>
          <w:tcPr>
            <w:tcW w:type="dxa" w:w="4320"/>
          </w:tcPr>
          <w:p>
            <w:pPr>
              <w:spacing w:after="20"/>
              <w:jc w:val="right"/>
            </w:pPr>
            <w:r>
              <w:rPr>
                <w:color w:val="1C3A36"/>
                <w:sz w:val="16"/>
              </w:rPr>
              <w:t>price under all four; bearish alignment</w:t>
            </w:r>
          </w:p>
        </w:tc>
      </w:tr>
      <w:tr>
        <w:tc>
          <w:tcPr>
            <w:tcW w:type="dxa" w:w="2304"/>
          </w:tcPr>
          <w:p>
            <w:pPr>
              <w:spacing w:after="20"/>
            </w:pPr>
            <w:r>
              <w:rPr>
                <w:color w:val="1C3A36"/>
                <w:sz w:val="16"/>
              </w:rPr>
              <w:t>RSI (14)</w:t>
            </w:r>
          </w:p>
        </w:tc>
        <w:tc>
          <w:tcPr>
            <w:tcW w:type="dxa" w:w="3312"/>
          </w:tcPr>
          <w:p>
            <w:pPr>
              <w:spacing w:after="20"/>
              <w:jc w:val="right"/>
            </w:pPr>
            <w:r>
              <w:rPr>
                <w:color w:val="1C3A36"/>
                <w:sz w:val="16"/>
              </w:rPr>
              <w:t>37</w:t>
            </w:r>
          </w:p>
        </w:tc>
        <w:tc>
          <w:tcPr>
            <w:tcW w:type="dxa" w:w="4320"/>
          </w:tcPr>
          <w:p>
            <w:pPr>
              <w:spacing w:after="20"/>
              <w:jc w:val="right"/>
            </w:pPr>
            <w:r>
              <w:rPr>
                <w:color w:val="1C3A36"/>
                <w:sz w:val="16"/>
              </w:rPr>
              <w:t>oversold-leaning; momentum washed out</w:t>
            </w:r>
          </w:p>
        </w:tc>
      </w:tr>
      <w:tr>
        <w:tc>
          <w:tcPr>
            <w:tcW w:type="dxa" w:w="2304"/>
          </w:tcPr>
          <w:p>
            <w:pPr>
              <w:spacing w:after="20"/>
            </w:pPr>
            <w:r>
              <w:rPr>
                <w:color w:val="1C3A36"/>
                <w:sz w:val="16"/>
              </w:rPr>
              <w:t>MACD histogram</w:t>
            </w:r>
          </w:p>
        </w:tc>
        <w:tc>
          <w:tcPr>
            <w:tcW w:type="dxa" w:w="3312"/>
          </w:tcPr>
          <w:p>
            <w:pPr>
              <w:spacing w:after="20"/>
              <w:jc w:val="right"/>
            </w:pPr>
            <w:r>
              <w:rPr>
                <w:color w:val="1C3A36"/>
                <w:sz w:val="16"/>
              </w:rPr>
              <w:t>-7.2</w:t>
            </w:r>
          </w:p>
        </w:tc>
        <w:tc>
          <w:tcPr>
            <w:tcW w:type="dxa" w:w="4320"/>
          </w:tcPr>
          <w:p>
            <w:pPr>
              <w:spacing w:after="20"/>
              <w:jc w:val="right"/>
            </w:pPr>
            <w:r>
              <w:rPr>
                <w:color w:val="1C3A36"/>
                <w:sz w:val="16"/>
              </w:rPr>
              <w:t>below signal — negative but flattening</w:t>
            </w:r>
          </w:p>
        </w:tc>
      </w:tr>
      <w:tr>
        <w:tc>
          <w:tcPr>
            <w:tcW w:type="dxa" w:w="2304"/>
          </w:tcPr>
          <w:p>
            <w:pPr>
              <w:spacing w:after="20"/>
            </w:pPr>
            <w:r>
              <w:rPr>
                <w:color w:val="1C3A36"/>
                <w:sz w:val="16"/>
              </w:rPr>
              <w:t>52-week range</w:t>
            </w:r>
          </w:p>
        </w:tc>
        <w:tc>
          <w:tcPr>
            <w:tcW w:type="dxa" w:w="3312"/>
          </w:tcPr>
          <w:p>
            <w:pPr>
              <w:spacing w:after="20"/>
              <w:jc w:val="right"/>
            </w:pPr>
            <w:r>
              <w:rPr>
                <w:color w:val="1C3A36"/>
                <w:sz w:val="16"/>
              </w:rPr>
              <w:t>SAR 510 – 982</w:t>
            </w:r>
          </w:p>
        </w:tc>
        <w:tc>
          <w:tcPr>
            <w:tcW w:type="dxa" w:w="4320"/>
          </w:tcPr>
          <w:p>
            <w:pPr>
              <w:spacing w:after="20"/>
              <w:jc w:val="right"/>
            </w:pPr>
            <w:r>
              <w:rPr>
                <w:color w:val="1C3A36"/>
                <w:sz w:val="16"/>
              </w:rPr>
              <w:t>spot in the lower third, near recent support</w:t>
            </w:r>
          </w:p>
        </w:tc>
      </w:tr>
    </w:tbl>
    <w:p>
      <w:pPr>
        <w:spacing w:after="40"/>
      </w:pPr>
    </w:p>
    <w:p>
      <w:pPr>
        <w:spacing w:after="40"/>
        <w:jc w:val="center"/>
      </w:pPr>
      <w:r>
        <w:drawing>
          <wp:inline xmlns:a="http://schemas.openxmlformats.org/drawingml/2006/main" xmlns:pic="http://schemas.openxmlformats.org/drawingml/2006/picture">
            <wp:extent cx="6309360" cy="2563020"/>
            <wp:docPr id="4" name="Picture 4"/>
            <wp:cNvGraphicFramePr>
              <a:graphicFrameLocks noChangeAspect="1"/>
            </wp:cNvGraphicFramePr>
            <a:graphic>
              <a:graphicData uri="http://schemas.openxmlformats.org/drawingml/2006/picture">
                <pic:pic>
                  <pic:nvPicPr>
                    <pic:cNvPr id="0" name="ma.png"/>
                    <pic:cNvPicPr/>
                  </pic:nvPicPr>
                  <pic:blipFill>
                    <a:blip r:embed="rId12"/>
                    <a:stretch>
                      <a:fillRect/>
                    </a:stretch>
                  </pic:blipFill>
                  <pic:spPr>
                    <a:xfrm>
                      <a:off x="0" y="0"/>
                      <a:ext cx="6309360" cy="2563020"/>
                    </a:xfrm>
                    <a:prstGeom prst="rect"/>
                  </pic:spPr>
                </pic:pic>
              </a:graphicData>
            </a:graphic>
          </wp:inline>
        </w:drawing>
      </w:r>
    </w:p>
    <w:p>
      <w:pPr>
        <w:spacing w:after="180" w:before="0"/>
      </w:pPr>
      <w:r>
        <w:rPr>
          <w:b w:val="0"/>
          <w:i/>
          <w:color w:val="6E7B77"/>
          <w:sz w:val="17"/>
        </w:rPr>
        <w:t>Price below all major moving averages after the de-rate; the tape is a clean downtrend that has become oversold, with spot near the lower band of its 52-week range.</w:t>
      </w:r>
    </w:p>
    <w:p>
      <w:pPr>
        <w:spacing w:after="120" w:before="0"/>
      </w:pPr>
      <w:r>
        <w:rPr>
          <w:b w:val="0"/>
          <w:i w:val="0"/>
          <w:color w:val="1C3A36"/>
          <w:sz w:val="20"/>
        </w:rPr>
        <w:t>The technical picture corroborates the fundamental one: a stock that has crashed from euphoria to around fair value, now oversold and near support. Technical structure is a description of positioning, not a forecast; the probabilistic view is in §3.</w:t>
      </w:r>
    </w:p>
    <w:p>
      <w:pPr>
        <w:spacing w:after="100" w:before="260"/>
      </w:pPr>
      <w:r>
        <w:rPr>
          <w:b/>
          <w:i w:val="0"/>
          <w:color w:val="1C3A36"/>
          <w:sz w:val="29"/>
        </w:rPr>
        <w:t>3 · Monte Carlo — the three-month distribution</w:t>
      </w:r>
    </w:p>
    <w:p>
      <w:pPr>
        <w:spacing w:after="120" w:before="0"/>
      </w:pPr>
      <w:r>
        <w:rPr>
          <w:b w:val="0"/>
          <w:i w:val="0"/>
          <w:color w:val="1C3A36"/>
          <w:sz w:val="20"/>
        </w:rPr>
        <w:t>These paths diffuse from spot as near-term price and deliberately do not embed the §1 fundamental value gap — the value gap is kept out of the drift, so the fundamental and probabilistic lenses stay independent. Width is set by the gap-aware Yang-Zhang / HAR volatility engine calibrated on Saudi’s own panel (Student-t ν=5, width_cal 1.28); the centre is the market-level carry (risk-free minus dividend yield), with no signal (Saudi runs carry-only). 50,000 paths, seed 42.</w:t>
      </w:r>
    </w:p>
    <w:p>
      <w:pPr>
        <w:spacing w:after="60" w:before="180"/>
      </w:pPr>
      <w:r>
        <w:rPr>
          <w:b/>
          <w:i w:val="0"/>
          <w:color w:val="1C3A36"/>
          <w:sz w:val="23"/>
        </w:rPr>
        <w:t>The probability read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4896"/>
            <w:shd w:val="clear" w:color="auto" w:fill="EAF0EE"/>
          </w:tcPr>
          <w:p>
            <w:pPr>
              <w:spacing w:after="20"/>
            </w:pPr>
            <w:r>
              <w:rPr>
                <w:b/>
                <w:color w:val="1C3A36"/>
                <w:sz w:val="18"/>
              </w:rPr>
              <w:t>Question (T+60, ≈3 months)</w:t>
            </w:r>
          </w:p>
        </w:tc>
        <w:tc>
          <w:tcPr>
            <w:tcW w:type="dxa" w:w="4032"/>
            <w:shd w:val="clear" w:color="auto" w:fill="EAF0EE"/>
          </w:tcPr>
          <w:p>
            <w:pPr>
              <w:spacing w:after="20"/>
            </w:pPr>
            <w:r>
              <w:rPr>
                <w:b/>
                <w:color w:val="1C3A36"/>
                <w:sz w:val="18"/>
              </w:rPr>
              <w:t>Answer</w:t>
            </w:r>
          </w:p>
        </w:tc>
      </w:tr>
      <w:tr>
        <w:tc>
          <w:tcPr>
            <w:tcW w:type="dxa" w:w="4896"/>
          </w:tcPr>
          <w:p>
            <w:pPr>
              <w:spacing w:after="20"/>
            </w:pPr>
            <w:r>
              <w:rPr>
                <w:color w:val="1C3A36"/>
                <w:sz w:val="18"/>
              </w:rPr>
              <w:t>P(price above spot)</w:t>
            </w:r>
          </w:p>
        </w:tc>
        <w:tc>
          <w:tcPr>
            <w:tcW w:type="dxa" w:w="4032"/>
          </w:tcPr>
          <w:p>
            <w:pPr>
              <w:spacing w:after="20"/>
              <w:jc w:val="right"/>
            </w:pPr>
            <w:r>
              <w:rPr>
                <w:color w:val="1C3A36"/>
                <w:sz w:val="18"/>
              </w:rPr>
              <w:t>51%</w:t>
            </w:r>
          </w:p>
        </w:tc>
      </w:tr>
      <w:tr>
        <w:tc>
          <w:tcPr>
            <w:tcW w:type="dxa" w:w="4896"/>
          </w:tcPr>
          <w:p>
            <w:pPr>
              <w:spacing w:after="20"/>
            </w:pPr>
            <w:r>
              <w:rPr>
                <w:color w:val="1C3A36"/>
                <w:sz w:val="18"/>
              </w:rPr>
              <w:t>P(+10%) vs P(−10%)</w:t>
            </w:r>
          </w:p>
        </w:tc>
        <w:tc>
          <w:tcPr>
            <w:tcW w:type="dxa" w:w="4032"/>
          </w:tcPr>
          <w:p>
            <w:pPr>
              <w:spacing w:after="20"/>
              <w:jc w:val="right"/>
            </w:pPr>
            <w:r>
              <w:rPr>
                <w:color w:val="1C3A36"/>
                <w:sz w:val="18"/>
              </w:rPr>
              <w:t>30% vs 26%  (odds ~1.17:1)</w:t>
            </w:r>
          </w:p>
        </w:tc>
      </w:tr>
      <w:tr>
        <w:tc>
          <w:tcPr>
            <w:tcW w:type="dxa" w:w="4896"/>
            <w:shd w:val="clear" w:color="auto" w:fill="F6F1E6"/>
          </w:tcPr>
          <w:p>
            <w:pPr>
              <w:spacing w:after="20"/>
            </w:pPr>
            <w:r>
              <w:rPr>
                <w:b/>
                <w:color w:val="1C3A36"/>
                <w:sz w:val="18"/>
              </w:rPr>
              <w:t>Median level and move</w:t>
            </w:r>
          </w:p>
        </w:tc>
        <w:tc>
          <w:tcPr>
            <w:tcW w:type="dxa" w:w="4032"/>
            <w:shd w:val="clear" w:color="auto" w:fill="F6F1E6"/>
          </w:tcPr>
          <w:p>
            <w:pPr>
              <w:spacing w:after="20"/>
              <w:jc w:val="right"/>
            </w:pPr>
            <w:r>
              <w:rPr>
                <w:b/>
                <w:color w:val="1C3A36"/>
                <w:sz w:val="18"/>
              </w:rPr>
              <w:t>SAR 662  (+0.6%)</w:t>
            </w:r>
          </w:p>
        </w:tc>
      </w:tr>
      <w:tr>
        <w:tc>
          <w:tcPr>
            <w:tcW w:type="dxa" w:w="4896"/>
          </w:tcPr>
          <w:p>
            <w:pPr>
              <w:spacing w:after="20"/>
            </w:pPr>
            <w:r>
              <w:rPr>
                <w:color w:val="1C3A36"/>
                <w:sz w:val="18"/>
              </w:rPr>
              <w:t>50% band (25th–75th)</w:t>
            </w:r>
          </w:p>
        </w:tc>
        <w:tc>
          <w:tcPr>
            <w:tcW w:type="dxa" w:w="4032"/>
          </w:tcPr>
          <w:p>
            <w:pPr>
              <w:spacing w:after="20"/>
              <w:jc w:val="right"/>
            </w:pPr>
            <w:r>
              <w:rPr>
                <w:color w:val="1C3A36"/>
                <w:sz w:val="18"/>
              </w:rPr>
              <w:t>SAR 589 – 746  (24% of spot)</w:t>
            </w:r>
          </w:p>
        </w:tc>
      </w:tr>
      <w:tr>
        <w:tc>
          <w:tcPr>
            <w:tcW w:type="dxa" w:w="4896"/>
          </w:tcPr>
          <w:p>
            <w:pPr>
              <w:spacing w:after="20"/>
            </w:pPr>
            <w:r>
              <w:rPr>
                <w:color w:val="1C3A36"/>
                <w:sz w:val="18"/>
              </w:rPr>
              <w:t>Touch +10% / touch −10%</w:t>
            </w:r>
          </w:p>
        </w:tc>
        <w:tc>
          <w:tcPr>
            <w:tcW w:type="dxa" w:w="4032"/>
          </w:tcPr>
          <w:p>
            <w:pPr>
              <w:spacing w:after="20"/>
              <w:jc w:val="right"/>
            </w:pPr>
            <w:r>
              <w:rPr>
                <w:color w:val="1C3A36"/>
                <w:sz w:val="18"/>
              </w:rPr>
              <w:t>55% / 48%</w:t>
            </w:r>
          </w:p>
        </w:tc>
      </w:tr>
    </w:tbl>
    <w:p>
      <w:pPr>
        <w:spacing w:after="40"/>
      </w:pPr>
    </w:p>
    <w:p>
      <w:pPr>
        <w:spacing w:after="120" w:before="0"/>
      </w:pPr>
      <w:r>
        <w:rPr>
          <w:b w:val="0"/>
          <w:i w:val="0"/>
          <w:color w:val="1C3A36"/>
          <w:sz w:val="20"/>
        </w:rPr>
        <w:t xml:space="preserve">The median move is </w:t>
      </w:r>
      <w:r>
        <w:rPr>
          <w:b/>
          <w:i w:val="0"/>
          <w:color w:val="1C3A36"/>
          <w:sz w:val="20"/>
        </w:rPr>
        <w:t>+0.6%</w:t>
      </w:r>
      <w:r>
        <w:rPr>
          <w:b w:val="0"/>
          <w:i w:val="0"/>
          <w:color w:val="1C3A36"/>
          <w:sz w:val="20"/>
        </w:rPr>
        <w:t xml:space="preserve"> — a near-flat centre. That is the honest read for Elm: with the SAR risk-free (~4.25%) modestly above the ~1.3% dividend yield, the carry tilts the median very slightly up, and no market signal is added. The direction shown is only the carry; it is an explained flat, not a manufactured view. The width, not the drift, is the story.</w:t>
      </w:r>
    </w:p>
    <w:p>
      <w:pPr>
        <w:spacing w:after="60" w:before="180"/>
      </w:pPr>
      <w:r>
        <w:rPr>
          <w:b/>
          <w:i w:val="0"/>
          <w:color w:val="1C3A36"/>
          <w:sz w:val="23"/>
        </w:rPr>
        <w:t>Percentile map</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260"/>
        <w:gridCol w:w="1260"/>
        <w:gridCol w:w="1260"/>
        <w:gridCol w:w="1260"/>
        <w:gridCol w:w="1260"/>
        <w:gridCol w:w="1260"/>
        <w:gridCol w:w="1260"/>
        <w:gridCol w:w="1260"/>
      </w:tblGrid>
      <w:tr>
        <w:tc>
          <w:tcPr>
            <w:tcW w:type="dxa" w:w="1944"/>
            <w:shd w:val="clear" w:color="auto" w:fill="EAF0EE"/>
          </w:tcPr>
          <w:p>
            <w:pPr>
              <w:spacing w:after="20"/>
            </w:pPr>
            <w:r>
              <w:rPr>
                <w:b/>
                <w:color w:val="1C3A36"/>
                <w:sz w:val="16"/>
              </w:rPr>
              <w:t>Percentile</w:t>
            </w:r>
          </w:p>
        </w:tc>
        <w:tc>
          <w:tcPr>
            <w:tcW w:type="dxa" w:w="1152"/>
            <w:shd w:val="clear" w:color="auto" w:fill="EAF0EE"/>
          </w:tcPr>
          <w:p>
            <w:pPr>
              <w:spacing w:after="20"/>
            </w:pPr>
            <w:r>
              <w:rPr>
                <w:b/>
                <w:color w:val="1C3A36"/>
                <w:sz w:val="16"/>
              </w:rPr>
              <w:t>5th</w:t>
            </w:r>
          </w:p>
        </w:tc>
        <w:tc>
          <w:tcPr>
            <w:tcW w:type="dxa" w:w="1152"/>
            <w:shd w:val="clear" w:color="auto" w:fill="EAF0EE"/>
          </w:tcPr>
          <w:p>
            <w:pPr>
              <w:spacing w:after="20"/>
            </w:pPr>
            <w:r>
              <w:rPr>
                <w:b/>
                <w:color w:val="1C3A36"/>
                <w:sz w:val="16"/>
              </w:rPr>
              <w:t>10th</w:t>
            </w:r>
          </w:p>
        </w:tc>
        <w:tc>
          <w:tcPr>
            <w:tcW w:type="dxa" w:w="1152"/>
            <w:shd w:val="clear" w:color="auto" w:fill="EAF0EE"/>
          </w:tcPr>
          <w:p>
            <w:pPr>
              <w:spacing w:after="20"/>
            </w:pPr>
            <w:r>
              <w:rPr>
                <w:b/>
                <w:color w:val="1C3A36"/>
                <w:sz w:val="16"/>
              </w:rPr>
              <w:t>25th</w:t>
            </w:r>
          </w:p>
        </w:tc>
        <w:tc>
          <w:tcPr>
            <w:tcW w:type="dxa" w:w="1152"/>
            <w:shd w:val="clear" w:color="auto" w:fill="EAF0EE"/>
          </w:tcPr>
          <w:p>
            <w:pPr>
              <w:spacing w:after="20"/>
            </w:pPr>
            <w:r>
              <w:rPr>
                <w:b/>
                <w:color w:val="1C3A36"/>
                <w:sz w:val="16"/>
              </w:rPr>
              <w:t>50th</w:t>
            </w:r>
          </w:p>
        </w:tc>
        <w:tc>
          <w:tcPr>
            <w:tcW w:type="dxa" w:w="1152"/>
            <w:shd w:val="clear" w:color="auto" w:fill="EAF0EE"/>
          </w:tcPr>
          <w:p>
            <w:pPr>
              <w:spacing w:after="20"/>
            </w:pPr>
            <w:r>
              <w:rPr>
                <w:b/>
                <w:color w:val="1C3A36"/>
                <w:sz w:val="16"/>
              </w:rPr>
              <w:t>75th</w:t>
            </w:r>
          </w:p>
        </w:tc>
        <w:tc>
          <w:tcPr>
            <w:tcW w:type="dxa" w:w="1152"/>
            <w:shd w:val="clear" w:color="auto" w:fill="EAF0EE"/>
          </w:tcPr>
          <w:p>
            <w:pPr>
              <w:spacing w:after="20"/>
            </w:pPr>
            <w:r>
              <w:rPr>
                <w:b/>
                <w:color w:val="1C3A36"/>
                <w:sz w:val="16"/>
              </w:rPr>
              <w:t>90th</w:t>
            </w:r>
          </w:p>
        </w:tc>
        <w:tc>
          <w:tcPr>
            <w:tcW w:type="dxa" w:w="1152"/>
            <w:shd w:val="clear" w:color="auto" w:fill="EAF0EE"/>
          </w:tcPr>
          <w:p>
            <w:pPr>
              <w:spacing w:after="20"/>
            </w:pPr>
            <w:r>
              <w:rPr>
                <w:b/>
                <w:color w:val="1C3A36"/>
                <w:sz w:val="16"/>
              </w:rPr>
              <w:t>95th</w:t>
            </w:r>
          </w:p>
        </w:tc>
      </w:tr>
      <w:tr>
        <w:tc>
          <w:tcPr>
            <w:tcW w:type="dxa" w:w="1944"/>
          </w:tcPr>
          <w:p>
            <w:pPr>
              <w:spacing w:after="20"/>
            </w:pPr>
            <w:r>
              <w:rPr>
                <w:color w:val="1C3A36"/>
                <w:sz w:val="16"/>
              </w:rPr>
              <w:t>T+20 (≈1m)</w:t>
            </w:r>
          </w:p>
        </w:tc>
        <w:tc>
          <w:tcPr>
            <w:tcW w:type="dxa" w:w="1152"/>
          </w:tcPr>
          <w:p>
            <w:pPr>
              <w:spacing w:after="20"/>
              <w:jc w:val="right"/>
            </w:pPr>
            <w:r>
              <w:rPr>
                <w:color w:val="1C3A36"/>
                <w:sz w:val="16"/>
              </w:rPr>
              <w:t>547</w:t>
            </w:r>
          </w:p>
        </w:tc>
        <w:tc>
          <w:tcPr>
            <w:tcW w:type="dxa" w:w="1152"/>
          </w:tcPr>
          <w:p>
            <w:pPr>
              <w:spacing w:after="20"/>
              <w:jc w:val="right"/>
            </w:pPr>
            <w:r>
              <w:rPr>
                <w:color w:val="1C3A36"/>
                <w:sz w:val="16"/>
              </w:rPr>
              <w:t>575</w:t>
            </w:r>
          </w:p>
        </w:tc>
        <w:tc>
          <w:tcPr>
            <w:tcW w:type="dxa" w:w="1152"/>
          </w:tcPr>
          <w:p>
            <w:pPr>
              <w:spacing w:after="20"/>
              <w:jc w:val="right"/>
            </w:pPr>
            <w:r>
              <w:rPr>
                <w:color w:val="1C3A36"/>
                <w:sz w:val="16"/>
              </w:rPr>
              <w:t>616</w:t>
            </w:r>
          </w:p>
        </w:tc>
        <w:tc>
          <w:tcPr>
            <w:tcW w:type="dxa" w:w="1152"/>
          </w:tcPr>
          <w:p>
            <w:pPr>
              <w:spacing w:after="20"/>
              <w:jc w:val="right"/>
            </w:pPr>
            <w:r>
              <w:rPr>
                <w:color w:val="1C3A36"/>
                <w:sz w:val="16"/>
              </w:rPr>
              <w:t>660</w:t>
            </w:r>
          </w:p>
        </w:tc>
        <w:tc>
          <w:tcPr>
            <w:tcW w:type="dxa" w:w="1152"/>
          </w:tcPr>
          <w:p>
            <w:pPr>
              <w:spacing w:after="20"/>
              <w:jc w:val="right"/>
            </w:pPr>
            <w:r>
              <w:rPr>
                <w:color w:val="1C3A36"/>
                <w:sz w:val="16"/>
              </w:rPr>
              <w:t>706</w:t>
            </w:r>
          </w:p>
        </w:tc>
        <w:tc>
          <w:tcPr>
            <w:tcW w:type="dxa" w:w="1152"/>
          </w:tcPr>
          <w:p>
            <w:pPr>
              <w:spacing w:after="20"/>
              <w:jc w:val="right"/>
            </w:pPr>
            <w:r>
              <w:rPr>
                <w:color w:val="1C3A36"/>
                <w:sz w:val="16"/>
              </w:rPr>
              <w:t>758</w:t>
            </w:r>
          </w:p>
        </w:tc>
        <w:tc>
          <w:tcPr>
            <w:tcW w:type="dxa" w:w="1152"/>
          </w:tcPr>
          <w:p>
            <w:pPr>
              <w:spacing w:after="20"/>
              <w:jc w:val="right"/>
            </w:pPr>
            <w:r>
              <w:rPr>
                <w:color w:val="1C3A36"/>
                <w:sz w:val="16"/>
              </w:rPr>
              <w:t>798</w:t>
            </w:r>
          </w:p>
        </w:tc>
      </w:tr>
      <w:tr>
        <w:tc>
          <w:tcPr>
            <w:tcW w:type="dxa" w:w="1944"/>
          </w:tcPr>
          <w:p>
            <w:pPr>
              <w:spacing w:after="20"/>
            </w:pPr>
            <w:r>
              <w:rPr>
                <w:color w:val="1C3A36"/>
                <w:sz w:val="16"/>
              </w:rPr>
              <w:t>T+60 (≈3m)</w:t>
            </w:r>
          </w:p>
        </w:tc>
        <w:tc>
          <w:tcPr>
            <w:tcW w:type="dxa" w:w="1152"/>
          </w:tcPr>
          <w:p>
            <w:pPr>
              <w:spacing w:after="20"/>
              <w:jc w:val="right"/>
            </w:pPr>
            <w:r>
              <w:rPr>
                <w:color w:val="1C3A36"/>
                <w:sz w:val="16"/>
              </w:rPr>
              <w:t>480</w:t>
            </w:r>
          </w:p>
        </w:tc>
        <w:tc>
          <w:tcPr>
            <w:tcW w:type="dxa" w:w="1152"/>
          </w:tcPr>
          <w:p>
            <w:pPr>
              <w:spacing w:after="20"/>
              <w:jc w:val="right"/>
            </w:pPr>
            <w:r>
              <w:rPr>
                <w:color w:val="1C3A36"/>
                <w:sz w:val="16"/>
              </w:rPr>
              <w:t>522</w:t>
            </w:r>
          </w:p>
        </w:tc>
        <w:tc>
          <w:tcPr>
            <w:tcW w:type="dxa" w:w="1152"/>
          </w:tcPr>
          <w:p>
            <w:pPr>
              <w:spacing w:after="20"/>
              <w:jc w:val="right"/>
            </w:pPr>
            <w:r>
              <w:rPr>
                <w:color w:val="1C3A36"/>
                <w:sz w:val="16"/>
              </w:rPr>
              <w:t>589</w:t>
            </w:r>
          </w:p>
        </w:tc>
        <w:tc>
          <w:tcPr>
            <w:tcW w:type="dxa" w:w="1152"/>
          </w:tcPr>
          <w:p>
            <w:pPr>
              <w:spacing w:after="20"/>
              <w:jc w:val="right"/>
            </w:pPr>
            <w:r>
              <w:rPr>
                <w:color w:val="1C3A36"/>
                <w:sz w:val="16"/>
              </w:rPr>
              <w:t>662</w:t>
            </w:r>
          </w:p>
        </w:tc>
        <w:tc>
          <w:tcPr>
            <w:tcW w:type="dxa" w:w="1152"/>
          </w:tcPr>
          <w:p>
            <w:pPr>
              <w:spacing w:after="20"/>
              <w:jc w:val="right"/>
            </w:pPr>
            <w:r>
              <w:rPr>
                <w:color w:val="1C3A36"/>
                <w:sz w:val="16"/>
              </w:rPr>
              <w:t>746</w:t>
            </w:r>
          </w:p>
        </w:tc>
        <w:tc>
          <w:tcPr>
            <w:tcW w:type="dxa" w:w="1152"/>
          </w:tcPr>
          <w:p>
            <w:pPr>
              <w:spacing w:after="20"/>
              <w:jc w:val="right"/>
            </w:pPr>
            <w:r>
              <w:rPr>
                <w:color w:val="1C3A36"/>
                <w:sz w:val="16"/>
              </w:rPr>
              <w:t>843</w:t>
            </w:r>
          </w:p>
        </w:tc>
        <w:tc>
          <w:tcPr>
            <w:tcW w:type="dxa" w:w="1152"/>
          </w:tcPr>
          <w:p>
            <w:pPr>
              <w:spacing w:after="20"/>
              <w:jc w:val="right"/>
            </w:pPr>
            <w:r>
              <w:rPr>
                <w:color w:val="1C3A36"/>
                <w:sz w:val="16"/>
              </w:rPr>
              <w:t>920</w:t>
            </w:r>
          </w:p>
        </w:tc>
      </w:tr>
      <w:tr>
        <w:tc>
          <w:tcPr>
            <w:tcW w:type="dxa" w:w="1944"/>
          </w:tcPr>
          <w:p>
            <w:pPr>
              <w:spacing w:after="20"/>
            </w:pPr>
            <w:r>
              <w:rPr>
                <w:color w:val="1C3A36"/>
                <w:sz w:val="16"/>
              </w:rPr>
              <w:t>T+60 vs spot</w:t>
            </w:r>
          </w:p>
        </w:tc>
        <w:tc>
          <w:tcPr>
            <w:tcW w:type="dxa" w:w="1152"/>
          </w:tcPr>
          <w:p>
            <w:pPr>
              <w:spacing w:after="20"/>
              <w:jc w:val="right"/>
            </w:pPr>
            <w:r>
              <w:rPr>
                <w:color w:val="1C3A36"/>
                <w:sz w:val="16"/>
              </w:rPr>
              <w:t>-27%</w:t>
            </w:r>
          </w:p>
        </w:tc>
        <w:tc>
          <w:tcPr>
            <w:tcW w:type="dxa" w:w="1152"/>
          </w:tcPr>
          <w:p>
            <w:pPr>
              <w:spacing w:after="20"/>
              <w:jc w:val="right"/>
            </w:pPr>
            <w:r>
              <w:rPr>
                <w:color w:val="1C3A36"/>
                <w:sz w:val="16"/>
              </w:rPr>
              <w:t>-21%</w:t>
            </w:r>
          </w:p>
        </w:tc>
        <w:tc>
          <w:tcPr>
            <w:tcW w:type="dxa" w:w="1152"/>
          </w:tcPr>
          <w:p>
            <w:pPr>
              <w:spacing w:after="20"/>
              <w:jc w:val="right"/>
            </w:pPr>
            <w:r>
              <w:rPr>
                <w:color w:val="1C3A36"/>
                <w:sz w:val="16"/>
              </w:rPr>
              <w:t>-11%</w:t>
            </w:r>
          </w:p>
        </w:tc>
        <w:tc>
          <w:tcPr>
            <w:tcW w:type="dxa" w:w="1152"/>
          </w:tcPr>
          <w:p>
            <w:pPr>
              <w:spacing w:after="20"/>
              <w:jc w:val="right"/>
            </w:pPr>
            <w:r>
              <w:rPr>
                <w:color w:val="1C3A36"/>
                <w:sz w:val="16"/>
              </w:rPr>
              <w:t>+1%</w:t>
            </w:r>
          </w:p>
        </w:tc>
        <w:tc>
          <w:tcPr>
            <w:tcW w:type="dxa" w:w="1152"/>
          </w:tcPr>
          <w:p>
            <w:pPr>
              <w:spacing w:after="20"/>
              <w:jc w:val="right"/>
            </w:pPr>
            <w:r>
              <w:rPr>
                <w:color w:val="1C3A36"/>
                <w:sz w:val="16"/>
              </w:rPr>
              <w:t>+13%</w:t>
            </w:r>
          </w:p>
        </w:tc>
        <w:tc>
          <w:tcPr>
            <w:tcW w:type="dxa" w:w="1152"/>
          </w:tcPr>
          <w:p>
            <w:pPr>
              <w:spacing w:after="20"/>
              <w:jc w:val="right"/>
            </w:pPr>
            <w:r>
              <w:rPr>
                <w:color w:val="1C3A36"/>
                <w:sz w:val="16"/>
              </w:rPr>
              <w:t>+28%</w:t>
            </w:r>
          </w:p>
        </w:tc>
        <w:tc>
          <w:tcPr>
            <w:tcW w:type="dxa" w:w="1152"/>
          </w:tcPr>
          <w:p>
            <w:pPr>
              <w:spacing w:after="20"/>
              <w:jc w:val="right"/>
            </w:pPr>
            <w:r>
              <w:rPr>
                <w:color w:val="1C3A36"/>
                <w:sz w:val="16"/>
              </w:rPr>
              <w:t>+40%</w:t>
            </w:r>
          </w:p>
        </w:tc>
      </w:tr>
    </w:tbl>
    <w:p>
      <w:pPr>
        <w:spacing w:after="40"/>
      </w:pPr>
    </w:p>
    <w:p>
      <w:pPr>
        <w:spacing w:after="40"/>
        <w:jc w:val="center"/>
      </w:pPr>
      <w:r>
        <w:drawing>
          <wp:inline xmlns:a="http://schemas.openxmlformats.org/drawingml/2006/main" xmlns:pic="http://schemas.openxmlformats.org/drawingml/2006/picture">
            <wp:extent cx="6309360" cy="2628480"/>
            <wp:docPr id="5" name="Picture 5"/>
            <wp:cNvGraphicFramePr>
              <a:graphicFrameLocks noChangeAspect="1"/>
            </wp:cNvGraphicFramePr>
            <a:graphic>
              <a:graphicData uri="http://schemas.openxmlformats.org/drawingml/2006/picture">
                <pic:pic>
                  <pic:nvPicPr>
                    <pic:cNvPr id="0" name="fan.png"/>
                    <pic:cNvPicPr/>
                  </pic:nvPicPr>
                  <pic:blipFill>
                    <a:blip r:embed="rId13"/>
                    <a:stretch>
                      <a:fillRect/>
                    </a:stretch>
                  </pic:blipFill>
                  <pic:spPr>
                    <a:xfrm>
                      <a:off x="0" y="0"/>
                      <a:ext cx="6309360" cy="2628480"/>
                    </a:xfrm>
                    <a:prstGeom prst="rect"/>
                  </pic:spPr>
                </pic:pic>
              </a:graphicData>
            </a:graphic>
          </wp:inline>
        </w:drawing>
      </w:r>
    </w:p>
    <w:p>
      <w:pPr>
        <w:spacing w:after="180" w:before="0"/>
      </w:pPr>
      <w:r>
        <w:rPr>
          <w:b w:val="0"/>
          <w:i/>
          <w:color w:val="6E7B77"/>
          <w:sz w:val="17"/>
        </w:rPr>
        <w:t>The three-month path cone. The band widens roughly with the square root of time; at T+20 the 50% band is about SAR 617–706, at T+60 about SAR 589–746.</w:t>
      </w:r>
    </w:p>
    <w:p>
      <w:pPr>
        <w:spacing w:after="40"/>
        <w:jc w:val="center"/>
      </w:pPr>
      <w:r>
        <w:drawing>
          <wp:inline xmlns:a="http://schemas.openxmlformats.org/drawingml/2006/main" xmlns:pic="http://schemas.openxmlformats.org/drawingml/2006/picture">
            <wp:extent cx="6035040" cy="2322649"/>
            <wp:docPr id="6" name="Picture 6"/>
            <wp:cNvGraphicFramePr>
              <a:graphicFrameLocks noChangeAspect="1"/>
            </wp:cNvGraphicFramePr>
            <a:graphic>
              <a:graphicData uri="http://schemas.openxmlformats.org/drawingml/2006/picture">
                <pic:pic>
                  <pic:nvPicPr>
                    <pic:cNvPr id="0" name="d20.png"/>
                    <pic:cNvPicPr/>
                  </pic:nvPicPr>
                  <pic:blipFill>
                    <a:blip r:embed="rId14"/>
                    <a:stretch>
                      <a:fillRect/>
                    </a:stretch>
                  </pic:blipFill>
                  <pic:spPr>
                    <a:xfrm>
                      <a:off x="0" y="0"/>
                      <a:ext cx="6035040" cy="2322649"/>
                    </a:xfrm>
                    <a:prstGeom prst="rect"/>
                  </pic:spPr>
                </pic:pic>
              </a:graphicData>
            </a:graphic>
          </wp:inline>
        </w:drawing>
      </w:r>
    </w:p>
    <w:p>
      <w:pPr>
        <w:spacing w:after="180" w:before="0"/>
      </w:pPr>
      <w:r>
        <w:rPr>
          <w:b w:val="0"/>
          <w:i/>
          <w:color w:val="6E7B77"/>
          <w:sz w:val="17"/>
        </w:rPr>
        <w:t>Where the price could be in ~1 month. Bars are the frequency of the 50,000 simulated outcomes; the darker band is the 50% range (25th–75th percentile), the lighter band the 90% range, the brass line the median, and the dark dashed line today’s price. The fitted Student-t (ν=5) has a long, thin upper tail — a handful of extreme paths are cut off the right of the view for readability; the median and bands are computed on all paths and are unaffected.</w:t>
      </w:r>
    </w:p>
    <w:p>
      <w:pPr>
        <w:spacing w:after="40"/>
        <w:jc w:val="center"/>
      </w:pPr>
      <w:r>
        <w:drawing>
          <wp:inline xmlns:a="http://schemas.openxmlformats.org/drawingml/2006/main" xmlns:pic="http://schemas.openxmlformats.org/drawingml/2006/picture">
            <wp:extent cx="6035040" cy="2322649"/>
            <wp:docPr id="7" name="Picture 7"/>
            <wp:cNvGraphicFramePr>
              <a:graphicFrameLocks noChangeAspect="1"/>
            </wp:cNvGraphicFramePr>
            <a:graphic>
              <a:graphicData uri="http://schemas.openxmlformats.org/drawingml/2006/picture">
                <pic:pic>
                  <pic:nvPicPr>
                    <pic:cNvPr id="0" name="d60.png"/>
                    <pic:cNvPicPr/>
                  </pic:nvPicPr>
                  <pic:blipFill>
                    <a:blip r:embed="rId15"/>
                    <a:stretch>
                      <a:fillRect/>
                    </a:stretch>
                  </pic:blipFill>
                  <pic:spPr>
                    <a:xfrm>
                      <a:off x="0" y="0"/>
                      <a:ext cx="6035040" cy="2322649"/>
                    </a:xfrm>
                    <a:prstGeom prst="rect"/>
                  </pic:spPr>
                </pic:pic>
              </a:graphicData>
            </a:graphic>
          </wp:inline>
        </w:drawing>
      </w:r>
    </w:p>
    <w:p>
      <w:pPr>
        <w:spacing w:after="180" w:before="0"/>
      </w:pPr>
      <w:r>
        <w:rPr>
          <w:b w:val="0"/>
          <w:i/>
          <w:color w:val="6E7B77"/>
          <w:sz w:val="17"/>
        </w:rPr>
        <w:t>The same read at ~3 months. Half of the simulated outcomes fall between SAR 590 and 746 (the 50% band); nine in ten between SAR 479 and 926. The centre is near flat — a slight upward tilt from the carry — so the width, not the direction, is the message.</w:t>
      </w:r>
    </w:p>
    <w:p>
      <w:pPr>
        <w:spacing w:after="60" w:before="180"/>
      </w:pPr>
      <w:r>
        <w:rPr>
          <w:b/>
          <w:i w:val="0"/>
          <w:color w:val="1C3A36"/>
          <w:sz w:val="23"/>
        </w:rPr>
        <w:t>Touch-probability ladder</w:t>
      </w:r>
    </w:p>
    <w:p>
      <w:pPr>
        <w:spacing w:after="40"/>
        <w:jc w:val="center"/>
      </w:pPr>
      <w:r>
        <w:drawing>
          <wp:inline xmlns:a="http://schemas.openxmlformats.org/drawingml/2006/main" xmlns:pic="http://schemas.openxmlformats.org/drawingml/2006/picture">
            <wp:extent cx="5943600" cy="2273249"/>
            <wp:docPr id="8" name="Picture 8"/>
            <wp:cNvGraphicFramePr>
              <a:graphicFrameLocks noChangeAspect="1"/>
            </wp:cNvGraphicFramePr>
            <a:graphic>
              <a:graphicData uri="http://schemas.openxmlformats.org/drawingml/2006/picture">
                <pic:pic>
                  <pic:nvPicPr>
                    <pic:cNvPr id="0" name="ladder.png"/>
                    <pic:cNvPicPr/>
                  </pic:nvPicPr>
                  <pic:blipFill>
                    <a:blip r:embed="rId16"/>
                    <a:stretch>
                      <a:fillRect/>
                    </a:stretch>
                  </pic:blipFill>
                  <pic:spPr>
                    <a:xfrm>
                      <a:off x="0" y="0"/>
                      <a:ext cx="5943600" cy="2273249"/>
                    </a:xfrm>
                    <a:prstGeom prst="rect"/>
                  </pic:spPr>
                </pic:pic>
              </a:graphicData>
            </a:graphic>
          </wp:inline>
        </w:drawing>
      </w:r>
    </w:p>
    <w:p>
      <w:pPr>
        <w:spacing w:after="180" w:before="0"/>
      </w:pPr>
      <w:r>
        <w:rPr>
          <w:b w:val="0"/>
          <w:i/>
          <w:color w:val="6E7B77"/>
          <w:sz w:val="17"/>
        </w:rPr>
        <w:t>Probability of touching each level at any point within three months. Touching +10% (SAR ~724) and −10% (SAR ~593) are roughly balanced, tilted marginally to the upside by the carry.</w:t>
      </w:r>
    </w:p>
    <w:p>
      <w:pPr>
        <w:spacing w:after="100" w:before="260"/>
      </w:pPr>
      <w:r>
        <w:rPr>
          <w:b/>
          <w:i w:val="0"/>
          <w:color w:val="1C3A36"/>
          <w:sz w:val="29"/>
        </w:rPr>
        <w:t>4 · Comparison of the lenses, and a verdict</w:t>
      </w:r>
    </w:p>
    <w:p>
      <w:pPr>
        <w:spacing w:after="120" w:before="0"/>
      </w:pPr>
      <w:r>
        <w:rPr>
          <w:b w:val="0"/>
          <w:i w:val="0"/>
          <w:color w:val="1C3A36"/>
          <w:sz w:val="20"/>
        </w:rPr>
        <w:t>The three lenses agree on the shape of the situation. Fundamentally, Elm has de-rated from euphoria (P/E 56×) to around fair value (P/E ~24×), with a weighted central estimate near SAR 620 and spot ~6% above it. Technically, the tape is a washed-out, oversold downtrend near support. Probabilistically, the three-month distribution is centred near flat with a symmetric ~±12% interquartile band. The honest synthesis: Elm is roughly fairly valued after the crash, trading at a slight premium to a neutral-beta central estimate, with genuine two-sided risk. The single question that decides whether it is cheap or dear from here is the discount rate — i.e. whether the market treats Elm as the low-beta government compounder it has historically been, or re-rates it as a higher-beta growth name after the crash. This study quantifies that fork rather than resolving it.</w:t>
      </w:r>
    </w:p>
    <w:p>
      <w:pPr>
        <w:spacing w:after="100" w:before="260"/>
      </w:pPr>
      <w:r>
        <w:rPr>
          <w:b/>
          <w:i w:val="0"/>
          <w:color w:val="1C3A36"/>
          <w:sz w:val="29"/>
        </w:rPr>
        <w:t>5 · Catalysts to watch</w:t>
      </w:r>
    </w:p>
    <w:p>
      <w:pPr>
        <w:pStyle w:val="ListBullet"/>
        <w:spacing w:after="60"/>
      </w:pPr>
      <w:r>
        <w:rPr>
          <w:b/>
          <w:color w:val="1C3A36"/>
          <w:sz w:val="20"/>
        </w:rPr>
        <w:t>Earnings &amp; guidance:</w:t>
      </w:r>
      <w:r>
        <w:rPr>
          <w:color w:val="1C3A36"/>
          <w:sz w:val="20"/>
        </w:rPr>
        <w:t xml:space="preserve"> full-year 2025 results (revenue tracking ~SAR 9.5–10bn) and 2026 guidance — confirmation or deceleration of the ~16% growth path.</w:t>
      </w:r>
    </w:p>
    <w:p>
      <w:pPr>
        <w:pStyle w:val="ListBullet"/>
        <w:spacing w:after="60"/>
      </w:pPr>
      <w:r>
        <w:rPr>
          <w:b/>
          <w:color w:val="1C3A36"/>
          <w:sz w:val="20"/>
        </w:rPr>
        <w:t>Exclusivity / data access:</w:t>
      </w:r>
      <w:r>
        <w:rPr>
          <w:color w:val="1C3A36"/>
          <w:sz w:val="20"/>
        </w:rPr>
        <w:t xml:space="preserve"> any change to Elm’s exclusive access to the national data registry, or to income-sharing terms on flagship platforms — the core moat variable.</w:t>
      </w:r>
    </w:p>
    <w:p>
      <w:pPr>
        <w:pStyle w:val="ListBullet"/>
        <w:spacing w:after="60"/>
      </w:pPr>
      <w:r>
        <w:rPr>
          <w:b/>
          <w:color w:val="1C3A36"/>
          <w:sz w:val="20"/>
        </w:rPr>
        <w:t>Government pipeline:</w:t>
      </w:r>
      <w:r>
        <w:rPr>
          <w:color w:val="1C3A36"/>
          <w:sz w:val="20"/>
        </w:rPr>
        <w:t xml:space="preserve"> Vision-2030 project awards, tourism/Hajj digital mandates (Nusuk), giga-project and smart-city work, and the digital-economy GDP target.</w:t>
      </w:r>
    </w:p>
    <w:p>
      <w:pPr>
        <w:pStyle w:val="ListBullet"/>
        <w:spacing w:after="60"/>
      </w:pPr>
      <w:r>
        <w:rPr>
          <w:b/>
          <w:color w:val="1C3A36"/>
          <w:sz w:val="20"/>
        </w:rPr>
        <w:t>M&amp;A:</w:t>
      </w:r>
      <w:r>
        <w:rPr>
          <w:color w:val="1C3A36"/>
          <w:sz w:val="20"/>
        </w:rPr>
        <w:t xml:space="preserve"> further platform/Digital-Business acquisitions (following Tabadul/Thiqah) deploying the net-cash balance sheet.</w:t>
      </w:r>
    </w:p>
    <w:p>
      <w:pPr>
        <w:pStyle w:val="ListBullet"/>
        <w:spacing w:after="60"/>
      </w:pPr>
      <w:r>
        <w:rPr>
          <w:b/>
          <w:color w:val="1C3A36"/>
          <w:sz w:val="20"/>
        </w:rPr>
        <w:t>Cost of capital:</w:t>
      </w:r>
      <w:r>
        <w:rPr>
          <w:color w:val="1C3A36"/>
          <w:sz w:val="20"/>
        </w:rPr>
        <w:t xml:space="preserve"> the Saudi risk-free path and, above all, how the market re-prices Elm’s beta as the post-crash trading history lengthens.</w:t>
      </w:r>
    </w:p>
    <w:p>
      <w:pPr>
        <w:spacing w:after="100" w:before="260"/>
      </w:pPr>
      <w:r>
        <w:rPr>
          <w:b/>
          <w:i w:val="0"/>
          <w:color w:val="1C3A36"/>
          <w:sz w:val="29"/>
        </w:rPr>
        <w:t>6 · Reading the probability zones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160"/>
            <w:shd w:val="clear" w:color="auto" w:fill="EAF0EE"/>
          </w:tcPr>
          <w:p>
            <w:pPr>
              <w:spacing w:after="20"/>
            </w:pPr>
            <w:r>
              <w:rPr>
                <w:b/>
                <w:color w:val="1C3A36"/>
                <w:sz w:val="16"/>
              </w:rPr>
              <w:t>Zone (T+60)</w:t>
            </w:r>
          </w:p>
        </w:tc>
        <w:tc>
          <w:tcPr>
            <w:tcW w:type="dxa" w:w="1944"/>
            <w:shd w:val="clear" w:color="auto" w:fill="EAF0EE"/>
          </w:tcPr>
          <w:p>
            <w:pPr>
              <w:spacing w:after="20"/>
            </w:pPr>
            <w:r>
              <w:rPr>
                <w:b/>
                <w:color w:val="1C3A36"/>
                <w:sz w:val="16"/>
              </w:rPr>
              <w:t>Range (SAR)</w:t>
            </w:r>
          </w:p>
        </w:tc>
        <w:tc>
          <w:tcPr>
            <w:tcW w:type="dxa" w:w="1584"/>
            <w:shd w:val="clear" w:color="auto" w:fill="EAF0EE"/>
          </w:tcPr>
          <w:p>
            <w:pPr>
              <w:spacing w:after="20"/>
            </w:pPr>
            <w:r>
              <w:rPr>
                <w:b/>
                <w:color w:val="1C3A36"/>
                <w:sz w:val="16"/>
              </w:rPr>
              <w:t>Probability</w:t>
            </w:r>
          </w:p>
        </w:tc>
        <w:tc>
          <w:tcPr>
            <w:tcW w:type="dxa" w:w="3456"/>
            <w:shd w:val="clear" w:color="auto" w:fill="EAF0EE"/>
          </w:tcPr>
          <w:p>
            <w:pPr>
              <w:spacing w:after="20"/>
            </w:pPr>
            <w:r>
              <w:rPr>
                <w:b/>
                <w:color w:val="1C3A36"/>
                <w:sz w:val="16"/>
              </w:rPr>
              <w:t>What it would mean</w:t>
            </w:r>
          </w:p>
        </w:tc>
      </w:tr>
      <w:tr>
        <w:tc>
          <w:tcPr>
            <w:tcW w:type="dxa" w:w="2160"/>
          </w:tcPr>
          <w:p>
            <w:pPr>
              <w:spacing w:after="20"/>
            </w:pPr>
            <w:r>
              <w:rPr>
                <w:color w:val="1C3A36"/>
                <w:sz w:val="16"/>
              </w:rPr>
              <w:t>Upper tail</w:t>
            </w:r>
          </w:p>
        </w:tc>
        <w:tc>
          <w:tcPr>
            <w:tcW w:type="dxa" w:w="1944"/>
          </w:tcPr>
          <w:p>
            <w:pPr>
              <w:spacing w:after="20"/>
              <w:jc w:val="right"/>
            </w:pPr>
            <w:r>
              <w:rPr>
                <w:color w:val="1C3A36"/>
                <w:sz w:val="16"/>
              </w:rPr>
              <w:t>&gt; 746</w:t>
            </w:r>
          </w:p>
        </w:tc>
        <w:tc>
          <w:tcPr>
            <w:tcW w:type="dxa" w:w="1584"/>
          </w:tcPr>
          <w:p>
            <w:pPr>
              <w:spacing w:after="20"/>
              <w:jc w:val="right"/>
            </w:pPr>
            <w:r>
              <w:rPr>
                <w:color w:val="1C3A36"/>
                <w:sz w:val="16"/>
              </w:rPr>
              <w:t>~25%</w:t>
            </w:r>
          </w:p>
        </w:tc>
        <w:tc>
          <w:tcPr>
            <w:tcW w:type="dxa" w:w="3456"/>
          </w:tcPr>
          <w:p>
            <w:pPr>
              <w:spacing w:after="20"/>
              <w:jc w:val="right"/>
            </w:pPr>
            <w:r>
              <w:rPr>
                <w:color w:val="1C3A36"/>
                <w:sz w:val="16"/>
              </w:rPr>
              <w:t>moat-durability re-rating / low-beta view reasserts</w:t>
            </w:r>
          </w:p>
        </w:tc>
      </w:tr>
      <w:tr>
        <w:tc>
          <w:tcPr>
            <w:tcW w:type="dxa" w:w="2160"/>
          </w:tcPr>
          <w:p>
            <w:pPr>
              <w:spacing w:after="20"/>
            </w:pPr>
            <w:r>
              <w:rPr>
                <w:color w:val="1C3A36"/>
                <w:sz w:val="16"/>
              </w:rPr>
              <w:t>Upper-mid</w:t>
            </w:r>
          </w:p>
        </w:tc>
        <w:tc>
          <w:tcPr>
            <w:tcW w:type="dxa" w:w="1944"/>
          </w:tcPr>
          <w:p>
            <w:pPr>
              <w:spacing w:after="20"/>
              <w:jc w:val="right"/>
            </w:pPr>
            <w:r>
              <w:rPr>
                <w:color w:val="1C3A36"/>
                <w:sz w:val="16"/>
              </w:rPr>
              <w:t>658 – 746</w:t>
            </w:r>
          </w:p>
        </w:tc>
        <w:tc>
          <w:tcPr>
            <w:tcW w:type="dxa" w:w="1584"/>
          </w:tcPr>
          <w:p>
            <w:pPr>
              <w:spacing w:after="20"/>
              <w:jc w:val="right"/>
            </w:pPr>
            <w:r>
              <w:rPr>
                <w:color w:val="1C3A36"/>
                <w:sz w:val="16"/>
              </w:rPr>
              <w:t>~26%</w:t>
            </w:r>
          </w:p>
        </w:tc>
        <w:tc>
          <w:tcPr>
            <w:tcW w:type="dxa" w:w="3456"/>
          </w:tcPr>
          <w:p>
            <w:pPr>
              <w:spacing w:after="20"/>
              <w:jc w:val="right"/>
            </w:pPr>
            <w:r>
              <w:rPr>
                <w:color w:val="1C3A36"/>
                <w:sz w:val="16"/>
              </w:rPr>
              <w:t>drift back toward the mid-fair-value estimate</w:t>
            </w:r>
          </w:p>
        </w:tc>
      </w:tr>
      <w:tr>
        <w:tc>
          <w:tcPr>
            <w:tcW w:type="dxa" w:w="2160"/>
          </w:tcPr>
          <w:p>
            <w:pPr>
              <w:spacing w:after="20"/>
            </w:pPr>
            <w:r>
              <w:rPr>
                <w:color w:val="1C3A36"/>
                <w:sz w:val="16"/>
              </w:rPr>
              <w:t>Lower-mid</w:t>
            </w:r>
          </w:p>
        </w:tc>
        <w:tc>
          <w:tcPr>
            <w:tcW w:type="dxa" w:w="1944"/>
          </w:tcPr>
          <w:p>
            <w:pPr>
              <w:spacing w:after="20"/>
              <w:jc w:val="right"/>
            </w:pPr>
            <w:r>
              <w:rPr>
                <w:color w:val="1C3A36"/>
                <w:sz w:val="16"/>
              </w:rPr>
              <w:t>589 – 658</w:t>
            </w:r>
          </w:p>
        </w:tc>
        <w:tc>
          <w:tcPr>
            <w:tcW w:type="dxa" w:w="1584"/>
          </w:tcPr>
          <w:p>
            <w:pPr>
              <w:spacing w:after="20"/>
              <w:jc w:val="right"/>
            </w:pPr>
            <w:r>
              <w:rPr>
                <w:color w:val="1C3A36"/>
                <w:sz w:val="16"/>
              </w:rPr>
              <w:t>~24%</w:t>
            </w:r>
          </w:p>
        </w:tc>
        <w:tc>
          <w:tcPr>
            <w:tcW w:type="dxa" w:w="3456"/>
          </w:tcPr>
          <w:p>
            <w:pPr>
              <w:spacing w:after="20"/>
              <w:jc w:val="right"/>
            </w:pPr>
            <w:r>
              <w:rPr>
                <w:color w:val="1C3A36"/>
                <w:sz w:val="16"/>
              </w:rPr>
              <w:t>continued de-rate toward neutral-beta DCF (~576)</w:t>
            </w:r>
          </w:p>
        </w:tc>
      </w:tr>
      <w:tr>
        <w:tc>
          <w:tcPr>
            <w:tcW w:type="dxa" w:w="2160"/>
          </w:tcPr>
          <w:p>
            <w:pPr>
              <w:spacing w:after="20"/>
            </w:pPr>
            <w:r>
              <w:rPr>
                <w:color w:val="1C3A36"/>
                <w:sz w:val="16"/>
              </w:rPr>
              <w:t>Lower tail</w:t>
            </w:r>
          </w:p>
        </w:tc>
        <w:tc>
          <w:tcPr>
            <w:tcW w:type="dxa" w:w="1944"/>
          </w:tcPr>
          <w:p>
            <w:pPr>
              <w:spacing w:after="20"/>
              <w:jc w:val="right"/>
            </w:pPr>
            <w:r>
              <w:rPr>
                <w:color w:val="1C3A36"/>
                <w:sz w:val="16"/>
              </w:rPr>
              <w:t>&lt; 589</w:t>
            </w:r>
          </w:p>
        </w:tc>
        <w:tc>
          <w:tcPr>
            <w:tcW w:type="dxa" w:w="1584"/>
          </w:tcPr>
          <w:p>
            <w:pPr>
              <w:spacing w:after="20"/>
              <w:jc w:val="right"/>
            </w:pPr>
            <w:r>
              <w:rPr>
                <w:color w:val="1C3A36"/>
                <w:sz w:val="16"/>
              </w:rPr>
              <w:t>~25%</w:t>
            </w:r>
          </w:p>
        </w:tc>
        <w:tc>
          <w:tcPr>
            <w:tcW w:type="dxa" w:w="3456"/>
          </w:tcPr>
          <w:p>
            <w:pPr>
              <w:spacing w:after="20"/>
              <w:jc w:val="right"/>
            </w:pPr>
            <w:r>
              <w:rPr>
                <w:color w:val="1C3A36"/>
                <w:sz w:val="16"/>
              </w:rPr>
              <w:t>high-beta re-rate / growth or exclusivity scare</w:t>
            </w:r>
          </w:p>
        </w:tc>
      </w:tr>
    </w:tbl>
    <w:p>
      <w:pPr>
        <w:spacing w:after="40"/>
      </w:pPr>
    </w:p>
    <w:p>
      <w:pPr>
        <w:spacing w:after="180" w:before="0"/>
      </w:pPr>
      <w:r>
        <w:rPr>
          <w:b w:val="0"/>
          <w:i/>
          <w:color w:val="6E7B77"/>
          <w:sz w:val="17"/>
        </w:rPr>
        <w:t>Probabilities read off the same 50,000-path T+60 distribution. Zones are descriptive, not targets.</w:t>
      </w:r>
    </w:p>
    <w:p>
      <w:pPr>
        <w:spacing w:after="100" w:before="260"/>
      </w:pPr>
      <w:r>
        <w:rPr>
          <w:b/>
          <w:i w:val="0"/>
          <w:color w:val="1C3A36"/>
          <w:sz w:val="29"/>
        </w:rPr>
        <w:t>7 · Caveats and what would change our mind</w:t>
      </w:r>
    </w:p>
    <w:p>
      <w:pPr>
        <w:pStyle w:val="ListBullet"/>
        <w:spacing w:after="60"/>
      </w:pPr>
      <w:r>
        <w:rPr>
          <w:b/>
          <w:color w:val="1C3A36"/>
          <w:sz w:val="20"/>
        </w:rPr>
        <w:t>Discount-rate dependence:</w:t>
      </w:r>
      <w:r>
        <w:rPr>
          <w:color w:val="1C3A36"/>
          <w:sz w:val="20"/>
        </w:rPr>
        <w:t xml:space="preserve"> the whole DCF pivots on the discount rate (77% terminal value); we anchor a neutral beta but a defensible case exists from ~SAR 370 to ~SAR 900.</w:t>
      </w:r>
    </w:p>
    <w:p>
      <w:pPr>
        <w:pStyle w:val="ListBullet"/>
        <w:spacing w:after="60"/>
      </w:pPr>
      <w:r>
        <w:rPr>
          <w:b/>
          <w:color w:val="1C3A36"/>
          <w:sz w:val="20"/>
        </w:rPr>
        <w:t>Short, regime-dominated history:</w:t>
      </w:r>
      <w:r>
        <w:rPr>
          <w:color w:val="1C3A36"/>
          <w:sz w:val="20"/>
        </w:rPr>
        <w:t xml:space="preserve"> Elm’s ~4.4-year listed life is one boom-bust cycle, which makes both its historical beta and its volatility estimates unstable; the 40-day regression beta is crash-contaminated and not used as a point.</w:t>
      </w:r>
    </w:p>
    <w:p>
      <w:pPr>
        <w:pStyle w:val="ListBullet"/>
        <w:spacing w:after="60"/>
      </w:pPr>
      <w:r>
        <w:rPr>
          <w:b/>
          <w:color w:val="1C3A36"/>
          <w:sz w:val="20"/>
        </w:rPr>
        <w:t>Moat / exclusivity:</w:t>
      </w:r>
      <w:r>
        <w:rPr>
          <w:color w:val="1C3A36"/>
          <w:sz w:val="20"/>
        </w:rPr>
        <w:t xml:space="preserve"> loss of national-registry exclusivity, adverse income-sharing renegotiation, or a competitor gaining data access would break the highest-margin line and the terminal thesis — the central bear case.</w:t>
      </w:r>
    </w:p>
    <w:p>
      <w:pPr>
        <w:pStyle w:val="ListBullet"/>
        <w:spacing w:after="60"/>
      </w:pPr>
      <w:r>
        <w:rPr>
          <w:b/>
          <w:color w:val="1C3A36"/>
          <w:sz w:val="20"/>
        </w:rPr>
        <w:t>Government concentration:</w:t>
      </w:r>
      <w:r>
        <w:rPr>
          <w:color w:val="1C3A36"/>
          <w:sz w:val="20"/>
        </w:rPr>
        <w:t xml:space="preserve"> ~38.5% of revenue is public-sector; a sustained fiscal retrenchment or reallocation of digital mandates would slow the growth path.</w:t>
      </w:r>
    </w:p>
    <w:p>
      <w:pPr>
        <w:pStyle w:val="ListBullet"/>
        <w:spacing w:after="60"/>
      </w:pPr>
      <w:r>
        <w:rPr>
          <w:b/>
          <w:color w:val="1C3A36"/>
          <w:sz w:val="20"/>
        </w:rPr>
        <w:t>Forecast inputs:</w:t>
      </w:r>
      <w:r>
        <w:rPr>
          <w:color w:val="1C3A36"/>
          <w:sz w:val="20"/>
        </w:rPr>
        <w:t xml:space="preserve"> several forecast inputs (revenue path, margin trajectory, capex/WC ratios) are the preparer’s flagged views; full-year 2025 audited results would revise the base.</w:t>
      </w:r>
    </w:p>
    <w:p>
      <w:pPr>
        <w:spacing w:after="120" w:before="0"/>
      </w:pPr>
      <w:r>
        <w:rPr>
          <w:b w:val="0"/>
          <w:i/>
          <w:color w:val="1C3A36"/>
          <w:sz w:val="20"/>
        </w:rPr>
        <w:t>Our mind changes if: Digital Business growth falls below ~10% for two consecutive years; any flagship platform loses exclusivity or is re-tendered; or the market’s pricing of Elm’s beta settles durably away from the neutral anchor — in which case the fair-value range re-centres materially.</w:t>
      </w:r>
    </w:p>
    <w:p>
      <w:pPr>
        <w:spacing w:after="100" w:before="260"/>
      </w:pPr>
      <w:r>
        <w:rPr>
          <w:b/>
          <w:i w:val="0"/>
          <w:color w:val="1C3A36"/>
          <w:sz w:val="29"/>
        </w:rPr>
        <w:t>Appendix A · Financial statements</w:t>
      </w:r>
    </w:p>
    <w:p>
      <w:pPr>
        <w:spacing w:after="60" w:before="180"/>
      </w:pPr>
      <w:r>
        <w:rPr>
          <w:b/>
          <w:i w:val="0"/>
          <w:color w:val="1C3A36"/>
          <w:sz w:val="23"/>
        </w:rPr>
        <w:t>A.1  Income statement (SAR mn) — three actual, five forecast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232"/>
            <w:shd w:val="clear" w:color="auto" w:fill="EAF0EE"/>
          </w:tcPr>
          <w:p>
            <w:pPr>
              <w:spacing w:after="20"/>
            </w:pPr>
            <w:r>
              <w:rPr>
                <w:b/>
                <w:color w:val="1C3A36"/>
                <w:sz w:val="15"/>
              </w:rPr>
            </w:r>
          </w:p>
        </w:tc>
        <w:tc>
          <w:tcPr>
            <w:tcW w:type="dxa" w:w="1138"/>
            <w:shd w:val="clear" w:color="auto" w:fill="EAF0EE"/>
          </w:tcPr>
          <w:p>
            <w:pPr>
              <w:spacing w:after="20"/>
            </w:pPr>
            <w:r>
              <w:rPr>
                <w:b/>
                <w:color w:val="1C3A36"/>
                <w:sz w:val="15"/>
              </w:rPr>
              <w:t>2022a</w:t>
            </w:r>
          </w:p>
        </w:tc>
        <w:tc>
          <w:tcPr>
            <w:tcW w:type="dxa" w:w="1138"/>
            <w:shd w:val="clear" w:color="auto" w:fill="EAF0EE"/>
          </w:tcPr>
          <w:p>
            <w:pPr>
              <w:spacing w:after="20"/>
            </w:pPr>
            <w:r>
              <w:rPr>
                <w:b/>
                <w:color w:val="1C3A36"/>
                <w:sz w:val="15"/>
              </w:rPr>
              <w:t>2023a</w:t>
            </w:r>
          </w:p>
        </w:tc>
        <w:tc>
          <w:tcPr>
            <w:tcW w:type="dxa" w:w="1138"/>
            <w:shd w:val="clear" w:color="auto" w:fill="EAF0EE"/>
          </w:tcPr>
          <w:p>
            <w:pPr>
              <w:spacing w:after="20"/>
            </w:pPr>
            <w:r>
              <w:rPr>
                <w:b/>
                <w:color w:val="1C3A36"/>
                <w:sz w:val="15"/>
              </w:rPr>
              <w:t>2024a</w:t>
            </w:r>
          </w:p>
        </w:tc>
        <w:tc>
          <w:tcPr>
            <w:tcW w:type="dxa" w:w="1138"/>
            <w:shd w:val="clear" w:color="auto" w:fill="EAF0EE"/>
          </w:tcPr>
          <w:p>
            <w:pPr>
              <w:spacing w:after="20"/>
            </w:pPr>
            <w:r>
              <w:rPr>
                <w:b/>
                <w:color w:val="1C3A36"/>
                <w:sz w:val="15"/>
              </w:rPr>
              <w:t>2025e</w:t>
            </w:r>
          </w:p>
        </w:tc>
        <w:tc>
          <w:tcPr>
            <w:tcW w:type="dxa" w:w="1138"/>
            <w:shd w:val="clear" w:color="auto" w:fill="EAF0EE"/>
          </w:tcPr>
          <w:p>
            <w:pPr>
              <w:spacing w:after="20"/>
            </w:pPr>
            <w:r>
              <w:rPr>
                <w:b/>
                <w:color w:val="1C3A36"/>
                <w:sz w:val="15"/>
              </w:rPr>
              <w:t>2026e</w:t>
            </w:r>
          </w:p>
        </w:tc>
        <w:tc>
          <w:tcPr>
            <w:tcW w:type="dxa" w:w="1138"/>
            <w:shd w:val="clear" w:color="auto" w:fill="EAF0EE"/>
          </w:tcPr>
          <w:p>
            <w:pPr>
              <w:spacing w:after="20"/>
            </w:pPr>
            <w:r>
              <w:rPr>
                <w:b/>
                <w:color w:val="1C3A36"/>
                <w:sz w:val="15"/>
              </w:rPr>
              <w:t>2027e</w:t>
            </w:r>
          </w:p>
        </w:tc>
        <w:tc>
          <w:tcPr>
            <w:tcW w:type="dxa" w:w="1138"/>
            <w:shd w:val="clear" w:color="auto" w:fill="EAF0EE"/>
          </w:tcPr>
          <w:p>
            <w:pPr>
              <w:spacing w:after="20"/>
            </w:pPr>
            <w:r>
              <w:rPr>
                <w:b/>
                <w:color w:val="1C3A36"/>
                <w:sz w:val="15"/>
              </w:rPr>
              <w:t>2028e</w:t>
            </w:r>
          </w:p>
        </w:tc>
        <w:tc>
          <w:tcPr>
            <w:tcW w:type="dxa" w:w="1138"/>
            <w:shd w:val="clear" w:color="auto" w:fill="EAF0EE"/>
          </w:tcPr>
          <w:p>
            <w:pPr>
              <w:spacing w:after="20"/>
            </w:pPr>
            <w:r>
              <w:rPr>
                <w:b/>
                <w:color w:val="1C3A36"/>
                <w:sz w:val="15"/>
              </w:rPr>
              <w:t>2029e</w:t>
            </w:r>
          </w:p>
        </w:tc>
      </w:tr>
      <w:tr>
        <w:tc>
          <w:tcPr>
            <w:tcW w:type="dxa" w:w="2232"/>
          </w:tcPr>
          <w:p>
            <w:pPr>
              <w:spacing w:after="20"/>
            </w:pPr>
            <w:r>
              <w:rPr>
                <w:color w:val="1C3A36"/>
                <w:sz w:val="15"/>
              </w:rPr>
              <w:t>Revenue</w:t>
            </w:r>
          </w:p>
        </w:tc>
        <w:tc>
          <w:tcPr>
            <w:tcW w:type="dxa" w:w="1138"/>
          </w:tcPr>
          <w:p>
            <w:pPr>
              <w:spacing w:after="20"/>
              <w:jc w:val="right"/>
            </w:pPr>
            <w:r>
              <w:rPr>
                <w:color w:val="1C3A36"/>
                <w:sz w:val="15"/>
              </w:rPr>
              <w:t>4,606</w:t>
            </w:r>
          </w:p>
        </w:tc>
        <w:tc>
          <w:tcPr>
            <w:tcW w:type="dxa" w:w="1138"/>
          </w:tcPr>
          <w:p>
            <w:pPr>
              <w:spacing w:after="20"/>
              <w:jc w:val="right"/>
            </w:pPr>
            <w:r>
              <w:rPr>
                <w:color w:val="1C3A36"/>
                <w:sz w:val="15"/>
              </w:rPr>
              <w:t>5,898</w:t>
            </w:r>
          </w:p>
        </w:tc>
        <w:tc>
          <w:tcPr>
            <w:tcW w:type="dxa" w:w="1138"/>
          </w:tcPr>
          <w:p>
            <w:pPr>
              <w:spacing w:after="20"/>
              <w:jc w:val="right"/>
            </w:pPr>
            <w:r>
              <w:rPr>
                <w:color w:val="1C3A36"/>
                <w:sz w:val="15"/>
              </w:rPr>
              <w:t>7,407</w:t>
            </w:r>
          </w:p>
        </w:tc>
        <w:tc>
          <w:tcPr>
            <w:tcW w:type="dxa" w:w="1138"/>
          </w:tcPr>
          <w:p>
            <w:pPr>
              <w:spacing w:after="20"/>
              <w:jc w:val="right"/>
            </w:pPr>
            <w:r>
              <w:rPr>
                <w:color w:val="1C3A36"/>
                <w:sz w:val="15"/>
              </w:rPr>
              <w:t>9,651</w:t>
            </w:r>
          </w:p>
        </w:tc>
        <w:tc>
          <w:tcPr>
            <w:tcW w:type="dxa" w:w="1138"/>
          </w:tcPr>
          <w:p>
            <w:pPr>
              <w:spacing w:after="20"/>
              <w:jc w:val="right"/>
            </w:pPr>
            <w:r>
              <w:rPr>
                <w:color w:val="1C3A36"/>
                <w:sz w:val="15"/>
              </w:rPr>
              <w:t>11,302</w:t>
            </w:r>
          </w:p>
        </w:tc>
        <w:tc>
          <w:tcPr>
            <w:tcW w:type="dxa" w:w="1138"/>
          </w:tcPr>
          <w:p>
            <w:pPr>
              <w:spacing w:after="20"/>
              <w:jc w:val="right"/>
            </w:pPr>
            <w:r>
              <w:rPr>
                <w:color w:val="1C3A36"/>
                <w:sz w:val="15"/>
              </w:rPr>
              <w:t>12,907</w:t>
            </w:r>
          </w:p>
        </w:tc>
        <w:tc>
          <w:tcPr>
            <w:tcW w:type="dxa" w:w="1138"/>
          </w:tcPr>
          <w:p>
            <w:pPr>
              <w:spacing w:after="20"/>
              <w:jc w:val="right"/>
            </w:pPr>
            <w:r>
              <w:rPr>
                <w:color w:val="1C3A36"/>
                <w:sz w:val="15"/>
              </w:rPr>
              <w:t>14,455</w:t>
            </w:r>
          </w:p>
        </w:tc>
        <w:tc>
          <w:tcPr>
            <w:tcW w:type="dxa" w:w="1138"/>
          </w:tcPr>
          <w:p>
            <w:pPr>
              <w:spacing w:after="20"/>
              <w:jc w:val="right"/>
            </w:pPr>
            <w:r>
              <w:rPr>
                <w:color w:val="1C3A36"/>
                <w:sz w:val="15"/>
              </w:rPr>
              <w:t>15,901</w:t>
            </w:r>
          </w:p>
        </w:tc>
      </w:tr>
      <w:tr>
        <w:tc>
          <w:tcPr>
            <w:tcW w:type="dxa" w:w="2232"/>
          </w:tcPr>
          <w:p>
            <w:pPr>
              <w:spacing w:after="20"/>
            </w:pPr>
            <w:r>
              <w:rPr>
                <w:color w:val="1C3A36"/>
                <w:sz w:val="15"/>
              </w:rPr>
              <w:t>Cost of revenue</w:t>
            </w:r>
          </w:p>
        </w:tc>
        <w:tc>
          <w:tcPr>
            <w:tcW w:type="dxa" w:w="1138"/>
          </w:tcPr>
          <w:p>
            <w:pPr>
              <w:spacing w:after="20"/>
              <w:jc w:val="right"/>
            </w:pPr>
            <w:r>
              <w:rPr>
                <w:color w:val="1C3A36"/>
                <w:sz w:val="15"/>
              </w:rPr>
              <w:t>(2,736)</w:t>
            </w:r>
          </w:p>
        </w:tc>
        <w:tc>
          <w:tcPr>
            <w:tcW w:type="dxa" w:w="1138"/>
          </w:tcPr>
          <w:p>
            <w:pPr>
              <w:spacing w:after="20"/>
              <w:jc w:val="right"/>
            </w:pPr>
            <w:r>
              <w:rPr>
                <w:color w:val="1C3A36"/>
                <w:sz w:val="15"/>
              </w:rPr>
              <w:t>(3,563)</w:t>
            </w:r>
          </w:p>
        </w:tc>
        <w:tc>
          <w:tcPr>
            <w:tcW w:type="dxa" w:w="1138"/>
          </w:tcPr>
          <w:p>
            <w:pPr>
              <w:spacing w:after="20"/>
              <w:jc w:val="right"/>
            </w:pPr>
            <w:r>
              <w:rPr>
                <w:color w:val="1C3A36"/>
                <w:sz w:val="15"/>
              </w:rPr>
              <w:t>(4,378)</w:t>
            </w:r>
          </w:p>
        </w:tc>
        <w:tc>
          <w:tcPr>
            <w:tcW w:type="dxa" w:w="1138"/>
          </w:tcPr>
          <w:p>
            <w:pPr>
              <w:spacing w:after="20"/>
              <w:jc w:val="right"/>
            </w:pPr>
            <w:r>
              <w:rPr>
                <w:color w:val="1C3A36"/>
                <w:sz w:val="15"/>
              </w:rPr>
              <w:t>(5,704)</w:t>
            </w:r>
          </w:p>
        </w:tc>
        <w:tc>
          <w:tcPr>
            <w:tcW w:type="dxa" w:w="1138"/>
          </w:tcPr>
          <w:p>
            <w:pPr>
              <w:spacing w:after="20"/>
              <w:jc w:val="right"/>
            </w:pPr>
            <w:r>
              <w:rPr>
                <w:color w:val="1C3A36"/>
                <w:sz w:val="15"/>
              </w:rPr>
              <w:t>(6,634)</w:t>
            </w:r>
          </w:p>
        </w:tc>
        <w:tc>
          <w:tcPr>
            <w:tcW w:type="dxa" w:w="1138"/>
          </w:tcPr>
          <w:p>
            <w:pPr>
              <w:spacing w:after="20"/>
              <w:jc w:val="right"/>
            </w:pPr>
            <w:r>
              <w:rPr>
                <w:color w:val="1C3A36"/>
                <w:sz w:val="15"/>
              </w:rPr>
              <w:t>(7,525)</w:t>
            </w:r>
          </w:p>
        </w:tc>
        <w:tc>
          <w:tcPr>
            <w:tcW w:type="dxa" w:w="1138"/>
          </w:tcPr>
          <w:p>
            <w:pPr>
              <w:spacing w:after="20"/>
              <w:jc w:val="right"/>
            </w:pPr>
            <w:r>
              <w:rPr>
                <w:color w:val="1C3A36"/>
                <w:sz w:val="15"/>
              </w:rPr>
              <w:t>(8,369)</w:t>
            </w:r>
          </w:p>
        </w:tc>
        <w:tc>
          <w:tcPr>
            <w:tcW w:type="dxa" w:w="1138"/>
          </w:tcPr>
          <w:p>
            <w:pPr>
              <w:spacing w:after="20"/>
              <w:jc w:val="right"/>
            </w:pPr>
            <w:r>
              <w:rPr>
                <w:color w:val="1C3A36"/>
                <w:sz w:val="15"/>
              </w:rPr>
              <w:t>(9,143)</w:t>
            </w:r>
          </w:p>
        </w:tc>
      </w:tr>
      <w:tr>
        <w:tc>
          <w:tcPr>
            <w:tcW w:type="dxa" w:w="2232"/>
          </w:tcPr>
          <w:p>
            <w:pPr>
              <w:spacing w:after="20"/>
            </w:pPr>
            <w:r>
              <w:rPr>
                <w:color w:val="1C3A36"/>
                <w:sz w:val="15"/>
              </w:rPr>
              <w:t>Gross profit</w:t>
            </w:r>
          </w:p>
        </w:tc>
        <w:tc>
          <w:tcPr>
            <w:tcW w:type="dxa" w:w="1138"/>
          </w:tcPr>
          <w:p>
            <w:pPr>
              <w:spacing w:after="20"/>
              <w:jc w:val="right"/>
            </w:pPr>
            <w:r>
              <w:rPr>
                <w:color w:val="1C3A36"/>
                <w:sz w:val="15"/>
              </w:rPr>
              <w:t>1,870</w:t>
            </w:r>
          </w:p>
        </w:tc>
        <w:tc>
          <w:tcPr>
            <w:tcW w:type="dxa" w:w="1138"/>
          </w:tcPr>
          <w:p>
            <w:pPr>
              <w:spacing w:after="20"/>
              <w:jc w:val="right"/>
            </w:pPr>
            <w:r>
              <w:rPr>
                <w:color w:val="1C3A36"/>
                <w:sz w:val="15"/>
              </w:rPr>
              <w:t>2,335</w:t>
            </w:r>
          </w:p>
        </w:tc>
        <w:tc>
          <w:tcPr>
            <w:tcW w:type="dxa" w:w="1138"/>
          </w:tcPr>
          <w:p>
            <w:pPr>
              <w:spacing w:after="20"/>
              <w:jc w:val="right"/>
            </w:pPr>
            <w:r>
              <w:rPr>
                <w:color w:val="1C3A36"/>
                <w:sz w:val="15"/>
              </w:rPr>
              <w:t>3,029</w:t>
            </w:r>
          </w:p>
        </w:tc>
        <w:tc>
          <w:tcPr>
            <w:tcW w:type="dxa" w:w="1138"/>
          </w:tcPr>
          <w:p>
            <w:pPr>
              <w:spacing w:after="20"/>
              <w:jc w:val="right"/>
            </w:pPr>
            <w:r>
              <w:rPr>
                <w:color w:val="1C3A36"/>
                <w:sz w:val="15"/>
              </w:rPr>
              <w:t>3,947</w:t>
            </w:r>
          </w:p>
        </w:tc>
        <w:tc>
          <w:tcPr>
            <w:tcW w:type="dxa" w:w="1138"/>
          </w:tcPr>
          <w:p>
            <w:pPr>
              <w:spacing w:after="20"/>
              <w:jc w:val="right"/>
            </w:pPr>
            <w:r>
              <w:rPr>
                <w:color w:val="1C3A36"/>
                <w:sz w:val="15"/>
              </w:rPr>
              <w:t>4,668</w:t>
            </w:r>
          </w:p>
        </w:tc>
        <w:tc>
          <w:tcPr>
            <w:tcW w:type="dxa" w:w="1138"/>
          </w:tcPr>
          <w:p>
            <w:pPr>
              <w:spacing w:after="20"/>
              <w:jc w:val="right"/>
            </w:pPr>
            <w:r>
              <w:rPr>
                <w:color w:val="1C3A36"/>
                <w:sz w:val="15"/>
              </w:rPr>
              <w:t>5,382</w:t>
            </w:r>
          </w:p>
        </w:tc>
        <w:tc>
          <w:tcPr>
            <w:tcW w:type="dxa" w:w="1138"/>
          </w:tcPr>
          <w:p>
            <w:pPr>
              <w:spacing w:after="20"/>
              <w:jc w:val="right"/>
            </w:pPr>
            <w:r>
              <w:rPr>
                <w:color w:val="1C3A36"/>
                <w:sz w:val="15"/>
              </w:rPr>
              <w:t>6,086</w:t>
            </w:r>
          </w:p>
        </w:tc>
        <w:tc>
          <w:tcPr>
            <w:tcW w:type="dxa" w:w="1138"/>
          </w:tcPr>
          <w:p>
            <w:pPr>
              <w:spacing w:after="20"/>
              <w:jc w:val="right"/>
            </w:pPr>
            <w:r>
              <w:rPr>
                <w:color w:val="1C3A36"/>
                <w:sz w:val="15"/>
              </w:rPr>
              <w:t>6,758</w:t>
            </w:r>
          </w:p>
        </w:tc>
      </w:tr>
      <w:tr>
        <w:tc>
          <w:tcPr>
            <w:tcW w:type="dxa" w:w="2232"/>
          </w:tcPr>
          <w:p>
            <w:pPr>
              <w:spacing w:after="20"/>
            </w:pPr>
            <w:r>
              <w:rPr>
                <w:color w:val="1C3A36"/>
                <w:sz w:val="15"/>
              </w:rPr>
              <w:t>Operating expenses</w:t>
            </w:r>
          </w:p>
        </w:tc>
        <w:tc>
          <w:tcPr>
            <w:tcW w:type="dxa" w:w="1138"/>
          </w:tcPr>
          <w:p>
            <w:pPr>
              <w:spacing w:after="20"/>
              <w:jc w:val="right"/>
            </w:pPr>
            <w:r>
              <w:rPr>
                <w:color w:val="1C3A36"/>
                <w:sz w:val="15"/>
              </w:rPr>
              <w:t>(894)</w:t>
            </w:r>
          </w:p>
        </w:tc>
        <w:tc>
          <w:tcPr>
            <w:tcW w:type="dxa" w:w="1138"/>
          </w:tcPr>
          <w:p>
            <w:pPr>
              <w:spacing w:after="20"/>
              <w:jc w:val="right"/>
            </w:pPr>
            <w:r>
              <w:rPr>
                <w:color w:val="1C3A36"/>
                <w:sz w:val="15"/>
              </w:rPr>
              <w:t>(981)</w:t>
            </w:r>
          </w:p>
        </w:tc>
        <w:tc>
          <w:tcPr>
            <w:tcW w:type="dxa" w:w="1138"/>
          </w:tcPr>
          <w:p>
            <w:pPr>
              <w:spacing w:after="20"/>
              <w:jc w:val="right"/>
            </w:pPr>
            <w:r>
              <w:rPr>
                <w:color w:val="1C3A36"/>
                <w:sz w:val="15"/>
              </w:rPr>
              <w:t>(1,326)</w:t>
            </w:r>
          </w:p>
        </w:tc>
        <w:tc>
          <w:tcPr>
            <w:tcW w:type="dxa" w:w="1138"/>
          </w:tcPr>
          <w:p>
            <w:pPr>
              <w:spacing w:after="20"/>
              <w:jc w:val="right"/>
            </w:pPr>
            <w:r>
              <w:rPr>
                <w:color w:val="1C3A36"/>
                <w:sz w:val="15"/>
              </w:rPr>
              <w:t>(1,708)</w:t>
            </w:r>
          </w:p>
        </w:tc>
        <w:tc>
          <w:tcPr>
            <w:tcW w:type="dxa" w:w="1138"/>
          </w:tcPr>
          <w:p>
            <w:pPr>
              <w:spacing w:after="20"/>
              <w:jc w:val="right"/>
            </w:pPr>
            <w:r>
              <w:rPr>
                <w:color w:val="1C3A36"/>
                <w:sz w:val="15"/>
              </w:rPr>
              <w:t>(2,012)</w:t>
            </w:r>
          </w:p>
        </w:tc>
        <w:tc>
          <w:tcPr>
            <w:tcW w:type="dxa" w:w="1138"/>
          </w:tcPr>
          <w:p>
            <w:pPr>
              <w:spacing w:after="20"/>
              <w:jc w:val="right"/>
            </w:pPr>
            <w:r>
              <w:rPr>
                <w:color w:val="1C3A36"/>
                <w:sz w:val="15"/>
              </w:rPr>
              <w:t>(2,323)</w:t>
            </w:r>
          </w:p>
        </w:tc>
        <w:tc>
          <w:tcPr>
            <w:tcW w:type="dxa" w:w="1138"/>
          </w:tcPr>
          <w:p>
            <w:pPr>
              <w:spacing w:after="20"/>
              <w:jc w:val="right"/>
            </w:pPr>
            <w:r>
              <w:rPr>
                <w:color w:val="1C3A36"/>
                <w:sz w:val="15"/>
              </w:rPr>
              <w:t>(2,617)</w:t>
            </w:r>
          </w:p>
        </w:tc>
        <w:tc>
          <w:tcPr>
            <w:tcW w:type="dxa" w:w="1138"/>
          </w:tcPr>
          <w:p>
            <w:pPr>
              <w:spacing w:after="20"/>
              <w:jc w:val="right"/>
            </w:pPr>
            <w:r>
              <w:rPr>
                <w:color w:val="1C3A36"/>
                <w:sz w:val="15"/>
              </w:rPr>
              <w:t>(2,942)</w:t>
            </w:r>
          </w:p>
        </w:tc>
      </w:tr>
      <w:tr>
        <w:tc>
          <w:tcPr>
            <w:tcW w:type="dxa" w:w="2232"/>
          </w:tcPr>
          <w:p>
            <w:pPr>
              <w:spacing w:after="20"/>
            </w:pPr>
            <w:r>
              <w:rPr>
                <w:color w:val="1C3A36"/>
                <w:sz w:val="15"/>
              </w:rPr>
              <w:t>Operating income (EBIT)</w:t>
            </w:r>
          </w:p>
        </w:tc>
        <w:tc>
          <w:tcPr>
            <w:tcW w:type="dxa" w:w="1138"/>
          </w:tcPr>
          <w:p>
            <w:pPr>
              <w:spacing w:after="20"/>
              <w:jc w:val="right"/>
            </w:pPr>
            <w:r>
              <w:rPr>
                <w:color w:val="1C3A36"/>
                <w:sz w:val="15"/>
              </w:rPr>
              <w:t>976</w:t>
            </w:r>
          </w:p>
        </w:tc>
        <w:tc>
          <w:tcPr>
            <w:tcW w:type="dxa" w:w="1138"/>
          </w:tcPr>
          <w:p>
            <w:pPr>
              <w:spacing w:after="20"/>
              <w:jc w:val="right"/>
            </w:pPr>
            <w:r>
              <w:rPr>
                <w:color w:val="1C3A36"/>
                <w:sz w:val="15"/>
              </w:rPr>
              <w:t>1,354</w:t>
            </w:r>
          </w:p>
        </w:tc>
        <w:tc>
          <w:tcPr>
            <w:tcW w:type="dxa" w:w="1138"/>
          </w:tcPr>
          <w:p>
            <w:pPr>
              <w:spacing w:after="20"/>
              <w:jc w:val="right"/>
            </w:pPr>
            <w:r>
              <w:rPr>
                <w:color w:val="1C3A36"/>
                <w:sz w:val="15"/>
              </w:rPr>
              <w:t>1,703</w:t>
            </w:r>
          </w:p>
        </w:tc>
        <w:tc>
          <w:tcPr>
            <w:tcW w:type="dxa" w:w="1138"/>
          </w:tcPr>
          <w:p>
            <w:pPr>
              <w:spacing w:after="20"/>
              <w:jc w:val="right"/>
            </w:pPr>
            <w:r>
              <w:rPr>
                <w:color w:val="1C3A36"/>
                <w:sz w:val="15"/>
              </w:rPr>
              <w:t>2,239</w:t>
            </w:r>
          </w:p>
        </w:tc>
        <w:tc>
          <w:tcPr>
            <w:tcW w:type="dxa" w:w="1138"/>
          </w:tcPr>
          <w:p>
            <w:pPr>
              <w:spacing w:after="20"/>
              <w:jc w:val="right"/>
            </w:pPr>
            <w:r>
              <w:rPr>
                <w:color w:val="1C3A36"/>
                <w:sz w:val="15"/>
              </w:rPr>
              <w:t>2,656</w:t>
            </w:r>
          </w:p>
        </w:tc>
        <w:tc>
          <w:tcPr>
            <w:tcW w:type="dxa" w:w="1138"/>
          </w:tcPr>
          <w:p>
            <w:pPr>
              <w:spacing w:after="20"/>
              <w:jc w:val="right"/>
            </w:pPr>
            <w:r>
              <w:rPr>
                <w:color w:val="1C3A36"/>
                <w:sz w:val="15"/>
              </w:rPr>
              <w:t>3,059</w:t>
            </w:r>
          </w:p>
        </w:tc>
        <w:tc>
          <w:tcPr>
            <w:tcW w:type="dxa" w:w="1138"/>
          </w:tcPr>
          <w:p>
            <w:pPr>
              <w:spacing w:after="20"/>
              <w:jc w:val="right"/>
            </w:pPr>
            <w:r>
              <w:rPr>
                <w:color w:val="1C3A36"/>
                <w:sz w:val="15"/>
              </w:rPr>
              <w:t>3,469</w:t>
            </w:r>
          </w:p>
        </w:tc>
        <w:tc>
          <w:tcPr>
            <w:tcW w:type="dxa" w:w="1138"/>
          </w:tcPr>
          <w:p>
            <w:pPr>
              <w:spacing w:after="20"/>
              <w:jc w:val="right"/>
            </w:pPr>
            <w:r>
              <w:rPr>
                <w:color w:val="1C3A36"/>
                <w:sz w:val="15"/>
              </w:rPr>
              <w:t>3,816</w:t>
            </w:r>
          </w:p>
        </w:tc>
      </w:tr>
      <w:tr>
        <w:tc>
          <w:tcPr>
            <w:tcW w:type="dxa" w:w="2232"/>
          </w:tcPr>
          <w:p>
            <w:pPr>
              <w:spacing w:after="20"/>
            </w:pPr>
            <w:r>
              <w:rPr>
                <w:color w:val="1C3A36"/>
                <w:sz w:val="15"/>
              </w:rPr>
              <w:t>Other income (net)</w:t>
            </w:r>
          </w:p>
        </w:tc>
        <w:tc>
          <w:tcPr>
            <w:tcW w:type="dxa" w:w="1138"/>
          </w:tcPr>
          <w:p>
            <w:pPr>
              <w:spacing w:after="20"/>
              <w:jc w:val="right"/>
            </w:pPr>
            <w:r>
              <w:rPr>
                <w:color w:val="1C3A36"/>
                <w:sz w:val="15"/>
              </w:rPr>
              <w:t>+ 37</w:t>
            </w:r>
          </w:p>
        </w:tc>
        <w:tc>
          <w:tcPr>
            <w:tcW w:type="dxa" w:w="1138"/>
          </w:tcPr>
          <w:p>
            <w:pPr>
              <w:spacing w:after="20"/>
              <w:jc w:val="right"/>
            </w:pPr>
            <w:r>
              <w:rPr>
                <w:color w:val="1C3A36"/>
                <w:sz w:val="15"/>
              </w:rPr>
              <w:t>+ 119</w:t>
            </w:r>
          </w:p>
        </w:tc>
        <w:tc>
          <w:tcPr>
            <w:tcW w:type="dxa" w:w="1138"/>
          </w:tcPr>
          <w:p>
            <w:pPr>
              <w:spacing w:after="20"/>
              <w:jc w:val="right"/>
            </w:pPr>
            <w:r>
              <w:rPr>
                <w:color w:val="1C3A36"/>
                <w:sz w:val="15"/>
              </w:rPr>
              <w:t>+ 251</w:t>
            </w:r>
          </w:p>
        </w:tc>
        <w:tc>
          <w:tcPr>
            <w:tcW w:type="dxa" w:w="1138"/>
          </w:tcPr>
          <w:p>
            <w:pPr>
              <w:spacing w:after="20"/>
              <w:jc w:val="right"/>
            </w:pPr>
            <w:r>
              <w:rPr>
                <w:color w:val="1C3A36"/>
                <w:sz w:val="15"/>
              </w:rPr>
              <w:t>+ 220</w:t>
            </w:r>
          </w:p>
        </w:tc>
        <w:tc>
          <w:tcPr>
            <w:tcW w:type="dxa" w:w="1138"/>
          </w:tcPr>
          <w:p>
            <w:pPr>
              <w:spacing w:after="20"/>
              <w:jc w:val="right"/>
            </w:pPr>
            <w:r>
              <w:rPr>
                <w:color w:val="1C3A36"/>
                <w:sz w:val="15"/>
              </w:rPr>
              <w:t>+ 228</w:t>
            </w:r>
          </w:p>
        </w:tc>
        <w:tc>
          <w:tcPr>
            <w:tcW w:type="dxa" w:w="1138"/>
          </w:tcPr>
          <w:p>
            <w:pPr>
              <w:spacing w:after="20"/>
              <w:jc w:val="right"/>
            </w:pPr>
            <w:r>
              <w:rPr>
                <w:color w:val="1C3A36"/>
                <w:sz w:val="15"/>
              </w:rPr>
              <w:t>+ 236</w:t>
            </w:r>
          </w:p>
        </w:tc>
        <w:tc>
          <w:tcPr>
            <w:tcW w:type="dxa" w:w="1138"/>
          </w:tcPr>
          <w:p>
            <w:pPr>
              <w:spacing w:after="20"/>
              <w:jc w:val="right"/>
            </w:pPr>
            <w:r>
              <w:rPr>
                <w:color w:val="1C3A36"/>
                <w:sz w:val="15"/>
              </w:rPr>
              <w:t>+ 244</w:t>
            </w:r>
          </w:p>
        </w:tc>
        <w:tc>
          <w:tcPr>
            <w:tcW w:type="dxa" w:w="1138"/>
          </w:tcPr>
          <w:p>
            <w:pPr>
              <w:spacing w:after="20"/>
              <w:jc w:val="right"/>
            </w:pPr>
            <w:r>
              <w:rPr>
                <w:color w:val="1C3A36"/>
                <w:sz w:val="15"/>
              </w:rPr>
              <w:t>+ 252</w:t>
            </w:r>
          </w:p>
        </w:tc>
      </w:tr>
      <w:tr>
        <w:tc>
          <w:tcPr>
            <w:tcW w:type="dxa" w:w="2232"/>
          </w:tcPr>
          <w:p>
            <w:pPr>
              <w:spacing w:after="20"/>
            </w:pPr>
            <w:r>
              <w:rPr>
                <w:color w:val="1C3A36"/>
                <w:sz w:val="15"/>
              </w:rPr>
              <w:t>Profit before zakat</w:t>
            </w:r>
          </w:p>
        </w:tc>
        <w:tc>
          <w:tcPr>
            <w:tcW w:type="dxa" w:w="1138"/>
          </w:tcPr>
          <w:p>
            <w:pPr>
              <w:spacing w:after="20"/>
              <w:jc w:val="right"/>
            </w:pPr>
            <w:r>
              <w:rPr>
                <w:color w:val="1C3A36"/>
                <w:sz w:val="15"/>
              </w:rPr>
              <w:t>1,013</w:t>
            </w:r>
          </w:p>
        </w:tc>
        <w:tc>
          <w:tcPr>
            <w:tcW w:type="dxa" w:w="1138"/>
          </w:tcPr>
          <w:p>
            <w:pPr>
              <w:spacing w:after="20"/>
              <w:jc w:val="right"/>
            </w:pPr>
            <w:r>
              <w:rPr>
                <w:color w:val="1C3A36"/>
                <w:sz w:val="15"/>
              </w:rPr>
              <w:t>1,473</w:t>
            </w:r>
          </w:p>
        </w:tc>
        <w:tc>
          <w:tcPr>
            <w:tcW w:type="dxa" w:w="1138"/>
          </w:tcPr>
          <w:p>
            <w:pPr>
              <w:spacing w:after="20"/>
              <w:jc w:val="right"/>
            </w:pPr>
            <w:r>
              <w:rPr>
                <w:color w:val="1C3A36"/>
                <w:sz w:val="15"/>
              </w:rPr>
              <w:t>1,954</w:t>
            </w:r>
          </w:p>
        </w:tc>
        <w:tc>
          <w:tcPr>
            <w:tcW w:type="dxa" w:w="1138"/>
          </w:tcPr>
          <w:p>
            <w:pPr>
              <w:spacing w:after="20"/>
              <w:jc w:val="right"/>
            </w:pPr>
            <w:r>
              <w:rPr>
                <w:color w:val="1C3A36"/>
                <w:sz w:val="15"/>
              </w:rPr>
              <w:t>2,459</w:t>
            </w:r>
          </w:p>
        </w:tc>
        <w:tc>
          <w:tcPr>
            <w:tcW w:type="dxa" w:w="1138"/>
          </w:tcPr>
          <w:p>
            <w:pPr>
              <w:spacing w:after="20"/>
              <w:jc w:val="right"/>
            </w:pPr>
            <w:r>
              <w:rPr>
                <w:color w:val="1C3A36"/>
                <w:sz w:val="15"/>
              </w:rPr>
              <w:t>2,884</w:t>
            </w:r>
          </w:p>
        </w:tc>
        <w:tc>
          <w:tcPr>
            <w:tcW w:type="dxa" w:w="1138"/>
          </w:tcPr>
          <w:p>
            <w:pPr>
              <w:spacing w:after="20"/>
              <w:jc w:val="right"/>
            </w:pPr>
            <w:r>
              <w:rPr>
                <w:color w:val="1C3A36"/>
                <w:sz w:val="15"/>
              </w:rPr>
              <w:t>3,295</w:t>
            </w:r>
          </w:p>
        </w:tc>
        <w:tc>
          <w:tcPr>
            <w:tcW w:type="dxa" w:w="1138"/>
          </w:tcPr>
          <w:p>
            <w:pPr>
              <w:spacing w:after="20"/>
              <w:jc w:val="right"/>
            </w:pPr>
            <w:r>
              <w:rPr>
                <w:color w:val="1C3A36"/>
                <w:sz w:val="15"/>
              </w:rPr>
              <w:t>3,713</w:t>
            </w:r>
          </w:p>
        </w:tc>
        <w:tc>
          <w:tcPr>
            <w:tcW w:type="dxa" w:w="1138"/>
          </w:tcPr>
          <w:p>
            <w:pPr>
              <w:spacing w:after="20"/>
              <w:jc w:val="right"/>
            </w:pPr>
            <w:r>
              <w:rPr>
                <w:color w:val="1C3A36"/>
                <w:sz w:val="15"/>
              </w:rPr>
              <w:t>4,068</w:t>
            </w:r>
          </w:p>
        </w:tc>
      </w:tr>
      <w:tr>
        <w:tc>
          <w:tcPr>
            <w:tcW w:type="dxa" w:w="2232"/>
          </w:tcPr>
          <w:p>
            <w:pPr>
              <w:spacing w:after="20"/>
            </w:pPr>
            <w:r>
              <w:rPr>
                <w:color w:val="1C3A36"/>
                <w:sz w:val="15"/>
              </w:rPr>
              <w:t>Zakat</w:t>
            </w:r>
          </w:p>
        </w:tc>
        <w:tc>
          <w:tcPr>
            <w:tcW w:type="dxa" w:w="1138"/>
          </w:tcPr>
          <w:p>
            <w:pPr>
              <w:spacing w:after="20"/>
              <w:jc w:val="right"/>
            </w:pPr>
            <w:r>
              <w:rPr>
                <w:color w:val="1C3A36"/>
                <w:sz w:val="15"/>
              </w:rPr>
              <w:t>(83)</w:t>
            </w:r>
          </w:p>
        </w:tc>
        <w:tc>
          <w:tcPr>
            <w:tcW w:type="dxa" w:w="1138"/>
          </w:tcPr>
          <w:p>
            <w:pPr>
              <w:spacing w:after="20"/>
              <w:jc w:val="right"/>
            </w:pPr>
            <w:r>
              <w:rPr>
                <w:color w:val="1C3A36"/>
                <w:sz w:val="15"/>
              </w:rPr>
              <w:t>(124)</w:t>
            </w:r>
          </w:p>
        </w:tc>
        <w:tc>
          <w:tcPr>
            <w:tcW w:type="dxa" w:w="1138"/>
          </w:tcPr>
          <w:p>
            <w:pPr>
              <w:spacing w:after="20"/>
              <w:jc w:val="right"/>
            </w:pPr>
            <w:r>
              <w:rPr>
                <w:color w:val="1C3A36"/>
                <w:sz w:val="15"/>
              </w:rPr>
              <w:t>(130)</w:t>
            </w:r>
          </w:p>
        </w:tc>
        <w:tc>
          <w:tcPr>
            <w:tcW w:type="dxa" w:w="1138"/>
          </w:tcPr>
          <w:p>
            <w:pPr>
              <w:spacing w:after="20"/>
              <w:jc w:val="right"/>
            </w:pPr>
            <w:r>
              <w:rPr>
                <w:color w:val="1C3A36"/>
                <w:sz w:val="15"/>
              </w:rPr>
              <w:t>(172)</w:t>
            </w:r>
          </w:p>
        </w:tc>
        <w:tc>
          <w:tcPr>
            <w:tcW w:type="dxa" w:w="1138"/>
          </w:tcPr>
          <w:p>
            <w:pPr>
              <w:spacing w:after="20"/>
              <w:jc w:val="right"/>
            </w:pPr>
            <w:r>
              <w:rPr>
                <w:color w:val="1C3A36"/>
                <w:sz w:val="15"/>
              </w:rPr>
              <w:t>(202)</w:t>
            </w:r>
          </w:p>
        </w:tc>
        <w:tc>
          <w:tcPr>
            <w:tcW w:type="dxa" w:w="1138"/>
          </w:tcPr>
          <w:p>
            <w:pPr>
              <w:spacing w:after="20"/>
              <w:jc w:val="right"/>
            </w:pPr>
            <w:r>
              <w:rPr>
                <w:color w:val="1C3A36"/>
                <w:sz w:val="15"/>
              </w:rPr>
              <w:t>(231)</w:t>
            </w:r>
          </w:p>
        </w:tc>
        <w:tc>
          <w:tcPr>
            <w:tcW w:type="dxa" w:w="1138"/>
          </w:tcPr>
          <w:p>
            <w:pPr>
              <w:spacing w:after="20"/>
              <w:jc w:val="right"/>
            </w:pPr>
            <w:r>
              <w:rPr>
                <w:color w:val="1C3A36"/>
                <w:sz w:val="15"/>
              </w:rPr>
              <w:t>(260)</w:t>
            </w:r>
          </w:p>
        </w:tc>
        <w:tc>
          <w:tcPr>
            <w:tcW w:type="dxa" w:w="1138"/>
          </w:tcPr>
          <w:p>
            <w:pPr>
              <w:spacing w:after="20"/>
              <w:jc w:val="right"/>
            </w:pPr>
            <w:r>
              <w:rPr>
                <w:color w:val="1C3A36"/>
                <w:sz w:val="15"/>
              </w:rPr>
              <w:t>(285)</w:t>
            </w:r>
          </w:p>
        </w:tc>
      </w:tr>
      <w:tr>
        <w:tc>
          <w:tcPr>
            <w:tcW w:type="dxa" w:w="2232"/>
            <w:shd w:val="clear" w:color="auto" w:fill="F6F1E6"/>
          </w:tcPr>
          <w:p>
            <w:pPr>
              <w:spacing w:after="20"/>
            </w:pPr>
            <w:r>
              <w:rPr>
                <w:b/>
                <w:color w:val="1C3A36"/>
                <w:sz w:val="15"/>
              </w:rPr>
              <w:t>Net profit</w:t>
            </w:r>
          </w:p>
        </w:tc>
        <w:tc>
          <w:tcPr>
            <w:tcW w:type="dxa" w:w="1138"/>
            <w:shd w:val="clear" w:color="auto" w:fill="F6F1E6"/>
          </w:tcPr>
          <w:p>
            <w:pPr>
              <w:spacing w:after="20"/>
              <w:jc w:val="right"/>
            </w:pPr>
            <w:r>
              <w:rPr>
                <w:b/>
                <w:color w:val="1C3A36"/>
                <w:sz w:val="15"/>
              </w:rPr>
              <w:t>930</w:t>
            </w:r>
          </w:p>
        </w:tc>
        <w:tc>
          <w:tcPr>
            <w:tcW w:type="dxa" w:w="1138"/>
            <w:shd w:val="clear" w:color="auto" w:fill="F6F1E6"/>
          </w:tcPr>
          <w:p>
            <w:pPr>
              <w:spacing w:after="20"/>
              <w:jc w:val="right"/>
            </w:pPr>
            <w:r>
              <w:rPr>
                <w:b/>
                <w:color w:val="1C3A36"/>
                <w:sz w:val="15"/>
              </w:rPr>
              <w:t>1,349</w:t>
            </w:r>
          </w:p>
        </w:tc>
        <w:tc>
          <w:tcPr>
            <w:tcW w:type="dxa" w:w="1138"/>
            <w:shd w:val="clear" w:color="auto" w:fill="F6F1E6"/>
          </w:tcPr>
          <w:p>
            <w:pPr>
              <w:spacing w:after="20"/>
              <w:jc w:val="right"/>
            </w:pPr>
            <w:r>
              <w:rPr>
                <w:b/>
                <w:color w:val="1C3A36"/>
                <w:sz w:val="15"/>
              </w:rPr>
              <w:t>1,824</w:t>
            </w:r>
          </w:p>
        </w:tc>
        <w:tc>
          <w:tcPr>
            <w:tcW w:type="dxa" w:w="1138"/>
            <w:shd w:val="clear" w:color="auto" w:fill="F6F1E6"/>
          </w:tcPr>
          <w:p>
            <w:pPr>
              <w:spacing w:after="20"/>
              <w:jc w:val="right"/>
            </w:pPr>
            <w:r>
              <w:rPr>
                <w:b/>
                <w:color w:val="1C3A36"/>
                <w:sz w:val="15"/>
              </w:rPr>
              <w:t>2,287</w:t>
            </w:r>
          </w:p>
        </w:tc>
        <w:tc>
          <w:tcPr>
            <w:tcW w:type="dxa" w:w="1138"/>
            <w:shd w:val="clear" w:color="auto" w:fill="F6F1E6"/>
          </w:tcPr>
          <w:p>
            <w:pPr>
              <w:spacing w:after="20"/>
              <w:jc w:val="right"/>
            </w:pPr>
            <w:r>
              <w:rPr>
                <w:b/>
                <w:color w:val="1C3A36"/>
                <w:sz w:val="15"/>
              </w:rPr>
              <w:t>2,682</w:t>
            </w:r>
          </w:p>
        </w:tc>
        <w:tc>
          <w:tcPr>
            <w:tcW w:type="dxa" w:w="1138"/>
            <w:shd w:val="clear" w:color="auto" w:fill="F6F1E6"/>
          </w:tcPr>
          <w:p>
            <w:pPr>
              <w:spacing w:after="20"/>
              <w:jc w:val="right"/>
            </w:pPr>
            <w:r>
              <w:rPr>
                <w:b/>
                <w:color w:val="1C3A36"/>
                <w:sz w:val="15"/>
              </w:rPr>
              <w:t>3,064</w:t>
            </w:r>
          </w:p>
        </w:tc>
        <w:tc>
          <w:tcPr>
            <w:tcW w:type="dxa" w:w="1138"/>
            <w:shd w:val="clear" w:color="auto" w:fill="F6F1E6"/>
          </w:tcPr>
          <w:p>
            <w:pPr>
              <w:spacing w:after="20"/>
              <w:jc w:val="right"/>
            </w:pPr>
            <w:r>
              <w:rPr>
                <w:b/>
                <w:color w:val="1C3A36"/>
                <w:sz w:val="15"/>
              </w:rPr>
              <w:t>3,453</w:t>
            </w:r>
          </w:p>
        </w:tc>
        <w:tc>
          <w:tcPr>
            <w:tcW w:type="dxa" w:w="1138"/>
            <w:shd w:val="clear" w:color="auto" w:fill="F6F1E6"/>
          </w:tcPr>
          <w:p>
            <w:pPr>
              <w:spacing w:after="20"/>
              <w:jc w:val="right"/>
            </w:pPr>
            <w:r>
              <w:rPr>
                <w:b/>
                <w:color w:val="1C3A36"/>
                <w:sz w:val="15"/>
              </w:rPr>
              <w:t>3,783</w:t>
            </w:r>
          </w:p>
        </w:tc>
      </w:tr>
      <w:tr>
        <w:tc>
          <w:tcPr>
            <w:tcW w:type="dxa" w:w="2232"/>
          </w:tcPr>
          <w:p>
            <w:pPr>
              <w:spacing w:after="20"/>
            </w:pPr>
            <w:r>
              <w:rPr>
                <w:color w:val="1C3A36"/>
                <w:sz w:val="15"/>
              </w:rPr>
              <w:t>EPS (SAR)</w:t>
            </w:r>
          </w:p>
        </w:tc>
        <w:tc>
          <w:tcPr>
            <w:tcW w:type="dxa" w:w="1138"/>
          </w:tcPr>
          <w:p>
            <w:pPr>
              <w:spacing w:after="20"/>
              <w:jc w:val="right"/>
            </w:pPr>
            <w:r>
              <w:rPr>
                <w:color w:val="1C3A36"/>
                <w:sz w:val="15"/>
              </w:rPr>
              <w:t>11.99</w:t>
            </w:r>
          </w:p>
        </w:tc>
        <w:tc>
          <w:tcPr>
            <w:tcW w:type="dxa" w:w="1138"/>
          </w:tcPr>
          <w:p>
            <w:pPr>
              <w:spacing w:after="20"/>
              <w:jc w:val="right"/>
            </w:pPr>
            <w:r>
              <w:rPr>
                <w:color w:val="1C3A36"/>
                <w:sz w:val="15"/>
              </w:rPr>
              <w:t>17.46</w:t>
            </w:r>
          </w:p>
        </w:tc>
        <w:tc>
          <w:tcPr>
            <w:tcW w:type="dxa" w:w="1138"/>
          </w:tcPr>
          <w:p>
            <w:pPr>
              <w:spacing w:after="20"/>
              <w:jc w:val="right"/>
            </w:pPr>
            <w:r>
              <w:rPr>
                <w:color w:val="1C3A36"/>
                <w:sz w:val="15"/>
              </w:rPr>
              <w:t>23.51</w:t>
            </w:r>
          </w:p>
        </w:tc>
        <w:tc>
          <w:tcPr>
            <w:tcW w:type="dxa" w:w="1138"/>
          </w:tcPr>
          <w:p>
            <w:pPr>
              <w:spacing w:after="20"/>
              <w:jc w:val="right"/>
            </w:pPr>
            <w:r>
              <w:rPr>
                <w:color w:val="1C3A36"/>
                <w:sz w:val="15"/>
              </w:rPr>
              <w:t>28.6</w:t>
            </w:r>
          </w:p>
        </w:tc>
        <w:tc>
          <w:tcPr>
            <w:tcW w:type="dxa" w:w="1138"/>
          </w:tcPr>
          <w:p>
            <w:pPr>
              <w:spacing w:after="20"/>
              <w:jc w:val="right"/>
            </w:pPr>
            <w:r>
              <w:rPr>
                <w:color w:val="1C3A36"/>
                <w:sz w:val="15"/>
              </w:rPr>
              <w:t>33.5</w:t>
            </w:r>
          </w:p>
        </w:tc>
        <w:tc>
          <w:tcPr>
            <w:tcW w:type="dxa" w:w="1138"/>
          </w:tcPr>
          <w:p>
            <w:pPr>
              <w:spacing w:after="20"/>
              <w:jc w:val="right"/>
            </w:pPr>
            <w:r>
              <w:rPr>
                <w:color w:val="1C3A36"/>
                <w:sz w:val="15"/>
              </w:rPr>
              <w:t>38.3</w:t>
            </w:r>
          </w:p>
        </w:tc>
        <w:tc>
          <w:tcPr>
            <w:tcW w:type="dxa" w:w="1138"/>
          </w:tcPr>
          <w:p>
            <w:pPr>
              <w:spacing w:after="20"/>
              <w:jc w:val="right"/>
            </w:pPr>
            <w:r>
              <w:rPr>
                <w:color w:val="1C3A36"/>
                <w:sz w:val="15"/>
              </w:rPr>
              <w:t>43.2</w:t>
            </w:r>
          </w:p>
        </w:tc>
        <w:tc>
          <w:tcPr>
            <w:tcW w:type="dxa" w:w="1138"/>
          </w:tcPr>
          <w:p>
            <w:pPr>
              <w:spacing w:after="20"/>
              <w:jc w:val="right"/>
            </w:pPr>
            <w:r>
              <w:rPr>
                <w:color w:val="1C3A36"/>
                <w:sz w:val="15"/>
              </w:rPr>
              <w:t>47.3</w:t>
            </w:r>
          </w:p>
        </w:tc>
      </w:tr>
    </w:tbl>
    <w:p>
      <w:pPr>
        <w:spacing w:after="40"/>
      </w:pPr>
    </w:p>
    <w:p>
      <w:pPr>
        <w:spacing w:after="180" w:before="0"/>
      </w:pPr>
      <w:r>
        <w:rPr>
          <w:b w:val="0"/>
          <w:i/>
          <w:color w:val="6E7B77"/>
          <w:sz w:val="17"/>
        </w:rPr>
        <w:t>Actuals from Elm IR earnings releases and Argaam; forecast columns are the preparer’s model, driven off the Assumptions sheet.</w:t>
      </w:r>
    </w:p>
    <w:p>
      <w:pPr>
        <w:spacing w:after="60" w:before="180"/>
      </w:pPr>
      <w:r>
        <w:rPr>
          <w:b/>
          <w:i w:val="0"/>
          <w:color w:val="1C3A36"/>
          <w:sz w:val="23"/>
        </w:rPr>
        <w:t>A.2  Balance sheet (SAR mn) — summary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664"/>
            <w:shd w:val="clear" w:color="auto" w:fill="EAF0EE"/>
          </w:tcPr>
          <w:p>
            <w:pPr>
              <w:spacing w:after="20"/>
            </w:pPr>
            <w:r>
              <w:rPr>
                <w:b/>
                <w:color w:val="1C3A36"/>
                <w:sz w:val="15"/>
              </w:rPr>
            </w:r>
          </w:p>
        </w:tc>
        <w:tc>
          <w:tcPr>
            <w:tcW w:type="dxa" w:w="1138"/>
            <w:shd w:val="clear" w:color="auto" w:fill="EAF0EE"/>
          </w:tcPr>
          <w:p>
            <w:pPr>
              <w:spacing w:after="20"/>
            </w:pPr>
            <w:r>
              <w:rPr>
                <w:b/>
                <w:color w:val="1C3A36"/>
                <w:sz w:val="15"/>
              </w:rPr>
              <w:t>2022a</w:t>
            </w:r>
          </w:p>
        </w:tc>
        <w:tc>
          <w:tcPr>
            <w:tcW w:type="dxa" w:w="1138"/>
            <w:shd w:val="clear" w:color="auto" w:fill="EAF0EE"/>
          </w:tcPr>
          <w:p>
            <w:pPr>
              <w:spacing w:after="20"/>
            </w:pPr>
            <w:r>
              <w:rPr>
                <w:b/>
                <w:color w:val="1C3A36"/>
                <w:sz w:val="15"/>
              </w:rPr>
              <w:t>2023a</w:t>
            </w:r>
          </w:p>
        </w:tc>
        <w:tc>
          <w:tcPr>
            <w:tcW w:type="dxa" w:w="1138"/>
            <w:shd w:val="clear" w:color="auto" w:fill="EAF0EE"/>
          </w:tcPr>
          <w:p>
            <w:pPr>
              <w:spacing w:after="20"/>
            </w:pPr>
            <w:r>
              <w:rPr>
                <w:b/>
                <w:color w:val="1C3A36"/>
                <w:sz w:val="15"/>
              </w:rPr>
              <w:t>2024a</w:t>
            </w:r>
          </w:p>
        </w:tc>
        <w:tc>
          <w:tcPr>
            <w:tcW w:type="dxa" w:w="1138"/>
            <w:shd w:val="clear" w:color="auto" w:fill="EAF0EE"/>
          </w:tcPr>
          <w:p>
            <w:pPr>
              <w:spacing w:after="20"/>
            </w:pPr>
            <w:r>
              <w:rPr>
                <w:b/>
                <w:color w:val="1C3A36"/>
                <w:sz w:val="15"/>
              </w:rPr>
              <w:t>2025e</w:t>
            </w:r>
          </w:p>
        </w:tc>
        <w:tc>
          <w:tcPr>
            <w:tcW w:type="dxa" w:w="1138"/>
            <w:shd w:val="clear" w:color="auto" w:fill="EAF0EE"/>
          </w:tcPr>
          <w:p>
            <w:pPr>
              <w:spacing w:after="20"/>
            </w:pPr>
            <w:r>
              <w:rPr>
                <w:b/>
                <w:color w:val="1C3A36"/>
                <w:sz w:val="15"/>
              </w:rPr>
              <w:t>2026e</w:t>
            </w:r>
          </w:p>
        </w:tc>
        <w:tc>
          <w:tcPr>
            <w:tcW w:type="dxa" w:w="1138"/>
            <w:shd w:val="clear" w:color="auto" w:fill="EAF0EE"/>
          </w:tcPr>
          <w:p>
            <w:pPr>
              <w:spacing w:after="20"/>
            </w:pPr>
            <w:r>
              <w:rPr>
                <w:b/>
                <w:color w:val="1C3A36"/>
                <w:sz w:val="15"/>
              </w:rPr>
              <w:t>2027e</w:t>
            </w:r>
          </w:p>
        </w:tc>
        <w:tc>
          <w:tcPr>
            <w:tcW w:type="dxa" w:w="1138"/>
            <w:shd w:val="clear" w:color="auto" w:fill="EAF0EE"/>
          </w:tcPr>
          <w:p>
            <w:pPr>
              <w:spacing w:after="20"/>
            </w:pPr>
            <w:r>
              <w:rPr>
                <w:b/>
                <w:color w:val="1C3A36"/>
                <w:sz w:val="15"/>
              </w:rPr>
              <w:t>2028e</w:t>
            </w:r>
          </w:p>
        </w:tc>
        <w:tc>
          <w:tcPr>
            <w:tcW w:type="dxa" w:w="1138"/>
            <w:shd w:val="clear" w:color="auto" w:fill="EAF0EE"/>
          </w:tcPr>
          <w:p>
            <w:pPr>
              <w:spacing w:after="20"/>
            </w:pPr>
            <w:r>
              <w:rPr>
                <w:b/>
                <w:color w:val="1C3A36"/>
                <w:sz w:val="15"/>
              </w:rPr>
              <w:t>2029e</w:t>
            </w:r>
          </w:p>
        </w:tc>
      </w:tr>
      <w:tr>
        <w:tc>
          <w:tcPr>
            <w:tcW w:type="dxa" w:w="2664"/>
          </w:tcPr>
          <w:p>
            <w:pPr>
              <w:spacing w:after="20"/>
            </w:pPr>
            <w:r>
              <w:rPr>
                <w:color w:val="1C3A36"/>
                <w:sz w:val="15"/>
              </w:rPr>
              <w:t>Cash &amp; short-term investments</w:t>
            </w:r>
          </w:p>
        </w:tc>
        <w:tc>
          <w:tcPr>
            <w:tcW w:type="dxa" w:w="1138"/>
          </w:tcPr>
          <w:p>
            <w:pPr>
              <w:spacing w:after="20"/>
              <w:jc w:val="right"/>
            </w:pPr>
            <w:r>
              <w:rPr>
                <w:color w:val="1C3A36"/>
                <w:sz w:val="15"/>
              </w:rPr>
              <w:t>~2,900</w:t>
            </w:r>
          </w:p>
        </w:tc>
        <w:tc>
          <w:tcPr>
            <w:tcW w:type="dxa" w:w="1138"/>
          </w:tcPr>
          <w:p>
            <w:pPr>
              <w:spacing w:after="20"/>
              <w:jc w:val="right"/>
            </w:pPr>
            <w:r>
              <w:rPr>
                <w:color w:val="1C3A36"/>
                <w:sz w:val="15"/>
              </w:rPr>
              <w:t>~3,500</w:t>
            </w:r>
          </w:p>
        </w:tc>
        <w:tc>
          <w:tcPr>
            <w:tcW w:type="dxa" w:w="1138"/>
          </w:tcPr>
          <w:p>
            <w:pPr>
              <w:spacing w:after="20"/>
              <w:jc w:val="right"/>
            </w:pPr>
            <w:r>
              <w:rPr>
                <w:color w:val="1C3A36"/>
                <w:sz w:val="15"/>
              </w:rPr>
              <w:t>4,200</w:t>
            </w:r>
          </w:p>
        </w:tc>
        <w:tc>
          <w:tcPr>
            <w:tcW w:type="dxa" w:w="1138"/>
          </w:tcPr>
          <w:p>
            <w:pPr>
              <w:spacing w:after="20"/>
              <w:jc w:val="right"/>
            </w:pPr>
            <w:r>
              <w:rPr>
                <w:color w:val="1C3A36"/>
                <w:sz w:val="15"/>
              </w:rPr>
              <w:t>~5,000</w:t>
            </w:r>
          </w:p>
        </w:tc>
        <w:tc>
          <w:tcPr>
            <w:tcW w:type="dxa" w:w="1138"/>
          </w:tcPr>
          <w:p>
            <w:pPr>
              <w:spacing w:after="20"/>
              <w:jc w:val="right"/>
            </w:pPr>
            <w:r>
              <w:rPr>
                <w:color w:val="1C3A36"/>
                <w:sz w:val="15"/>
              </w:rPr>
              <w:t>~5,900</w:t>
            </w:r>
          </w:p>
        </w:tc>
        <w:tc>
          <w:tcPr>
            <w:tcW w:type="dxa" w:w="1138"/>
          </w:tcPr>
          <w:p>
            <w:pPr>
              <w:spacing w:after="20"/>
              <w:jc w:val="right"/>
            </w:pPr>
            <w:r>
              <w:rPr>
                <w:color w:val="1C3A36"/>
                <w:sz w:val="15"/>
              </w:rPr>
              <w:t>~6,900</w:t>
            </w:r>
          </w:p>
        </w:tc>
        <w:tc>
          <w:tcPr>
            <w:tcW w:type="dxa" w:w="1138"/>
          </w:tcPr>
          <w:p>
            <w:pPr>
              <w:spacing w:after="20"/>
              <w:jc w:val="right"/>
            </w:pPr>
            <w:r>
              <w:rPr>
                <w:color w:val="1C3A36"/>
                <w:sz w:val="15"/>
              </w:rPr>
              <w:t>~8,000</w:t>
            </w:r>
          </w:p>
        </w:tc>
        <w:tc>
          <w:tcPr>
            <w:tcW w:type="dxa" w:w="1138"/>
          </w:tcPr>
          <w:p>
            <w:pPr>
              <w:spacing w:after="20"/>
              <w:jc w:val="right"/>
            </w:pPr>
            <w:r>
              <w:rPr>
                <w:color w:val="1C3A36"/>
                <w:sz w:val="15"/>
              </w:rPr>
              <w:t>~9,200</w:t>
            </w:r>
          </w:p>
        </w:tc>
      </w:tr>
      <w:tr>
        <w:tc>
          <w:tcPr>
            <w:tcW w:type="dxa" w:w="2664"/>
          </w:tcPr>
          <w:p>
            <w:pPr>
              <w:spacing w:after="20"/>
            </w:pPr>
            <w:r>
              <w:rPr>
                <w:color w:val="1C3A36"/>
                <w:sz w:val="15"/>
              </w:rPr>
              <w:t>Other assets</w:t>
            </w:r>
          </w:p>
        </w:tc>
        <w:tc>
          <w:tcPr>
            <w:tcW w:type="dxa" w:w="1138"/>
          </w:tcPr>
          <w:p>
            <w:pPr>
              <w:spacing w:after="20"/>
              <w:jc w:val="right"/>
            </w:pPr>
            <w:r>
              <w:rPr>
                <w:color w:val="1C3A36"/>
                <w:sz w:val="15"/>
              </w:rPr>
              <w:t>~3,126</w:t>
            </w:r>
          </w:p>
        </w:tc>
        <w:tc>
          <w:tcPr>
            <w:tcW w:type="dxa" w:w="1138"/>
          </w:tcPr>
          <w:p>
            <w:pPr>
              <w:spacing w:after="20"/>
              <w:jc w:val="right"/>
            </w:pPr>
            <w:r>
              <w:rPr>
                <w:color w:val="1C3A36"/>
                <w:sz w:val="15"/>
              </w:rPr>
              <w:t>~4,597</w:t>
            </w:r>
          </w:p>
        </w:tc>
        <w:tc>
          <w:tcPr>
            <w:tcW w:type="dxa" w:w="1138"/>
          </w:tcPr>
          <w:p>
            <w:pPr>
              <w:spacing w:after="20"/>
              <w:jc w:val="right"/>
            </w:pPr>
            <w:r>
              <w:rPr>
                <w:color w:val="1C3A36"/>
                <w:sz w:val="15"/>
              </w:rPr>
              <w:t>5,354</w:t>
            </w:r>
          </w:p>
        </w:tc>
        <w:tc>
          <w:tcPr>
            <w:tcW w:type="dxa" w:w="1138"/>
          </w:tcPr>
          <w:p>
            <w:pPr>
              <w:spacing w:after="20"/>
              <w:jc w:val="right"/>
            </w:pPr>
            <w:r>
              <w:rPr>
                <w:color w:val="1C3A36"/>
                <w:sz w:val="15"/>
              </w:rPr>
              <w:t>~6,300</w:t>
            </w:r>
          </w:p>
        </w:tc>
        <w:tc>
          <w:tcPr>
            <w:tcW w:type="dxa" w:w="1138"/>
          </w:tcPr>
          <w:p>
            <w:pPr>
              <w:spacing w:after="20"/>
              <w:jc w:val="right"/>
            </w:pPr>
            <w:r>
              <w:rPr>
                <w:color w:val="1C3A36"/>
                <w:sz w:val="15"/>
              </w:rPr>
              <w:t>~7,300</w:t>
            </w:r>
          </w:p>
        </w:tc>
        <w:tc>
          <w:tcPr>
            <w:tcW w:type="dxa" w:w="1138"/>
          </w:tcPr>
          <w:p>
            <w:pPr>
              <w:spacing w:after="20"/>
              <w:jc w:val="right"/>
            </w:pPr>
            <w:r>
              <w:rPr>
                <w:color w:val="1C3A36"/>
                <w:sz w:val="15"/>
              </w:rPr>
              <w:t>~8,300</w:t>
            </w:r>
          </w:p>
        </w:tc>
        <w:tc>
          <w:tcPr>
            <w:tcW w:type="dxa" w:w="1138"/>
          </w:tcPr>
          <w:p>
            <w:pPr>
              <w:spacing w:after="20"/>
              <w:jc w:val="right"/>
            </w:pPr>
            <w:r>
              <w:rPr>
                <w:color w:val="1C3A36"/>
                <w:sz w:val="15"/>
              </w:rPr>
              <w:t>~9,300</w:t>
            </w:r>
          </w:p>
        </w:tc>
        <w:tc>
          <w:tcPr>
            <w:tcW w:type="dxa" w:w="1138"/>
          </w:tcPr>
          <w:p>
            <w:pPr>
              <w:spacing w:after="20"/>
              <w:jc w:val="right"/>
            </w:pPr>
            <w:r>
              <w:rPr>
                <w:color w:val="1C3A36"/>
                <w:sz w:val="15"/>
              </w:rPr>
              <w:t>~10,300</w:t>
            </w:r>
          </w:p>
        </w:tc>
      </w:tr>
      <w:tr>
        <w:tc>
          <w:tcPr>
            <w:tcW w:type="dxa" w:w="2664"/>
          </w:tcPr>
          <w:p>
            <w:pPr>
              <w:spacing w:after="20"/>
            </w:pPr>
            <w:r>
              <w:rPr>
                <w:color w:val="1C3A36"/>
                <w:sz w:val="15"/>
              </w:rPr>
              <w:t>Total assets</w:t>
            </w:r>
          </w:p>
        </w:tc>
        <w:tc>
          <w:tcPr>
            <w:tcW w:type="dxa" w:w="1138"/>
          </w:tcPr>
          <w:p>
            <w:pPr>
              <w:spacing w:after="20"/>
              <w:jc w:val="right"/>
            </w:pPr>
            <w:r>
              <w:rPr>
                <w:color w:val="1C3A36"/>
                <w:sz w:val="15"/>
              </w:rPr>
              <w:t>6,026</w:t>
            </w:r>
          </w:p>
        </w:tc>
        <w:tc>
          <w:tcPr>
            <w:tcW w:type="dxa" w:w="1138"/>
          </w:tcPr>
          <w:p>
            <w:pPr>
              <w:spacing w:after="20"/>
              <w:jc w:val="right"/>
            </w:pPr>
            <w:r>
              <w:rPr>
                <w:color w:val="1C3A36"/>
                <w:sz w:val="15"/>
              </w:rPr>
              <w:t>8,097</w:t>
            </w:r>
          </w:p>
        </w:tc>
        <w:tc>
          <w:tcPr>
            <w:tcW w:type="dxa" w:w="1138"/>
          </w:tcPr>
          <w:p>
            <w:pPr>
              <w:spacing w:after="20"/>
              <w:jc w:val="right"/>
            </w:pPr>
            <w:r>
              <w:rPr>
                <w:color w:val="1C3A36"/>
                <w:sz w:val="15"/>
              </w:rPr>
              <w:t>9,554</w:t>
            </w:r>
          </w:p>
        </w:tc>
        <w:tc>
          <w:tcPr>
            <w:tcW w:type="dxa" w:w="1138"/>
          </w:tcPr>
          <w:p>
            <w:pPr>
              <w:spacing w:after="20"/>
              <w:jc w:val="right"/>
            </w:pPr>
            <w:r>
              <w:rPr>
                <w:color w:val="1C3A36"/>
                <w:sz w:val="15"/>
              </w:rPr>
              <w:t>—</w:t>
            </w:r>
          </w:p>
        </w:tc>
        <w:tc>
          <w:tcPr>
            <w:tcW w:type="dxa" w:w="1138"/>
          </w:tcPr>
          <w:p>
            <w:pPr>
              <w:spacing w:after="20"/>
              <w:jc w:val="right"/>
            </w:pPr>
            <w:r>
              <w:rPr>
                <w:color w:val="1C3A36"/>
                <w:sz w:val="15"/>
              </w:rPr>
              <w:t>—</w:t>
            </w:r>
          </w:p>
        </w:tc>
        <w:tc>
          <w:tcPr>
            <w:tcW w:type="dxa" w:w="1138"/>
          </w:tcPr>
          <w:p>
            <w:pPr>
              <w:spacing w:after="20"/>
              <w:jc w:val="right"/>
            </w:pPr>
            <w:r>
              <w:rPr>
                <w:color w:val="1C3A36"/>
                <w:sz w:val="15"/>
              </w:rPr>
              <w:t>—</w:t>
            </w:r>
          </w:p>
        </w:tc>
        <w:tc>
          <w:tcPr>
            <w:tcW w:type="dxa" w:w="1138"/>
          </w:tcPr>
          <w:p>
            <w:pPr>
              <w:spacing w:after="20"/>
              <w:jc w:val="right"/>
            </w:pPr>
            <w:r>
              <w:rPr>
                <w:color w:val="1C3A36"/>
                <w:sz w:val="15"/>
              </w:rPr>
              <w:t>—</w:t>
            </w:r>
          </w:p>
        </w:tc>
        <w:tc>
          <w:tcPr>
            <w:tcW w:type="dxa" w:w="1138"/>
          </w:tcPr>
          <w:p>
            <w:pPr>
              <w:spacing w:after="20"/>
              <w:jc w:val="right"/>
            </w:pPr>
            <w:r>
              <w:rPr>
                <w:color w:val="1C3A36"/>
                <w:sz w:val="15"/>
              </w:rPr>
              <w:t>—</w:t>
            </w:r>
          </w:p>
        </w:tc>
      </w:tr>
      <w:tr>
        <w:tc>
          <w:tcPr>
            <w:tcW w:type="dxa" w:w="2664"/>
          </w:tcPr>
          <w:p>
            <w:pPr>
              <w:spacing w:after="20"/>
            </w:pPr>
            <w:r>
              <w:rPr>
                <w:color w:val="1C3A36"/>
                <w:sz w:val="15"/>
              </w:rPr>
              <w:t>Total liabilities</w:t>
            </w:r>
          </w:p>
        </w:tc>
        <w:tc>
          <w:tcPr>
            <w:tcW w:type="dxa" w:w="1138"/>
          </w:tcPr>
          <w:p>
            <w:pPr>
              <w:spacing w:after="20"/>
              <w:jc w:val="right"/>
            </w:pPr>
            <w:r>
              <w:rPr>
                <w:color w:val="1C3A36"/>
                <w:sz w:val="15"/>
              </w:rPr>
              <w:t>2,979</w:t>
            </w:r>
          </w:p>
        </w:tc>
        <w:tc>
          <w:tcPr>
            <w:tcW w:type="dxa" w:w="1138"/>
          </w:tcPr>
          <w:p>
            <w:pPr>
              <w:spacing w:after="20"/>
              <w:jc w:val="right"/>
            </w:pPr>
            <w:r>
              <w:rPr>
                <w:color w:val="1C3A36"/>
                <w:sz w:val="15"/>
              </w:rPr>
              <w:t>4,102</w:t>
            </w:r>
          </w:p>
        </w:tc>
        <w:tc>
          <w:tcPr>
            <w:tcW w:type="dxa" w:w="1138"/>
          </w:tcPr>
          <w:p>
            <w:pPr>
              <w:spacing w:after="20"/>
              <w:jc w:val="right"/>
            </w:pPr>
            <w:r>
              <w:rPr>
                <w:color w:val="1C3A36"/>
                <w:sz w:val="15"/>
              </w:rPr>
              <w:t>4,261</w:t>
            </w:r>
          </w:p>
        </w:tc>
        <w:tc>
          <w:tcPr>
            <w:tcW w:type="dxa" w:w="1138"/>
          </w:tcPr>
          <w:p>
            <w:pPr>
              <w:spacing w:after="20"/>
              <w:jc w:val="right"/>
            </w:pPr>
            <w:r>
              <w:rPr>
                <w:color w:val="1C3A36"/>
                <w:sz w:val="15"/>
              </w:rPr>
              <w:t>~4,500</w:t>
            </w:r>
          </w:p>
        </w:tc>
        <w:tc>
          <w:tcPr>
            <w:tcW w:type="dxa" w:w="1138"/>
          </w:tcPr>
          <w:p>
            <w:pPr>
              <w:spacing w:after="20"/>
              <w:jc w:val="right"/>
            </w:pPr>
            <w:r>
              <w:rPr>
                <w:color w:val="1C3A36"/>
                <w:sz w:val="15"/>
              </w:rPr>
              <w:t>~4,800</w:t>
            </w:r>
          </w:p>
        </w:tc>
        <w:tc>
          <w:tcPr>
            <w:tcW w:type="dxa" w:w="1138"/>
          </w:tcPr>
          <w:p>
            <w:pPr>
              <w:spacing w:after="20"/>
              <w:jc w:val="right"/>
            </w:pPr>
            <w:r>
              <w:rPr>
                <w:color w:val="1C3A36"/>
                <w:sz w:val="15"/>
              </w:rPr>
              <w:t>~5,100</w:t>
            </w:r>
          </w:p>
        </w:tc>
        <w:tc>
          <w:tcPr>
            <w:tcW w:type="dxa" w:w="1138"/>
          </w:tcPr>
          <w:p>
            <w:pPr>
              <w:spacing w:after="20"/>
              <w:jc w:val="right"/>
            </w:pPr>
            <w:r>
              <w:rPr>
                <w:color w:val="1C3A36"/>
                <w:sz w:val="15"/>
              </w:rPr>
              <w:t>~5,400</w:t>
            </w:r>
          </w:p>
        </w:tc>
        <w:tc>
          <w:tcPr>
            <w:tcW w:type="dxa" w:w="1138"/>
          </w:tcPr>
          <w:p>
            <w:pPr>
              <w:spacing w:after="20"/>
              <w:jc w:val="right"/>
            </w:pPr>
            <w:r>
              <w:rPr>
                <w:color w:val="1C3A36"/>
                <w:sz w:val="15"/>
              </w:rPr>
              <w:t>~5,700</w:t>
            </w:r>
          </w:p>
        </w:tc>
      </w:tr>
      <w:tr>
        <w:tc>
          <w:tcPr>
            <w:tcW w:type="dxa" w:w="2664"/>
          </w:tcPr>
          <w:p>
            <w:pPr>
              <w:spacing w:after="20"/>
            </w:pPr>
            <w:r>
              <w:rPr>
                <w:color w:val="1C3A36"/>
                <w:sz w:val="15"/>
              </w:rPr>
              <w:t>Total equity</w:t>
            </w:r>
          </w:p>
        </w:tc>
        <w:tc>
          <w:tcPr>
            <w:tcW w:type="dxa" w:w="1138"/>
          </w:tcPr>
          <w:p>
            <w:pPr>
              <w:spacing w:after="20"/>
              <w:jc w:val="right"/>
            </w:pPr>
            <w:r>
              <w:rPr>
                <w:color w:val="1C3A36"/>
                <w:sz w:val="15"/>
              </w:rPr>
              <w:t>3,047</w:t>
            </w:r>
          </w:p>
        </w:tc>
        <w:tc>
          <w:tcPr>
            <w:tcW w:type="dxa" w:w="1138"/>
          </w:tcPr>
          <w:p>
            <w:pPr>
              <w:spacing w:after="20"/>
              <w:jc w:val="right"/>
            </w:pPr>
            <w:r>
              <w:rPr>
                <w:color w:val="1C3A36"/>
                <w:sz w:val="15"/>
              </w:rPr>
              <w:t>3,994</w:t>
            </w:r>
          </w:p>
        </w:tc>
        <w:tc>
          <w:tcPr>
            <w:tcW w:type="dxa" w:w="1138"/>
          </w:tcPr>
          <w:p>
            <w:pPr>
              <w:spacing w:after="20"/>
              <w:jc w:val="right"/>
            </w:pPr>
            <w:r>
              <w:rPr>
                <w:color w:val="1C3A36"/>
                <w:sz w:val="15"/>
              </w:rPr>
              <w:t>5,293</w:t>
            </w:r>
          </w:p>
        </w:tc>
        <w:tc>
          <w:tcPr>
            <w:tcW w:type="dxa" w:w="1138"/>
          </w:tcPr>
          <w:p>
            <w:pPr>
              <w:spacing w:after="20"/>
              <w:jc w:val="right"/>
            </w:pPr>
            <w:r>
              <w:rPr>
                <w:color w:val="1C3A36"/>
                <w:sz w:val="15"/>
              </w:rPr>
              <w:t>6,802</w:t>
            </w:r>
          </w:p>
        </w:tc>
        <w:tc>
          <w:tcPr>
            <w:tcW w:type="dxa" w:w="1138"/>
          </w:tcPr>
          <w:p>
            <w:pPr>
              <w:spacing w:after="20"/>
              <w:jc w:val="right"/>
            </w:pPr>
            <w:r>
              <w:rPr>
                <w:color w:val="1C3A36"/>
                <w:sz w:val="15"/>
              </w:rPr>
              <w:t>8,573</w:t>
            </w:r>
          </w:p>
        </w:tc>
        <w:tc>
          <w:tcPr>
            <w:tcW w:type="dxa" w:w="1138"/>
          </w:tcPr>
          <w:p>
            <w:pPr>
              <w:spacing w:after="20"/>
              <w:jc w:val="right"/>
            </w:pPr>
            <w:r>
              <w:rPr>
                <w:color w:val="1C3A36"/>
                <w:sz w:val="15"/>
              </w:rPr>
              <w:t>10,595</w:t>
            </w:r>
          </w:p>
        </w:tc>
        <w:tc>
          <w:tcPr>
            <w:tcW w:type="dxa" w:w="1138"/>
          </w:tcPr>
          <w:p>
            <w:pPr>
              <w:spacing w:after="20"/>
              <w:jc w:val="right"/>
            </w:pPr>
            <w:r>
              <w:rPr>
                <w:color w:val="1C3A36"/>
                <w:sz w:val="15"/>
              </w:rPr>
              <w:t>12,874</w:t>
            </w:r>
          </w:p>
        </w:tc>
        <w:tc>
          <w:tcPr>
            <w:tcW w:type="dxa" w:w="1138"/>
          </w:tcPr>
          <w:p>
            <w:pPr>
              <w:spacing w:after="20"/>
              <w:jc w:val="right"/>
            </w:pPr>
            <w:r>
              <w:rPr>
                <w:color w:val="1C3A36"/>
                <w:sz w:val="15"/>
              </w:rPr>
              <w:t>15,371</w:t>
            </w:r>
          </w:p>
        </w:tc>
      </w:tr>
    </w:tbl>
    <w:p>
      <w:pPr>
        <w:spacing w:after="40"/>
      </w:pPr>
    </w:p>
    <w:p>
      <w:pPr>
        <w:spacing w:after="180" w:before="0"/>
      </w:pPr>
      <w:r>
        <w:rPr>
          <w:b w:val="0"/>
          <w:i/>
          <w:color w:val="6E7B77"/>
          <w:sz w:val="17"/>
        </w:rPr>
        <w:t>Balance sheet is presented in summary form; forecast is a coherent roll-forward (equity = prior + retained profit at ~66% retention; cash builds with free cash flow). Elm carries no meaningful financial debt — “liabilities” are chiefly lease liabilities, income-sharing payables and zakat. Dashes denote lines not individually forecast.</w:t>
      </w:r>
    </w:p>
    <w:p>
      <w:pPr>
        <w:spacing w:after="60" w:before="180"/>
      </w:pPr>
      <w:r>
        <w:rPr>
          <w:b/>
          <w:i w:val="0"/>
          <w:color w:val="1C3A36"/>
          <w:sz w:val="23"/>
        </w:rPr>
        <w:t>A.3  Cash flow (SAR mn) — summary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520"/>
            <w:shd w:val="clear" w:color="auto" w:fill="EAF0EE"/>
          </w:tcPr>
          <w:p>
            <w:pPr>
              <w:spacing w:after="20"/>
            </w:pPr>
            <w:r>
              <w:rPr>
                <w:b/>
                <w:color w:val="1C3A36"/>
                <w:sz w:val="15"/>
              </w:rPr>
            </w:r>
          </w:p>
        </w:tc>
        <w:tc>
          <w:tcPr>
            <w:tcW w:type="dxa" w:w="1138"/>
            <w:shd w:val="clear" w:color="auto" w:fill="EAF0EE"/>
          </w:tcPr>
          <w:p>
            <w:pPr>
              <w:spacing w:after="20"/>
            </w:pPr>
            <w:r>
              <w:rPr>
                <w:b/>
                <w:color w:val="1C3A36"/>
                <w:sz w:val="15"/>
              </w:rPr>
              <w:t>2022a</w:t>
            </w:r>
          </w:p>
        </w:tc>
        <w:tc>
          <w:tcPr>
            <w:tcW w:type="dxa" w:w="1138"/>
            <w:shd w:val="clear" w:color="auto" w:fill="EAF0EE"/>
          </w:tcPr>
          <w:p>
            <w:pPr>
              <w:spacing w:after="20"/>
            </w:pPr>
            <w:r>
              <w:rPr>
                <w:b/>
                <w:color w:val="1C3A36"/>
                <w:sz w:val="15"/>
              </w:rPr>
              <w:t>2023a</w:t>
            </w:r>
          </w:p>
        </w:tc>
        <w:tc>
          <w:tcPr>
            <w:tcW w:type="dxa" w:w="1138"/>
            <w:shd w:val="clear" w:color="auto" w:fill="EAF0EE"/>
          </w:tcPr>
          <w:p>
            <w:pPr>
              <w:spacing w:after="20"/>
            </w:pPr>
            <w:r>
              <w:rPr>
                <w:b/>
                <w:color w:val="1C3A36"/>
                <w:sz w:val="15"/>
              </w:rPr>
              <w:t>2024a</w:t>
            </w:r>
          </w:p>
        </w:tc>
        <w:tc>
          <w:tcPr>
            <w:tcW w:type="dxa" w:w="1138"/>
            <w:shd w:val="clear" w:color="auto" w:fill="EAF0EE"/>
          </w:tcPr>
          <w:p>
            <w:pPr>
              <w:spacing w:after="20"/>
            </w:pPr>
            <w:r>
              <w:rPr>
                <w:b/>
                <w:color w:val="1C3A36"/>
                <w:sz w:val="15"/>
              </w:rPr>
              <w:t>2025e</w:t>
            </w:r>
          </w:p>
        </w:tc>
        <w:tc>
          <w:tcPr>
            <w:tcW w:type="dxa" w:w="1138"/>
            <w:shd w:val="clear" w:color="auto" w:fill="EAF0EE"/>
          </w:tcPr>
          <w:p>
            <w:pPr>
              <w:spacing w:after="20"/>
            </w:pPr>
            <w:r>
              <w:rPr>
                <w:b/>
                <w:color w:val="1C3A36"/>
                <w:sz w:val="15"/>
              </w:rPr>
              <w:t>2026e</w:t>
            </w:r>
          </w:p>
        </w:tc>
        <w:tc>
          <w:tcPr>
            <w:tcW w:type="dxa" w:w="1138"/>
            <w:shd w:val="clear" w:color="auto" w:fill="EAF0EE"/>
          </w:tcPr>
          <w:p>
            <w:pPr>
              <w:spacing w:after="20"/>
            </w:pPr>
            <w:r>
              <w:rPr>
                <w:b/>
                <w:color w:val="1C3A36"/>
                <w:sz w:val="15"/>
              </w:rPr>
              <w:t>2027e</w:t>
            </w:r>
          </w:p>
        </w:tc>
        <w:tc>
          <w:tcPr>
            <w:tcW w:type="dxa" w:w="1138"/>
            <w:shd w:val="clear" w:color="auto" w:fill="EAF0EE"/>
          </w:tcPr>
          <w:p>
            <w:pPr>
              <w:spacing w:after="20"/>
            </w:pPr>
            <w:r>
              <w:rPr>
                <w:b/>
                <w:color w:val="1C3A36"/>
                <w:sz w:val="15"/>
              </w:rPr>
              <w:t>2028e</w:t>
            </w:r>
          </w:p>
        </w:tc>
        <w:tc>
          <w:tcPr>
            <w:tcW w:type="dxa" w:w="1138"/>
            <w:shd w:val="clear" w:color="auto" w:fill="EAF0EE"/>
          </w:tcPr>
          <w:p>
            <w:pPr>
              <w:spacing w:after="20"/>
            </w:pPr>
            <w:r>
              <w:rPr>
                <w:b/>
                <w:color w:val="1C3A36"/>
                <w:sz w:val="15"/>
              </w:rPr>
              <w:t>2029e</w:t>
            </w:r>
          </w:p>
        </w:tc>
      </w:tr>
      <w:tr>
        <w:tc>
          <w:tcPr>
            <w:tcW w:type="dxa" w:w="2520"/>
          </w:tcPr>
          <w:p>
            <w:pPr>
              <w:spacing w:after="20"/>
            </w:pPr>
            <w:r>
              <w:rPr>
                <w:color w:val="1C3A36"/>
                <w:sz w:val="15"/>
              </w:rPr>
              <w:t>Operating cash flow</w:t>
            </w:r>
          </w:p>
        </w:tc>
        <w:tc>
          <w:tcPr>
            <w:tcW w:type="dxa" w:w="1138"/>
          </w:tcPr>
          <w:p>
            <w:pPr>
              <w:spacing w:after="20"/>
              <w:jc w:val="right"/>
            </w:pPr>
            <w:r>
              <w:rPr>
                <w:color w:val="1C3A36"/>
                <w:sz w:val="15"/>
              </w:rPr>
              <w:t>1,706</w:t>
            </w:r>
          </w:p>
        </w:tc>
        <w:tc>
          <w:tcPr>
            <w:tcW w:type="dxa" w:w="1138"/>
          </w:tcPr>
          <w:p>
            <w:pPr>
              <w:spacing w:after="20"/>
              <w:jc w:val="right"/>
            </w:pPr>
            <w:r>
              <w:rPr>
                <w:color w:val="1C3A36"/>
                <w:sz w:val="15"/>
              </w:rPr>
              <w:t>1,559</w:t>
            </w:r>
          </w:p>
        </w:tc>
        <w:tc>
          <w:tcPr>
            <w:tcW w:type="dxa" w:w="1138"/>
          </w:tcPr>
          <w:p>
            <w:pPr>
              <w:spacing w:after="20"/>
              <w:jc w:val="right"/>
            </w:pPr>
            <w:r>
              <w:rPr>
                <w:color w:val="1C3A36"/>
                <w:sz w:val="15"/>
              </w:rPr>
              <w:t>1,662</w:t>
            </w:r>
          </w:p>
        </w:tc>
        <w:tc>
          <w:tcPr>
            <w:tcW w:type="dxa" w:w="1138"/>
          </w:tcPr>
          <w:p>
            <w:pPr>
              <w:spacing w:after="20"/>
              <w:jc w:val="right"/>
            </w:pPr>
            <w:r>
              <w:rPr>
                <w:color w:val="1C3A36"/>
                <w:sz w:val="15"/>
              </w:rPr>
              <w:t>2,521</w:t>
            </w:r>
          </w:p>
        </w:tc>
        <w:tc>
          <w:tcPr>
            <w:tcW w:type="dxa" w:w="1138"/>
          </w:tcPr>
          <w:p>
            <w:pPr>
              <w:spacing w:after="20"/>
              <w:jc w:val="right"/>
            </w:pPr>
            <w:r>
              <w:rPr>
                <w:color w:val="1C3A36"/>
                <w:sz w:val="15"/>
              </w:rPr>
              <w:t>2,980</w:t>
            </w:r>
          </w:p>
        </w:tc>
        <w:tc>
          <w:tcPr>
            <w:tcW w:type="dxa" w:w="1138"/>
          </w:tcPr>
          <w:p>
            <w:pPr>
              <w:spacing w:after="20"/>
              <w:jc w:val="right"/>
            </w:pPr>
            <w:r>
              <w:rPr>
                <w:color w:val="1C3A36"/>
                <w:sz w:val="15"/>
              </w:rPr>
              <w:t>3,411</w:t>
            </w:r>
          </w:p>
        </w:tc>
        <w:tc>
          <w:tcPr>
            <w:tcW w:type="dxa" w:w="1138"/>
          </w:tcPr>
          <w:p>
            <w:pPr>
              <w:spacing w:after="20"/>
              <w:jc w:val="right"/>
            </w:pPr>
            <w:r>
              <w:rPr>
                <w:color w:val="1C3A36"/>
                <w:sz w:val="15"/>
              </w:rPr>
              <w:t>3,848</w:t>
            </w:r>
          </w:p>
        </w:tc>
        <w:tc>
          <w:tcPr>
            <w:tcW w:type="dxa" w:w="1138"/>
          </w:tcPr>
          <w:p>
            <w:pPr>
              <w:spacing w:after="20"/>
              <w:jc w:val="right"/>
            </w:pPr>
            <w:r>
              <w:rPr>
                <w:color w:val="1C3A36"/>
                <w:sz w:val="15"/>
              </w:rPr>
              <w:t>4,224</w:t>
            </w:r>
          </w:p>
        </w:tc>
      </w:tr>
      <w:tr>
        <w:tc>
          <w:tcPr>
            <w:tcW w:type="dxa" w:w="2520"/>
          </w:tcPr>
          <w:p>
            <w:pPr>
              <w:spacing w:after="20"/>
            </w:pPr>
            <w:r>
              <w:rPr>
                <w:color w:val="1C3A36"/>
                <w:sz w:val="15"/>
              </w:rPr>
              <w:t>Capex</w:t>
            </w:r>
          </w:p>
        </w:tc>
        <w:tc>
          <w:tcPr>
            <w:tcW w:type="dxa" w:w="1138"/>
          </w:tcPr>
          <w:p>
            <w:pPr>
              <w:spacing w:after="20"/>
              <w:jc w:val="right"/>
            </w:pPr>
            <w:r>
              <w:rPr>
                <w:color w:val="1C3A36"/>
                <w:sz w:val="15"/>
              </w:rPr>
              <w:t>—</w:t>
            </w:r>
          </w:p>
        </w:tc>
        <w:tc>
          <w:tcPr>
            <w:tcW w:type="dxa" w:w="1138"/>
          </w:tcPr>
          <w:p>
            <w:pPr>
              <w:spacing w:after="20"/>
              <w:jc w:val="right"/>
            </w:pPr>
            <w:r>
              <w:rPr>
                <w:color w:val="1C3A36"/>
                <w:sz w:val="15"/>
              </w:rPr>
              <w:t>—</w:t>
            </w:r>
          </w:p>
        </w:tc>
        <w:tc>
          <w:tcPr>
            <w:tcW w:type="dxa" w:w="1138"/>
          </w:tcPr>
          <w:p>
            <w:pPr>
              <w:spacing w:after="20"/>
              <w:jc w:val="right"/>
            </w:pPr>
            <w:r>
              <w:rPr>
                <w:color w:val="1C3A36"/>
                <w:sz w:val="15"/>
              </w:rPr>
              <w:t>(228)</w:t>
            </w:r>
          </w:p>
        </w:tc>
        <w:tc>
          <w:tcPr>
            <w:tcW w:type="dxa" w:w="1138"/>
          </w:tcPr>
          <w:p>
            <w:pPr>
              <w:spacing w:after="20"/>
              <w:jc w:val="right"/>
            </w:pPr>
            <w:r>
              <w:rPr>
                <w:color w:val="1C3A36"/>
                <w:sz w:val="15"/>
              </w:rPr>
              <w:t>(309)</w:t>
            </w:r>
          </w:p>
        </w:tc>
        <w:tc>
          <w:tcPr>
            <w:tcW w:type="dxa" w:w="1138"/>
          </w:tcPr>
          <w:p>
            <w:pPr>
              <w:spacing w:after="20"/>
              <w:jc w:val="right"/>
            </w:pPr>
            <w:r>
              <w:rPr>
                <w:color w:val="1C3A36"/>
                <w:sz w:val="15"/>
              </w:rPr>
              <w:t>(350)</w:t>
            </w:r>
          </w:p>
        </w:tc>
        <w:tc>
          <w:tcPr>
            <w:tcW w:type="dxa" w:w="1138"/>
          </w:tcPr>
          <w:p>
            <w:pPr>
              <w:spacing w:after="20"/>
              <w:jc w:val="right"/>
            </w:pPr>
            <w:r>
              <w:rPr>
                <w:color w:val="1C3A36"/>
                <w:sz w:val="15"/>
              </w:rPr>
              <w:t>(387)</w:t>
            </w:r>
          </w:p>
        </w:tc>
        <w:tc>
          <w:tcPr>
            <w:tcW w:type="dxa" w:w="1138"/>
          </w:tcPr>
          <w:p>
            <w:pPr>
              <w:spacing w:after="20"/>
              <w:jc w:val="right"/>
            </w:pPr>
            <w:r>
              <w:rPr>
                <w:color w:val="1C3A36"/>
                <w:sz w:val="15"/>
              </w:rPr>
              <w:t>(434)</w:t>
            </w:r>
          </w:p>
        </w:tc>
        <w:tc>
          <w:tcPr>
            <w:tcW w:type="dxa" w:w="1138"/>
          </w:tcPr>
          <w:p>
            <w:pPr>
              <w:spacing w:after="20"/>
              <w:jc w:val="right"/>
            </w:pPr>
            <w:r>
              <w:rPr>
                <w:color w:val="1C3A36"/>
                <w:sz w:val="15"/>
              </w:rPr>
              <w:t>(477)</w:t>
            </w:r>
          </w:p>
        </w:tc>
      </w:tr>
      <w:tr>
        <w:tc>
          <w:tcPr>
            <w:tcW w:type="dxa" w:w="2520"/>
          </w:tcPr>
          <w:p>
            <w:pPr>
              <w:spacing w:after="20"/>
            </w:pPr>
            <w:r>
              <w:rPr>
                <w:color w:val="1C3A36"/>
                <w:sz w:val="15"/>
              </w:rPr>
              <w:t>Free cash flow</w:t>
            </w:r>
          </w:p>
        </w:tc>
        <w:tc>
          <w:tcPr>
            <w:tcW w:type="dxa" w:w="1138"/>
          </w:tcPr>
          <w:p>
            <w:pPr>
              <w:spacing w:after="20"/>
              <w:jc w:val="right"/>
            </w:pPr>
            <w:r>
              <w:rPr>
                <w:color w:val="1C3A36"/>
                <w:sz w:val="15"/>
              </w:rPr>
              <w:t>—</w:t>
            </w:r>
          </w:p>
        </w:tc>
        <w:tc>
          <w:tcPr>
            <w:tcW w:type="dxa" w:w="1138"/>
          </w:tcPr>
          <w:p>
            <w:pPr>
              <w:spacing w:after="20"/>
              <w:jc w:val="right"/>
            </w:pPr>
            <w:r>
              <w:rPr>
                <w:color w:val="1C3A36"/>
                <w:sz w:val="15"/>
              </w:rPr>
              <w:t>~1,027</w:t>
            </w:r>
          </w:p>
        </w:tc>
        <w:tc>
          <w:tcPr>
            <w:tcW w:type="dxa" w:w="1138"/>
          </w:tcPr>
          <w:p>
            <w:pPr>
              <w:spacing w:after="20"/>
              <w:jc w:val="right"/>
            </w:pPr>
            <w:r>
              <w:rPr>
                <w:color w:val="1C3A36"/>
                <w:sz w:val="15"/>
              </w:rPr>
              <w:t>~1,434</w:t>
            </w:r>
          </w:p>
        </w:tc>
        <w:tc>
          <w:tcPr>
            <w:tcW w:type="dxa" w:w="1138"/>
          </w:tcPr>
          <w:p>
            <w:pPr>
              <w:spacing w:after="20"/>
              <w:jc w:val="right"/>
            </w:pPr>
            <w:r>
              <w:rPr>
                <w:color w:val="1C3A36"/>
                <w:sz w:val="15"/>
              </w:rPr>
              <w:t>2,212</w:t>
            </w:r>
          </w:p>
        </w:tc>
        <w:tc>
          <w:tcPr>
            <w:tcW w:type="dxa" w:w="1138"/>
          </w:tcPr>
          <w:p>
            <w:pPr>
              <w:spacing w:after="20"/>
              <w:jc w:val="right"/>
            </w:pPr>
            <w:r>
              <w:rPr>
                <w:color w:val="1C3A36"/>
                <w:sz w:val="15"/>
              </w:rPr>
              <w:t>2,630</w:t>
            </w:r>
          </w:p>
        </w:tc>
        <w:tc>
          <w:tcPr>
            <w:tcW w:type="dxa" w:w="1138"/>
          </w:tcPr>
          <w:p>
            <w:pPr>
              <w:spacing w:after="20"/>
              <w:jc w:val="right"/>
            </w:pPr>
            <w:r>
              <w:rPr>
                <w:color w:val="1C3A36"/>
                <w:sz w:val="15"/>
              </w:rPr>
              <w:t>3,024</w:t>
            </w:r>
          </w:p>
        </w:tc>
        <w:tc>
          <w:tcPr>
            <w:tcW w:type="dxa" w:w="1138"/>
          </w:tcPr>
          <w:p>
            <w:pPr>
              <w:spacing w:after="20"/>
              <w:jc w:val="right"/>
            </w:pPr>
            <w:r>
              <w:rPr>
                <w:color w:val="1C3A36"/>
                <w:sz w:val="15"/>
              </w:rPr>
              <w:t>3,414</w:t>
            </w:r>
          </w:p>
        </w:tc>
        <w:tc>
          <w:tcPr>
            <w:tcW w:type="dxa" w:w="1138"/>
          </w:tcPr>
          <w:p>
            <w:pPr>
              <w:spacing w:after="20"/>
              <w:jc w:val="right"/>
            </w:pPr>
            <w:r>
              <w:rPr>
                <w:color w:val="1C3A36"/>
                <w:sz w:val="15"/>
              </w:rPr>
              <w:t>3,747</w:t>
            </w:r>
          </w:p>
        </w:tc>
      </w:tr>
      <w:tr>
        <w:tc>
          <w:tcPr>
            <w:tcW w:type="dxa" w:w="2520"/>
          </w:tcPr>
          <w:p>
            <w:pPr>
              <w:spacing w:after="20"/>
            </w:pPr>
            <w:r>
              <w:rPr>
                <w:color w:val="1C3A36"/>
                <w:sz w:val="15"/>
              </w:rPr>
              <w:t>Dividends paid</w:t>
            </w:r>
          </w:p>
        </w:tc>
        <w:tc>
          <w:tcPr>
            <w:tcW w:type="dxa" w:w="1138"/>
          </w:tcPr>
          <w:p>
            <w:pPr>
              <w:spacing w:after="20"/>
              <w:jc w:val="right"/>
            </w:pPr>
            <w:r>
              <w:rPr>
                <w:color w:val="1C3A36"/>
                <w:sz w:val="15"/>
              </w:rPr>
              <w:t>(441)</w:t>
            </w:r>
          </w:p>
        </w:tc>
        <w:tc>
          <w:tcPr>
            <w:tcW w:type="dxa" w:w="1138"/>
          </w:tcPr>
          <w:p>
            <w:pPr>
              <w:spacing w:after="20"/>
              <w:jc w:val="right"/>
            </w:pPr>
            <w:r>
              <w:rPr>
                <w:color w:val="1C3A36"/>
                <w:sz w:val="15"/>
              </w:rPr>
              <w:t>(532)</w:t>
            </w:r>
          </w:p>
        </w:tc>
        <w:tc>
          <w:tcPr>
            <w:tcW w:type="dxa" w:w="1138"/>
          </w:tcPr>
          <w:p>
            <w:pPr>
              <w:spacing w:after="20"/>
              <w:jc w:val="right"/>
            </w:pPr>
            <w:r>
              <w:rPr>
                <w:color w:val="1C3A36"/>
                <w:sz w:val="15"/>
              </w:rPr>
              <w:t>(583)</w:t>
            </w:r>
          </w:p>
        </w:tc>
        <w:tc>
          <w:tcPr>
            <w:tcW w:type="dxa" w:w="1138"/>
          </w:tcPr>
          <w:p>
            <w:pPr>
              <w:spacing w:after="20"/>
              <w:jc w:val="right"/>
            </w:pPr>
            <w:r>
              <w:rPr>
                <w:color w:val="1C3A36"/>
                <w:sz w:val="15"/>
              </w:rPr>
              <w:t>~(620)</w:t>
            </w:r>
          </w:p>
        </w:tc>
        <w:tc>
          <w:tcPr>
            <w:tcW w:type="dxa" w:w="1138"/>
          </w:tcPr>
          <w:p>
            <w:pPr>
              <w:spacing w:after="20"/>
              <w:jc w:val="right"/>
            </w:pPr>
            <w:r>
              <w:rPr>
                <w:color w:val="1C3A36"/>
                <w:sz w:val="15"/>
              </w:rPr>
              <w:t>~(700)</w:t>
            </w:r>
          </w:p>
        </w:tc>
        <w:tc>
          <w:tcPr>
            <w:tcW w:type="dxa" w:w="1138"/>
          </w:tcPr>
          <w:p>
            <w:pPr>
              <w:spacing w:after="20"/>
              <w:jc w:val="right"/>
            </w:pPr>
            <w:r>
              <w:rPr>
                <w:color w:val="1C3A36"/>
                <w:sz w:val="15"/>
              </w:rPr>
              <w:t>~(800)</w:t>
            </w:r>
          </w:p>
        </w:tc>
        <w:tc>
          <w:tcPr>
            <w:tcW w:type="dxa" w:w="1138"/>
          </w:tcPr>
          <w:p>
            <w:pPr>
              <w:spacing w:after="20"/>
              <w:jc w:val="right"/>
            </w:pPr>
            <w:r>
              <w:rPr>
                <w:color w:val="1C3A36"/>
                <w:sz w:val="15"/>
              </w:rPr>
              <w:t>~(910)</w:t>
            </w:r>
          </w:p>
        </w:tc>
        <w:tc>
          <w:tcPr>
            <w:tcW w:type="dxa" w:w="1138"/>
          </w:tcPr>
          <w:p>
            <w:pPr>
              <w:spacing w:after="20"/>
              <w:jc w:val="right"/>
            </w:pPr>
            <w:r>
              <w:rPr>
                <w:color w:val="1C3A36"/>
                <w:sz w:val="15"/>
              </w:rPr>
              <w:t>~(1,030)</w:t>
            </w:r>
          </w:p>
        </w:tc>
      </w:tr>
    </w:tbl>
    <w:p>
      <w:pPr>
        <w:spacing w:after="40"/>
      </w:pPr>
    </w:p>
    <w:p>
      <w:pPr>
        <w:spacing w:after="180" w:before="0"/>
      </w:pPr>
      <w:r>
        <w:rPr>
          <w:b w:val="0"/>
          <w:i/>
          <w:color w:val="6E7B77"/>
          <w:sz w:val="17"/>
        </w:rPr>
        <w:t>Operating cash flow and free cash flow; Elm’s FCF conversion is high given the asset-light model (cash capex ~3% of revenue). Historical dividends from the equity-bridge disclosures; forecast at ~33% payout.</w:t>
      </w:r>
    </w:p>
    <w:p>
      <w:pPr>
        <w:spacing w:after="60" w:before="180"/>
      </w:pPr>
      <w:r>
        <w:rPr>
          <w:b/>
          <w:i w:val="0"/>
          <w:color w:val="1C3A36"/>
          <w:sz w:val="23"/>
        </w:rPr>
        <w:t>A.4  Per-share and ratio dashboard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880"/>
            <w:shd w:val="clear" w:color="auto" w:fill="EAF0EE"/>
          </w:tcPr>
          <w:p>
            <w:pPr>
              <w:spacing w:after="20"/>
            </w:pPr>
            <w:r>
              <w:rPr>
                <w:b/>
                <w:color w:val="1C3A36"/>
                <w:sz w:val="16"/>
              </w:rPr>
              <w:t>Per-share / ratio</w:t>
            </w:r>
          </w:p>
        </w:tc>
        <w:tc>
          <w:tcPr>
            <w:tcW w:type="dxa" w:w="1512"/>
            <w:shd w:val="clear" w:color="auto" w:fill="EAF0EE"/>
          </w:tcPr>
          <w:p>
            <w:pPr>
              <w:spacing w:after="20"/>
            </w:pPr>
            <w:r>
              <w:rPr>
                <w:b/>
                <w:color w:val="1C3A36"/>
                <w:sz w:val="16"/>
              </w:rPr>
              <w:t>2022a</w:t>
            </w:r>
          </w:p>
        </w:tc>
        <w:tc>
          <w:tcPr>
            <w:tcW w:type="dxa" w:w="1512"/>
            <w:shd w:val="clear" w:color="auto" w:fill="EAF0EE"/>
          </w:tcPr>
          <w:p>
            <w:pPr>
              <w:spacing w:after="20"/>
            </w:pPr>
            <w:r>
              <w:rPr>
                <w:b/>
                <w:color w:val="1C3A36"/>
                <w:sz w:val="16"/>
              </w:rPr>
              <w:t>2023a</w:t>
            </w:r>
          </w:p>
        </w:tc>
        <w:tc>
          <w:tcPr>
            <w:tcW w:type="dxa" w:w="1512"/>
            <w:shd w:val="clear" w:color="auto" w:fill="EAF0EE"/>
          </w:tcPr>
          <w:p>
            <w:pPr>
              <w:spacing w:after="20"/>
            </w:pPr>
            <w:r>
              <w:rPr>
                <w:b/>
                <w:color w:val="1C3A36"/>
                <w:sz w:val="16"/>
              </w:rPr>
              <w:t>2024a</w:t>
            </w:r>
          </w:p>
        </w:tc>
        <w:tc>
          <w:tcPr>
            <w:tcW w:type="dxa" w:w="1512"/>
            <w:shd w:val="clear" w:color="auto" w:fill="EAF0EE"/>
          </w:tcPr>
          <w:p>
            <w:pPr>
              <w:spacing w:after="20"/>
            </w:pPr>
            <w:r>
              <w:rPr>
                <w:b/>
                <w:color w:val="1C3A36"/>
                <w:sz w:val="16"/>
              </w:rPr>
              <w:t>2025e</w:t>
            </w:r>
          </w:p>
        </w:tc>
      </w:tr>
      <w:tr>
        <w:tc>
          <w:tcPr>
            <w:tcW w:type="dxa" w:w="2880"/>
          </w:tcPr>
          <w:p>
            <w:pPr>
              <w:spacing w:after="20"/>
            </w:pPr>
            <w:r>
              <w:rPr>
                <w:color w:val="1C3A36"/>
                <w:sz w:val="16"/>
              </w:rPr>
              <w:t>EPS (SAR)</w:t>
            </w:r>
          </w:p>
        </w:tc>
        <w:tc>
          <w:tcPr>
            <w:tcW w:type="dxa" w:w="1512"/>
          </w:tcPr>
          <w:p>
            <w:pPr>
              <w:spacing w:after="20"/>
              <w:jc w:val="right"/>
            </w:pPr>
            <w:r>
              <w:rPr>
                <w:color w:val="1C3A36"/>
                <w:sz w:val="16"/>
              </w:rPr>
              <w:t>11.99</w:t>
            </w:r>
          </w:p>
        </w:tc>
        <w:tc>
          <w:tcPr>
            <w:tcW w:type="dxa" w:w="1512"/>
          </w:tcPr>
          <w:p>
            <w:pPr>
              <w:spacing w:after="20"/>
              <w:jc w:val="right"/>
            </w:pPr>
            <w:r>
              <w:rPr>
                <w:color w:val="1C3A36"/>
                <w:sz w:val="16"/>
              </w:rPr>
              <w:t>17.46</w:t>
            </w:r>
          </w:p>
        </w:tc>
        <w:tc>
          <w:tcPr>
            <w:tcW w:type="dxa" w:w="1512"/>
          </w:tcPr>
          <w:p>
            <w:pPr>
              <w:spacing w:after="20"/>
              <w:jc w:val="right"/>
            </w:pPr>
            <w:r>
              <w:rPr>
                <w:color w:val="1C3A36"/>
                <w:sz w:val="16"/>
              </w:rPr>
              <w:t>23.51</w:t>
            </w:r>
          </w:p>
        </w:tc>
        <w:tc>
          <w:tcPr>
            <w:tcW w:type="dxa" w:w="1512"/>
          </w:tcPr>
          <w:p>
            <w:pPr>
              <w:spacing w:after="20"/>
              <w:jc w:val="right"/>
            </w:pPr>
            <w:r>
              <w:rPr>
                <w:color w:val="1C3A36"/>
                <w:sz w:val="16"/>
              </w:rPr>
              <w:t>28.6</w:t>
            </w:r>
          </w:p>
        </w:tc>
      </w:tr>
      <w:tr>
        <w:tc>
          <w:tcPr>
            <w:tcW w:type="dxa" w:w="2880"/>
          </w:tcPr>
          <w:p>
            <w:pPr>
              <w:spacing w:after="20"/>
            </w:pPr>
            <w:r>
              <w:rPr>
                <w:color w:val="1C3A36"/>
                <w:sz w:val="16"/>
              </w:rPr>
              <w:t>DPS (SAR)</w:t>
            </w:r>
          </w:p>
        </w:tc>
        <w:tc>
          <w:tcPr>
            <w:tcW w:type="dxa" w:w="1512"/>
          </w:tcPr>
          <w:p>
            <w:pPr>
              <w:spacing w:after="20"/>
              <w:jc w:val="right"/>
            </w:pPr>
            <w:r>
              <w:rPr>
                <w:color w:val="1C3A36"/>
                <w:sz w:val="16"/>
              </w:rPr>
              <w:t>5.50</w:t>
            </w:r>
          </w:p>
        </w:tc>
        <w:tc>
          <w:tcPr>
            <w:tcW w:type="dxa" w:w="1512"/>
          </w:tcPr>
          <w:p>
            <w:pPr>
              <w:spacing w:after="20"/>
              <w:jc w:val="right"/>
            </w:pPr>
            <w:r>
              <w:rPr>
                <w:color w:val="1C3A36"/>
                <w:sz w:val="16"/>
              </w:rPr>
              <w:t>6.65</w:t>
            </w:r>
          </w:p>
        </w:tc>
        <w:tc>
          <w:tcPr>
            <w:tcW w:type="dxa" w:w="1512"/>
          </w:tcPr>
          <w:p>
            <w:pPr>
              <w:spacing w:after="20"/>
              <w:jc w:val="right"/>
            </w:pPr>
            <w:r>
              <w:rPr>
                <w:color w:val="1C3A36"/>
                <w:sz w:val="16"/>
              </w:rPr>
              <w:t>7.29</w:t>
            </w:r>
          </w:p>
        </w:tc>
        <w:tc>
          <w:tcPr>
            <w:tcW w:type="dxa" w:w="1512"/>
          </w:tcPr>
          <w:p>
            <w:pPr>
              <w:spacing w:after="20"/>
              <w:jc w:val="right"/>
            </w:pPr>
            <w:r>
              <w:rPr>
                <w:color w:val="1C3A36"/>
                <w:sz w:val="16"/>
              </w:rPr>
              <w:t>7.75</w:t>
            </w:r>
          </w:p>
        </w:tc>
      </w:tr>
      <w:tr>
        <w:tc>
          <w:tcPr>
            <w:tcW w:type="dxa" w:w="2880"/>
          </w:tcPr>
          <w:p>
            <w:pPr>
              <w:spacing w:after="20"/>
            </w:pPr>
            <w:r>
              <w:rPr>
                <w:color w:val="1C3A36"/>
                <w:sz w:val="16"/>
              </w:rPr>
              <w:t>BVPS (SAR)</w:t>
            </w:r>
          </w:p>
        </w:tc>
        <w:tc>
          <w:tcPr>
            <w:tcW w:type="dxa" w:w="1512"/>
          </w:tcPr>
          <w:p>
            <w:pPr>
              <w:spacing w:after="20"/>
              <w:jc w:val="right"/>
            </w:pPr>
            <w:r>
              <w:rPr>
                <w:color w:val="1C3A36"/>
                <w:sz w:val="16"/>
              </w:rPr>
              <w:t>38.1</w:t>
            </w:r>
          </w:p>
        </w:tc>
        <w:tc>
          <w:tcPr>
            <w:tcW w:type="dxa" w:w="1512"/>
          </w:tcPr>
          <w:p>
            <w:pPr>
              <w:spacing w:after="20"/>
              <w:jc w:val="right"/>
            </w:pPr>
            <w:r>
              <w:rPr>
                <w:color w:val="1C3A36"/>
                <w:sz w:val="16"/>
              </w:rPr>
              <w:t>49.9</w:t>
            </w:r>
          </w:p>
        </w:tc>
        <w:tc>
          <w:tcPr>
            <w:tcW w:type="dxa" w:w="1512"/>
          </w:tcPr>
          <w:p>
            <w:pPr>
              <w:spacing w:after="20"/>
              <w:jc w:val="right"/>
            </w:pPr>
            <w:r>
              <w:rPr>
                <w:color w:val="1C3A36"/>
                <w:sz w:val="16"/>
              </w:rPr>
              <w:t>66.2</w:t>
            </w:r>
          </w:p>
        </w:tc>
        <w:tc>
          <w:tcPr>
            <w:tcW w:type="dxa" w:w="1512"/>
          </w:tcPr>
          <w:p>
            <w:pPr>
              <w:spacing w:after="20"/>
              <w:jc w:val="right"/>
            </w:pPr>
            <w:r>
              <w:rPr>
                <w:color w:val="1C3A36"/>
                <w:sz w:val="16"/>
              </w:rPr>
              <w:t>85.0</w:t>
            </w:r>
          </w:p>
        </w:tc>
      </w:tr>
      <w:tr>
        <w:tc>
          <w:tcPr>
            <w:tcW w:type="dxa" w:w="2880"/>
          </w:tcPr>
          <w:p>
            <w:pPr>
              <w:spacing w:after="20"/>
            </w:pPr>
            <w:r>
              <w:rPr>
                <w:color w:val="1C3A36"/>
                <w:sz w:val="16"/>
              </w:rPr>
              <w:t>Revenue growth</w:t>
            </w:r>
          </w:p>
        </w:tc>
        <w:tc>
          <w:tcPr>
            <w:tcW w:type="dxa" w:w="1512"/>
          </w:tcPr>
          <w:p>
            <w:pPr>
              <w:spacing w:after="20"/>
              <w:jc w:val="right"/>
            </w:pPr>
            <w:r>
              <w:rPr>
                <w:color w:val="1C3A36"/>
                <w:sz w:val="16"/>
              </w:rPr>
              <w:t>—</w:t>
            </w:r>
          </w:p>
        </w:tc>
        <w:tc>
          <w:tcPr>
            <w:tcW w:type="dxa" w:w="1512"/>
          </w:tcPr>
          <w:p>
            <w:pPr>
              <w:spacing w:after="20"/>
              <w:jc w:val="right"/>
            </w:pPr>
            <w:r>
              <w:rPr>
                <w:color w:val="1C3A36"/>
                <w:sz w:val="16"/>
              </w:rPr>
              <w:t>+28.1%</w:t>
            </w:r>
          </w:p>
        </w:tc>
        <w:tc>
          <w:tcPr>
            <w:tcW w:type="dxa" w:w="1512"/>
          </w:tcPr>
          <w:p>
            <w:pPr>
              <w:spacing w:after="20"/>
              <w:jc w:val="right"/>
            </w:pPr>
            <w:r>
              <w:rPr>
                <w:color w:val="1C3A36"/>
                <w:sz w:val="16"/>
              </w:rPr>
              <w:t>+25.6%</w:t>
            </w:r>
          </w:p>
        </w:tc>
        <w:tc>
          <w:tcPr>
            <w:tcW w:type="dxa" w:w="1512"/>
          </w:tcPr>
          <w:p>
            <w:pPr>
              <w:spacing w:after="20"/>
              <w:jc w:val="right"/>
            </w:pPr>
            <w:r>
              <w:rPr>
                <w:color w:val="1C3A36"/>
                <w:sz w:val="16"/>
              </w:rPr>
              <w:t>+30.3%</w:t>
            </w:r>
          </w:p>
        </w:tc>
      </w:tr>
      <w:tr>
        <w:tc>
          <w:tcPr>
            <w:tcW w:type="dxa" w:w="2880"/>
          </w:tcPr>
          <w:p>
            <w:pPr>
              <w:spacing w:after="20"/>
            </w:pPr>
            <w:r>
              <w:rPr>
                <w:color w:val="1C3A36"/>
                <w:sz w:val="16"/>
              </w:rPr>
              <w:t>Gross margin</w:t>
            </w:r>
          </w:p>
        </w:tc>
        <w:tc>
          <w:tcPr>
            <w:tcW w:type="dxa" w:w="1512"/>
          </w:tcPr>
          <w:p>
            <w:pPr>
              <w:spacing w:after="20"/>
              <w:jc w:val="right"/>
            </w:pPr>
            <w:r>
              <w:rPr>
                <w:color w:val="1C3A36"/>
                <w:sz w:val="16"/>
              </w:rPr>
              <w:t>40.6%</w:t>
            </w:r>
          </w:p>
        </w:tc>
        <w:tc>
          <w:tcPr>
            <w:tcW w:type="dxa" w:w="1512"/>
          </w:tcPr>
          <w:p>
            <w:pPr>
              <w:spacing w:after="20"/>
              <w:jc w:val="right"/>
            </w:pPr>
            <w:r>
              <w:rPr>
                <w:color w:val="1C3A36"/>
                <w:sz w:val="16"/>
              </w:rPr>
              <w:t>39.6%</w:t>
            </w:r>
          </w:p>
        </w:tc>
        <w:tc>
          <w:tcPr>
            <w:tcW w:type="dxa" w:w="1512"/>
          </w:tcPr>
          <w:p>
            <w:pPr>
              <w:spacing w:after="20"/>
              <w:jc w:val="right"/>
            </w:pPr>
            <w:r>
              <w:rPr>
                <w:color w:val="1C3A36"/>
                <w:sz w:val="16"/>
              </w:rPr>
              <w:t>40.9%</w:t>
            </w:r>
          </w:p>
        </w:tc>
        <w:tc>
          <w:tcPr>
            <w:tcW w:type="dxa" w:w="1512"/>
          </w:tcPr>
          <w:p>
            <w:pPr>
              <w:spacing w:after="20"/>
              <w:jc w:val="right"/>
            </w:pPr>
            <w:r>
              <w:rPr>
                <w:color w:val="1C3A36"/>
                <w:sz w:val="16"/>
              </w:rPr>
              <w:t>~41.3%</w:t>
            </w:r>
          </w:p>
        </w:tc>
      </w:tr>
      <w:tr>
        <w:tc>
          <w:tcPr>
            <w:tcW w:type="dxa" w:w="2880"/>
          </w:tcPr>
          <w:p>
            <w:pPr>
              <w:spacing w:after="20"/>
            </w:pPr>
            <w:r>
              <w:rPr>
                <w:color w:val="1C3A36"/>
                <w:sz w:val="16"/>
              </w:rPr>
              <w:t>EBIT margin</w:t>
            </w:r>
          </w:p>
        </w:tc>
        <w:tc>
          <w:tcPr>
            <w:tcW w:type="dxa" w:w="1512"/>
          </w:tcPr>
          <w:p>
            <w:pPr>
              <w:spacing w:after="20"/>
              <w:jc w:val="right"/>
            </w:pPr>
            <w:r>
              <w:rPr>
                <w:color w:val="1C3A36"/>
                <w:sz w:val="16"/>
              </w:rPr>
              <w:t>21.2%</w:t>
            </w:r>
          </w:p>
        </w:tc>
        <w:tc>
          <w:tcPr>
            <w:tcW w:type="dxa" w:w="1512"/>
          </w:tcPr>
          <w:p>
            <w:pPr>
              <w:spacing w:after="20"/>
              <w:jc w:val="right"/>
            </w:pPr>
            <w:r>
              <w:rPr>
                <w:color w:val="1C3A36"/>
                <w:sz w:val="16"/>
              </w:rPr>
              <w:t>23.0%</w:t>
            </w:r>
          </w:p>
        </w:tc>
        <w:tc>
          <w:tcPr>
            <w:tcW w:type="dxa" w:w="1512"/>
          </w:tcPr>
          <w:p>
            <w:pPr>
              <w:spacing w:after="20"/>
              <w:jc w:val="right"/>
            </w:pPr>
            <w:r>
              <w:rPr>
                <w:color w:val="1C3A36"/>
                <w:sz w:val="16"/>
              </w:rPr>
              <w:t>23.0%</w:t>
            </w:r>
          </w:p>
        </w:tc>
        <w:tc>
          <w:tcPr>
            <w:tcW w:type="dxa" w:w="1512"/>
          </w:tcPr>
          <w:p>
            <w:pPr>
              <w:spacing w:after="20"/>
              <w:jc w:val="right"/>
            </w:pPr>
            <w:r>
              <w:rPr>
                <w:color w:val="1C3A36"/>
                <w:sz w:val="16"/>
              </w:rPr>
              <w:t>23.2%</w:t>
            </w:r>
          </w:p>
        </w:tc>
      </w:tr>
      <w:tr>
        <w:tc>
          <w:tcPr>
            <w:tcW w:type="dxa" w:w="2880"/>
          </w:tcPr>
          <w:p>
            <w:pPr>
              <w:spacing w:after="20"/>
            </w:pPr>
            <w:r>
              <w:rPr>
                <w:color w:val="1C3A36"/>
                <w:sz w:val="16"/>
              </w:rPr>
              <w:t>Net margin</w:t>
            </w:r>
          </w:p>
        </w:tc>
        <w:tc>
          <w:tcPr>
            <w:tcW w:type="dxa" w:w="1512"/>
          </w:tcPr>
          <w:p>
            <w:pPr>
              <w:spacing w:after="20"/>
              <w:jc w:val="right"/>
            </w:pPr>
            <w:r>
              <w:rPr>
                <w:color w:val="1C3A36"/>
                <w:sz w:val="16"/>
              </w:rPr>
              <w:t>20.2%</w:t>
            </w:r>
          </w:p>
        </w:tc>
        <w:tc>
          <w:tcPr>
            <w:tcW w:type="dxa" w:w="1512"/>
          </w:tcPr>
          <w:p>
            <w:pPr>
              <w:spacing w:after="20"/>
              <w:jc w:val="right"/>
            </w:pPr>
            <w:r>
              <w:rPr>
                <w:color w:val="1C3A36"/>
                <w:sz w:val="16"/>
              </w:rPr>
              <w:t>22.9%</w:t>
            </w:r>
          </w:p>
        </w:tc>
        <w:tc>
          <w:tcPr>
            <w:tcW w:type="dxa" w:w="1512"/>
          </w:tcPr>
          <w:p>
            <w:pPr>
              <w:spacing w:after="20"/>
              <w:jc w:val="right"/>
            </w:pPr>
            <w:r>
              <w:rPr>
                <w:color w:val="1C3A36"/>
                <w:sz w:val="16"/>
              </w:rPr>
              <w:t>24.6%</w:t>
            </w:r>
          </w:p>
        </w:tc>
        <w:tc>
          <w:tcPr>
            <w:tcW w:type="dxa" w:w="1512"/>
          </w:tcPr>
          <w:p>
            <w:pPr>
              <w:spacing w:after="20"/>
              <w:jc w:val="right"/>
            </w:pPr>
            <w:r>
              <w:rPr>
                <w:color w:val="1C3A36"/>
                <w:sz w:val="16"/>
              </w:rPr>
              <w:t>~23.7%</w:t>
            </w:r>
          </w:p>
        </w:tc>
      </w:tr>
      <w:tr>
        <w:tc>
          <w:tcPr>
            <w:tcW w:type="dxa" w:w="2880"/>
          </w:tcPr>
          <w:p>
            <w:pPr>
              <w:spacing w:after="20"/>
            </w:pPr>
            <w:r>
              <w:rPr>
                <w:color w:val="1C3A36"/>
                <w:sz w:val="16"/>
              </w:rPr>
              <w:t>ROE (avg equity)</w:t>
            </w:r>
          </w:p>
        </w:tc>
        <w:tc>
          <w:tcPr>
            <w:tcW w:type="dxa" w:w="1512"/>
          </w:tcPr>
          <w:p>
            <w:pPr>
              <w:spacing w:after="20"/>
              <w:jc w:val="right"/>
            </w:pPr>
            <w:r>
              <w:rPr>
                <w:color w:val="1C3A36"/>
                <w:sz w:val="16"/>
              </w:rPr>
              <w:t>—</w:t>
            </w:r>
          </w:p>
        </w:tc>
        <w:tc>
          <w:tcPr>
            <w:tcW w:type="dxa" w:w="1512"/>
          </w:tcPr>
          <w:p>
            <w:pPr>
              <w:spacing w:after="20"/>
              <w:jc w:val="right"/>
            </w:pPr>
            <w:r>
              <w:rPr>
                <w:color w:val="1C3A36"/>
                <w:sz w:val="16"/>
              </w:rPr>
              <w:t>38%</w:t>
            </w:r>
          </w:p>
        </w:tc>
        <w:tc>
          <w:tcPr>
            <w:tcW w:type="dxa" w:w="1512"/>
          </w:tcPr>
          <w:p>
            <w:pPr>
              <w:spacing w:after="20"/>
              <w:jc w:val="right"/>
            </w:pPr>
            <w:r>
              <w:rPr>
                <w:color w:val="1C3A36"/>
                <w:sz w:val="16"/>
              </w:rPr>
              <w:t>39%</w:t>
            </w:r>
          </w:p>
        </w:tc>
        <w:tc>
          <w:tcPr>
            <w:tcW w:type="dxa" w:w="1512"/>
          </w:tcPr>
          <w:p>
            <w:pPr>
              <w:spacing w:after="20"/>
              <w:jc w:val="right"/>
            </w:pPr>
            <w:r>
              <w:rPr>
                <w:color w:val="1C3A36"/>
                <w:sz w:val="16"/>
              </w:rPr>
              <w:t>38%</w:t>
            </w:r>
          </w:p>
        </w:tc>
      </w:tr>
      <w:tr>
        <w:tc>
          <w:tcPr>
            <w:tcW w:type="dxa" w:w="2880"/>
          </w:tcPr>
          <w:p>
            <w:pPr>
              <w:spacing w:after="20"/>
            </w:pPr>
            <w:r>
              <w:rPr>
                <w:color w:val="1C3A36"/>
                <w:sz w:val="16"/>
              </w:rPr>
              <w:t>ROIC</w:t>
            </w:r>
          </w:p>
        </w:tc>
        <w:tc>
          <w:tcPr>
            <w:tcW w:type="dxa" w:w="1512"/>
          </w:tcPr>
          <w:p>
            <w:pPr>
              <w:spacing w:after="20"/>
              <w:jc w:val="right"/>
            </w:pPr>
            <w:r>
              <w:rPr>
                <w:color w:val="1C3A36"/>
                <w:sz w:val="16"/>
              </w:rPr>
              <w:t>~80%</w:t>
            </w:r>
          </w:p>
        </w:tc>
        <w:tc>
          <w:tcPr>
            <w:tcW w:type="dxa" w:w="1512"/>
          </w:tcPr>
          <w:p>
            <w:pPr>
              <w:spacing w:after="20"/>
              <w:jc w:val="right"/>
            </w:pPr>
            <w:r>
              <w:rPr>
                <w:color w:val="1C3A36"/>
                <w:sz w:val="16"/>
              </w:rPr>
              <w:t>~85%</w:t>
            </w:r>
          </w:p>
        </w:tc>
        <w:tc>
          <w:tcPr>
            <w:tcW w:type="dxa" w:w="1512"/>
          </w:tcPr>
          <w:p>
            <w:pPr>
              <w:spacing w:after="20"/>
              <w:jc w:val="right"/>
            </w:pPr>
            <w:r>
              <w:rPr>
                <w:color w:val="1C3A36"/>
                <w:sz w:val="16"/>
              </w:rPr>
              <w:t>~88%</w:t>
            </w:r>
          </w:p>
        </w:tc>
        <w:tc>
          <w:tcPr>
            <w:tcW w:type="dxa" w:w="1512"/>
          </w:tcPr>
          <w:p>
            <w:pPr>
              <w:spacing w:after="20"/>
              <w:jc w:val="right"/>
            </w:pPr>
            <w:r>
              <w:rPr>
                <w:color w:val="1C3A36"/>
                <w:sz w:val="16"/>
              </w:rPr>
              <w:t>~85%</w:t>
            </w:r>
          </w:p>
        </w:tc>
      </w:tr>
      <w:tr>
        <w:tc>
          <w:tcPr>
            <w:tcW w:type="dxa" w:w="2880"/>
          </w:tcPr>
          <w:p>
            <w:pPr>
              <w:spacing w:after="20"/>
            </w:pPr>
            <w:r>
              <w:rPr>
                <w:color w:val="1C3A36"/>
                <w:sz w:val="16"/>
              </w:rPr>
              <w:t>Free cash flow (SAR mn)</w:t>
            </w:r>
          </w:p>
        </w:tc>
        <w:tc>
          <w:tcPr>
            <w:tcW w:type="dxa" w:w="1512"/>
          </w:tcPr>
          <w:p>
            <w:pPr>
              <w:spacing w:after="20"/>
              <w:jc w:val="right"/>
            </w:pPr>
            <w:r>
              <w:rPr>
                <w:color w:val="1C3A36"/>
                <w:sz w:val="16"/>
              </w:rPr>
              <w:t>—</w:t>
            </w:r>
          </w:p>
        </w:tc>
        <w:tc>
          <w:tcPr>
            <w:tcW w:type="dxa" w:w="1512"/>
          </w:tcPr>
          <w:p>
            <w:pPr>
              <w:spacing w:after="20"/>
              <w:jc w:val="right"/>
            </w:pPr>
            <w:r>
              <w:rPr>
                <w:color w:val="1C3A36"/>
                <w:sz w:val="16"/>
              </w:rPr>
              <w:t>1,027</w:t>
            </w:r>
          </w:p>
        </w:tc>
        <w:tc>
          <w:tcPr>
            <w:tcW w:type="dxa" w:w="1512"/>
          </w:tcPr>
          <w:p>
            <w:pPr>
              <w:spacing w:after="20"/>
              <w:jc w:val="right"/>
            </w:pPr>
            <w:r>
              <w:rPr>
                <w:color w:val="1C3A36"/>
                <w:sz w:val="16"/>
              </w:rPr>
              <w:t>1,434</w:t>
            </w:r>
          </w:p>
        </w:tc>
        <w:tc>
          <w:tcPr>
            <w:tcW w:type="dxa" w:w="1512"/>
          </w:tcPr>
          <w:p>
            <w:pPr>
              <w:spacing w:after="20"/>
              <w:jc w:val="right"/>
            </w:pPr>
            <w:r>
              <w:rPr>
                <w:color w:val="1C3A36"/>
                <w:sz w:val="16"/>
              </w:rPr>
              <w:t>2,212</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744"/>
            <w:shd w:val="clear" w:color="auto" w:fill="EAF0EE"/>
          </w:tcPr>
          <w:p>
            <w:pPr>
              <w:spacing w:after="20"/>
            </w:pPr>
            <w:r>
              <w:rPr>
                <w:b/>
                <w:color w:val="1C3A36"/>
                <w:sz w:val="16"/>
              </w:rPr>
              <w:t>Valuation at spot SAR 658</w:t>
            </w:r>
          </w:p>
        </w:tc>
        <w:tc>
          <w:tcPr>
            <w:tcW w:type="dxa" w:w="2016"/>
            <w:shd w:val="clear" w:color="auto" w:fill="EAF0EE"/>
          </w:tcPr>
          <w:p>
            <w:pPr>
              <w:spacing w:after="20"/>
            </w:pPr>
            <w:r>
              <w:rPr>
                <w:b/>
                <w:color w:val="1C3A36"/>
                <w:sz w:val="16"/>
              </w:rPr>
              <w:t>Trailing (2024a)</w:t>
            </w:r>
          </w:p>
        </w:tc>
        <w:tc>
          <w:tcPr>
            <w:tcW w:type="dxa" w:w="2016"/>
            <w:shd w:val="clear" w:color="auto" w:fill="EAF0EE"/>
          </w:tcPr>
          <w:p>
            <w:pPr>
              <w:spacing w:after="20"/>
            </w:pPr>
            <w:r>
              <w:rPr>
                <w:b/>
                <w:color w:val="1C3A36"/>
                <w:sz w:val="16"/>
              </w:rPr>
              <w:t>Forward (2025e)</w:t>
            </w:r>
          </w:p>
        </w:tc>
      </w:tr>
      <w:tr>
        <w:tc>
          <w:tcPr>
            <w:tcW w:type="dxa" w:w="3744"/>
          </w:tcPr>
          <w:p>
            <w:pPr>
              <w:spacing w:after="20"/>
            </w:pPr>
            <w:r>
              <w:rPr>
                <w:color w:val="1C3A36"/>
                <w:sz w:val="16"/>
              </w:rPr>
              <w:t>P/E</w:t>
            </w:r>
          </w:p>
        </w:tc>
        <w:tc>
          <w:tcPr>
            <w:tcW w:type="dxa" w:w="2016"/>
          </w:tcPr>
          <w:p>
            <w:pPr>
              <w:spacing w:after="20"/>
              <w:jc w:val="right"/>
            </w:pPr>
            <w:r>
              <w:rPr>
                <w:color w:val="1C3A36"/>
                <w:sz w:val="16"/>
              </w:rPr>
              <w:t>28.0×</w:t>
            </w:r>
          </w:p>
        </w:tc>
        <w:tc>
          <w:tcPr>
            <w:tcW w:type="dxa" w:w="2016"/>
          </w:tcPr>
          <w:p>
            <w:pPr>
              <w:spacing w:after="20"/>
              <w:jc w:val="right"/>
            </w:pPr>
            <w:r>
              <w:rPr>
                <w:color w:val="1C3A36"/>
                <w:sz w:val="16"/>
              </w:rPr>
              <w:t>23.0×</w:t>
            </w:r>
          </w:p>
        </w:tc>
      </w:tr>
      <w:tr>
        <w:tc>
          <w:tcPr>
            <w:tcW w:type="dxa" w:w="3744"/>
          </w:tcPr>
          <w:p>
            <w:pPr>
              <w:spacing w:after="20"/>
            </w:pPr>
            <w:r>
              <w:rPr>
                <w:color w:val="1C3A36"/>
                <w:sz w:val="16"/>
              </w:rPr>
              <w:t>P/B</w:t>
            </w:r>
          </w:p>
        </w:tc>
        <w:tc>
          <w:tcPr>
            <w:tcW w:type="dxa" w:w="2016"/>
          </w:tcPr>
          <w:p>
            <w:pPr>
              <w:spacing w:after="20"/>
              <w:jc w:val="right"/>
            </w:pPr>
            <w:r>
              <w:rPr>
                <w:color w:val="1C3A36"/>
                <w:sz w:val="16"/>
              </w:rPr>
              <w:t>10.0×</w:t>
            </w:r>
          </w:p>
        </w:tc>
        <w:tc>
          <w:tcPr>
            <w:tcW w:type="dxa" w:w="2016"/>
          </w:tcPr>
          <w:p>
            <w:pPr>
              <w:spacing w:after="20"/>
              <w:jc w:val="right"/>
            </w:pPr>
            <w:r>
              <w:rPr>
                <w:color w:val="1C3A36"/>
                <w:sz w:val="16"/>
              </w:rPr>
              <w:t>—</w:t>
            </w:r>
          </w:p>
        </w:tc>
      </w:tr>
      <w:tr>
        <w:tc>
          <w:tcPr>
            <w:tcW w:type="dxa" w:w="3744"/>
          </w:tcPr>
          <w:p>
            <w:pPr>
              <w:spacing w:after="20"/>
            </w:pPr>
            <w:r>
              <w:rPr>
                <w:color w:val="1C3A36"/>
                <w:sz w:val="16"/>
              </w:rPr>
              <w:t>EV/EBITDA</w:t>
            </w:r>
          </w:p>
        </w:tc>
        <w:tc>
          <w:tcPr>
            <w:tcW w:type="dxa" w:w="2016"/>
          </w:tcPr>
          <w:p>
            <w:pPr>
              <w:spacing w:after="20"/>
              <w:jc w:val="right"/>
            </w:pPr>
            <w:r>
              <w:rPr>
                <w:color w:val="1C3A36"/>
                <w:sz w:val="16"/>
              </w:rPr>
              <w:t>26.7×</w:t>
            </w:r>
          </w:p>
        </w:tc>
        <w:tc>
          <w:tcPr>
            <w:tcW w:type="dxa" w:w="2016"/>
          </w:tcPr>
          <w:p>
            <w:pPr>
              <w:spacing w:after="20"/>
              <w:jc w:val="right"/>
            </w:pPr>
            <w:r>
              <w:rPr>
                <w:color w:val="1C3A36"/>
                <w:sz w:val="16"/>
              </w:rPr>
              <w:t>20.1×</w:t>
            </w:r>
          </w:p>
        </w:tc>
      </w:tr>
      <w:tr>
        <w:tc>
          <w:tcPr>
            <w:tcW w:type="dxa" w:w="3744"/>
          </w:tcPr>
          <w:p>
            <w:pPr>
              <w:spacing w:after="20"/>
            </w:pPr>
            <w:r>
              <w:rPr>
                <w:color w:val="1C3A36"/>
                <w:sz w:val="16"/>
              </w:rPr>
              <w:t>Dividend yield</w:t>
            </w:r>
          </w:p>
        </w:tc>
        <w:tc>
          <w:tcPr>
            <w:tcW w:type="dxa" w:w="2016"/>
          </w:tcPr>
          <w:p>
            <w:pPr>
              <w:spacing w:after="20"/>
              <w:jc w:val="right"/>
            </w:pPr>
            <w:r>
              <w:rPr>
                <w:color w:val="1C3A36"/>
                <w:sz w:val="16"/>
              </w:rPr>
              <w:t>1.3%</w:t>
            </w:r>
          </w:p>
        </w:tc>
        <w:tc>
          <w:tcPr>
            <w:tcW w:type="dxa" w:w="2016"/>
          </w:tcPr>
          <w:p>
            <w:pPr>
              <w:spacing w:after="20"/>
              <w:jc w:val="right"/>
            </w:pPr>
            <w:r>
              <w:rPr>
                <w:color w:val="1C3A36"/>
                <w:sz w:val="16"/>
              </w:rPr>
              <w:t>—</w:t>
            </w:r>
          </w:p>
        </w:tc>
      </w:tr>
      <w:tr>
        <w:tc>
          <w:tcPr>
            <w:tcW w:type="dxa" w:w="3744"/>
          </w:tcPr>
          <w:p>
            <w:pPr>
              <w:spacing w:after="20"/>
            </w:pPr>
            <w:r>
              <w:rPr>
                <w:color w:val="1C3A36"/>
                <w:sz w:val="16"/>
              </w:rPr>
              <w:t>FCF yield (on market cap)</w:t>
            </w:r>
          </w:p>
        </w:tc>
        <w:tc>
          <w:tcPr>
            <w:tcW w:type="dxa" w:w="2016"/>
          </w:tcPr>
          <w:p>
            <w:pPr>
              <w:spacing w:after="20"/>
              <w:jc w:val="right"/>
            </w:pPr>
            <w:r>
              <w:rPr>
                <w:color w:val="1C3A36"/>
                <w:sz w:val="16"/>
              </w:rPr>
              <w:t>2.7%</w:t>
            </w:r>
          </w:p>
        </w:tc>
        <w:tc>
          <w:tcPr>
            <w:tcW w:type="dxa" w:w="2016"/>
          </w:tcPr>
          <w:p>
            <w:pPr>
              <w:spacing w:after="20"/>
              <w:jc w:val="right"/>
            </w:pPr>
            <w:r>
              <w:rPr>
                <w:color w:val="1C3A36"/>
                <w:sz w:val="16"/>
              </w:rPr>
              <w:t>4.2%</w:t>
            </w:r>
          </w:p>
        </w:tc>
      </w:tr>
    </w:tbl>
    <w:p>
      <w:pPr>
        <w:spacing w:after="40"/>
      </w:pPr>
    </w:p>
    <w:p>
      <w:pPr>
        <w:spacing w:after="180" w:before="0"/>
      </w:pPr>
      <w:r>
        <w:rPr>
          <w:b w:val="0"/>
          <w:i/>
          <w:color w:val="6E7B77"/>
          <w:sz w:val="17"/>
        </w:rPr>
        <w:t>The standardised ratio panel, identical in shape across Testahil studies. Elm now trades at ~24× trailing / ~23× forward earnings and ~20× forward EV/EBITDA — well below its own history (~42×) but still a clear premium to the market, the premium the moat and returns are asked to justify.</w:t>
      </w:r>
    </w:p>
    <w:p>
      <w:pPr>
        <w:spacing w:after="100" w:before="260"/>
      </w:pPr>
      <w:r>
        <w:rPr>
          <w:b/>
          <w:i w:val="0"/>
          <w:color w:val="1C3A36"/>
          <w:sz w:val="29"/>
        </w:rPr>
        <w:t>Appendix B · Peer set, sector structure, and risks</w:t>
      </w:r>
    </w:p>
    <w:p>
      <w:pPr>
        <w:spacing w:after="120" w:before="0"/>
      </w:pPr>
      <w:r>
        <w:rPr>
          <w:b w:val="0"/>
          <w:i w:val="0"/>
          <w:color w:val="1C3A36"/>
          <w:sz w:val="20"/>
        </w:rPr>
        <w:t>Elm has no clean listed peer on the Tadawul; the closest comparators are global IT-services and government-technology names and regional digital-platform businesses, though none share Elm’s national-registry exclusivity. On the metrics that matter — recurring mix, ROIC, growth, and margin — Elm screens at or above the better global software-services franchises, which is the basis for its historical premium multiple.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024"/>
            <w:shd w:val="clear" w:color="auto" w:fill="EAF0EE"/>
          </w:tcPr>
          <w:p>
            <w:pPr>
              <w:spacing w:after="20"/>
            </w:pPr>
            <w:r>
              <w:rPr>
                <w:b/>
                <w:color w:val="1C3A36"/>
                <w:sz w:val="16"/>
              </w:rPr>
              <w:t>Comparator group</w:t>
            </w:r>
          </w:p>
        </w:tc>
        <w:tc>
          <w:tcPr>
            <w:tcW w:type="dxa" w:w="2016"/>
            <w:shd w:val="clear" w:color="auto" w:fill="EAF0EE"/>
          </w:tcPr>
          <w:p>
            <w:pPr>
              <w:spacing w:after="20"/>
            </w:pPr>
            <w:r>
              <w:rPr>
                <w:b/>
                <w:color w:val="1C3A36"/>
                <w:sz w:val="16"/>
              </w:rPr>
              <w:t>Typical forward P/E</w:t>
            </w:r>
          </w:p>
        </w:tc>
        <w:tc>
          <w:tcPr>
            <w:tcW w:type="dxa" w:w="2016"/>
            <w:shd w:val="clear" w:color="auto" w:fill="EAF0EE"/>
          </w:tcPr>
          <w:p>
            <w:pPr>
              <w:spacing w:after="20"/>
            </w:pPr>
            <w:r>
              <w:rPr>
                <w:b/>
                <w:color w:val="1C3A36"/>
                <w:sz w:val="16"/>
              </w:rPr>
              <w:t>Typical EV/EBITDA</w:t>
            </w:r>
          </w:p>
        </w:tc>
        <w:tc>
          <w:tcPr>
            <w:tcW w:type="dxa" w:w="2736"/>
            <w:shd w:val="clear" w:color="auto" w:fill="EAF0EE"/>
          </w:tcPr>
          <w:p>
            <w:pPr>
              <w:spacing w:after="20"/>
            </w:pPr>
            <w:r>
              <w:rPr>
                <w:b/>
                <w:color w:val="1C3A36"/>
                <w:sz w:val="16"/>
              </w:rPr>
              <w:t>Note</w:t>
            </w:r>
          </w:p>
        </w:tc>
      </w:tr>
      <w:tr>
        <w:tc>
          <w:tcPr>
            <w:tcW w:type="dxa" w:w="3024"/>
          </w:tcPr>
          <w:p>
            <w:pPr>
              <w:spacing w:after="20"/>
            </w:pPr>
            <w:r>
              <w:rPr>
                <w:color w:val="1C3A36"/>
                <w:sz w:val="16"/>
              </w:rPr>
              <w:t>Global IT services / gov-tech</w:t>
            </w:r>
          </w:p>
        </w:tc>
        <w:tc>
          <w:tcPr>
            <w:tcW w:type="dxa" w:w="2016"/>
          </w:tcPr>
          <w:p>
            <w:pPr>
              <w:spacing w:after="20"/>
              <w:jc w:val="right"/>
            </w:pPr>
            <w:r>
              <w:rPr>
                <w:color w:val="1C3A36"/>
                <w:sz w:val="16"/>
              </w:rPr>
              <w:t>18–28×</w:t>
            </w:r>
          </w:p>
        </w:tc>
        <w:tc>
          <w:tcPr>
            <w:tcW w:type="dxa" w:w="2016"/>
          </w:tcPr>
          <w:p>
            <w:pPr>
              <w:spacing w:after="20"/>
              <w:jc w:val="right"/>
            </w:pPr>
            <w:r>
              <w:rPr>
                <w:color w:val="1C3A36"/>
                <w:sz w:val="16"/>
              </w:rPr>
              <w:t>12–18×</w:t>
            </w:r>
          </w:p>
        </w:tc>
        <w:tc>
          <w:tcPr>
            <w:tcW w:type="dxa" w:w="2736"/>
          </w:tcPr>
          <w:p>
            <w:pPr>
              <w:spacing w:after="20"/>
              <w:jc w:val="right"/>
            </w:pPr>
            <w:r>
              <w:rPr>
                <w:color w:val="1C3A36"/>
                <w:sz w:val="16"/>
              </w:rPr>
              <w:t>lower growth, no registry moat</w:t>
            </w:r>
          </w:p>
        </w:tc>
      </w:tr>
      <w:tr>
        <w:tc>
          <w:tcPr>
            <w:tcW w:type="dxa" w:w="3024"/>
          </w:tcPr>
          <w:p>
            <w:pPr>
              <w:spacing w:after="20"/>
            </w:pPr>
            <w:r>
              <w:rPr>
                <w:color w:val="1C3A36"/>
                <w:sz w:val="16"/>
              </w:rPr>
              <w:t>Regional digital platforms (GCC)</w:t>
            </w:r>
          </w:p>
        </w:tc>
        <w:tc>
          <w:tcPr>
            <w:tcW w:type="dxa" w:w="2016"/>
          </w:tcPr>
          <w:p>
            <w:pPr>
              <w:spacing w:after="20"/>
              <w:jc w:val="right"/>
            </w:pPr>
            <w:r>
              <w:rPr>
                <w:color w:val="1C3A36"/>
                <w:sz w:val="16"/>
              </w:rPr>
              <w:t>20–35×</w:t>
            </w:r>
          </w:p>
        </w:tc>
        <w:tc>
          <w:tcPr>
            <w:tcW w:type="dxa" w:w="2016"/>
          </w:tcPr>
          <w:p>
            <w:pPr>
              <w:spacing w:after="20"/>
              <w:jc w:val="right"/>
            </w:pPr>
            <w:r>
              <w:rPr>
                <w:color w:val="1C3A36"/>
                <w:sz w:val="16"/>
              </w:rPr>
              <w:t>14–22×</w:t>
            </w:r>
          </w:p>
        </w:tc>
        <w:tc>
          <w:tcPr>
            <w:tcW w:type="dxa" w:w="2736"/>
          </w:tcPr>
          <w:p>
            <w:pPr>
              <w:spacing w:after="20"/>
              <w:jc w:val="right"/>
            </w:pPr>
            <w:r>
              <w:rPr>
                <w:color w:val="1C3A36"/>
                <w:sz w:val="16"/>
              </w:rPr>
              <w:t>closer growth profile, thinner track record</w:t>
            </w:r>
          </w:p>
        </w:tc>
      </w:tr>
      <w:tr>
        <w:tc>
          <w:tcPr>
            <w:tcW w:type="dxa" w:w="3024"/>
            <w:shd w:val="clear" w:color="auto" w:fill="F6F1E6"/>
          </w:tcPr>
          <w:p>
            <w:pPr>
              <w:spacing w:after="20"/>
            </w:pPr>
            <w:r>
              <w:rPr>
                <w:b/>
                <w:color w:val="1C3A36"/>
                <w:sz w:val="16"/>
              </w:rPr>
              <w:t>Elm (current)</w:t>
            </w:r>
          </w:p>
        </w:tc>
        <w:tc>
          <w:tcPr>
            <w:tcW w:type="dxa" w:w="2016"/>
            <w:shd w:val="clear" w:color="auto" w:fill="F6F1E6"/>
          </w:tcPr>
          <w:p>
            <w:pPr>
              <w:spacing w:after="20"/>
              <w:jc w:val="right"/>
            </w:pPr>
            <w:r>
              <w:rPr>
                <w:b/>
                <w:color w:val="1C3A36"/>
                <w:sz w:val="16"/>
              </w:rPr>
              <w:t>~24×</w:t>
            </w:r>
          </w:p>
        </w:tc>
        <w:tc>
          <w:tcPr>
            <w:tcW w:type="dxa" w:w="2016"/>
            <w:shd w:val="clear" w:color="auto" w:fill="F6F1E6"/>
          </w:tcPr>
          <w:p>
            <w:pPr>
              <w:spacing w:after="20"/>
              <w:jc w:val="right"/>
            </w:pPr>
            <w:r>
              <w:rPr>
                <w:b/>
                <w:color w:val="1C3A36"/>
                <w:sz w:val="16"/>
              </w:rPr>
              <w:t>~22×</w:t>
            </w:r>
          </w:p>
        </w:tc>
        <w:tc>
          <w:tcPr>
            <w:tcW w:type="dxa" w:w="2736"/>
            <w:shd w:val="clear" w:color="auto" w:fill="F6F1E6"/>
          </w:tcPr>
          <w:p>
            <w:pPr>
              <w:spacing w:after="20"/>
              <w:jc w:val="right"/>
            </w:pPr>
            <w:r>
              <w:rPr>
                <w:b/>
                <w:color w:val="1C3A36"/>
                <w:sz w:val="16"/>
              </w:rPr>
              <w:t>below own history (~42×); premium justified by ROIC &amp; moat if durable</w:t>
            </w:r>
          </w:p>
        </w:tc>
      </w:tr>
    </w:tbl>
    <w:p>
      <w:pPr>
        <w:spacing w:after="40"/>
      </w:pPr>
    </w:p>
    <w:p>
      <w:pPr>
        <w:spacing w:after="60" w:before="180"/>
      </w:pPr>
      <w:r>
        <w:rPr>
          <w:b/>
          <w:i w:val="0"/>
          <w:color w:val="1C3A36"/>
          <w:sz w:val="23"/>
        </w:rPr>
        <w:t>Principal risks</w:t>
      </w:r>
    </w:p>
    <w:p>
      <w:pPr>
        <w:pStyle w:val="ListBullet"/>
        <w:spacing w:after="60"/>
      </w:pPr>
      <w:r>
        <w:rPr>
          <w:b/>
          <w:color w:val="1C3A36"/>
          <w:sz w:val="20"/>
        </w:rPr>
        <w:t>Exclusivity / data access:</w:t>
      </w:r>
      <w:r>
        <w:rPr>
          <w:color w:val="1C3A36"/>
          <w:sz w:val="20"/>
        </w:rPr>
        <w:t xml:space="preserve"> the terminal thesis depends on continued exclusive access to the national data registry; loss or dilution of that access is the dominant risk.</w:t>
      </w:r>
    </w:p>
    <w:p>
      <w:pPr>
        <w:pStyle w:val="ListBullet"/>
        <w:spacing w:after="60"/>
      </w:pPr>
      <w:r>
        <w:rPr>
          <w:b/>
          <w:color w:val="1C3A36"/>
          <w:sz w:val="20"/>
        </w:rPr>
        <w:t>Revenue-sharing:</w:t>
      </w:r>
      <w:r>
        <w:rPr>
          <w:color w:val="1C3A36"/>
          <w:sz w:val="20"/>
        </w:rPr>
        <w:t xml:space="preserve"> income-sharing arrangements on flagship platforms could be renegotiated adversely, compressing Digital-Business margins.</w:t>
      </w:r>
    </w:p>
    <w:p>
      <w:pPr>
        <w:pStyle w:val="ListBullet"/>
        <w:spacing w:after="60"/>
      </w:pPr>
      <w:r>
        <w:rPr>
          <w:b/>
          <w:color w:val="1C3A36"/>
          <w:sz w:val="20"/>
        </w:rPr>
        <w:t>Government concentration:</w:t>
      </w:r>
      <w:r>
        <w:rPr>
          <w:color w:val="1C3A36"/>
          <w:sz w:val="20"/>
        </w:rPr>
        <w:t xml:space="preserve"> ~38.5% public-sector revenue exposes Elm to the Saudi fiscal and oil-price cycle.</w:t>
      </w:r>
    </w:p>
    <w:p>
      <w:pPr>
        <w:pStyle w:val="ListBullet"/>
        <w:spacing w:after="60"/>
      </w:pPr>
      <w:r>
        <w:rPr>
          <w:b/>
          <w:color w:val="1C3A36"/>
          <w:sz w:val="20"/>
        </w:rPr>
        <w:t>Cost inflation:</w:t>
      </w:r>
      <w:r>
        <w:rPr>
          <w:color w:val="1C3A36"/>
          <w:sz w:val="20"/>
        </w:rPr>
        <w:t xml:space="preserve"> a fast-growing, people-heavy services business is exposed to Saudi wage inflation and Saudisation costs.</w:t>
      </w:r>
    </w:p>
    <w:p>
      <w:pPr>
        <w:pStyle w:val="ListBullet"/>
        <w:spacing w:after="60"/>
      </w:pPr>
      <w:r>
        <w:rPr>
          <w:b/>
          <w:color w:val="1C3A36"/>
          <w:sz w:val="20"/>
        </w:rPr>
        <w:t>Security:</w:t>
      </w:r>
      <w:r>
        <w:rPr>
          <w:color w:val="1C3A36"/>
          <w:sz w:val="20"/>
        </w:rPr>
        <w:t xml:space="preserve"> cybersecurity failure in a business built on trust and sensitive national data would be reputationally severe.</w:t>
      </w:r>
    </w:p>
    <w:p>
      <w:pPr>
        <w:spacing w:after="100" w:before="260"/>
      </w:pPr>
      <w:r>
        <w:rPr>
          <w:b/>
          <w:i w:val="0"/>
          <w:color w:val="1C3A36"/>
          <w:sz w:val="29"/>
        </w:rPr>
        <w:t>Appendix C · Expert valuation panel</w:t>
      </w:r>
    </w:p>
    <w:p>
      <w:pPr>
        <w:spacing w:after="120" w:before="0"/>
      </w:pPr>
      <w:r>
        <w:rPr>
          <w:b w:val="0"/>
          <w:i w:val="0"/>
          <w:color w:val="1C3A36"/>
          <w:sz w:val="20"/>
        </w:rPr>
        <w:t>Three independent valuation traditions, each applied to Elm with its own method, its shown workings, a worked example, a sensitivity on its swing input, a cross-examination of the other two, and an explicit price-implied read with a falsification condition. The experts are labelled by method, not by name. They do not disagree about the franchise — all three see a high-return, moat-protected compounder — they disagree about the price of its two structural risks: the discount rate and the durability of the moat.</w:t>
      </w:r>
    </w:p>
    <w:p>
      <w:pPr>
        <w:spacing w:after="60" w:before="180"/>
      </w:pPr>
      <w:r>
        <w:rPr>
          <w:b/>
          <w:i w:val="0"/>
          <w:color w:val="1C3A36"/>
          <w:sz w:val="23"/>
        </w:rPr>
        <w:t>C.1  Expert 1 — growth durability (intrinsic value / reverse-DCF)</w:t>
      </w:r>
    </w:p>
    <w:p>
      <w:pPr>
        <w:spacing w:after="120" w:before="0"/>
      </w:pPr>
      <w:r>
        <w:rPr>
          <w:b w:val="0"/>
          <w:i w:val="0"/>
          <w:color w:val="1C3A36"/>
          <w:sz w:val="20"/>
        </w:rPr>
        <w:t>Worldview and tradition. In the Fisher–Gordon intrinsic-value tradition, a business is worth the present value of the cash it will return, and for a company whose value is ~77% terminal the entire debate collapses onto one number — the discount rate. Expert 1 accepts the ~16% growth path and asks two disciplined questions: what is the intrinsic value at a defensible cost of capital, and what is the market at SAR 658 already implying?</w:t>
      </w:r>
    </w:p>
    <w:p>
      <w:pPr>
        <w:spacing w:after="120" w:before="0"/>
      </w:pPr>
      <w:r>
        <w:rPr>
          <w:b w:val="0"/>
          <w:i w:val="0"/>
          <w:color w:val="1C3A36"/>
          <w:sz w:val="20"/>
        </w:rPr>
        <w:t>When it works, and when it fails. It works for durable compounders with visible, recurring cash flows — which Elm is. It fails when growth or the discount rate is genuinely unknowable; Elm’s ~4.4-year listed history makes its beta unstable, which is exactly why Expert 1 leans on the reverse-DCF as a cross-check rather than trusting a single forward beta.</w:t>
      </w:r>
    </w:p>
    <w:p>
      <w:pPr>
        <w:spacing w:after="120" w:before="0"/>
      </w:pPr>
      <w:r>
        <w:rPr>
          <w:b/>
          <w:i w:val="0"/>
          <w:color w:val="1C3A36"/>
          <w:sz w:val="20"/>
        </w:rPr>
        <w:t>Shown workings — forward DCF and reverse-DCF.</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3168"/>
            <w:shd w:val="clear" w:color="auto" w:fill="EAF0EE"/>
          </w:tcPr>
          <w:p>
            <w:pPr>
              <w:spacing w:after="20"/>
            </w:pPr>
            <w:r>
              <w:rPr>
                <w:b/>
                <w:color w:val="1C3A36"/>
                <w:sz w:val="16"/>
              </w:rPr>
              <w:t>Forward DCF (g = 4%)</w:t>
            </w:r>
          </w:p>
        </w:tc>
        <w:tc>
          <w:tcPr>
            <w:tcW w:type="dxa" w:w="1512"/>
            <w:shd w:val="clear" w:color="auto" w:fill="EAF0EE"/>
          </w:tcPr>
          <w:p>
            <w:pPr>
              <w:spacing w:after="20"/>
            </w:pPr>
            <w:r>
              <w:rPr>
                <w:b/>
                <w:color w:val="1C3A36"/>
                <w:sz w:val="16"/>
              </w:rPr>
              <w:t>β 0.7</w:t>
            </w:r>
          </w:p>
        </w:tc>
        <w:tc>
          <w:tcPr>
            <w:tcW w:type="dxa" w:w="1656"/>
            <w:shd w:val="clear" w:color="auto" w:fill="EAF0EE"/>
          </w:tcPr>
          <w:p>
            <w:pPr>
              <w:spacing w:after="20"/>
            </w:pPr>
            <w:r>
              <w:rPr>
                <w:b/>
                <w:color w:val="1C3A36"/>
                <w:sz w:val="16"/>
              </w:rPr>
              <w:t>β 1.0 (base)</w:t>
            </w:r>
          </w:p>
        </w:tc>
        <w:tc>
          <w:tcPr>
            <w:tcW w:type="dxa" w:w="1512"/>
            <w:shd w:val="clear" w:color="auto" w:fill="EAF0EE"/>
          </w:tcPr>
          <w:p>
            <w:pPr>
              <w:spacing w:after="20"/>
            </w:pPr>
            <w:r>
              <w:rPr>
                <w:b/>
                <w:color w:val="1C3A36"/>
                <w:sz w:val="16"/>
              </w:rPr>
              <w:t>β 1.3</w:t>
            </w:r>
          </w:p>
        </w:tc>
        <w:tc>
          <w:tcPr>
            <w:tcW w:type="dxa" w:w="1512"/>
            <w:shd w:val="clear" w:color="auto" w:fill="EAF0EE"/>
          </w:tcPr>
          <w:p>
            <w:pPr>
              <w:spacing w:after="20"/>
            </w:pPr>
            <w:r>
              <w:rPr>
                <w:b/>
                <w:color w:val="1C3A36"/>
                <w:sz w:val="16"/>
              </w:rPr>
              <w:t>β 1.6</w:t>
            </w:r>
          </w:p>
        </w:tc>
      </w:tr>
      <w:tr>
        <w:tc>
          <w:tcPr>
            <w:tcW w:type="dxa" w:w="3168"/>
          </w:tcPr>
          <w:p>
            <w:pPr>
              <w:spacing w:after="20"/>
            </w:pPr>
            <w:r>
              <w:rPr>
                <w:color w:val="1C3A36"/>
                <w:sz w:val="16"/>
              </w:rPr>
              <w:t>Implied WACC</w:t>
            </w:r>
          </w:p>
        </w:tc>
        <w:tc>
          <w:tcPr>
            <w:tcW w:type="dxa" w:w="1512"/>
          </w:tcPr>
          <w:p>
            <w:pPr>
              <w:spacing w:after="20"/>
              <w:jc w:val="right"/>
            </w:pPr>
            <w:r>
              <w:rPr>
                <w:color w:val="1C3A36"/>
                <w:sz w:val="16"/>
              </w:rPr>
              <w:t>9.0%</w:t>
            </w:r>
          </w:p>
        </w:tc>
        <w:tc>
          <w:tcPr>
            <w:tcW w:type="dxa" w:w="1656"/>
          </w:tcPr>
          <w:p>
            <w:pPr>
              <w:spacing w:after="20"/>
              <w:jc w:val="right"/>
            </w:pPr>
            <w:r>
              <w:rPr>
                <w:color w:val="1C3A36"/>
                <w:sz w:val="16"/>
              </w:rPr>
              <w:t>10.5%</w:t>
            </w:r>
          </w:p>
        </w:tc>
        <w:tc>
          <w:tcPr>
            <w:tcW w:type="dxa" w:w="1512"/>
          </w:tcPr>
          <w:p>
            <w:pPr>
              <w:spacing w:after="20"/>
              <w:jc w:val="right"/>
            </w:pPr>
            <w:r>
              <w:rPr>
                <w:color w:val="1C3A36"/>
                <w:sz w:val="16"/>
              </w:rPr>
              <w:t>12.0%</w:t>
            </w:r>
          </w:p>
        </w:tc>
        <w:tc>
          <w:tcPr>
            <w:tcW w:type="dxa" w:w="1512"/>
          </w:tcPr>
          <w:p>
            <w:pPr>
              <w:spacing w:after="20"/>
              <w:jc w:val="right"/>
            </w:pPr>
            <w:r>
              <w:rPr>
                <w:color w:val="1C3A36"/>
                <w:sz w:val="16"/>
              </w:rPr>
              <w:t>13.5%</w:t>
            </w:r>
          </w:p>
        </w:tc>
      </w:tr>
      <w:tr>
        <w:tc>
          <w:tcPr>
            <w:tcW w:type="dxa" w:w="3168"/>
          </w:tcPr>
          <w:p>
            <w:pPr>
              <w:spacing w:after="20"/>
            </w:pPr>
            <w:r>
              <w:rPr>
                <w:color w:val="1C3A36"/>
                <w:sz w:val="16"/>
              </w:rPr>
              <w:t>Fair value (SAR/share)</w:t>
            </w:r>
          </w:p>
        </w:tc>
        <w:tc>
          <w:tcPr>
            <w:tcW w:type="dxa" w:w="1512"/>
          </w:tcPr>
          <w:p>
            <w:pPr>
              <w:spacing w:after="20"/>
              <w:jc w:val="right"/>
            </w:pPr>
            <w:r>
              <w:rPr>
                <w:color w:val="1C3A36"/>
                <w:sz w:val="16"/>
              </w:rPr>
              <w:t>750</w:t>
            </w:r>
          </w:p>
        </w:tc>
        <w:tc>
          <w:tcPr>
            <w:tcW w:type="dxa" w:w="1656"/>
          </w:tcPr>
          <w:p>
            <w:pPr>
              <w:spacing w:after="20"/>
              <w:jc w:val="right"/>
            </w:pPr>
            <w:r>
              <w:rPr>
                <w:color w:val="1C3A36"/>
                <w:sz w:val="16"/>
              </w:rPr>
              <w:t>576</w:t>
            </w:r>
          </w:p>
        </w:tc>
        <w:tc>
          <w:tcPr>
            <w:tcW w:type="dxa" w:w="1512"/>
          </w:tcPr>
          <w:p>
            <w:pPr>
              <w:spacing w:after="20"/>
              <w:jc w:val="right"/>
            </w:pPr>
            <w:r>
              <w:rPr>
                <w:color w:val="1C3A36"/>
                <w:sz w:val="16"/>
              </w:rPr>
              <w:t>469</w:t>
            </w:r>
          </w:p>
        </w:tc>
        <w:tc>
          <w:tcPr>
            <w:tcW w:type="dxa" w:w="1512"/>
          </w:tcPr>
          <w:p>
            <w:pPr>
              <w:spacing w:after="20"/>
              <w:jc w:val="right"/>
            </w:pPr>
            <w:r>
              <w:rPr>
                <w:color w:val="1C3A36"/>
                <w:sz w:val="16"/>
              </w:rPr>
              <w:t>396</w:t>
            </w:r>
          </w:p>
        </w:tc>
      </w:tr>
    </w:tbl>
    <w:p>
      <w:pPr>
        <w:spacing w:after="40"/>
      </w:pPr>
    </w:p>
    <w:p>
      <w:pPr>
        <w:spacing w:after="100" w:before="0"/>
      </w:pPr>
      <w:r>
        <w:rPr>
          <w:b/>
          <w:i w:val="0"/>
          <w:color w:val="1C3A36"/>
          <w:sz w:val="20"/>
        </w:rPr>
        <w:t xml:space="preserve">Reverse-DCF (what spot implies): </w:t>
      </w:r>
      <w:r>
        <w:rPr>
          <w:b w:val="0"/>
          <w:i w:val="0"/>
          <w:color w:val="1C3A36"/>
          <w:sz w:val="20"/>
        </w:rPr>
        <w:t xml:space="preserve">holding terminal growth at 4%, spot SAR 658 is consistent with a WACC of ~9.8% — i.e. an implied beta of ~0.86. Equivalently, at a neutral beta (WACC 10.5%) spot implies ~5.0% perpetual growth. </w:t>
      </w:r>
      <w:r>
        <w:rPr>
          <w:b w:val="0"/>
          <w:i w:val="0"/>
          <w:color w:val="1C3A36"/>
          <w:sz w:val="20"/>
        </w:rPr>
        <w:t>In plain terms, the market is already pricing Elm as a slightly-below-neutral-beta compounder, not as the high-beta name its 40-day crash regression suggests.</w:t>
      </w:r>
    </w:p>
    <w:p>
      <w:pPr>
        <w:spacing w:after="120" w:before="0"/>
      </w:pPr>
      <w:r>
        <w:rPr>
          <w:b w:val="0"/>
          <w:i w:val="0"/>
          <w:color w:val="1C3A36"/>
          <w:sz w:val="20"/>
        </w:rPr>
        <w:t>Worked example. If one accepts that a net-cash, 88%-ROIC government-platform business should not be discounted at a growth-stock’s 13%+ cost of capital once the crash rolls off the trading window, the defensible WACC sits ~9–11% and intrinsic value ~SAR 560–750. Expert 1 centres SAR 560–680.</w:t>
      </w:r>
    </w:p>
    <w:p>
      <w:pPr>
        <w:spacing w:after="120" w:before="0"/>
      </w:pPr>
      <w:r>
        <w:rPr>
          <w:b/>
          <w:i w:val="0"/>
          <w:color w:val="1C3A36"/>
          <w:sz w:val="20"/>
        </w:rPr>
        <w:t>Swing input — WACC.</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448"/>
            <w:shd w:val="clear" w:color="auto" w:fill="EAF0EE"/>
          </w:tcPr>
          <w:p>
            <w:pPr>
              <w:spacing w:after="20"/>
            </w:pPr>
            <w:r>
              <w:rPr>
                <w:b/>
                <w:color w:val="1C3A36"/>
                <w:sz w:val="16"/>
              </w:rPr>
              <w:t>WACC</w:t>
            </w:r>
          </w:p>
        </w:tc>
        <w:tc>
          <w:tcPr>
            <w:tcW w:type="dxa" w:w="1512"/>
            <w:shd w:val="clear" w:color="auto" w:fill="EAF0EE"/>
          </w:tcPr>
          <w:p>
            <w:pPr>
              <w:spacing w:after="20"/>
            </w:pPr>
            <w:r>
              <w:rPr>
                <w:b/>
                <w:color w:val="1C3A36"/>
                <w:sz w:val="16"/>
              </w:rPr>
              <w:t>9.0%</w:t>
            </w:r>
          </w:p>
        </w:tc>
        <w:tc>
          <w:tcPr>
            <w:tcW w:type="dxa" w:w="1800"/>
            <w:shd w:val="clear" w:color="auto" w:fill="EAF0EE"/>
          </w:tcPr>
          <w:p>
            <w:pPr>
              <w:spacing w:after="20"/>
            </w:pPr>
            <w:r>
              <w:rPr>
                <w:b/>
                <w:color w:val="1C3A36"/>
                <w:sz w:val="16"/>
              </w:rPr>
              <w:t>9.8% (implied)</w:t>
            </w:r>
          </w:p>
        </w:tc>
        <w:tc>
          <w:tcPr>
            <w:tcW w:type="dxa" w:w="1440"/>
            <w:shd w:val="clear" w:color="auto" w:fill="EAF0EE"/>
          </w:tcPr>
          <w:p>
            <w:pPr>
              <w:spacing w:after="20"/>
            </w:pPr>
            <w:r>
              <w:rPr>
                <w:b/>
                <w:color w:val="1C3A36"/>
                <w:sz w:val="16"/>
              </w:rPr>
              <w:t>10.5%</w:t>
            </w:r>
          </w:p>
        </w:tc>
        <w:tc>
          <w:tcPr>
            <w:tcW w:type="dxa" w:w="1440"/>
            <w:shd w:val="clear" w:color="auto" w:fill="EAF0EE"/>
          </w:tcPr>
          <w:p>
            <w:pPr>
              <w:spacing w:after="20"/>
            </w:pPr>
            <w:r>
              <w:rPr>
                <w:b/>
                <w:color w:val="1C3A36"/>
                <w:sz w:val="16"/>
              </w:rPr>
              <w:t>11.5%</w:t>
            </w:r>
          </w:p>
        </w:tc>
        <w:tc>
          <w:tcPr>
            <w:tcW w:type="dxa" w:w="1440"/>
            <w:shd w:val="clear" w:color="auto" w:fill="EAF0EE"/>
          </w:tcPr>
          <w:p>
            <w:pPr>
              <w:spacing w:after="20"/>
            </w:pPr>
            <w:r>
              <w:rPr>
                <w:b/>
                <w:color w:val="1C3A36"/>
                <w:sz w:val="16"/>
              </w:rPr>
              <w:t>13.5%</w:t>
            </w:r>
          </w:p>
        </w:tc>
      </w:tr>
      <w:tr>
        <w:tc>
          <w:tcPr>
            <w:tcW w:type="dxa" w:w="2448"/>
          </w:tcPr>
          <w:p>
            <w:pPr>
              <w:spacing w:after="20"/>
            </w:pPr>
            <w:r>
              <w:rPr>
                <w:color w:val="1C3A36"/>
                <w:sz w:val="16"/>
              </w:rPr>
              <w:t>Fair value (SAR)</w:t>
            </w:r>
          </w:p>
        </w:tc>
        <w:tc>
          <w:tcPr>
            <w:tcW w:type="dxa" w:w="1512"/>
          </w:tcPr>
          <w:p>
            <w:pPr>
              <w:spacing w:after="20"/>
              <w:jc w:val="right"/>
            </w:pPr>
            <w:r>
              <w:rPr>
                <w:color w:val="1C3A36"/>
                <w:sz w:val="16"/>
              </w:rPr>
              <w:t>750</w:t>
            </w:r>
          </w:p>
        </w:tc>
        <w:tc>
          <w:tcPr>
            <w:tcW w:type="dxa" w:w="1800"/>
          </w:tcPr>
          <w:p>
            <w:pPr>
              <w:spacing w:after="20"/>
              <w:jc w:val="right"/>
            </w:pPr>
            <w:r>
              <w:rPr>
                <w:color w:val="1C3A36"/>
                <w:sz w:val="16"/>
              </w:rPr>
              <w:t>~658</w:t>
            </w:r>
          </w:p>
        </w:tc>
        <w:tc>
          <w:tcPr>
            <w:tcW w:type="dxa" w:w="1440"/>
          </w:tcPr>
          <w:p>
            <w:pPr>
              <w:spacing w:after="20"/>
              <w:jc w:val="right"/>
            </w:pPr>
            <w:r>
              <w:rPr>
                <w:color w:val="1C3A36"/>
                <w:sz w:val="16"/>
              </w:rPr>
              <w:t>576</w:t>
            </w:r>
          </w:p>
        </w:tc>
        <w:tc>
          <w:tcPr>
            <w:tcW w:type="dxa" w:w="1440"/>
          </w:tcPr>
          <w:p>
            <w:pPr>
              <w:spacing w:after="20"/>
              <w:jc w:val="right"/>
            </w:pPr>
            <w:r>
              <w:rPr>
                <w:color w:val="1C3A36"/>
                <w:sz w:val="16"/>
              </w:rPr>
              <w:t>~495</w:t>
            </w:r>
          </w:p>
        </w:tc>
        <w:tc>
          <w:tcPr>
            <w:tcW w:type="dxa" w:w="1440"/>
          </w:tcPr>
          <w:p>
            <w:pPr>
              <w:spacing w:after="20"/>
              <w:jc w:val="right"/>
            </w:pPr>
            <w:r>
              <w:rPr>
                <w:color w:val="1C3A36"/>
                <w:sz w:val="16"/>
              </w:rPr>
              <w:t>396</w:t>
            </w:r>
          </w:p>
        </w:tc>
      </w:tr>
    </w:tbl>
    <w:p>
      <w:pPr>
        <w:spacing w:after="40"/>
      </w:pPr>
    </w:p>
    <w:p>
      <w:pPr>
        <w:spacing w:after="120" w:before="0"/>
      </w:pPr>
      <w:r>
        <w:rPr>
          <w:b w:val="0"/>
          <w:i/>
          <w:color w:val="1C3A36"/>
          <w:sz w:val="20"/>
        </w:rPr>
        <w:t>Cross-examination. To Expert 2: “your ROIC-spread case is the reason the discount rate should be low, but the DCF already captures it — don’t double-count the moat.” To Expert 3: “a top-down TAM is too loose to value on; it sizes the opportunity, it doesn’t price the cash flows.”</w:t>
      </w:r>
    </w:p>
    <w:p>
      <w:pPr>
        <w:spacing w:after="120" w:before="0"/>
      </w:pPr>
      <w:r>
        <w:rPr>
          <w:b/>
          <w:i w:val="0"/>
          <w:color w:val="1C3A36"/>
          <w:sz w:val="20"/>
        </w:rPr>
        <w:t xml:space="preserve">Verdict, price-implied read, and falsification. </w:t>
      </w:r>
      <w:r>
        <w:rPr>
          <w:b w:val="0"/>
          <w:i w:val="0"/>
          <w:color w:val="1C3A36"/>
          <w:sz w:val="20"/>
        </w:rPr>
        <w:t>Central SAR 560–680; the market’s implied beta (~0.86) is reasonable if the moat holds, so spot is fair-to-slightly-rich. Falsify if Digital-Business growth falls below ~10% for two consecutive years, or if the market’s pricing of Elm’s beta settles durably above ~1.3 (WACC &gt;12%), which would re-centre value below SAR 470.</w:t>
      </w:r>
    </w:p>
    <w:p>
      <w:pPr>
        <w:spacing w:after="60" w:before="180"/>
      </w:pPr>
      <w:r>
        <w:rPr>
          <w:b/>
          <w:i w:val="0"/>
          <w:color w:val="1C3A36"/>
          <w:sz w:val="23"/>
        </w:rPr>
        <w:t>C.2  Expert 2 — quality of earnings and the moat (franchise / EPV)</w:t>
      </w:r>
    </w:p>
    <w:p>
      <w:pPr>
        <w:spacing w:after="120" w:before="0"/>
      </w:pPr>
      <w:r>
        <w:rPr>
          <w:b w:val="0"/>
          <w:i w:val="0"/>
          <w:color w:val="1C3A36"/>
          <w:sz w:val="20"/>
        </w:rPr>
        <w:t>Worldview and tradition. In the Graham-Dodd / Greenwald earnings-power tradition, a multiple is earned by the sustainability of returns, not by growth projections. Expert 2 separates value into a no-growth earnings-power floor and a franchise premium that only counts if the moat funds profitable growth — and for Elm the moat is one specific thing: exclusive access to the national data registry that underpins the highest-margin Digital-Business line.</w:t>
      </w:r>
    </w:p>
    <w:p>
      <w:pPr>
        <w:spacing w:after="120" w:before="0"/>
      </w:pPr>
      <w:r>
        <w:rPr>
          <w:b w:val="0"/>
          <w:i w:val="0"/>
          <w:color w:val="1C3A36"/>
          <w:sz w:val="20"/>
        </w:rPr>
        <w:t>When it works, and when it fails. It works for moat businesses with stable, high returns — Elm’s ~88% ROIC, ~91% cash conversion and ~70% recurring revenue are textbook. It fails if the moat is mispriced; the whole method hinges on whether registry exclusivity persists, which is a binary policy risk, not a financial one.</w:t>
      </w:r>
    </w:p>
    <w:p>
      <w:pPr>
        <w:spacing w:after="120" w:before="0"/>
      </w:pPr>
      <w:r>
        <w:rPr>
          <w:b/>
          <w:i w:val="0"/>
          <w:color w:val="1C3A36"/>
          <w:sz w:val="20"/>
        </w:rPr>
        <w:t>Shown workings — earnings-power value and the returns spread.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472"/>
            <w:shd w:val="clear" w:color="auto" w:fill="EAF0EE"/>
          </w:tcPr>
          <w:p>
            <w:pPr>
              <w:spacing w:after="20"/>
            </w:pPr>
            <w:r>
              <w:rPr>
                <w:b/>
                <w:color w:val="1C3A36"/>
                <w:sz w:val="16"/>
              </w:rPr>
              <w:t>Earnings-power value (no growth)</w:t>
            </w:r>
          </w:p>
        </w:tc>
        <w:tc>
          <w:tcPr>
            <w:tcW w:type="dxa" w:w="3312"/>
            <w:shd w:val="clear" w:color="auto" w:fill="EAF0EE"/>
          </w:tcPr>
          <w:p>
            <w:pPr>
              <w:spacing w:after="20"/>
            </w:pPr>
            <w:r>
              <w:rPr>
                <w:b/>
                <w:color w:val="1C3A36"/>
                <w:sz w:val="16"/>
              </w:rPr>
              <w:t>SAR mn / share</w:t>
            </w:r>
          </w:p>
        </w:tc>
      </w:tr>
      <w:tr>
        <w:tc>
          <w:tcPr>
            <w:tcW w:type="dxa" w:w="5472"/>
          </w:tcPr>
          <w:p>
            <w:pPr>
              <w:spacing w:after="20"/>
            </w:pPr>
            <w:r>
              <w:rPr>
                <w:color w:val="1C3A36"/>
                <w:sz w:val="16"/>
              </w:rPr>
              <w:t>Trailing NOPAT (FY24 EBIT × (1−zakat))</w:t>
            </w:r>
          </w:p>
        </w:tc>
        <w:tc>
          <w:tcPr>
            <w:tcW w:type="dxa" w:w="3312"/>
          </w:tcPr>
          <w:p>
            <w:pPr>
              <w:spacing w:after="20"/>
              <w:jc w:val="right"/>
            </w:pPr>
            <w:r>
              <w:rPr>
                <w:color w:val="1C3A36"/>
                <w:sz w:val="16"/>
              </w:rPr>
              <w:t>1,584</w:t>
            </w:r>
          </w:p>
        </w:tc>
      </w:tr>
      <w:tr>
        <w:tc>
          <w:tcPr>
            <w:tcW w:type="dxa" w:w="5472"/>
          </w:tcPr>
          <w:p>
            <w:pPr>
              <w:spacing w:after="20"/>
            </w:pPr>
            <w:r>
              <w:rPr>
                <w:color w:val="1C3A36"/>
                <w:sz w:val="16"/>
              </w:rPr>
              <w:t>÷ WACC 10.5%  → capitalised earnings</w:t>
            </w:r>
          </w:p>
        </w:tc>
        <w:tc>
          <w:tcPr>
            <w:tcW w:type="dxa" w:w="3312"/>
          </w:tcPr>
          <w:p>
            <w:pPr>
              <w:spacing w:after="20"/>
              <w:jc w:val="right"/>
            </w:pPr>
            <w:r>
              <w:rPr>
                <w:color w:val="1C3A36"/>
                <w:sz w:val="16"/>
              </w:rPr>
              <w:t>15,069</w:t>
            </w:r>
          </w:p>
        </w:tc>
      </w:tr>
      <w:tr>
        <w:tc>
          <w:tcPr>
            <w:tcW w:type="dxa" w:w="5472"/>
          </w:tcPr>
          <w:p>
            <w:pPr>
              <w:spacing w:after="20"/>
            </w:pPr>
            <w:r>
              <w:rPr>
                <w:color w:val="1C3A36"/>
                <w:sz w:val="16"/>
              </w:rPr>
              <w:t>+ net cash</w:t>
            </w:r>
          </w:p>
        </w:tc>
        <w:tc>
          <w:tcPr>
            <w:tcW w:type="dxa" w:w="3312"/>
          </w:tcPr>
          <w:p>
            <w:pPr>
              <w:spacing w:after="20"/>
              <w:jc w:val="right"/>
            </w:pPr>
            <w:r>
              <w:rPr>
                <w:color w:val="1C3A36"/>
                <w:sz w:val="16"/>
              </w:rPr>
              <w:t>1,900</w:t>
            </w:r>
          </w:p>
        </w:tc>
      </w:tr>
      <w:tr>
        <w:tc>
          <w:tcPr>
            <w:tcW w:type="dxa" w:w="5472"/>
            <w:shd w:val="clear" w:color="auto" w:fill="F6F1E6"/>
          </w:tcPr>
          <w:p>
            <w:pPr>
              <w:spacing w:after="20"/>
            </w:pPr>
            <w:r>
              <w:rPr>
                <w:b/>
                <w:color w:val="1C3A36"/>
                <w:sz w:val="16"/>
              </w:rPr>
              <w:t>= EPV floor, trailing</w:t>
            </w:r>
          </w:p>
        </w:tc>
        <w:tc>
          <w:tcPr>
            <w:tcW w:type="dxa" w:w="3312"/>
            <w:shd w:val="clear" w:color="auto" w:fill="F6F1E6"/>
          </w:tcPr>
          <w:p>
            <w:pPr>
              <w:spacing w:after="20"/>
              <w:jc w:val="right"/>
            </w:pPr>
            <w:r>
              <w:rPr>
                <w:b/>
                <w:color w:val="1C3A36"/>
                <w:sz w:val="16"/>
              </w:rPr>
              <w:t>SAR 212/share</w:t>
            </w:r>
          </w:p>
        </w:tc>
      </w:tr>
      <w:tr>
        <w:tc>
          <w:tcPr>
            <w:tcW w:type="dxa" w:w="5472"/>
          </w:tcPr>
          <w:p>
            <w:pPr>
              <w:spacing w:after="20"/>
            </w:pPr>
            <w:r>
              <w:rPr>
                <w:color w:val="1C3A36"/>
                <w:sz w:val="16"/>
              </w:rPr>
              <w:t>EPV floor, on 2025e NOPAT</w:t>
            </w:r>
          </w:p>
        </w:tc>
        <w:tc>
          <w:tcPr>
            <w:tcW w:type="dxa" w:w="3312"/>
          </w:tcPr>
          <w:p>
            <w:pPr>
              <w:spacing w:after="20"/>
              <w:jc w:val="right"/>
            </w:pPr>
            <w:r>
              <w:rPr>
                <w:color w:val="1C3A36"/>
                <w:sz w:val="16"/>
              </w:rPr>
              <w:t>SAR 271/share</w:t>
            </w:r>
          </w:p>
        </w:tc>
      </w:tr>
      <w:tr>
        <w:tc>
          <w:tcPr>
            <w:tcW w:type="dxa" w:w="5472"/>
          </w:tcPr>
          <w:p>
            <w:pPr>
              <w:spacing w:after="20"/>
            </w:pPr>
            <w:r>
              <w:rPr>
                <w:color w:val="1C3A36"/>
                <w:sz w:val="16"/>
              </w:rPr>
              <w:t>Value of profitable growth (DCF − EPV)</w:t>
            </w:r>
          </w:p>
        </w:tc>
        <w:tc>
          <w:tcPr>
            <w:tcW w:type="dxa" w:w="3312"/>
          </w:tcPr>
          <w:p>
            <w:pPr>
              <w:spacing w:after="20"/>
              <w:jc w:val="right"/>
            </w:pPr>
            <w:r>
              <w:rPr>
                <w:color w:val="1C3A36"/>
                <w:sz w:val="16"/>
              </w:rPr>
              <w:t>SAR 305/share  (~53% of DCF value)</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168"/>
            <w:shd w:val="clear" w:color="auto" w:fill="EAF0EE"/>
          </w:tcPr>
          <w:p>
            <w:pPr>
              <w:spacing w:after="20"/>
            </w:pPr>
            <w:r>
              <w:rPr>
                <w:b/>
                <w:color w:val="1C3A36"/>
                <w:sz w:val="16"/>
              </w:rPr>
              <w:t>Quality scorecard</w:t>
            </w:r>
          </w:p>
        </w:tc>
        <w:tc>
          <w:tcPr>
            <w:tcW w:type="dxa" w:w="1872"/>
            <w:shd w:val="clear" w:color="auto" w:fill="EAF0EE"/>
          </w:tcPr>
          <w:p>
            <w:pPr>
              <w:spacing w:after="20"/>
            </w:pPr>
            <w:r>
              <w:rPr>
                <w:b/>
                <w:color w:val="1C3A36"/>
                <w:sz w:val="16"/>
              </w:rPr>
              <w:t>FY2022</w:t>
            </w:r>
          </w:p>
        </w:tc>
        <w:tc>
          <w:tcPr>
            <w:tcW w:type="dxa" w:w="1872"/>
            <w:shd w:val="clear" w:color="auto" w:fill="EAF0EE"/>
          </w:tcPr>
          <w:p>
            <w:pPr>
              <w:spacing w:after="20"/>
            </w:pPr>
            <w:r>
              <w:rPr>
                <w:b/>
                <w:color w:val="1C3A36"/>
                <w:sz w:val="16"/>
              </w:rPr>
              <w:t>FY2023</w:t>
            </w:r>
          </w:p>
        </w:tc>
        <w:tc>
          <w:tcPr>
            <w:tcW w:type="dxa" w:w="1872"/>
            <w:shd w:val="clear" w:color="auto" w:fill="EAF0EE"/>
          </w:tcPr>
          <w:p>
            <w:pPr>
              <w:spacing w:after="20"/>
            </w:pPr>
            <w:r>
              <w:rPr>
                <w:b/>
                <w:color w:val="1C3A36"/>
                <w:sz w:val="16"/>
              </w:rPr>
              <w:t>FY2024</w:t>
            </w:r>
          </w:p>
        </w:tc>
      </w:tr>
      <w:tr>
        <w:tc>
          <w:tcPr>
            <w:tcW w:type="dxa" w:w="3168"/>
          </w:tcPr>
          <w:p>
            <w:pPr>
              <w:spacing w:after="20"/>
            </w:pPr>
            <w:r>
              <w:rPr>
                <w:color w:val="1C3A36"/>
                <w:sz w:val="16"/>
              </w:rPr>
              <w:t>ROIC (approx.)</w:t>
            </w:r>
          </w:p>
        </w:tc>
        <w:tc>
          <w:tcPr>
            <w:tcW w:type="dxa" w:w="1872"/>
          </w:tcPr>
          <w:p>
            <w:pPr>
              <w:spacing w:after="20"/>
              <w:jc w:val="right"/>
            </w:pPr>
            <w:r>
              <w:rPr>
                <w:color w:val="1C3A36"/>
                <w:sz w:val="16"/>
              </w:rPr>
              <w:t>~80%</w:t>
            </w:r>
          </w:p>
        </w:tc>
        <w:tc>
          <w:tcPr>
            <w:tcW w:type="dxa" w:w="1872"/>
          </w:tcPr>
          <w:p>
            <w:pPr>
              <w:spacing w:after="20"/>
              <w:jc w:val="right"/>
            </w:pPr>
            <w:r>
              <w:rPr>
                <w:color w:val="1C3A36"/>
                <w:sz w:val="16"/>
              </w:rPr>
              <w:t>~85%</w:t>
            </w:r>
          </w:p>
        </w:tc>
        <w:tc>
          <w:tcPr>
            <w:tcW w:type="dxa" w:w="1872"/>
          </w:tcPr>
          <w:p>
            <w:pPr>
              <w:spacing w:after="20"/>
              <w:jc w:val="right"/>
            </w:pPr>
            <w:r>
              <w:rPr>
                <w:color w:val="1C3A36"/>
                <w:sz w:val="16"/>
              </w:rPr>
              <w:t>~88%</w:t>
            </w:r>
          </w:p>
        </w:tc>
      </w:tr>
      <w:tr>
        <w:tc>
          <w:tcPr>
            <w:tcW w:type="dxa" w:w="3168"/>
          </w:tcPr>
          <w:p>
            <w:pPr>
              <w:spacing w:after="20"/>
            </w:pPr>
            <w:r>
              <w:rPr>
                <w:color w:val="1C3A36"/>
                <w:sz w:val="16"/>
              </w:rPr>
              <w:t>Cash conversion (OCF/NI)</w:t>
            </w:r>
          </w:p>
        </w:tc>
        <w:tc>
          <w:tcPr>
            <w:tcW w:type="dxa" w:w="1872"/>
          </w:tcPr>
          <w:p>
            <w:pPr>
              <w:spacing w:after="20"/>
              <w:jc w:val="right"/>
            </w:pPr>
            <w:r>
              <w:rPr>
                <w:color w:val="1C3A36"/>
                <w:sz w:val="16"/>
              </w:rPr>
              <w:t>183%</w:t>
            </w:r>
          </w:p>
        </w:tc>
        <w:tc>
          <w:tcPr>
            <w:tcW w:type="dxa" w:w="1872"/>
          </w:tcPr>
          <w:p>
            <w:pPr>
              <w:spacing w:after="20"/>
              <w:jc w:val="right"/>
            </w:pPr>
            <w:r>
              <w:rPr>
                <w:color w:val="1C3A36"/>
                <w:sz w:val="16"/>
              </w:rPr>
              <w:t>116%</w:t>
            </w:r>
          </w:p>
        </w:tc>
        <w:tc>
          <w:tcPr>
            <w:tcW w:type="dxa" w:w="1872"/>
          </w:tcPr>
          <w:p>
            <w:pPr>
              <w:spacing w:after="20"/>
              <w:jc w:val="right"/>
            </w:pPr>
            <w:r>
              <w:rPr>
                <w:color w:val="1C3A36"/>
                <w:sz w:val="16"/>
              </w:rPr>
              <w:t>91%</w:t>
            </w:r>
          </w:p>
        </w:tc>
      </w:tr>
      <w:tr>
        <w:tc>
          <w:tcPr>
            <w:tcW w:type="dxa" w:w="3168"/>
          </w:tcPr>
          <w:p>
            <w:pPr>
              <w:spacing w:after="20"/>
            </w:pPr>
            <w:r>
              <w:rPr>
                <w:color w:val="1C3A36"/>
                <w:sz w:val="16"/>
              </w:rPr>
              <w:t>Recurring revenue share</w:t>
            </w:r>
          </w:p>
        </w:tc>
        <w:tc>
          <w:tcPr>
            <w:tcW w:type="dxa" w:w="1872"/>
          </w:tcPr>
          <w:p>
            <w:pPr>
              <w:spacing w:after="20"/>
              <w:jc w:val="right"/>
            </w:pPr>
            <w:r>
              <w:rPr>
                <w:color w:val="1C3A36"/>
                <w:sz w:val="16"/>
              </w:rPr>
              <w:t>~65%</w:t>
            </w:r>
          </w:p>
        </w:tc>
        <w:tc>
          <w:tcPr>
            <w:tcW w:type="dxa" w:w="1872"/>
          </w:tcPr>
          <w:p>
            <w:pPr>
              <w:spacing w:after="20"/>
              <w:jc w:val="right"/>
            </w:pPr>
            <w:r>
              <w:rPr>
                <w:color w:val="1C3A36"/>
                <w:sz w:val="16"/>
              </w:rPr>
              <w:t>~68%</w:t>
            </w:r>
          </w:p>
        </w:tc>
        <w:tc>
          <w:tcPr>
            <w:tcW w:type="dxa" w:w="1872"/>
          </w:tcPr>
          <w:p>
            <w:pPr>
              <w:spacing w:after="20"/>
              <w:jc w:val="right"/>
            </w:pPr>
            <w:r>
              <w:rPr>
                <w:color w:val="1C3A36"/>
                <w:sz w:val="16"/>
              </w:rPr>
              <w:t>~70%</w:t>
            </w:r>
          </w:p>
        </w:tc>
      </w:tr>
      <w:tr>
        <w:tc>
          <w:tcPr>
            <w:tcW w:type="dxa" w:w="3168"/>
          </w:tcPr>
          <w:p>
            <w:pPr>
              <w:spacing w:after="20"/>
            </w:pPr>
            <w:r>
              <w:rPr>
                <w:color w:val="1C3A36"/>
                <w:sz w:val="16"/>
              </w:rPr>
              <w:t>Net cash?</w:t>
            </w:r>
          </w:p>
        </w:tc>
        <w:tc>
          <w:tcPr>
            <w:tcW w:type="dxa" w:w="1872"/>
          </w:tcPr>
          <w:p>
            <w:pPr>
              <w:spacing w:after="20"/>
              <w:jc w:val="right"/>
            </w:pPr>
            <w:r>
              <w:rPr>
                <w:color w:val="1C3A36"/>
                <w:sz w:val="16"/>
              </w:rPr>
              <w:t>yes</w:t>
            </w:r>
          </w:p>
        </w:tc>
        <w:tc>
          <w:tcPr>
            <w:tcW w:type="dxa" w:w="1872"/>
          </w:tcPr>
          <w:p>
            <w:pPr>
              <w:spacing w:after="20"/>
              <w:jc w:val="right"/>
            </w:pPr>
            <w:r>
              <w:rPr>
                <w:color w:val="1C3A36"/>
                <w:sz w:val="16"/>
              </w:rPr>
              <w:t>yes</w:t>
            </w:r>
          </w:p>
        </w:tc>
        <w:tc>
          <w:tcPr>
            <w:tcW w:type="dxa" w:w="1872"/>
          </w:tcPr>
          <w:p>
            <w:pPr>
              <w:spacing w:after="20"/>
              <w:jc w:val="right"/>
            </w:pPr>
            <w:r>
              <w:rPr>
                <w:color w:val="1C3A36"/>
                <w:sz w:val="16"/>
              </w:rPr>
              <w:t>yes</w:t>
            </w:r>
          </w:p>
        </w:tc>
      </w:tr>
      <w:tr>
        <w:tc>
          <w:tcPr>
            <w:tcW w:type="dxa" w:w="3168"/>
          </w:tcPr>
          <w:p>
            <w:pPr>
              <w:spacing w:after="20"/>
            </w:pPr>
            <w:r>
              <w:rPr>
                <w:color w:val="1C3A36"/>
                <w:sz w:val="16"/>
              </w:rPr>
              <w:t>ROIC − WACC spread</w:t>
            </w:r>
          </w:p>
        </w:tc>
        <w:tc>
          <w:tcPr>
            <w:tcW w:type="dxa" w:w="1872"/>
          </w:tcPr>
          <w:p>
            <w:pPr>
              <w:spacing w:after="20"/>
              <w:jc w:val="right"/>
            </w:pPr>
            <w:r>
              <w:rPr>
                <w:color w:val="1C3A36"/>
                <w:sz w:val="16"/>
              </w:rPr>
              <w:t>~70pts</w:t>
            </w:r>
          </w:p>
        </w:tc>
        <w:tc>
          <w:tcPr>
            <w:tcW w:type="dxa" w:w="1872"/>
          </w:tcPr>
          <w:p>
            <w:pPr>
              <w:spacing w:after="20"/>
              <w:jc w:val="right"/>
            </w:pPr>
            <w:r>
              <w:rPr>
                <w:color w:val="1C3A36"/>
                <w:sz w:val="16"/>
              </w:rPr>
              <w:t>~74pts</w:t>
            </w:r>
          </w:p>
        </w:tc>
        <w:tc>
          <w:tcPr>
            <w:tcW w:type="dxa" w:w="1872"/>
          </w:tcPr>
          <w:p>
            <w:pPr>
              <w:spacing w:after="20"/>
              <w:jc w:val="right"/>
            </w:pPr>
            <w:r>
              <w:rPr>
                <w:color w:val="1C3A36"/>
                <w:sz w:val="16"/>
              </w:rPr>
              <w:t>~77pts</w:t>
            </w:r>
          </w:p>
        </w:tc>
      </w:tr>
    </w:tbl>
    <w:p>
      <w:pPr>
        <w:spacing w:after="40"/>
      </w:pPr>
    </w:p>
    <w:p>
      <w:pPr>
        <w:spacing w:after="100" w:before="0"/>
      </w:pPr>
      <w:r>
        <w:rPr>
          <w:b/>
          <w:i w:val="0"/>
          <w:color w:val="1C3A36"/>
          <w:sz w:val="20"/>
        </w:rPr>
        <w:t xml:space="preserve">Worked example. </w:t>
      </w:r>
      <w:r>
        <w:rPr>
          <w:b w:val="0"/>
          <w:i w:val="0"/>
          <w:color w:val="1C3A36"/>
          <w:sz w:val="20"/>
        </w:rPr>
        <w:t>The no-growth EPV floor is ~SAR 271 (forward). Spot at SAR 658 is ~2.4× that floor — the market is paying roughly SAR 387/share for growth and the moat. That is defensible for an 88%-ROIC franchise but is emphatically not ‘cheap’; it requires the exclusivity to hold.</w:t>
      </w:r>
    </w:p>
    <w:p>
      <w:pPr>
        <w:spacing w:after="120" w:before="0"/>
      </w:pPr>
      <w:r>
        <w:rPr>
          <w:b/>
          <w:i w:val="0"/>
          <w:color w:val="1C3A36"/>
          <w:sz w:val="20"/>
        </w:rPr>
        <w:t>Swing input — the moat, proxied by gross margin (an income-sharing reset or lost exclusivity compresses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456"/>
            <w:shd w:val="clear" w:color="auto" w:fill="EAF0EE"/>
          </w:tcPr>
          <w:p>
            <w:pPr>
              <w:spacing w:after="20"/>
            </w:pPr>
            <w:r>
              <w:rPr>
                <w:b/>
                <w:color w:val="1C3A36"/>
                <w:sz w:val="16"/>
              </w:rPr>
              <w:t>Gross margin scenario</w:t>
            </w:r>
          </w:p>
        </w:tc>
        <w:tc>
          <w:tcPr>
            <w:tcW w:type="dxa" w:w="2160"/>
            <w:shd w:val="clear" w:color="auto" w:fill="EAF0EE"/>
          </w:tcPr>
          <w:p>
            <w:pPr>
              <w:spacing w:after="20"/>
            </w:pPr>
            <w:r>
              <w:rPr>
                <w:b/>
                <w:color w:val="1C3A36"/>
                <w:sz w:val="16"/>
              </w:rPr>
              <w:t>implied EBIT margin</w:t>
            </w:r>
          </w:p>
        </w:tc>
        <w:tc>
          <w:tcPr>
            <w:tcW w:type="dxa" w:w="2016"/>
            <w:shd w:val="clear" w:color="auto" w:fill="EAF0EE"/>
          </w:tcPr>
          <w:p>
            <w:pPr>
              <w:spacing w:after="20"/>
            </w:pPr>
            <w:r>
              <w:rPr>
                <w:b/>
                <w:color w:val="1C3A36"/>
                <w:sz w:val="16"/>
              </w:rPr>
              <w:t>Fair value (SAR)</w:t>
            </w:r>
          </w:p>
        </w:tc>
      </w:tr>
      <w:tr>
        <w:tc>
          <w:tcPr>
            <w:tcW w:type="dxa" w:w="3456"/>
            <w:shd w:val="clear" w:color="auto" w:fill="F6F1E6"/>
          </w:tcPr>
          <w:p>
            <w:pPr>
              <w:spacing w:after="20"/>
            </w:pPr>
            <w:r>
              <w:rPr>
                <w:b/>
                <w:color w:val="1C3A36"/>
                <w:sz w:val="16"/>
              </w:rPr>
              <w:t>41% — intact (base)</w:t>
            </w:r>
          </w:p>
        </w:tc>
        <w:tc>
          <w:tcPr>
            <w:tcW w:type="dxa" w:w="2160"/>
            <w:shd w:val="clear" w:color="auto" w:fill="F6F1E6"/>
          </w:tcPr>
          <w:p>
            <w:pPr>
              <w:spacing w:after="20"/>
              <w:jc w:val="right"/>
            </w:pPr>
            <w:r>
              <w:rPr>
                <w:b/>
                <w:color w:val="1C3A36"/>
                <w:sz w:val="16"/>
              </w:rPr>
              <w:t>23.2%</w:t>
            </w:r>
          </w:p>
        </w:tc>
        <w:tc>
          <w:tcPr>
            <w:tcW w:type="dxa" w:w="2016"/>
            <w:shd w:val="clear" w:color="auto" w:fill="F6F1E6"/>
          </w:tcPr>
          <w:p>
            <w:pPr>
              <w:spacing w:after="20"/>
              <w:jc w:val="right"/>
            </w:pPr>
            <w:r>
              <w:rPr>
                <w:b/>
                <w:color w:val="1C3A36"/>
                <w:sz w:val="16"/>
              </w:rPr>
              <w:t>576</w:t>
            </w:r>
          </w:p>
        </w:tc>
      </w:tr>
      <w:tr>
        <w:tc>
          <w:tcPr>
            <w:tcW w:type="dxa" w:w="3456"/>
          </w:tcPr>
          <w:p>
            <w:pPr>
              <w:spacing w:after="20"/>
            </w:pPr>
            <w:r>
              <w:rPr>
                <w:color w:val="1C3A36"/>
                <w:sz w:val="16"/>
              </w:rPr>
              <w:t>38% — partial income-sharing reset</w:t>
            </w:r>
          </w:p>
        </w:tc>
        <w:tc>
          <w:tcPr>
            <w:tcW w:type="dxa" w:w="2160"/>
          </w:tcPr>
          <w:p>
            <w:pPr>
              <w:spacing w:after="20"/>
              <w:jc w:val="right"/>
            </w:pPr>
            <w:r>
              <w:rPr>
                <w:color w:val="1C3A36"/>
                <w:sz w:val="16"/>
              </w:rPr>
              <w:t>20.2%</w:t>
            </w:r>
          </w:p>
        </w:tc>
        <w:tc>
          <w:tcPr>
            <w:tcW w:type="dxa" w:w="2016"/>
          </w:tcPr>
          <w:p>
            <w:pPr>
              <w:spacing w:after="20"/>
              <w:jc w:val="right"/>
            </w:pPr>
            <w:r>
              <w:rPr>
                <w:color w:val="1C3A36"/>
                <w:sz w:val="16"/>
              </w:rPr>
              <w:t>505</w:t>
            </w:r>
          </w:p>
        </w:tc>
      </w:tr>
      <w:tr>
        <w:tc>
          <w:tcPr>
            <w:tcW w:type="dxa" w:w="3456"/>
          </w:tcPr>
          <w:p>
            <w:pPr>
              <w:spacing w:after="20"/>
            </w:pPr>
            <w:r>
              <w:rPr>
                <w:color w:val="1C3A36"/>
                <w:sz w:val="16"/>
              </w:rPr>
              <w:t>35% — material exclusivity erosion</w:t>
            </w:r>
          </w:p>
        </w:tc>
        <w:tc>
          <w:tcPr>
            <w:tcW w:type="dxa" w:w="2160"/>
          </w:tcPr>
          <w:p>
            <w:pPr>
              <w:spacing w:after="20"/>
              <w:jc w:val="right"/>
            </w:pPr>
            <w:r>
              <w:rPr>
                <w:color w:val="1C3A36"/>
                <w:sz w:val="16"/>
              </w:rPr>
              <w:t>17.2%</w:t>
            </w:r>
          </w:p>
        </w:tc>
        <w:tc>
          <w:tcPr>
            <w:tcW w:type="dxa" w:w="2016"/>
          </w:tcPr>
          <w:p>
            <w:pPr>
              <w:spacing w:after="20"/>
              <w:jc w:val="right"/>
            </w:pPr>
            <w:r>
              <w:rPr>
                <w:color w:val="1C3A36"/>
                <w:sz w:val="16"/>
              </w:rPr>
              <w:t>433</w:t>
            </w:r>
          </w:p>
        </w:tc>
      </w:tr>
    </w:tbl>
    <w:p>
      <w:pPr>
        <w:spacing w:after="40"/>
      </w:pPr>
    </w:p>
    <w:p>
      <w:pPr>
        <w:spacing w:after="120" w:before="0"/>
      </w:pPr>
      <w:r>
        <w:rPr>
          <w:b w:val="0"/>
          <w:i/>
          <w:color w:val="1C3A36"/>
          <w:sz w:val="20"/>
        </w:rPr>
        <w:t>Cross-examination. To Expert 1: “your neutral beta quietly assumes the moat holds; a registry-access loss is a step-change in risk your smooth WACC can’t see.” To Expert 3: “TAM growth is irrelevant if Elm’s share of it isn’t contractually protected.”</w:t>
      </w:r>
    </w:p>
    <w:p>
      <w:pPr>
        <w:spacing w:after="120" w:before="0"/>
      </w:pPr>
      <w:r>
        <w:rPr>
          <w:b w:val="0"/>
          <w:i w:val="0"/>
          <w:color w:val="1C3A36"/>
          <w:sz w:val="20"/>
        </w:rPr>
        <w:t>Verdict, price-implied read, and falsification. Central SAR 600–720 if the moat is intact; the market is paying a ~2.4× EPV premium for it. Falsify immediately if a competitor obtains national-registry access, if income-sharing terms are reset adversely, or if gross margin falls below ~35% — any of which drops fair value toward the mid-400s.</w:t>
      </w:r>
    </w:p>
    <w:p>
      <w:pPr>
        <w:spacing w:after="60" w:before="180"/>
      </w:pPr>
      <w:r>
        <w:rPr>
          <w:b/>
          <w:i w:val="0"/>
          <w:color w:val="1C3A36"/>
          <w:sz w:val="23"/>
        </w:rPr>
        <w:t>C.3  Expert 3 — macro and policy (Vision 2030 / top-down TAM)</w:t>
      </w:r>
    </w:p>
    <w:p>
      <w:pPr>
        <w:spacing w:after="120" w:before="0"/>
      </w:pPr>
      <w:r>
        <w:rPr>
          <w:b w:val="0"/>
          <w:i w:val="0"/>
          <w:color w:val="1C3A36"/>
          <w:sz w:val="20"/>
        </w:rPr>
        <w:t>Worldview and tradition. In the top-down / thematic tradition, Elm is a call option on Saudi digitisation: value it against the size and growth of the digital-economy envelope and Elm’s penetration of it, then sanity-check the bottom-up forecast against that ceiling.</w:t>
      </w:r>
    </w:p>
    <w:p>
      <w:pPr>
        <w:spacing w:after="120" w:before="0"/>
      </w:pPr>
      <w:r>
        <w:rPr>
          <w:b w:val="0"/>
          <w:i w:val="0"/>
          <w:color w:val="1C3A36"/>
          <w:sz w:val="20"/>
        </w:rPr>
        <w:t>When it works, and when it fails. It works as a reality check on whether the growth runway is large enough to support the forecast — it comfortably is. It fails as a precision instrument; a TAM does not discount cash flows, and it cannot price company-specific risk, so Expert 3 defers to Experts 1–2 on the point estimate and owns the exogenous fiscal risk.</w:t>
      </w:r>
    </w:p>
    <w:p>
      <w:pPr>
        <w:spacing w:after="120" w:before="0"/>
      </w:pPr>
      <w:r>
        <w:rPr>
          <w:b/>
          <w:i w:val="0"/>
          <w:color w:val="1C3A36"/>
          <w:sz w:val="20"/>
        </w:rPr>
        <w:t>Shown workings — TAM penetration.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744"/>
            <w:shd w:val="clear" w:color="auto" w:fill="EAF0EE"/>
          </w:tcPr>
          <w:p>
            <w:pPr>
              <w:spacing w:after="20"/>
            </w:pPr>
            <w:r>
              <w:rPr>
                <w:b/>
                <w:color w:val="1C3A36"/>
                <w:sz w:val="16"/>
              </w:rPr>
              <w:t>Top-down envelope</w:t>
            </w:r>
          </w:p>
        </w:tc>
        <w:tc>
          <w:tcPr>
            <w:tcW w:type="dxa" w:w="1872"/>
            <w:shd w:val="clear" w:color="auto" w:fill="EAF0EE"/>
          </w:tcPr>
          <w:p>
            <w:pPr>
              <w:spacing w:after="20"/>
            </w:pPr>
            <w:r>
              <w:rPr>
                <w:b/>
                <w:color w:val="1C3A36"/>
                <w:sz w:val="16"/>
              </w:rPr>
              <w:t>2024</w:t>
            </w:r>
          </w:p>
        </w:tc>
        <w:tc>
          <w:tcPr>
            <w:tcW w:type="dxa" w:w="2304"/>
            <w:shd w:val="clear" w:color="auto" w:fill="EAF0EE"/>
          </w:tcPr>
          <w:p>
            <w:pPr>
              <w:spacing w:after="20"/>
            </w:pPr>
            <w:r>
              <w:rPr>
                <w:b/>
                <w:color w:val="1C3A36"/>
                <w:sz w:val="16"/>
              </w:rPr>
              <w:t>2029e (≈12%/yr)</w:t>
            </w:r>
          </w:p>
        </w:tc>
      </w:tr>
      <w:tr>
        <w:tc>
          <w:tcPr>
            <w:tcW w:type="dxa" w:w="3744"/>
          </w:tcPr>
          <w:p>
            <w:pPr>
              <w:spacing w:after="20"/>
            </w:pPr>
            <w:r>
              <w:rPr>
                <w:color w:val="1C3A36"/>
                <w:sz w:val="16"/>
              </w:rPr>
              <w:t>Platform/ecosystem TAM (SAR bn)</w:t>
            </w:r>
          </w:p>
        </w:tc>
        <w:tc>
          <w:tcPr>
            <w:tcW w:type="dxa" w:w="1872"/>
          </w:tcPr>
          <w:p>
            <w:pPr>
              <w:spacing w:after="20"/>
              <w:jc w:val="right"/>
            </w:pPr>
            <w:r>
              <w:rPr>
                <w:color w:val="1C3A36"/>
                <w:sz w:val="16"/>
              </w:rPr>
              <w:t>~54</w:t>
            </w:r>
          </w:p>
        </w:tc>
        <w:tc>
          <w:tcPr>
            <w:tcW w:type="dxa" w:w="2304"/>
          </w:tcPr>
          <w:p>
            <w:pPr>
              <w:spacing w:after="20"/>
              <w:jc w:val="right"/>
            </w:pPr>
            <w:r>
              <w:rPr>
                <w:color w:val="1C3A36"/>
                <w:sz w:val="16"/>
              </w:rPr>
              <w:t>~95</w:t>
            </w:r>
          </w:p>
        </w:tc>
      </w:tr>
      <w:tr>
        <w:tc>
          <w:tcPr>
            <w:tcW w:type="dxa" w:w="3744"/>
          </w:tcPr>
          <w:p>
            <w:pPr>
              <w:spacing w:after="20"/>
            </w:pPr>
            <w:r>
              <w:rPr>
                <w:color w:val="1C3A36"/>
                <w:sz w:val="16"/>
              </w:rPr>
              <w:t>Elm Digital-Business revenue (SAR bn)</w:t>
            </w:r>
          </w:p>
        </w:tc>
        <w:tc>
          <w:tcPr>
            <w:tcW w:type="dxa" w:w="1872"/>
          </w:tcPr>
          <w:p>
            <w:pPr>
              <w:spacing w:after="20"/>
              <w:jc w:val="right"/>
            </w:pPr>
            <w:r>
              <w:rPr>
                <w:color w:val="1C3A36"/>
                <w:sz w:val="16"/>
              </w:rPr>
              <w:t>5.5</w:t>
            </w:r>
          </w:p>
        </w:tc>
        <w:tc>
          <w:tcPr>
            <w:tcW w:type="dxa" w:w="2304"/>
          </w:tcPr>
          <w:p>
            <w:pPr>
              <w:spacing w:after="20"/>
              <w:jc w:val="right"/>
            </w:pPr>
            <w:r>
              <w:rPr>
                <w:color w:val="1C3A36"/>
                <w:sz w:val="16"/>
              </w:rPr>
              <w:t>~11.8</w:t>
            </w:r>
          </w:p>
        </w:tc>
      </w:tr>
      <w:tr>
        <w:tc>
          <w:tcPr>
            <w:tcW w:type="dxa" w:w="3744"/>
          </w:tcPr>
          <w:p>
            <w:pPr>
              <w:spacing w:after="20"/>
            </w:pPr>
            <w:r>
              <w:rPr>
                <w:color w:val="1C3A36"/>
                <w:sz w:val="16"/>
              </w:rPr>
              <w:t>Implied Elm share of TAM</w:t>
            </w:r>
          </w:p>
        </w:tc>
        <w:tc>
          <w:tcPr>
            <w:tcW w:type="dxa" w:w="1872"/>
          </w:tcPr>
          <w:p>
            <w:pPr>
              <w:spacing w:after="20"/>
              <w:jc w:val="right"/>
            </w:pPr>
            <w:r>
              <w:rPr>
                <w:color w:val="1C3A36"/>
                <w:sz w:val="16"/>
              </w:rPr>
              <w:t>~10%</w:t>
            </w:r>
          </w:p>
        </w:tc>
        <w:tc>
          <w:tcPr>
            <w:tcW w:type="dxa" w:w="2304"/>
          </w:tcPr>
          <w:p>
            <w:pPr>
              <w:spacing w:after="20"/>
              <w:jc w:val="right"/>
            </w:pPr>
            <w:r>
              <w:rPr>
                <w:color w:val="1C3A36"/>
                <w:sz w:val="16"/>
              </w:rPr>
              <w:t>~12%</w:t>
            </w:r>
          </w:p>
        </w:tc>
      </w:tr>
      <w:tr>
        <w:tc>
          <w:tcPr>
            <w:tcW w:type="dxa" w:w="3744"/>
          </w:tcPr>
          <w:p>
            <w:pPr>
              <w:spacing w:after="20"/>
            </w:pPr>
            <w:r>
              <w:rPr>
                <w:color w:val="1C3A36"/>
                <w:sz w:val="16"/>
              </w:rPr>
              <w:t>Digital economy as % of Saudi GDP</w:t>
            </w:r>
          </w:p>
        </w:tc>
        <w:tc>
          <w:tcPr>
            <w:tcW w:type="dxa" w:w="1872"/>
          </w:tcPr>
          <w:p>
            <w:pPr>
              <w:spacing w:after="20"/>
              <w:jc w:val="right"/>
            </w:pPr>
            <w:r>
              <w:rPr>
                <w:color w:val="1C3A36"/>
                <w:sz w:val="16"/>
              </w:rPr>
              <w:t>~15%</w:t>
            </w:r>
          </w:p>
        </w:tc>
        <w:tc>
          <w:tcPr>
            <w:tcW w:type="dxa" w:w="2304"/>
          </w:tcPr>
          <w:p>
            <w:pPr>
              <w:spacing w:after="20"/>
              <w:jc w:val="right"/>
            </w:pPr>
            <w:r>
              <w:rPr>
                <w:color w:val="1C3A36"/>
                <w:sz w:val="16"/>
              </w:rPr>
              <w:t>19% (target)</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456"/>
            <w:shd w:val="clear" w:color="auto" w:fill="EAF0EE"/>
          </w:tcPr>
          <w:p>
            <w:pPr>
              <w:spacing w:after="20"/>
            </w:pPr>
            <w:r>
              <w:rPr>
                <w:b/>
                <w:color w:val="1C3A36"/>
                <w:sz w:val="16"/>
              </w:rPr>
              <w:t>If Elm’s 2029 TAM share is…</w:t>
            </w:r>
          </w:p>
        </w:tc>
        <w:tc>
          <w:tcPr>
            <w:tcW w:type="dxa" w:w="1656"/>
            <w:shd w:val="clear" w:color="auto" w:fill="EAF0EE"/>
          </w:tcPr>
          <w:p>
            <w:pPr>
              <w:spacing w:after="20"/>
            </w:pPr>
            <w:r>
              <w:rPr>
                <w:b/>
                <w:color w:val="1C3A36"/>
                <w:sz w:val="16"/>
              </w:rPr>
              <w:t>8%</w:t>
            </w:r>
          </w:p>
        </w:tc>
        <w:tc>
          <w:tcPr>
            <w:tcW w:type="dxa" w:w="1656"/>
            <w:shd w:val="clear" w:color="auto" w:fill="EAF0EE"/>
          </w:tcPr>
          <w:p>
            <w:pPr>
              <w:spacing w:after="20"/>
            </w:pPr>
            <w:r>
              <w:rPr>
                <w:b/>
                <w:color w:val="1C3A36"/>
                <w:sz w:val="16"/>
              </w:rPr>
              <w:t>10%</w:t>
            </w:r>
          </w:p>
        </w:tc>
        <w:tc>
          <w:tcPr>
            <w:tcW w:type="dxa" w:w="1944"/>
            <w:shd w:val="clear" w:color="auto" w:fill="EAF0EE"/>
          </w:tcPr>
          <w:p>
            <w:pPr>
              <w:spacing w:after="20"/>
            </w:pPr>
            <w:r>
              <w:rPr>
                <w:b/>
                <w:color w:val="1C3A36"/>
                <w:sz w:val="16"/>
              </w:rPr>
              <w:t>12% (base)</w:t>
            </w:r>
          </w:p>
        </w:tc>
      </w:tr>
      <w:tr>
        <w:tc>
          <w:tcPr>
            <w:tcW w:type="dxa" w:w="3456"/>
          </w:tcPr>
          <w:p>
            <w:pPr>
              <w:spacing w:after="20"/>
            </w:pPr>
            <w:r>
              <w:rPr>
                <w:color w:val="1C3A36"/>
                <w:sz w:val="16"/>
              </w:rPr>
              <w:t>2029 Digital-Business revenue (SAR bn)</w:t>
            </w:r>
          </w:p>
        </w:tc>
        <w:tc>
          <w:tcPr>
            <w:tcW w:type="dxa" w:w="1656"/>
          </w:tcPr>
          <w:p>
            <w:pPr>
              <w:spacing w:after="20"/>
              <w:jc w:val="right"/>
            </w:pPr>
            <w:r>
              <w:rPr>
                <w:color w:val="1C3A36"/>
                <w:sz w:val="16"/>
              </w:rPr>
              <w:t>7.6</w:t>
            </w:r>
          </w:p>
        </w:tc>
        <w:tc>
          <w:tcPr>
            <w:tcW w:type="dxa" w:w="1656"/>
          </w:tcPr>
          <w:p>
            <w:pPr>
              <w:spacing w:after="20"/>
              <w:jc w:val="right"/>
            </w:pPr>
            <w:r>
              <w:rPr>
                <w:color w:val="1C3A36"/>
                <w:sz w:val="16"/>
              </w:rPr>
              <w:t>9.5</w:t>
            </w:r>
          </w:p>
        </w:tc>
        <w:tc>
          <w:tcPr>
            <w:tcW w:type="dxa" w:w="1944"/>
          </w:tcPr>
          <w:p>
            <w:pPr>
              <w:spacing w:after="20"/>
              <w:jc w:val="right"/>
            </w:pPr>
            <w:r>
              <w:rPr>
                <w:color w:val="1C3A36"/>
                <w:sz w:val="16"/>
              </w:rPr>
              <w:t>11.4</w:t>
            </w:r>
          </w:p>
        </w:tc>
      </w:tr>
    </w:tbl>
    <w:p>
      <w:pPr>
        <w:spacing w:after="40"/>
      </w:pPr>
    </w:p>
    <w:p>
      <w:pPr>
        <w:spacing w:after="120" w:before="0"/>
      </w:pPr>
      <w:r>
        <w:rPr>
          <w:b w:val="0"/>
          <w:i w:val="0"/>
          <w:color w:val="1C3A36"/>
          <w:sz w:val="20"/>
        </w:rPr>
        <w:t>Worked example. The base case assumes Elm converts its ~10% share into ~12% by 2029 — a modest share gain inside a TAM compounding with the digital economy. That is consistent with the ~16% revenue CAGR the bottom-up model uses, so the top-down envelope supports rather than contradicts the forecast; on that basis Expert 3 centres SAR 560–700.</w:t>
      </w:r>
    </w:p>
    <w:p>
      <w:pPr>
        <w:spacing w:after="120" w:before="0"/>
      </w:pPr>
      <w:r>
        <w:rPr>
          <w:b/>
          <w:i w:val="0"/>
          <w:color w:val="1C3A36"/>
          <w:sz w:val="20"/>
        </w:rPr>
        <w:t>Swing input — government IT-budget growth (tied to the oil-revenue fiscal cycle).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3744"/>
            <w:shd w:val="clear" w:color="auto" w:fill="EAF0EE"/>
          </w:tcPr>
          <w:p>
            <w:pPr>
              <w:spacing w:after="20"/>
            </w:pPr>
            <w:r>
              <w:rPr>
                <w:b/>
                <w:color w:val="1C3A36"/>
                <w:sz w:val="16"/>
              </w:rPr>
              <w:t>Government digital-spend path</w:t>
            </w:r>
          </w:p>
        </w:tc>
        <w:tc>
          <w:tcPr>
            <w:tcW w:type="dxa" w:w="2016"/>
            <w:shd w:val="clear" w:color="auto" w:fill="EAF0EE"/>
          </w:tcPr>
          <w:p>
            <w:pPr>
              <w:spacing w:after="20"/>
            </w:pPr>
            <w:r>
              <w:rPr>
                <w:b/>
                <w:color w:val="1C3A36"/>
                <w:sz w:val="16"/>
              </w:rPr>
              <w:t>revenue CAGR proxy</w:t>
            </w:r>
          </w:p>
        </w:tc>
        <w:tc>
          <w:tcPr>
            <w:tcW w:type="dxa" w:w="2016"/>
            <w:shd w:val="clear" w:color="auto" w:fill="EAF0EE"/>
          </w:tcPr>
          <w:p>
            <w:pPr>
              <w:spacing w:after="20"/>
            </w:pPr>
            <w:r>
              <w:rPr>
                <w:b/>
                <w:color w:val="1C3A36"/>
                <w:sz w:val="16"/>
              </w:rPr>
              <w:t>directional fair value</w:t>
            </w:r>
          </w:p>
        </w:tc>
      </w:tr>
      <w:tr>
        <w:tc>
          <w:tcPr>
            <w:tcW w:type="dxa" w:w="3744"/>
          </w:tcPr>
          <w:p>
            <w:pPr>
              <w:spacing w:after="20"/>
            </w:pPr>
            <w:r>
              <w:rPr>
                <w:color w:val="1C3A36"/>
                <w:sz w:val="16"/>
              </w:rPr>
              <w:t>Accelerating (giga-projects, tourism)</w:t>
            </w:r>
          </w:p>
        </w:tc>
        <w:tc>
          <w:tcPr>
            <w:tcW w:type="dxa" w:w="2016"/>
          </w:tcPr>
          <w:p>
            <w:pPr>
              <w:spacing w:after="20"/>
              <w:jc w:val="right"/>
            </w:pPr>
            <w:r>
              <w:rPr>
                <w:color w:val="1C3A36"/>
                <w:sz w:val="16"/>
              </w:rPr>
              <w:t>~18–20%</w:t>
            </w:r>
          </w:p>
        </w:tc>
        <w:tc>
          <w:tcPr>
            <w:tcW w:type="dxa" w:w="2016"/>
          </w:tcPr>
          <w:p>
            <w:pPr>
              <w:spacing w:after="20"/>
              <w:jc w:val="right"/>
            </w:pPr>
            <w:r>
              <w:rPr>
                <w:color w:val="1C3A36"/>
                <w:sz w:val="16"/>
              </w:rPr>
              <w:t>upper end (~700+)</w:t>
            </w:r>
          </w:p>
        </w:tc>
      </w:tr>
      <w:tr>
        <w:tc>
          <w:tcPr>
            <w:tcW w:type="dxa" w:w="3744"/>
            <w:shd w:val="clear" w:color="auto" w:fill="F6F1E6"/>
          </w:tcPr>
          <w:p>
            <w:pPr>
              <w:spacing w:after="20"/>
            </w:pPr>
            <w:r>
              <w:rPr>
                <w:b/>
                <w:color w:val="1C3A36"/>
                <w:sz w:val="16"/>
              </w:rPr>
              <w:t>Base (Vision-2030 on track)</w:t>
            </w:r>
          </w:p>
        </w:tc>
        <w:tc>
          <w:tcPr>
            <w:tcW w:type="dxa" w:w="2016"/>
            <w:shd w:val="clear" w:color="auto" w:fill="F6F1E6"/>
          </w:tcPr>
          <w:p>
            <w:pPr>
              <w:spacing w:after="20"/>
              <w:jc w:val="right"/>
            </w:pPr>
            <w:r>
              <w:rPr>
                <w:b/>
                <w:color w:val="1C3A36"/>
                <w:sz w:val="16"/>
              </w:rPr>
              <w:t>~16%</w:t>
            </w:r>
          </w:p>
        </w:tc>
        <w:tc>
          <w:tcPr>
            <w:tcW w:type="dxa" w:w="2016"/>
            <w:shd w:val="clear" w:color="auto" w:fill="F6F1E6"/>
          </w:tcPr>
          <w:p>
            <w:pPr>
              <w:spacing w:after="20"/>
              <w:jc w:val="right"/>
            </w:pPr>
            <w:r>
              <w:rPr>
                <w:b/>
                <w:color w:val="1C3A36"/>
                <w:sz w:val="16"/>
              </w:rPr>
              <w:t>~620 central</w:t>
            </w:r>
          </w:p>
        </w:tc>
      </w:tr>
      <w:tr>
        <w:tc>
          <w:tcPr>
            <w:tcW w:type="dxa" w:w="3744"/>
          </w:tcPr>
          <w:p>
            <w:pPr>
              <w:spacing w:after="20"/>
            </w:pPr>
            <w:r>
              <w:rPr>
                <w:color w:val="1C3A36"/>
                <w:sz w:val="16"/>
              </w:rPr>
              <w:t>Retrenchment (oil-driven cuts)</w:t>
            </w:r>
          </w:p>
        </w:tc>
        <w:tc>
          <w:tcPr>
            <w:tcW w:type="dxa" w:w="2016"/>
          </w:tcPr>
          <w:p>
            <w:pPr>
              <w:spacing w:after="20"/>
              <w:jc w:val="right"/>
            </w:pPr>
            <w:r>
              <w:rPr>
                <w:color w:val="1C3A36"/>
                <w:sz w:val="16"/>
              </w:rPr>
              <w:t>~10%</w:t>
            </w:r>
          </w:p>
        </w:tc>
        <w:tc>
          <w:tcPr>
            <w:tcW w:type="dxa" w:w="2016"/>
          </w:tcPr>
          <w:p>
            <w:pPr>
              <w:spacing w:after="20"/>
              <w:jc w:val="right"/>
            </w:pPr>
            <w:r>
              <w:rPr>
                <w:color w:val="1C3A36"/>
                <w:sz w:val="16"/>
              </w:rPr>
              <w:t>mid-500s and falling</w:t>
            </w:r>
          </w:p>
        </w:tc>
      </w:tr>
    </w:tbl>
    <w:p>
      <w:pPr>
        <w:spacing w:after="40"/>
      </w:pPr>
    </w:p>
    <w:p>
      <w:pPr>
        <w:spacing w:after="120" w:before="0"/>
      </w:pPr>
      <w:r>
        <w:rPr>
          <w:b w:val="0"/>
          <w:i/>
          <w:color w:val="1C3A36"/>
          <w:sz w:val="20"/>
        </w:rPr>
        <w:t>Cross-examination. To Experts 1 and 2: “both of you price company execution; the dominant risk here is exogenous — a fiscal squeeze or a decision to spread digital mandates would hit the whole thesis regardless of how good the moat or the returns are.”</w:t>
      </w:r>
    </w:p>
    <w:p>
      <w:pPr>
        <w:spacing w:after="120" w:before="0"/>
      </w:pPr>
      <w:r>
        <w:rPr>
          <w:b w:val="0"/>
          <w:i w:val="0"/>
          <w:color w:val="1C3A36"/>
          <w:sz w:val="20"/>
        </w:rPr>
        <w:t>Verdict, price-implied read, and falsification. Central SAR 560–700, explicitly conditioned on the fiscal path rather than execution; spot is inside that band. Falsify on a sustained fiscal retrenchment, or a policy decision to diversify digital mandates away from Elm.</w:t>
      </w:r>
    </w:p>
    <w:p>
      <w:pPr>
        <w:spacing w:after="60" w:before="180"/>
      </w:pPr>
      <w:r>
        <w:rPr>
          <w:b/>
          <w:i w:val="0"/>
          <w:color w:val="1C3A36"/>
          <w:sz w:val="23"/>
        </w:rPr>
        <w:t>C.5  The three in one room</w:t>
      </w:r>
    </w:p>
    <w:p>
      <w:pPr>
        <w:spacing w:after="120" w:before="0"/>
      </w:pPr>
      <w:r>
        <w:rPr>
          <w:b w:val="0"/>
          <w:i w:val="0"/>
          <w:color w:val="1C3A36"/>
          <w:sz w:val="20"/>
        </w:rPr>
        <w:t>Put in one room, the three experts converge on the franchise and diverge on the price of risk. Expert 1 makes the discount rate explicit and, via the reverse-DCF, notes the market is already pricing a slightly-below-neutral beta — landing SAR 560–680. Expert 2 makes moat durability the crux, shows that ~53% of DCF value is the growth the moat must fund, and lands slightly higher at SAR 600–720 conditional on exclusivity. Expert 3 makes the government fiscal cycle the crux and lands SAR 560–700. Their central estimates cluster in the SAR 560–720 band that anchors the study’s ~SAR 620 weighted central — and, tellingly, all three independently observe that spot at SAR 658 sits at the upper edge of fair, not below it.</w:t>
      </w:r>
    </w:p>
    <w:p>
      <w:pPr>
        <w:spacing w:after="60" w:before="180"/>
      </w:pPr>
      <w:r>
        <w:rPr>
          <w:b/>
          <w:i w:val="0"/>
          <w:color w:val="1C3A36"/>
          <w:sz w:val="23"/>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232"/>
            <w:shd w:val="clear" w:color="auto" w:fill="EAF0EE"/>
          </w:tcPr>
          <w:p>
            <w:pPr>
              <w:spacing w:after="20"/>
            </w:pPr>
            <w:r>
              <w:rPr>
                <w:b/>
                <w:color w:val="1C3A36"/>
                <w:sz w:val="15"/>
              </w:rPr>
              <w:t>Expert</w:t>
            </w:r>
          </w:p>
        </w:tc>
        <w:tc>
          <w:tcPr>
            <w:tcW w:type="dxa" w:w="2880"/>
            <w:shd w:val="clear" w:color="auto" w:fill="EAF0EE"/>
          </w:tcPr>
          <w:p>
            <w:pPr>
              <w:spacing w:after="20"/>
            </w:pPr>
            <w:r>
              <w:rPr>
                <w:b/>
                <w:color w:val="1C3A36"/>
                <w:sz w:val="15"/>
              </w:rPr>
              <w:t>Method</w:t>
            </w:r>
          </w:p>
        </w:tc>
        <w:tc>
          <w:tcPr>
            <w:tcW w:type="dxa" w:w="1512"/>
            <w:shd w:val="clear" w:color="auto" w:fill="EAF0EE"/>
          </w:tcPr>
          <w:p>
            <w:pPr>
              <w:spacing w:after="20"/>
            </w:pPr>
            <w:r>
              <w:rPr>
                <w:b/>
                <w:color w:val="1C3A36"/>
                <w:sz w:val="15"/>
              </w:rPr>
              <w:t>Central (SAR)</w:t>
            </w:r>
          </w:p>
        </w:tc>
        <w:tc>
          <w:tcPr>
            <w:tcW w:type="dxa" w:w="2664"/>
            <w:shd w:val="clear" w:color="auto" w:fill="EAF0EE"/>
          </w:tcPr>
          <w:p>
            <w:pPr>
              <w:spacing w:after="20"/>
            </w:pPr>
            <w:r>
              <w:rPr>
                <w:b/>
                <w:color w:val="1C3A36"/>
                <w:sz w:val="15"/>
              </w:rPr>
              <w:t>Driving assumption</w:t>
            </w:r>
          </w:p>
        </w:tc>
        <w:tc>
          <w:tcPr>
            <w:tcW w:type="dxa" w:w="2952"/>
            <w:shd w:val="clear" w:color="auto" w:fill="EAF0EE"/>
          </w:tcPr>
          <w:p>
            <w:pPr>
              <w:spacing w:after="20"/>
            </w:pPr>
            <w:r>
              <w:rPr>
                <w:b/>
                <w:color w:val="1C3A36"/>
                <w:sz w:val="15"/>
              </w:rPr>
              <w:t>If the assumption breaks…</w:t>
            </w:r>
          </w:p>
        </w:tc>
      </w:tr>
      <w:tr>
        <w:tc>
          <w:tcPr>
            <w:tcW w:type="dxa" w:w="2232"/>
          </w:tcPr>
          <w:p>
            <w:pPr>
              <w:spacing w:after="20"/>
            </w:pPr>
            <w:r>
              <w:rPr>
                <w:color w:val="1C3A36"/>
                <w:sz w:val="15"/>
              </w:rPr>
              <w:t>1 · growth durability</w:t>
            </w:r>
          </w:p>
        </w:tc>
        <w:tc>
          <w:tcPr>
            <w:tcW w:type="dxa" w:w="2880"/>
          </w:tcPr>
          <w:p>
            <w:pPr>
              <w:spacing w:after="20"/>
              <w:jc w:val="right"/>
            </w:pPr>
            <w:r>
              <w:rPr>
                <w:color w:val="1C3A36"/>
                <w:sz w:val="15"/>
              </w:rPr>
              <w:t>intrinsic value / reverse-DCF</w:t>
            </w:r>
          </w:p>
        </w:tc>
        <w:tc>
          <w:tcPr>
            <w:tcW w:type="dxa" w:w="1512"/>
          </w:tcPr>
          <w:p>
            <w:pPr>
              <w:spacing w:after="20"/>
              <w:jc w:val="right"/>
            </w:pPr>
            <w:r>
              <w:rPr>
                <w:color w:val="1C3A36"/>
                <w:sz w:val="15"/>
              </w:rPr>
              <w:t>560–680</w:t>
            </w:r>
          </w:p>
        </w:tc>
        <w:tc>
          <w:tcPr>
            <w:tcW w:type="dxa" w:w="2664"/>
          </w:tcPr>
          <w:p>
            <w:pPr>
              <w:spacing w:after="20"/>
              <w:jc w:val="right"/>
            </w:pPr>
            <w:r>
              <w:rPr>
                <w:color w:val="1C3A36"/>
                <w:sz w:val="15"/>
              </w:rPr>
              <w:t>beta settles ~neutral; growth ~16%</w:t>
            </w:r>
          </w:p>
        </w:tc>
        <w:tc>
          <w:tcPr>
            <w:tcW w:type="dxa" w:w="2952"/>
          </w:tcPr>
          <w:p>
            <w:pPr>
              <w:spacing w:after="20"/>
              <w:jc w:val="right"/>
            </w:pPr>
            <w:r>
              <w:rPr>
                <w:color w:val="1C3A36"/>
                <w:sz w:val="15"/>
              </w:rPr>
              <w:t>high-beta re-rate (WACC &gt;12%) → sub-470</w:t>
            </w:r>
          </w:p>
        </w:tc>
      </w:tr>
      <w:tr>
        <w:tc>
          <w:tcPr>
            <w:tcW w:type="dxa" w:w="2232"/>
          </w:tcPr>
          <w:p>
            <w:pPr>
              <w:spacing w:after="20"/>
            </w:pPr>
            <w:r>
              <w:rPr>
                <w:color w:val="1C3A36"/>
                <w:sz w:val="15"/>
              </w:rPr>
              <w:t>2 · quality &amp; moat</w:t>
            </w:r>
          </w:p>
        </w:tc>
        <w:tc>
          <w:tcPr>
            <w:tcW w:type="dxa" w:w="2880"/>
          </w:tcPr>
          <w:p>
            <w:pPr>
              <w:spacing w:after="20"/>
              <w:jc w:val="right"/>
            </w:pPr>
            <w:r>
              <w:rPr>
                <w:color w:val="1C3A36"/>
                <w:sz w:val="15"/>
              </w:rPr>
              <w:t>EPV floor + franchise premium</w:t>
            </w:r>
          </w:p>
        </w:tc>
        <w:tc>
          <w:tcPr>
            <w:tcW w:type="dxa" w:w="1512"/>
          </w:tcPr>
          <w:p>
            <w:pPr>
              <w:spacing w:after="20"/>
              <w:jc w:val="right"/>
            </w:pPr>
            <w:r>
              <w:rPr>
                <w:color w:val="1C3A36"/>
                <w:sz w:val="15"/>
              </w:rPr>
              <w:t>600–720</w:t>
            </w:r>
          </w:p>
        </w:tc>
        <w:tc>
          <w:tcPr>
            <w:tcW w:type="dxa" w:w="2664"/>
          </w:tcPr>
          <w:p>
            <w:pPr>
              <w:spacing w:after="20"/>
              <w:jc w:val="right"/>
            </w:pPr>
            <w:r>
              <w:rPr>
                <w:color w:val="1C3A36"/>
                <w:sz w:val="15"/>
              </w:rPr>
              <w:t>registry exclusivity persists</w:t>
            </w:r>
          </w:p>
        </w:tc>
        <w:tc>
          <w:tcPr>
            <w:tcW w:type="dxa" w:w="2952"/>
          </w:tcPr>
          <w:p>
            <w:pPr>
              <w:spacing w:after="20"/>
              <w:jc w:val="right"/>
            </w:pPr>
            <w:r>
              <w:rPr>
                <w:color w:val="1C3A36"/>
                <w:sz w:val="15"/>
              </w:rPr>
              <w:t>moat erosion (GM &lt;35%) → mid-400s</w:t>
            </w:r>
          </w:p>
        </w:tc>
      </w:tr>
      <w:tr>
        <w:tc>
          <w:tcPr>
            <w:tcW w:type="dxa" w:w="2232"/>
          </w:tcPr>
          <w:p>
            <w:pPr>
              <w:spacing w:after="20"/>
            </w:pPr>
            <w:r>
              <w:rPr>
                <w:color w:val="1C3A36"/>
                <w:sz w:val="15"/>
              </w:rPr>
              <w:t>3 · macro / policy</w:t>
            </w:r>
          </w:p>
        </w:tc>
        <w:tc>
          <w:tcPr>
            <w:tcW w:type="dxa" w:w="2880"/>
          </w:tcPr>
          <w:p>
            <w:pPr>
              <w:spacing w:after="20"/>
              <w:jc w:val="right"/>
            </w:pPr>
            <w:r>
              <w:rPr>
                <w:color w:val="1C3A36"/>
                <w:sz w:val="15"/>
              </w:rPr>
              <w:t>top-down TAM penetration</w:t>
            </w:r>
          </w:p>
        </w:tc>
        <w:tc>
          <w:tcPr>
            <w:tcW w:type="dxa" w:w="1512"/>
          </w:tcPr>
          <w:p>
            <w:pPr>
              <w:spacing w:after="20"/>
              <w:jc w:val="right"/>
            </w:pPr>
            <w:r>
              <w:rPr>
                <w:color w:val="1C3A36"/>
                <w:sz w:val="15"/>
              </w:rPr>
              <w:t>560–700</w:t>
            </w:r>
          </w:p>
        </w:tc>
        <w:tc>
          <w:tcPr>
            <w:tcW w:type="dxa" w:w="2664"/>
          </w:tcPr>
          <w:p>
            <w:pPr>
              <w:spacing w:after="20"/>
              <w:jc w:val="right"/>
            </w:pPr>
            <w:r>
              <w:rPr>
                <w:color w:val="1C3A36"/>
                <w:sz w:val="15"/>
              </w:rPr>
              <w:t>Vision-2030 spend compounds</w:t>
            </w:r>
          </w:p>
        </w:tc>
        <w:tc>
          <w:tcPr>
            <w:tcW w:type="dxa" w:w="2952"/>
          </w:tcPr>
          <w:p>
            <w:pPr>
              <w:spacing w:after="20"/>
              <w:jc w:val="right"/>
            </w:pPr>
            <w:r>
              <w:rPr>
                <w:color w:val="1C3A36"/>
                <w:sz w:val="15"/>
              </w:rPr>
              <w:t>fiscal retrenchment → mid-500s and falling</w:t>
            </w:r>
          </w:p>
        </w:tc>
      </w:tr>
    </w:tbl>
    <w:p>
      <w:pPr>
        <w:spacing w:after="40"/>
      </w:pPr>
    </w:p>
    <w:p>
      <w:pPr>
        <w:spacing w:after="180" w:before="0"/>
      </w:pPr>
      <w:r>
        <w:rPr>
          <w:b w:val="0"/>
          <w:i/>
          <w:color w:val="6E7B77"/>
          <w:sz w:val="17"/>
        </w:rPr>
        <w:t>The spread between the experts is not disagreement about Elm the business — it is a decomposition of Elm’s two structural risks. Expert 1 prices the discount-rate risk, Expert 2 the moat-durability risk, Expert 3 the fiscal-policy risk. Where they overlap (SAR ~590–700) is the study’s highest-confidence zone; spot sits at its top.</w:t>
      </w:r>
    </w:p>
    <w:p>
      <w:pPr>
        <w:spacing w:after="100" w:before="260"/>
      </w:pPr>
      <w:r>
        <w:rPr>
          <w:b/>
          <w:i w:val="0"/>
          <w:color w:val="1C3A36"/>
          <w:sz w:val="29"/>
        </w:rPr>
        <w:t>About this series</w:t>
      </w:r>
    </w:p>
    <w:p>
      <w:pPr>
        <w:spacing w:after="120" w:before="0"/>
      </w:pPr>
      <w:r>
        <w:rPr>
          <w:b w:val="0"/>
          <w:i w:val="0"/>
          <w:color w:val="1C3A36"/>
          <w:sz w:val="20"/>
        </w:rPr>
        <w:t>Testahil publishes independent, educational valuation studies that integrate a fundamental view, a technical read, and a Monte Carlo distribution of the near-term price path. Every study is built on a live calibration gate: the same simulation engine is back-tested on the name’s own history and on its market panel before any distribution is published, and the calibration record is maintained on the Testahil ledger. Studies present ranges of fair value and probabilities — never a rating, a target price, or a recommendation. For this name, the engine is calibrated on Saudi’s own fitted volatility panel; the distribution is published under Testahil’s standard tier for a market-panel-validated, no-single-name-edge name.</w:t>
      </w:r>
    </w:p>
    <w:p>
      <w:pPr>
        <w:spacing w:after="100" w:before="260"/>
      </w:pPr>
      <w:r>
        <w:rPr>
          <w:b/>
          <w:i w:val="0"/>
          <w:color w:val="1C3A36"/>
          <w:sz w:val="29"/>
        </w:rPr>
        <w:t>Disclosure &amp; Disclaimer</w:t>
      </w:r>
    </w:p>
    <w:p>
      <w:pPr>
        <w:spacing w:after="80" w:before="0"/>
      </w:pPr>
      <w:r>
        <w:rPr>
          <w:b/>
          <w:i w:val="0"/>
          <w:color w:val="1C3A36"/>
          <w:sz w:val="17"/>
        </w:rPr>
        <w:t xml:space="preserve">1. Educational purpose. </w:t>
      </w:r>
      <w:r>
        <w:rPr>
          <w:b w:val="0"/>
          <w:i w:val="0"/>
          <w:color w:val="1C3A36"/>
          <w:sz w:val="17"/>
        </w:rPr>
        <w:t>This document is an educational valuation study. It is not investment advice, an offer, or a solicitation to buy or sell any security, and it contains no recommendation, rating, or price target.</w:t>
      </w:r>
    </w:p>
    <w:p>
      <w:pPr>
        <w:spacing w:after="80" w:before="0"/>
      </w:pPr>
      <w:r>
        <w:rPr>
          <w:b/>
          <w:i w:val="0"/>
          <w:color w:val="1C3A36"/>
          <w:sz w:val="17"/>
        </w:rPr>
        <w:t xml:space="preserve">2. No reliance. </w:t>
      </w:r>
      <w:r>
        <w:rPr>
          <w:b w:val="0"/>
          <w:i w:val="0"/>
          <w:color w:val="1C3A36"/>
          <w:sz w:val="17"/>
        </w:rPr>
        <w:t>Nothing here should be relied upon as the basis for any investment decision. Readers must form their own view and, where appropriate, consult a licensed financial adviser. Testahil is not licensed by the FRA or any equivalent authority.</w:t>
      </w:r>
    </w:p>
    <w:p>
      <w:pPr>
        <w:spacing w:after="80" w:before="0"/>
      </w:pPr>
      <w:r>
        <w:rPr>
          <w:b/>
          <w:i w:val="0"/>
          <w:color w:val="1C3A36"/>
          <w:sz w:val="17"/>
        </w:rPr>
        <w:t xml:space="preserve">3. Sources and accuracy. </w:t>
      </w:r>
      <w:r>
        <w:rPr>
          <w:b w:val="0"/>
          <w:i w:val="0"/>
          <w:color w:val="1C3A36"/>
          <w:sz w:val="17"/>
        </w:rPr>
        <w:t>Figures are drawn from company disclosures, exchange filings, and third-party data believed reliable but not independently verified; forecasts are the preparer’s own and are inherently uncertain.</w:t>
      </w:r>
    </w:p>
    <w:p>
      <w:pPr>
        <w:spacing w:after="80" w:before="0"/>
      </w:pPr>
      <w:r>
        <w:rPr>
          <w:b/>
          <w:i w:val="0"/>
          <w:color w:val="1C3A36"/>
          <w:sz w:val="17"/>
        </w:rPr>
        <w:t xml:space="preserve">4. Forward-looking statements. </w:t>
      </w:r>
      <w:r>
        <w:rPr>
          <w:b w:val="0"/>
          <w:i w:val="0"/>
          <w:color w:val="1C3A36"/>
          <w:sz w:val="17"/>
        </w:rPr>
        <w:t>Projections, scenarios, and probability distributions are estimates that will differ, possibly materially, from actual outcomes.</w:t>
      </w:r>
    </w:p>
    <w:p>
      <w:pPr>
        <w:spacing w:after="80" w:before="0"/>
      </w:pPr>
      <w:r>
        <w:rPr>
          <w:b/>
          <w:i w:val="0"/>
          <w:color w:val="1C3A36"/>
          <w:sz w:val="17"/>
        </w:rPr>
        <w:t xml:space="preserve">5. Position disclosure. </w:t>
      </w:r>
      <w:r>
        <w:rPr>
          <w:b w:val="0"/>
          <w:i w:val="0"/>
          <w:color w:val="1C3A36"/>
          <w:sz w:val="17"/>
        </w:rPr>
        <w:t>The preparer may hold, and may in the future take or dispose of, a position in the security discussed in this report.</w:t>
      </w:r>
    </w:p>
    <w:p>
      <w:pPr>
        <w:spacing w:after="80" w:before="0"/>
      </w:pPr>
      <w:r>
        <w:rPr>
          <w:b/>
          <w:i w:val="0"/>
          <w:color w:val="1C3A36"/>
          <w:sz w:val="17"/>
        </w:rPr>
        <w:t xml:space="preserve">6. No liability. </w:t>
      </w:r>
      <w:r>
        <w:rPr>
          <w:b w:val="0"/>
          <w:i w:val="0"/>
          <w:color w:val="1C3A36"/>
          <w:sz w:val="17"/>
        </w:rPr>
        <w:t>Testahil accepts no liability for any loss arising from the use of this document. All rights reserved.</w:t>
      </w:r>
    </w:p>
    <w:p>
      <w:pPr>
        <w:spacing w:after="120" w:before="160"/>
      </w:pPr>
      <w:r>
        <w:rPr>
          <w:b w:val="0"/>
          <w:i/>
          <w:color w:val="6E7B77"/>
          <w:sz w:val="16"/>
        </w:rPr>
        <w:t>Testahil · Independent Valuation Study · Elm Company (Tadawul: 7203) · edition 2026-07-07 · SAR</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1C3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