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2"/>
        </w:rPr>
        <w:t>EGYPTIAN CHEMICAL INDUSTRIES (KIMA)</w:t>
      </w:r>
    </w:p>
    <w:p>
      <w:pPr>
        <w:spacing w:after="20" w:before="0"/>
      </w:pPr>
      <w:r>
        <w:rPr>
          <w:b w:val="0"/>
          <w:i w:val="0"/>
          <w:color w:val="896F36"/>
          <w:sz w:val="22"/>
        </w:rPr>
        <w:t>Egyptian Exchange: EGCH  ·  Aswan  ·  Nitrogen fertilizers and industrial chemicals</w:t>
      </w:r>
    </w:p>
    <w:p>
      <w:pPr>
        <w:spacing w:after="200" w:before="0"/>
      </w:pPr>
      <w:r>
        <w:rPr>
          <w:b w:val="0"/>
          <w:i w:val="0"/>
          <w:color w:val="6E7B77"/>
          <w:sz w:val="20"/>
        </w:rPr>
        <w:t>Valuation study — 1 September 2026  ·  Reporting and valuation currency: Egyptian pounds  ·  Anchor price EGP 14.41 at the close of 2026-09-03</w:t>
      </w:r>
    </w:p>
    <w:p>
      <w:pPr>
        <w:keepNext/>
        <w:spacing w:after="120" w:before="280"/>
      </w:pPr>
      <w:r>
        <w:rPr>
          <w:b/>
          <w:i w:val="0"/>
          <w:color w:val="1C3A36"/>
          <w:sz w:val="30"/>
        </w:rPr>
        <w:t>Read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 single-site Egyptian nitrogen-fertilizer producer, built from the company's own audited statements and reviewed interim accounts, and read through four separate lenses rather than one.</w:t>
            </w:r>
          </w:p>
          <w:p>
            <w:pPr>
              <w:spacing w:after="100"/>
            </w:pPr>
            <w:r>
              <w:rPr>
                <w:b/>
                <w:color w:val="1C3A36"/>
                <w:sz w:val="19"/>
              </w:rPr>
              <w:t xml:space="preserve">What it is not.  </w:t>
            </w:r>
            <w:r>
              <w:rPr>
                <w:color w:val="1C3A36"/>
                <w:sz w:val="19"/>
              </w:rPr>
              <w:t>Not a rating, and not a price target. It reports a range of fair values, the reasoning behind each, and the probability map around today's price.</w:t>
            </w:r>
          </w:p>
          <w:p>
            <w:pPr>
              <w:spacing w:after="100"/>
            </w:pPr>
            <w:r>
              <w:rPr>
                <w:b/>
                <w:color w:val="1C3A36"/>
                <w:sz w:val="19"/>
              </w:rPr>
              <w:t xml:space="preserve">The one judgement that decides the answer.  </w:t>
            </w:r>
            <w:r>
              <w:rPr>
                <w:color w:val="1C3A36"/>
                <w:sz w:val="19"/>
              </w:rPr>
              <w:t>This company is building a nitric-acid and ammonium-nitrate complex whose bank-approved cost is about three quarters of its own stock-market value, and which was 12.9% built against a 37% plan at the last reported date. Whether that programme is carried through or stopped is worth more than three pounds a share. Both answers are computed and both are published side by side throughout this document. Neither is averaged into the other, because the average would be true in neither world.</w:t>
            </w:r>
          </w:p>
          <w:p>
            <w:pPr>
              <w:spacing w:after="100"/>
            </w:pPr>
            <w:r>
              <w:rPr>
                <w:b/>
                <w:color w:val="1C3A36"/>
                <w:sz w:val="19"/>
              </w:rPr>
              <w:t xml:space="preserve">How to read the numbers.  </w:t>
            </w:r>
            <w:r>
              <w:rPr>
                <w:color w:val="1C3A36"/>
                <w:sz w:val="19"/>
              </w:rPr>
              <w:t>The answer is the cash-flow lens, and on this company it has TWO SIDES: EGP 2.31 a share if the capital programme is carried through and EGP 6.26 if it is stopped. Both are published throughout and neither is averaged into the other. The other lenses — relative multiples, normalised earnings and book value — are CROSS-CHECKS printed beside the answer, not weights inside it. A previous edition published a weighted blend of the four at stated weights; the weights were typed and had never been tested, and averaging several methods does not make a number more robust than the best of them — it makes a new method with free parameters nobody checked. Where the lenses disagree, the disagreement is the information, and section 4 isolates which assumption drives which gap.</w:t>
            </w:r>
          </w:p>
        </w:tc>
      </w:tr>
    </w:tbl>
    <w:p>
      <w:pPr>
        <w:spacing w:after="40"/>
      </w:pPr>
    </w:p>
    <w:p>
      <w:pPr>
        <w:keepNext/>
        <w:spacing w:after="120" w:before="280"/>
      </w:pPr>
      <w:r>
        <w:rPr>
          <w:b/>
          <w:i w:val="0"/>
          <w:color w:val="1C3A36"/>
          <w:sz w:val="30"/>
        </w:rPr>
        <w:t>Headline</w:t>
      </w:r>
    </w:p>
    <w:p>
      <w:pPr>
        <w:spacing w:after="120" w:before="0"/>
      </w:pPr>
      <w:r>
        <w:rPr>
          <w:b/>
          <w:i w:val="0"/>
          <w:color w:val="1C3A36"/>
          <w:sz w:val="21"/>
        </w:rPr>
        <w:t>Four lenses put this company between EGP 2.31 and EGP 15.99 a share. It trades at EGP 14.41. The gap is not a rounding difference between the lenses: it is the whole disagreement. The multiple lens, on the range Egyptian fertilizer producers actually trade at, centres at EGP 15.99 — above the traded price — and it reaches that answer only by never asking what the capital programme does to cash. Every lens that does ask lands below EGP 4.29.</w:t>
      </w:r>
    </w:p>
    <w:p>
      <w:pPr>
        <w:spacing w:after="120" w:before="0"/>
      </w:pPr>
      <w:r>
        <w:rPr>
          <w:b w:val="0"/>
          <w:i w:val="0"/>
          <w:color w:val="1C3A36"/>
          <w:sz w:val="21"/>
        </w:rPr>
        <w:t>Three things push in the same direction. An EGP 20.3 billion capital programme is running two years behind its own plan. The debt book is 99.7% dollar-denominated against an earnings stream that must service it in pounds — a single quarter's translation swing this year was larger than the whole nine-month profit. And any cost of capital anchored to Egypt's sovereign risk lands in the mid-twenties, which is brutal for a business whose cash arrives late.</w:t>
      </w:r>
    </w:p>
    <w:p>
      <w:pPr>
        <w:spacing w:after="120" w:before="0"/>
      </w:pPr>
      <w:r>
        <w:rPr>
          <w:b w:val="0"/>
          <w:i w:val="0"/>
          <w:color w:val="1C3A36"/>
          <w:sz w:val="21"/>
        </w:rPr>
        <w:t>Read the other way round: the traded price is reproduced by this model only at a flat nominal discount rate of about 11.5%, against a sovereign ten-year yield of 23.0% on the same day. That is the disagreement stated precisely rather than argued.</w:t>
      </w:r>
    </w:p>
    <w:p>
      <w:pPr>
        <w:keepNext/>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1512"/>
        <w:gridCol w:w="1008"/>
        <w:gridCol w:w="936"/>
      </w:tblGrid>
      <w:tr>
        <w:trPr>
          <w:cantSplit/>
          <w:tblHeader/>
        </w:trPr>
        <w:tc>
          <w:tcPr>
            <w:tcW w:type="dxa" w:w="2232"/>
            <w:shd w:val="clear" w:color="auto" w:fill="EAF0EE"/>
          </w:tcPr>
          <w:p>
            <w:pPr>
              <w:spacing w:after="20"/>
            </w:pPr>
            <w:r>
              <w:rPr>
                <w:b/>
                <w:color w:val="1C3A36"/>
                <w:sz w:val="15"/>
              </w:rPr>
              <w:t>Read</w:t>
            </w:r>
          </w:p>
        </w:tc>
        <w:tc>
          <w:tcPr>
            <w:tcW w:type="dxa" w:w="3960"/>
            <w:shd w:val="clear" w:color="auto" w:fill="EAF0EE"/>
          </w:tcPr>
          <w:p>
            <w:pPr>
              <w:spacing w:after="20"/>
            </w:pPr>
            <w:r>
              <w:rPr>
                <w:b/>
                <w:color w:val="1C3A36"/>
                <w:sz w:val="15"/>
              </w:rPr>
              <w:t>Basis</w:t>
            </w:r>
          </w:p>
        </w:tc>
        <w:tc>
          <w:tcPr>
            <w:tcW w:type="dxa" w:w="1512"/>
            <w:shd w:val="clear" w:color="auto" w:fill="EAF0EE"/>
          </w:tcPr>
          <w:p>
            <w:pPr>
              <w:spacing w:after="20"/>
            </w:pPr>
            <w:r>
              <w:rPr>
                <w:b/>
                <w:color w:val="1C3A36"/>
                <w:sz w:val="15"/>
              </w:rPr>
              <w:t>Range (EGP/share)</w:t>
            </w:r>
          </w:p>
        </w:tc>
        <w:tc>
          <w:tcPr>
            <w:tcW w:type="dxa" w:w="1008"/>
            <w:shd w:val="clear" w:color="auto" w:fill="EAF0EE"/>
          </w:tcPr>
          <w:p>
            <w:pPr>
              <w:spacing w:after="20"/>
            </w:pPr>
            <w:r>
              <w:rPr>
                <w:b/>
                <w:color w:val="1C3A36"/>
                <w:sz w:val="15"/>
              </w:rPr>
              <w:t>Central</w:t>
            </w:r>
          </w:p>
        </w:tc>
        <w:tc>
          <w:tcPr>
            <w:tcW w:type="dxa" w:w="936"/>
            <w:shd w:val="clear" w:color="auto" w:fill="EAF0EE"/>
          </w:tcPr>
          <w:p>
            <w:pPr>
              <w:spacing w:after="20"/>
            </w:pPr>
            <w:r>
              <w:rPr>
                <w:b/>
                <w:color w:val="1C3A36"/>
                <w:sz w:val="15"/>
              </w:rPr>
              <w:t>vs spot</w:t>
            </w:r>
          </w:p>
        </w:tc>
      </w:tr>
      <w:tr>
        <w:trPr>
          <w:cantSplit/>
        </w:trPr>
        <w:tc>
          <w:tcPr>
            <w:tcW w:type="dxa" w:w="2232"/>
          </w:tcPr>
          <w:p>
            <w:pPr>
              <w:spacing w:after="20"/>
            </w:pPr>
            <w:r>
              <w:rPr>
                <w:color w:val="1C3A36"/>
                <w:sz w:val="15"/>
              </w:rPr>
              <w:t>Cash flow — programme carried through</w:t>
            </w:r>
          </w:p>
        </w:tc>
        <w:tc>
          <w:tcPr>
            <w:tcW w:type="dxa" w:w="3960"/>
          </w:tcPr>
          <w:p>
            <w:pPr>
              <w:spacing w:after="20"/>
            </w:pPr>
            <w:r>
              <w:rPr>
                <w:color w:val="1C3A36"/>
                <w:sz w:val="15"/>
              </w:rPr>
              <w:t>Five-year free cash flow to the firm on a cost of capital gliding from 25.8% to 18.6%, terminal growth 7.0%</w:t>
            </w:r>
          </w:p>
        </w:tc>
        <w:tc>
          <w:tcPr>
            <w:tcW w:type="dxa" w:w="1512"/>
          </w:tcPr>
          <w:p>
            <w:pPr>
              <w:spacing w:after="20"/>
              <w:jc w:val="right"/>
            </w:pPr>
            <w:r>
              <w:rPr>
                <w:color w:val="1C3A36"/>
                <w:sz w:val="15"/>
              </w:rPr>
              <w:t>0.30 to 2.45</w:t>
            </w:r>
          </w:p>
        </w:tc>
        <w:tc>
          <w:tcPr>
            <w:tcW w:type="dxa" w:w="1008"/>
          </w:tcPr>
          <w:p>
            <w:pPr>
              <w:spacing w:after="20"/>
              <w:jc w:val="right"/>
            </w:pPr>
            <w:r>
              <w:rPr>
                <w:color w:val="1C3A36"/>
                <w:sz w:val="15"/>
              </w:rPr>
              <w:t>2.31</w:t>
            </w:r>
          </w:p>
        </w:tc>
        <w:tc>
          <w:tcPr>
            <w:tcW w:type="dxa" w:w="936"/>
          </w:tcPr>
          <w:p>
            <w:pPr>
              <w:spacing w:after="20"/>
              <w:jc w:val="right"/>
            </w:pPr>
            <w:r>
              <w:rPr>
                <w:color w:val="1C3A36"/>
                <w:sz w:val="15"/>
              </w:rPr>
              <w:t>-84%</w:t>
            </w:r>
          </w:p>
        </w:tc>
      </w:tr>
      <w:tr>
        <w:trPr>
          <w:cantSplit/>
        </w:trPr>
        <w:tc>
          <w:tcPr>
            <w:tcW w:type="dxa" w:w="2232"/>
          </w:tcPr>
          <w:p>
            <w:pPr>
              <w:spacing w:after="20"/>
            </w:pPr>
            <w:r>
              <w:rPr>
                <w:color w:val="1C3A36"/>
                <w:sz w:val="15"/>
              </w:rPr>
              <w:t>Cash flow — programme stopped</w:t>
            </w:r>
          </w:p>
        </w:tc>
        <w:tc>
          <w:tcPr>
            <w:tcW w:type="dxa" w:w="3960"/>
          </w:tcPr>
          <w:p>
            <w:pPr>
              <w:spacing w:after="20"/>
            </w:pPr>
            <w:r>
              <w:rPr>
                <w:color w:val="1C3A36"/>
                <w:sz w:val="15"/>
              </w:rPr>
              <w:t>The same model with the capital programme wound down in the first forecast year and the plant run as it stands</w:t>
            </w:r>
          </w:p>
        </w:tc>
        <w:tc>
          <w:tcPr>
            <w:tcW w:type="dxa" w:w="1512"/>
          </w:tcPr>
          <w:p>
            <w:pPr>
              <w:spacing w:after="20"/>
              <w:jc w:val="right"/>
            </w:pPr>
            <w:r>
              <w:rPr>
                <w:color w:val="1C3A36"/>
                <w:sz w:val="15"/>
              </w:rPr>
              <w:t>4.19 to 6.33</w:t>
            </w:r>
          </w:p>
        </w:tc>
        <w:tc>
          <w:tcPr>
            <w:tcW w:type="dxa" w:w="1008"/>
          </w:tcPr>
          <w:p>
            <w:pPr>
              <w:spacing w:after="20"/>
              <w:jc w:val="right"/>
            </w:pPr>
            <w:r>
              <w:rPr>
                <w:color w:val="1C3A36"/>
                <w:sz w:val="15"/>
              </w:rPr>
              <w:t>6.26</w:t>
            </w:r>
          </w:p>
        </w:tc>
        <w:tc>
          <w:tcPr>
            <w:tcW w:type="dxa" w:w="936"/>
          </w:tcPr>
          <w:p>
            <w:pPr>
              <w:spacing w:after="20"/>
              <w:jc w:val="right"/>
            </w:pPr>
            <w:r>
              <w:rPr>
                <w:color w:val="1C3A36"/>
                <w:sz w:val="15"/>
              </w:rPr>
              <w:t>-57%</w:t>
            </w:r>
          </w:p>
        </w:tc>
      </w:tr>
      <w:tr>
        <w:trPr>
          <w:cantSplit/>
        </w:trPr>
        <w:tc>
          <w:tcPr>
            <w:tcW w:type="dxa" w:w="2232"/>
          </w:tcPr>
          <w:p>
            <w:pPr>
              <w:spacing w:after="20"/>
            </w:pPr>
            <w:r>
              <w:rPr>
                <w:color w:val="1C3A36"/>
                <w:sz w:val="15"/>
              </w:rPr>
              <w:t>Relative multiples</w:t>
            </w:r>
          </w:p>
        </w:tc>
        <w:tc>
          <w:tcPr>
            <w:tcW w:type="dxa" w:w="3960"/>
          </w:tcPr>
          <w:p>
            <w:pPr>
              <w:spacing w:after="20"/>
            </w:pPr>
            <w:r>
              <w:rPr>
                <w:color w:val="1C3A36"/>
                <w:sz w:val="15"/>
              </w:rPr>
              <w:t>Forward operating profit before depreciation at 6.0x to 9.9x, the Egyptian industrial range, with 8.0x central</w:t>
            </w:r>
          </w:p>
        </w:tc>
        <w:tc>
          <w:tcPr>
            <w:tcW w:type="dxa" w:w="1512"/>
          </w:tcPr>
          <w:p>
            <w:pPr>
              <w:spacing w:after="20"/>
              <w:jc w:val="right"/>
            </w:pPr>
            <w:r>
              <w:rPr>
                <w:color w:val="1C3A36"/>
                <w:sz w:val="15"/>
              </w:rPr>
              <w:t>11.26 to 20.71</w:t>
            </w:r>
          </w:p>
        </w:tc>
        <w:tc>
          <w:tcPr>
            <w:tcW w:type="dxa" w:w="1008"/>
          </w:tcPr>
          <w:p>
            <w:pPr>
              <w:spacing w:after="20"/>
              <w:jc w:val="right"/>
            </w:pPr>
            <w:r>
              <w:rPr>
                <w:color w:val="1C3A36"/>
                <w:sz w:val="15"/>
              </w:rPr>
              <w:t>15.99</w:t>
            </w:r>
          </w:p>
        </w:tc>
        <w:tc>
          <w:tcPr>
            <w:tcW w:type="dxa" w:w="936"/>
          </w:tcPr>
          <w:p>
            <w:pPr>
              <w:spacing w:after="20"/>
              <w:jc w:val="right"/>
            </w:pPr>
            <w:r>
              <w:rPr>
                <w:color w:val="1C3A36"/>
                <w:sz w:val="15"/>
              </w:rPr>
              <w:t>+11%</w:t>
            </w:r>
          </w:p>
        </w:tc>
      </w:tr>
      <w:tr>
        <w:trPr>
          <w:cantSplit/>
        </w:trPr>
        <w:tc>
          <w:tcPr>
            <w:tcW w:type="dxa" w:w="2232"/>
          </w:tcPr>
          <w:p>
            <w:pPr>
              <w:spacing w:after="20"/>
            </w:pPr>
            <w:r>
              <w:rPr>
                <w:color w:val="1C3A36"/>
                <w:sz w:val="15"/>
              </w:rPr>
              <w:t>Normalised earnings power</w:t>
            </w:r>
          </w:p>
        </w:tc>
        <w:tc>
          <w:tcPr>
            <w:tcW w:type="dxa" w:w="3960"/>
          </w:tcPr>
          <w:p>
            <w:pPr>
              <w:spacing w:after="20"/>
            </w:pPr>
            <w:r>
              <w:rPr>
                <w:color w:val="1C3A36"/>
                <w:sz w:val="15"/>
              </w:rPr>
              <w:t>Mid-cycle profit after tax of EGP 1,502m at 8x to 12x, 10x central</w:t>
            </w:r>
          </w:p>
        </w:tc>
        <w:tc>
          <w:tcPr>
            <w:tcW w:type="dxa" w:w="1512"/>
          </w:tcPr>
          <w:p>
            <w:pPr>
              <w:spacing w:after="20"/>
              <w:jc w:val="right"/>
            </w:pPr>
            <w:r>
              <w:rPr>
                <w:color w:val="1C3A36"/>
                <w:sz w:val="15"/>
              </w:rPr>
              <w:t>2.78 to 5.80</w:t>
            </w:r>
          </w:p>
        </w:tc>
        <w:tc>
          <w:tcPr>
            <w:tcW w:type="dxa" w:w="1008"/>
          </w:tcPr>
          <w:p>
            <w:pPr>
              <w:spacing w:after="20"/>
              <w:jc w:val="right"/>
            </w:pPr>
            <w:r>
              <w:rPr>
                <w:color w:val="1C3A36"/>
                <w:sz w:val="15"/>
              </w:rPr>
              <w:t>4.29</w:t>
            </w:r>
          </w:p>
        </w:tc>
        <w:tc>
          <w:tcPr>
            <w:tcW w:type="dxa" w:w="936"/>
          </w:tcPr>
          <w:p>
            <w:pPr>
              <w:spacing w:after="20"/>
              <w:jc w:val="right"/>
            </w:pPr>
            <w:r>
              <w:rPr>
                <w:color w:val="1C3A36"/>
                <w:sz w:val="15"/>
              </w:rPr>
              <w:t>-70%</w:t>
            </w:r>
          </w:p>
        </w:tc>
      </w:tr>
      <w:tr>
        <w:trPr>
          <w:cantSplit/>
        </w:trPr>
        <w:tc>
          <w:tcPr>
            <w:tcW w:type="dxa" w:w="2232"/>
          </w:tcPr>
          <w:p>
            <w:pPr>
              <w:spacing w:after="20"/>
            </w:pPr>
            <w:r>
              <w:rPr>
                <w:color w:val="1C3A36"/>
                <w:sz w:val="15"/>
              </w:rPr>
              <w:t>Book value and sustainable return</w:t>
            </w:r>
          </w:p>
        </w:tc>
        <w:tc>
          <w:tcPr>
            <w:tcW w:type="dxa" w:w="3960"/>
          </w:tcPr>
          <w:p>
            <w:pPr>
              <w:spacing w:after="20"/>
            </w:pPr>
            <w:r>
              <w:rPr>
                <w:color w:val="1C3A36"/>
                <w:sz w:val="15"/>
              </w:rPr>
              <w:t>Book equity of EGP 8.16 a share at the multiple a 6.9% sustainable return on equity justifies against a 29.3% cost of equity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0.00</w:t>
            </w:r>
          </w:p>
        </w:tc>
        <w:tc>
          <w:tcPr>
            <w:tcW w:type="dxa" w:w="936"/>
          </w:tcPr>
          <w:p>
            <w:pPr>
              <w:spacing w:after="20"/>
              <w:jc w:val="right"/>
            </w:pPr>
            <w:r>
              <w:rPr>
                <w:color w:val="1C3A36"/>
                <w:sz w:val="15"/>
              </w:rPr>
              <w:t>-100%</w:t>
            </w:r>
          </w:p>
        </w:tc>
      </w:tr>
      <w:tr>
        <w:trPr>
          <w:cantSplit/>
        </w:trPr>
        <w:tc>
          <w:tcPr>
            <w:tcW w:type="dxa" w:w="2232"/>
            <w:shd w:val="clear" w:color="auto" w:fill="F6F1E6"/>
          </w:tcPr>
          <w:p>
            <w:pPr>
              <w:spacing w:after="20"/>
            </w:pPr>
            <w:r>
              <w:rPr>
                <w:b/>
                <w:color w:val="1C3A36"/>
                <w:sz w:val="15"/>
              </w:rPr>
              <w:t>THE ANSWER — the cash-flow lens, both sides, never averaged</w:t>
            </w:r>
          </w:p>
        </w:tc>
        <w:tc>
          <w:tcPr>
            <w:tcW w:type="dxa" w:w="3960"/>
            <w:shd w:val="clear" w:color="auto" w:fill="F6F1E6"/>
          </w:tcPr>
          <w:p>
            <w:pPr>
              <w:spacing w:after="20"/>
            </w:pPr>
            <w:r>
              <w:rPr>
                <w:b/>
                <w:color w:val="1C3A36"/>
                <w:sz w:val="15"/>
              </w:rPr>
              <w:t>The class primary IS the answer and every other read above is a cross-check printed beside it. This one is TWO-SIDED: EGP 2.31 with the capital programme carried through — the company's own stated plan — and EGP 6.26 if it is stopped. The judgement is binary, so an average would describe a half-built plant. The range shown is the floor and ceiling of every read, not a weighted extreme</w:t>
            </w:r>
          </w:p>
        </w:tc>
        <w:tc>
          <w:tcPr>
            <w:tcW w:type="dxa" w:w="1512"/>
            <w:shd w:val="clear" w:color="auto" w:fill="F6F1E6"/>
          </w:tcPr>
          <w:p>
            <w:pPr>
              <w:spacing w:after="20"/>
              <w:jc w:val="right"/>
            </w:pPr>
            <w:r>
              <w:rPr>
                <w:b/>
                <w:color w:val="1C3A36"/>
                <w:sz w:val="15"/>
              </w:rPr>
              <w:t>2.31 to 15.99</w:t>
            </w:r>
          </w:p>
        </w:tc>
        <w:tc>
          <w:tcPr>
            <w:tcW w:type="dxa" w:w="1008"/>
            <w:shd w:val="clear" w:color="auto" w:fill="F6F1E6"/>
          </w:tcPr>
          <w:p>
            <w:pPr>
              <w:spacing w:after="20"/>
              <w:jc w:val="right"/>
            </w:pPr>
            <w:r>
              <w:rPr>
                <w:b/>
                <w:color w:val="1C3A36"/>
                <w:sz w:val="15"/>
              </w:rPr>
              <w:t>2.31</w:t>
            </w:r>
          </w:p>
        </w:tc>
        <w:tc>
          <w:tcPr>
            <w:tcW w:type="dxa" w:w="936"/>
            <w:shd w:val="clear" w:color="auto" w:fill="F6F1E6"/>
          </w:tcPr>
          <w:p>
            <w:pPr>
              <w:spacing w:after="20"/>
              <w:jc w:val="right"/>
            </w:pPr>
            <w:r>
              <w:rPr>
                <w:b/>
                <w:color w:val="1C3A36"/>
                <w:sz w:val="15"/>
              </w:rPr>
              <w:t>-84%</w:t>
            </w:r>
          </w:p>
        </w:tc>
      </w:tr>
      <w:tr>
        <w:trPr>
          <w:cantSplit/>
        </w:trPr>
        <w:tc>
          <w:tcPr>
            <w:tcW w:type="dxa" w:w="2232"/>
            <w:shd w:val="clear" w:color="auto" w:fill="F6F1E6"/>
          </w:tcPr>
          <w:p>
            <w:pPr>
              <w:spacing w:after="20"/>
            </w:pPr>
            <w:r>
              <w:rPr>
                <w:b/>
                <w:color w:val="1C3A36"/>
                <w:sz w:val="15"/>
              </w:rPr>
              <w:t>Market price</w:t>
            </w:r>
          </w:p>
        </w:tc>
        <w:tc>
          <w:tcPr>
            <w:tcW w:type="dxa" w:w="3960"/>
            <w:shd w:val="clear" w:color="auto" w:fill="F6F1E6"/>
          </w:tcPr>
          <w:p>
            <w:pPr>
              <w:spacing w:after="20"/>
            </w:pPr>
            <w:r>
              <w:rPr>
                <w:b/>
                <w:color w:val="1C3A36"/>
                <w:sz w:val="15"/>
              </w:rPr>
              <w:t>Closing price on the anchor date</w:t>
            </w:r>
          </w:p>
        </w:tc>
        <w:tc>
          <w:tcPr>
            <w:tcW w:type="dxa" w:w="1512"/>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14.41</w:t>
            </w:r>
          </w:p>
        </w:tc>
        <w:tc>
          <w:tcPr>
            <w:tcW w:type="dxa" w:w="936"/>
            <w:shd w:val="clear" w:color="auto" w:fill="F6F1E6"/>
          </w:tcPr>
          <w:p>
            <w:pPr>
              <w:spacing w:after="20"/>
              <w:jc w:val="right"/>
            </w:pPr>
            <w:r>
              <w:rPr>
                <w:b/>
                <w:color w:val="1C3A36"/>
                <w:sz w:val="15"/>
              </w:rPr>
              <w:t>—</w:t>
            </w:r>
          </w:p>
        </w:tc>
      </w:tr>
      <w:tr>
        <w:trPr>
          <w:cantSplit/>
        </w:trPr>
        <w:tc>
          <w:tcPr>
            <w:tcW w:type="dxa" w:w="9648"/>
            <w:gridSpan w:val="5"/>
            <w:shd w:val="clear" w:color="auto" w:fill="F6F1E6"/>
          </w:tcPr>
          <w:p>
            <w:pPr>
              <w:spacing w:after="20"/>
            </w:pPr>
            <w:r>
              <w:rPr>
                <w:b/>
                <w:color w:val="1C3A36"/>
                <w:sz w:val="15"/>
              </w:rPr>
              <w:t>ALTERNATIVE READINGS — each a full re-run of the model with ONE component moved, and none of them inside the field above</w:t>
            </w:r>
          </w:p>
        </w:tc>
      </w:tr>
      <w:tr>
        <w:trPr>
          <w:cantSplit/>
        </w:trPr>
        <w:tc>
          <w:tcPr>
            <w:tcW w:type="dxa" w:w="2232"/>
          </w:tcPr>
          <w:p>
            <w:pPr>
              <w:spacing w:after="20"/>
            </w:pPr>
            <w:r>
              <w:rPr>
                <w:color w:val="1C3A36"/>
                <w:sz w:val="15"/>
              </w:rPr>
              <w:t>Country risk priced off the sovereign's credit rating</w:t>
            </w:r>
          </w:p>
        </w:tc>
        <w:tc>
          <w:tcPr>
            <w:tcW w:type="dxa" w:w="3960"/>
          </w:tcPr>
          <w:p>
            <w:pPr>
              <w:spacing w:after="20"/>
            </w:pPr>
            <w:r>
              <w:rPr>
                <w:color w:val="1C3A36"/>
                <w:sz w:val="15"/>
              </w:rPr>
              <w:t>Priced off the sovereign's traded default swap instead, which is the narrower of the two spreads</w:t>
            </w:r>
          </w:p>
        </w:tc>
        <w:tc>
          <w:tcPr>
            <w:tcW w:type="dxa" w:w="1512"/>
          </w:tcPr>
          <w:p>
            <w:pPr>
              <w:spacing w:after="20"/>
              <w:jc w:val="right"/>
            </w:pPr>
            <w:r>
              <w:rPr>
                <w:color w:val="1C3A36"/>
                <w:sz w:val="15"/>
              </w:rPr>
              <w:t>—</w:t>
            </w:r>
          </w:p>
        </w:tc>
        <w:tc>
          <w:tcPr>
            <w:tcW w:type="dxa" w:w="1008"/>
          </w:tcPr>
          <w:p>
            <w:pPr>
              <w:spacing w:after="20"/>
              <w:jc w:val="right"/>
            </w:pPr>
            <w:r>
              <w:rPr>
                <w:color w:val="1C3A36"/>
                <w:sz w:val="15"/>
              </w:rPr>
              <w:t>2.31</w:t>
            </w:r>
          </w:p>
        </w:tc>
        <w:tc>
          <w:tcPr>
            <w:tcW w:type="dxa" w:w="936"/>
          </w:tcPr>
          <w:p>
            <w:pPr>
              <w:spacing w:after="20"/>
              <w:jc w:val="right"/>
            </w:pPr>
            <w:r>
              <w:rPr>
                <w:color w:val="1C3A36"/>
                <w:sz w:val="15"/>
              </w:rPr>
              <w:t>-84%</w:t>
            </w:r>
          </w:p>
        </w:tc>
      </w:tr>
      <w:tr>
        <w:trPr>
          <w:cantSplit/>
        </w:trPr>
        <w:tc>
          <w:tcPr>
            <w:tcW w:type="dxa" w:w="2232"/>
          </w:tcPr>
          <w:p>
            <w:pPr>
              <w:spacing w:after="20"/>
            </w:pPr>
            <w:r>
              <w:rPr>
                <w:color w:val="1C3A36"/>
                <w:sz w:val="15"/>
              </w:rPr>
              <w:t>A cost of capital that glides from its spot build to a terminal rate made from its own long-run components</w:t>
            </w:r>
          </w:p>
        </w:tc>
        <w:tc>
          <w:tcPr>
            <w:tcW w:type="dxa" w:w="3960"/>
          </w:tcPr>
          <w:p>
            <w:pPr>
              <w:spacing w:after="20"/>
            </w:pPr>
            <w:r>
              <w:rPr>
                <w:color w:val="1C3A36"/>
                <w:sz w:val="15"/>
              </w:rPr>
              <w:t>One flat spot rate applied to every explicit year and to the perpetuity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0.57</w:t>
            </w:r>
          </w:p>
        </w:tc>
        <w:tc>
          <w:tcPr>
            <w:tcW w:type="dxa" w:w="936"/>
          </w:tcPr>
          <w:p>
            <w:pPr>
              <w:spacing w:after="20"/>
              <w:jc w:val="right"/>
            </w:pPr>
            <w:r>
              <w:rPr>
                <w:color w:val="1C3A36"/>
                <w:sz w:val="15"/>
              </w:rPr>
              <w:t>-96%</w:t>
            </w:r>
          </w:p>
        </w:tc>
      </w:tr>
      <w:tr>
        <w:trPr>
          <w:cantSplit/>
        </w:trPr>
        <w:tc>
          <w:tcPr>
            <w:tcW w:type="dxa" w:w="2232"/>
          </w:tcPr>
          <w:p>
            <w:pPr>
              <w:spacing w:after="20"/>
            </w:pPr>
            <w:r>
              <w:rPr>
                <w:color w:val="1C3A36"/>
                <w:sz w:val="15"/>
              </w:rPr>
              <w:t>Terminal growth at the central bank's medium-term inflation target</w:t>
            </w:r>
          </w:p>
        </w:tc>
        <w:tc>
          <w:tcPr>
            <w:tcW w:type="dxa" w:w="3960"/>
          </w:tcPr>
          <w:p>
            <w:pPr>
              <w:spacing w:after="20"/>
            </w:pPr>
            <w:r>
              <w:rPr>
                <w:color w:val="1C3A36"/>
                <w:sz w:val="15"/>
              </w:rPr>
              <w:t>Two percentage points below it, which is negative real maintenance growth</w:t>
            </w:r>
          </w:p>
        </w:tc>
        <w:tc>
          <w:tcPr>
            <w:tcW w:type="dxa" w:w="1512"/>
          </w:tcPr>
          <w:p>
            <w:pPr>
              <w:spacing w:after="20"/>
              <w:jc w:val="right"/>
            </w:pPr>
            <w:r>
              <w:rPr>
                <w:color w:val="1C3A36"/>
                <w:sz w:val="15"/>
              </w:rPr>
              <w:t>—</w:t>
            </w:r>
          </w:p>
        </w:tc>
        <w:tc>
          <w:tcPr>
            <w:tcW w:type="dxa" w:w="1008"/>
          </w:tcPr>
          <w:p>
            <w:pPr>
              <w:spacing w:after="20"/>
              <w:jc w:val="right"/>
            </w:pPr>
            <w:r>
              <w:rPr>
                <w:color w:val="1C3A36"/>
                <w:sz w:val="15"/>
              </w:rPr>
              <w:t>2.20</w:t>
            </w:r>
          </w:p>
        </w:tc>
        <w:tc>
          <w:tcPr>
            <w:tcW w:type="dxa" w:w="936"/>
          </w:tcPr>
          <w:p>
            <w:pPr>
              <w:spacing w:after="20"/>
              <w:jc w:val="right"/>
            </w:pPr>
            <w:r>
              <w:rPr>
                <w:color w:val="1C3A36"/>
                <w:sz w:val="15"/>
              </w:rPr>
              <w:t>-85%</w:t>
            </w:r>
          </w:p>
        </w:tc>
      </w:tr>
      <w:tr>
        <w:trPr>
          <w:cantSplit/>
        </w:trPr>
        <w:tc>
          <w:tcPr>
            <w:tcW w:type="dxa" w:w="2232"/>
          </w:tcPr>
          <w:p>
            <w:pPr>
              <w:spacing w:after="20"/>
            </w:pPr>
            <w:r>
              <w:rPr>
                <w:color w:val="1C3A36"/>
                <w:sz w:val="15"/>
              </w:rPr>
              <w:t>The cost of debt at the company's own disclosed rates — 19.4% on the local facility, 11.7% in dollars on the project loan carried at local-equivalent cost on the derived currency path, 24.4% in year one gliding to 13.9% at the terminal</w:t>
            </w:r>
          </w:p>
        </w:tc>
        <w:tc>
          <w:tcPr>
            <w:tcW w:type="dxa" w:w="3960"/>
          </w:tcPr>
          <w:p>
            <w:pPr>
              <w:spacing w:after="20"/>
            </w:pPr>
            <w:r>
              <w:rPr>
                <w:color w:val="1C3A36"/>
                <w:sz w:val="15"/>
              </w:rPr>
              <w:t>Every leg floored at the 23.00% sovereign ten-year yield — the company's own facilities print no spread above the policy rate, so no spread is added</w:t>
            </w:r>
          </w:p>
        </w:tc>
        <w:tc>
          <w:tcPr>
            <w:tcW w:type="dxa" w:w="1512"/>
          </w:tcPr>
          <w:p>
            <w:pPr>
              <w:spacing w:after="20"/>
              <w:jc w:val="right"/>
            </w:pPr>
            <w:r>
              <w:rPr>
                <w:color w:val="1C3A36"/>
                <w:sz w:val="15"/>
              </w:rPr>
              <w:t>—</w:t>
            </w:r>
          </w:p>
        </w:tc>
        <w:tc>
          <w:tcPr>
            <w:tcW w:type="dxa" w:w="1008"/>
          </w:tcPr>
          <w:p>
            <w:pPr>
              <w:spacing w:after="20"/>
              <w:jc w:val="right"/>
            </w:pPr>
            <w:r>
              <w:rPr>
                <w:color w:val="1C3A36"/>
                <w:sz w:val="15"/>
              </w:rPr>
              <w:t>1.54</w:t>
            </w:r>
          </w:p>
        </w:tc>
        <w:tc>
          <w:tcPr>
            <w:tcW w:type="dxa" w:w="936"/>
          </w:tcPr>
          <w:p>
            <w:pPr>
              <w:spacing w:after="20"/>
              <w:jc w:val="right"/>
            </w:pPr>
            <w:r>
              <w:rPr>
                <w:color w:val="1C3A36"/>
                <w:sz w:val="15"/>
              </w:rPr>
              <w:t>-89%</w:t>
            </w:r>
          </w:p>
        </w:tc>
      </w:tr>
      <w:tr>
        <w:trPr>
          <w:cantSplit/>
        </w:trPr>
        <w:tc>
          <w:tcPr>
            <w:tcW w:type="dxa" w:w="2232"/>
          </w:tcPr>
          <w:p>
            <w:pPr>
              <w:spacing w:after="20"/>
            </w:pPr>
            <w:r>
              <w:rPr>
                <w:color w:val="1C3A36"/>
                <w:sz w:val="15"/>
              </w:rPr>
              <w:t>Beta from the five-year weekly regression of the share against the published EGX30 index</w:t>
            </w:r>
          </w:p>
        </w:tc>
        <w:tc>
          <w:tcPr>
            <w:tcW w:type="dxa" w:w="3960"/>
          </w:tcPr>
          <w:p>
            <w:pPr>
              <w:spacing w:after="20"/>
            </w:pPr>
            <w:r>
              <w:rPr>
                <w:color w:val="1C3A36"/>
                <w:sz w:val="15"/>
              </w:rPr>
              <w:t>The lower bound of that regression's own 90% confidence interval</w:t>
            </w:r>
          </w:p>
        </w:tc>
        <w:tc>
          <w:tcPr>
            <w:tcW w:type="dxa" w:w="1512"/>
          </w:tcPr>
          <w:p>
            <w:pPr>
              <w:spacing w:after="20"/>
              <w:jc w:val="right"/>
            </w:pPr>
            <w:r>
              <w:rPr>
                <w:color w:val="1C3A36"/>
                <w:sz w:val="15"/>
              </w:rPr>
              <w:t>—</w:t>
            </w:r>
          </w:p>
        </w:tc>
        <w:tc>
          <w:tcPr>
            <w:tcW w:type="dxa" w:w="1008"/>
          </w:tcPr>
          <w:p>
            <w:pPr>
              <w:spacing w:after="20"/>
              <w:jc w:val="right"/>
            </w:pPr>
            <w:r>
              <w:rPr>
                <w:color w:val="1C3A36"/>
                <w:sz w:val="15"/>
              </w:rPr>
              <w:t>3.50</w:t>
            </w:r>
          </w:p>
        </w:tc>
        <w:tc>
          <w:tcPr>
            <w:tcW w:type="dxa" w:w="936"/>
          </w:tcPr>
          <w:p>
            <w:pPr>
              <w:spacing w:after="20"/>
              <w:jc w:val="right"/>
            </w:pPr>
            <w:r>
              <w:rPr>
                <w:color w:val="1C3A36"/>
                <w:sz w:val="15"/>
              </w:rPr>
              <w:t>-76%</w:t>
            </w:r>
          </w:p>
        </w:tc>
      </w:tr>
      <w:tr>
        <w:trPr>
          <w:cantSplit/>
        </w:trPr>
        <w:tc>
          <w:tcPr>
            <w:tcW w:type="dxa" w:w="2232"/>
          </w:tcPr>
          <w:p>
            <w:pPr>
              <w:spacing w:after="20"/>
            </w:pPr>
            <w:r>
              <w:rPr>
                <w:color w:val="1C3A36"/>
                <w:sz w:val="15"/>
              </w:rPr>
              <w:t>Gas at the realised price the company's own loss disclosure implies</w:t>
            </w:r>
          </w:p>
        </w:tc>
        <w:tc>
          <w:tcPr>
            <w:tcW w:type="dxa" w:w="3960"/>
          </w:tcPr>
          <w:p>
            <w:pPr>
              <w:spacing w:after="20"/>
            </w:pPr>
            <w:r>
              <w:rPr>
                <w:color w:val="1C3A36"/>
                <w:sz w:val="15"/>
              </w:rPr>
              <w:t>The contract formula price in the operating agreement, which is higher</w:t>
            </w:r>
          </w:p>
        </w:tc>
        <w:tc>
          <w:tcPr>
            <w:tcW w:type="dxa" w:w="1512"/>
          </w:tcPr>
          <w:p>
            <w:pPr>
              <w:spacing w:after="20"/>
              <w:jc w:val="right"/>
            </w:pPr>
            <w:r>
              <w:rPr>
                <w:color w:val="1C3A36"/>
                <w:sz w:val="15"/>
              </w:rPr>
              <w:t>—</w:t>
            </w:r>
          </w:p>
        </w:tc>
        <w:tc>
          <w:tcPr>
            <w:tcW w:type="dxa" w:w="1008"/>
          </w:tcPr>
          <w:p>
            <w:pPr>
              <w:spacing w:after="20"/>
              <w:jc w:val="right"/>
            </w:pPr>
            <w:r>
              <w:rPr>
                <w:color w:val="1C3A36"/>
                <w:sz w:val="15"/>
              </w:rPr>
              <w:t>0.25</w:t>
            </w:r>
          </w:p>
        </w:tc>
        <w:tc>
          <w:tcPr>
            <w:tcW w:type="dxa" w:w="936"/>
          </w:tcPr>
          <w:p>
            <w:pPr>
              <w:spacing w:after="20"/>
              <w:jc w:val="right"/>
            </w:pPr>
            <w:r>
              <w:rPr>
                <w:color w:val="1C3A36"/>
                <w:sz w:val="15"/>
              </w:rPr>
              <w:t>-98%</w:t>
            </w:r>
          </w:p>
        </w:tc>
      </w:tr>
      <w:tr>
        <w:trPr>
          <w:cantSplit/>
        </w:trPr>
        <w:tc>
          <w:tcPr>
            <w:tcW w:type="dxa" w:w="2232"/>
          </w:tcPr>
          <w:p>
            <w:pPr>
              <w:spacing w:after="20"/>
            </w:pPr>
            <w:r>
              <w:rPr>
                <w:color w:val="1C3A36"/>
                <w:sz w:val="15"/>
              </w:rPr>
              <w:t>The new complex earning at half its derived nameplate in the terminal year</w:t>
            </w:r>
          </w:p>
        </w:tc>
        <w:tc>
          <w:tcPr>
            <w:tcW w:type="dxa" w:w="3960"/>
          </w:tcPr>
          <w:p>
            <w:pPr>
              <w:spacing w:after="20"/>
            </w:pPr>
            <w:r>
              <w:rPr>
                <w:color w:val="1C3A36"/>
                <w:sz w:val="15"/>
              </w:rPr>
              <w:t>Seventy per cent, which is what a well-run nitrate line achieves</w:t>
            </w:r>
          </w:p>
        </w:tc>
        <w:tc>
          <w:tcPr>
            <w:tcW w:type="dxa" w:w="1512"/>
          </w:tcPr>
          <w:p>
            <w:pPr>
              <w:spacing w:after="20"/>
              <w:jc w:val="right"/>
            </w:pPr>
            <w:r>
              <w:rPr>
                <w:color w:val="1C3A36"/>
                <w:sz w:val="15"/>
              </w:rPr>
              <w:t>—</w:t>
            </w:r>
          </w:p>
        </w:tc>
        <w:tc>
          <w:tcPr>
            <w:tcW w:type="dxa" w:w="1008"/>
          </w:tcPr>
          <w:p>
            <w:pPr>
              <w:spacing w:after="20"/>
              <w:jc w:val="right"/>
            </w:pPr>
            <w:r>
              <w:rPr>
                <w:color w:val="1C3A36"/>
                <w:sz w:val="15"/>
              </w:rPr>
              <w:t>2.56</w:t>
            </w:r>
          </w:p>
        </w:tc>
        <w:tc>
          <w:tcPr>
            <w:tcW w:type="dxa" w:w="936"/>
          </w:tcPr>
          <w:p>
            <w:pPr>
              <w:spacing w:after="20"/>
              <w:jc w:val="right"/>
            </w:pPr>
            <w:r>
              <w:rPr>
                <w:color w:val="1C3A36"/>
                <w:sz w:val="15"/>
              </w:rPr>
              <w:t>-82%</w:t>
            </w:r>
          </w:p>
        </w:tc>
      </w:tr>
      <w:tr>
        <w:trPr>
          <w:cantSplit/>
        </w:trPr>
        <w:tc>
          <w:tcPr>
            <w:tcW w:type="dxa" w:w="2232"/>
          </w:tcPr>
          <w:p>
            <w:pPr>
              <w:spacing w:after="20"/>
            </w:pPr>
            <w:r>
              <w:rPr>
                <w:color w:val="1C3A36"/>
                <w:sz w:val="15"/>
              </w:rPr>
              <w:t>Maintenance capital expenditure at the company's own observed pre-project rate of 1.12% of revenue</w:t>
            </w:r>
          </w:p>
        </w:tc>
        <w:tc>
          <w:tcPr>
            <w:tcW w:type="dxa" w:w="3960"/>
          </w:tcPr>
          <w:p>
            <w:pPr>
              <w:spacing w:after="20"/>
            </w:pPr>
            <w:r>
              <w:rPr>
                <w:color w:val="1C3A36"/>
                <w:sz w:val="15"/>
              </w:rPr>
              <w:t>Replacement-rate maintenance: gross fixed assets at the disclosed 3.95% machinery depreciation rate, or 6.11% of revenue</w:t>
            </w:r>
          </w:p>
        </w:tc>
        <w:tc>
          <w:tcPr>
            <w:tcW w:type="dxa" w:w="1512"/>
          </w:tcPr>
          <w:p>
            <w:pPr>
              <w:spacing w:after="20"/>
              <w:jc w:val="right"/>
            </w:pPr>
            <w:r>
              <w:rPr>
                <w:color w:val="1C3A36"/>
                <w:sz w:val="15"/>
              </w:rPr>
              <w:t>—</w:t>
            </w:r>
          </w:p>
        </w:tc>
        <w:tc>
          <w:tcPr>
            <w:tcW w:type="dxa" w:w="1008"/>
          </w:tcPr>
          <w:p>
            <w:pPr>
              <w:spacing w:after="20"/>
              <w:jc w:val="right"/>
            </w:pPr>
            <w:r>
              <w:rPr>
                <w:color w:val="1C3A36"/>
                <w:sz w:val="15"/>
              </w:rPr>
              <w:t>1.40</w:t>
            </w:r>
          </w:p>
        </w:tc>
        <w:tc>
          <w:tcPr>
            <w:tcW w:type="dxa" w:w="936"/>
          </w:tcPr>
          <w:p>
            <w:pPr>
              <w:spacing w:after="20"/>
              <w:jc w:val="right"/>
            </w:pPr>
            <w:r>
              <w:rPr>
                <w:color w:val="1C3A36"/>
                <w:sz w:val="15"/>
              </w:rPr>
              <w:t>-90%</w:t>
            </w:r>
          </w:p>
        </w:tc>
      </w:tr>
      <w:tr>
        <w:trPr>
          <w:cantSplit/>
        </w:trPr>
        <w:tc>
          <w:tcPr>
            <w:tcW w:type="dxa" w:w="2232"/>
          </w:tcPr>
          <w:p>
            <w:pPr>
              <w:spacing w:after="20"/>
            </w:pPr>
            <w:r>
              <w:rPr>
                <w:color w:val="1C3A36"/>
                <w:sz w:val="15"/>
              </w:rPr>
              <w:t>Terminal reinvestment of 38.9% of operating profit after tax, from growth over an 18% return on capital</w:t>
            </w:r>
          </w:p>
        </w:tc>
        <w:tc>
          <w:tcPr>
            <w:tcW w:type="dxa" w:w="3960"/>
          </w:tcPr>
          <w:p>
            <w:pPr>
              <w:spacing w:after="20"/>
            </w:pPr>
            <w:r>
              <w:rPr>
                <w:color w:val="1C3A36"/>
                <w:sz w:val="15"/>
              </w:rPr>
              <w:t>23.3%, from a 30% return on capital — the rate a newly completed plant earns on incremental capital while it is still filling</w:t>
            </w:r>
          </w:p>
        </w:tc>
        <w:tc>
          <w:tcPr>
            <w:tcW w:type="dxa" w:w="1512"/>
          </w:tcPr>
          <w:p>
            <w:pPr>
              <w:spacing w:after="20"/>
              <w:jc w:val="right"/>
            </w:pPr>
            <w:r>
              <w:rPr>
                <w:color w:val="1C3A36"/>
                <w:sz w:val="15"/>
              </w:rPr>
              <w:t>—</w:t>
            </w:r>
          </w:p>
        </w:tc>
        <w:tc>
          <w:tcPr>
            <w:tcW w:type="dxa" w:w="1008"/>
          </w:tcPr>
          <w:p>
            <w:pPr>
              <w:spacing w:after="20"/>
              <w:jc w:val="right"/>
            </w:pPr>
            <w:r>
              <w:rPr>
                <w:color w:val="1C3A36"/>
                <w:sz w:val="15"/>
              </w:rPr>
              <w:t>3.24</w:t>
            </w:r>
          </w:p>
        </w:tc>
        <w:tc>
          <w:tcPr>
            <w:tcW w:type="dxa" w:w="936"/>
          </w:tcPr>
          <w:p>
            <w:pPr>
              <w:spacing w:after="20"/>
              <w:jc w:val="right"/>
            </w:pPr>
            <w:r>
              <w:rPr>
                <w:color w:val="1C3A36"/>
                <w:sz w:val="15"/>
              </w:rPr>
              <w:t>-78%</w:t>
            </w:r>
          </w:p>
        </w:tc>
      </w:tr>
      <w:tr>
        <w:trPr>
          <w:cantSplit/>
        </w:trPr>
        <w:tc>
          <w:tcPr>
            <w:tcW w:type="dxa" w:w="2232"/>
          </w:tcPr>
          <w:p>
            <w:pPr>
              <w:spacing w:after="20"/>
            </w:pPr>
            <w:r>
              <w:rPr>
                <w:color w:val="1C3A36"/>
                <w:sz w:val="15"/>
              </w:rPr>
              <w:t>Project spending anchored on the observed run rate: the nine-month actual extended to a full year</w:t>
            </w:r>
          </w:p>
        </w:tc>
        <w:tc>
          <w:tcPr>
            <w:tcW w:type="dxa" w:w="3960"/>
          </w:tcPr>
          <w:p>
            <w:pPr>
              <w:spacing w:after="20"/>
            </w:pPr>
            <w:r>
              <w:rPr>
                <w:color w:val="1C3A36"/>
                <w:sz w:val="15"/>
              </w:rPr>
              <w:t>The faster profile the first issue of this study used, opening at EGP 3,000m</w:t>
            </w:r>
          </w:p>
        </w:tc>
        <w:tc>
          <w:tcPr>
            <w:tcW w:type="dxa" w:w="1512"/>
          </w:tcPr>
          <w:p>
            <w:pPr>
              <w:spacing w:after="20"/>
              <w:jc w:val="right"/>
            </w:pPr>
            <w:r>
              <w:rPr>
                <w:color w:val="1C3A36"/>
                <w:sz w:val="15"/>
              </w:rPr>
              <w:t>—</w:t>
            </w:r>
          </w:p>
        </w:tc>
        <w:tc>
          <w:tcPr>
            <w:tcW w:type="dxa" w:w="1008"/>
          </w:tcPr>
          <w:p>
            <w:pPr>
              <w:spacing w:after="20"/>
              <w:jc w:val="right"/>
            </w:pPr>
            <w:r>
              <w:rPr>
                <w:color w:val="1C3A36"/>
                <w:sz w:val="15"/>
              </w:rPr>
              <w:t>2.08</w:t>
            </w:r>
          </w:p>
        </w:tc>
        <w:tc>
          <w:tcPr>
            <w:tcW w:type="dxa" w:w="936"/>
          </w:tcPr>
          <w:p>
            <w:pPr>
              <w:spacing w:after="20"/>
              <w:jc w:val="right"/>
            </w:pPr>
            <w:r>
              <w:rPr>
                <w:color w:val="1C3A36"/>
                <w:sz w:val="15"/>
              </w:rPr>
              <w:t>-86%</w:t>
            </w:r>
          </w:p>
        </w:tc>
      </w:tr>
    </w:tbl>
    <w:p>
      <w:pPr>
        <w:spacing w:after="40"/>
      </w:pPr>
    </w:p>
    <w:p>
      <w:pPr>
        <w:spacing w:after="200" w:before="0"/>
      </w:pPr>
      <w:r>
        <w:rPr>
          <w:b w:val="0"/>
          <w:i/>
          <w:color w:val="6E7B77"/>
          <w:sz w:val="17"/>
        </w:rPr>
        <w:t>Table 1.  Egyptian pounds a share against a traded price of EGP 14.41. Every alternative reading is a complete re-run of the model through the same case machinery, not an adjustment applied to the answer; each is argued for and against in section 1.8.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736"/>
        <w:gridCol w:w="2736"/>
      </w:tblGrid>
      <w:tr>
        <w:trPr>
          <w:cantSplit/>
          <w:tblHeader/>
        </w:trPr>
        <w:tc>
          <w:tcPr>
            <w:tcW w:type="dxa" w:w="4608"/>
            <w:shd w:val="clear" w:color="auto" w:fill="EAF0EE"/>
          </w:tcPr>
          <w:p>
            <w:pPr>
              <w:spacing w:after="20"/>
            </w:pPr>
            <w:r>
              <w:rPr>
                <w:b/>
                <w:color w:val="1C3A36"/>
                <w:sz w:val="17"/>
              </w:rPr>
              <w:t>Terminal value as a share of enterprise value</w:t>
            </w:r>
          </w:p>
        </w:tc>
        <w:tc>
          <w:tcPr>
            <w:tcW w:type="dxa" w:w="2736"/>
            <w:shd w:val="clear" w:color="auto" w:fill="EAF0EE"/>
          </w:tcPr>
          <w:p>
            <w:pPr>
              <w:spacing w:after="20"/>
            </w:pPr>
            <w:r>
              <w:rPr>
                <w:b/>
                <w:color w:val="1C3A36"/>
                <w:sz w:val="17"/>
              </w:rPr>
              <w:t>Programme carried through</w:t>
            </w:r>
          </w:p>
        </w:tc>
        <w:tc>
          <w:tcPr>
            <w:tcW w:type="dxa" w:w="2736"/>
            <w:shd w:val="clear" w:color="auto" w:fill="EAF0EE"/>
          </w:tcPr>
          <w:p>
            <w:pPr>
              <w:spacing w:after="20"/>
            </w:pPr>
            <w:r>
              <w:rPr>
                <w:b/>
                <w:color w:val="1C3A36"/>
                <w:sz w:val="17"/>
              </w:rPr>
              <w:t>Programme stopped</w:t>
            </w:r>
          </w:p>
        </w:tc>
      </w:tr>
      <w:tr>
        <w:trPr>
          <w:cantSplit/>
        </w:trPr>
        <w:tc>
          <w:tcPr>
            <w:tcW w:type="dxa" w:w="4608"/>
          </w:tcPr>
          <w:p>
            <w:pPr>
              <w:spacing w:after="20"/>
            </w:pPr>
            <w:r>
              <w:rPr>
                <w:color w:val="1C3A36"/>
                <w:sz w:val="17"/>
              </w:rPr>
              <w:t>Discounted cash-flow lens</w:t>
            </w:r>
          </w:p>
        </w:tc>
        <w:tc>
          <w:tcPr>
            <w:tcW w:type="dxa" w:w="2736"/>
          </w:tcPr>
          <w:p>
            <w:pPr>
              <w:spacing w:after="20"/>
              <w:jc w:val="right"/>
            </w:pPr>
            <w:r>
              <w:rPr>
                <w:color w:val="1C3A36"/>
                <w:sz w:val="17"/>
              </w:rPr>
              <w:t>65.4%</w:t>
            </w:r>
          </w:p>
        </w:tc>
        <w:tc>
          <w:tcPr>
            <w:tcW w:type="dxa" w:w="2736"/>
          </w:tcPr>
          <w:p>
            <w:pPr>
              <w:spacing w:after="20"/>
              <w:jc w:val="right"/>
            </w:pPr>
            <w:r>
              <w:rPr>
                <w:color w:val="1C3A36"/>
                <w:sz w:val="17"/>
              </w:rPr>
              <w:t>41.9%</w:t>
            </w:r>
          </w:p>
        </w:tc>
      </w:tr>
    </w:tbl>
    <w:p>
      <w:pPr>
        <w:spacing w:after="40"/>
      </w:pPr>
    </w:p>
    <w:p>
      <w:pPr>
        <w:spacing w:after="200" w:before="0"/>
      </w:pPr>
      <w:r>
        <w:rPr>
          <w:b w:val="0"/>
          <w:i/>
          <w:color w:val="6E7B77"/>
          <w:sz w:val="17"/>
        </w:rPr>
        <w:t>Table 2.  Reported beside the cash-flow lens because on this company it is the number that decides the answer. The explicit years contribute a present value of EGP 3,837 million on the carried-through case, so the terminal block carries 65.4% of enterprise value; the capital programme takes most of the window's operating cash, which is why the share is high for a going concern.</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9_field.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Each lens as its own bear-to-bull span, with the central marked, against the traded price.</w:t>
      </w:r>
    </w:p>
    <w:p>
      <w:pPr>
        <w:spacing w:after="120" w:before="0"/>
      </w:pPr>
      <w:r>
        <w:rPr>
          <w:b w:val="0"/>
          <w:i w:val="0"/>
          <w:color w:val="1C3A36"/>
          <w:sz w:val="21"/>
        </w:rPr>
        <w:t>The alternative readings are shown so that each genuinely contested choice in the construction can be priced rather than argued. The widest of them is the gas price: moving from the price the company's own loss disclosure implies to the contract formula price in its operating agreement is worth EGP 2.06 a share. The narrowest is terminal growth, worth EGP 0.11. Not one of them, alone or together, reaches the traded price — which is the finding this study reports, and the reason the headline states the discount rate the market itself implies rather than asserting that the market is wrong.</w:t>
      </w:r>
    </w:p>
    <w:p>
      <w:pPr>
        <w:keepNext/>
        <w:spacing w:after="120" w:before="280"/>
      </w:pPr>
      <w:r>
        <w:rPr>
          <w:b/>
          <w:i w:val="0"/>
          <w:color w:val="1C3A36"/>
          <w:sz w:val="30"/>
        </w:rPr>
        <w:t>Company overview</w:t>
      </w:r>
    </w:p>
    <w:p>
      <w:pPr>
        <w:spacing w:after="120" w:before="0"/>
      </w:pPr>
      <w:r>
        <w:rPr>
          <w:b w:val="0"/>
          <w:i w:val="0"/>
          <w:color w:val="1C3A36"/>
          <w:sz w:val="21"/>
        </w:rPr>
        <w:t>Egyptian Chemical Industries, universally called KIMA, has made nitrogen fertilizer at Aswan since 1956. It is 69.8% owned by the state-controlled Chemical Industries Holding Company, with public-sector insurance funds and a state bank holding most of the rest; the free float is about 6.2%. Its accounts are audited by Egypt's Central Auditing Organization, jointly with a private firm in some years.</w:t>
      </w:r>
    </w:p>
    <w:p>
      <w:pPr>
        <w:spacing w:after="120" w:before="0"/>
      </w:pPr>
      <w:r>
        <w:rPr>
          <w:b w:val="0"/>
          <w:i w:val="0"/>
          <w:color w:val="1C3A36"/>
          <w:sz w:val="21"/>
        </w:rPr>
        <w:t>The audited revenue note for the year to 30 June 2025 splits EGP 8,603 million into EGP 6,609 million of exports and EGP 1,994 million of local sales. There is no lending book, no rental business of any size and no fee stream; the balance sheet is EGP 13,058 million of net plant and EGP 5,654 million of construction in progress. This is an operating company that converts natural gas into nitrogen products and sells them by the tonne, which is why it is valued on cash flow to the firm with a driver tree of volumes and prices rather than on a sum of parts or a dividend stream — it has paid no dividend in either of the last two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728"/>
        <w:gridCol w:w="1584"/>
        <w:gridCol w:w="4464"/>
      </w:tblGrid>
      <w:tr>
        <w:trPr>
          <w:cantSplit/>
          <w:tblHeader/>
        </w:trPr>
        <w:tc>
          <w:tcPr>
            <w:tcW w:type="dxa" w:w="2304"/>
            <w:shd w:val="clear" w:color="auto" w:fill="EAF0EE"/>
          </w:tcPr>
          <w:p>
            <w:pPr>
              <w:spacing w:after="20"/>
            </w:pPr>
            <w:r>
              <w:rPr>
                <w:b/>
                <w:color w:val="1C3A36"/>
                <w:sz w:val="17"/>
              </w:rPr>
              <w:t>Product</w:t>
            </w:r>
          </w:p>
        </w:tc>
        <w:tc>
          <w:tcPr>
            <w:tcW w:type="dxa" w:w="1728"/>
            <w:shd w:val="clear" w:color="auto" w:fill="EAF0EE"/>
          </w:tcPr>
          <w:p>
            <w:pPr>
              <w:spacing w:after="20"/>
            </w:pPr>
            <w:r>
              <w:rPr>
                <w:b/>
                <w:color w:val="1C3A36"/>
                <w:sz w:val="17"/>
              </w:rPr>
              <w:t>FY2024/25 output (tonnes)</w:t>
            </w:r>
          </w:p>
        </w:tc>
        <w:tc>
          <w:tcPr>
            <w:tcW w:type="dxa" w:w="1584"/>
            <w:shd w:val="clear" w:color="auto" w:fill="EAF0EE"/>
          </w:tcPr>
          <w:p>
            <w:pPr>
              <w:spacing w:after="20"/>
            </w:pPr>
            <w:r>
              <w:rPr>
                <w:b/>
                <w:color w:val="1C3A36"/>
                <w:sz w:val="17"/>
              </w:rPr>
              <w:t>Unit cost (EGP/t)</w:t>
            </w:r>
          </w:p>
        </w:tc>
        <w:tc>
          <w:tcPr>
            <w:tcW w:type="dxa" w:w="4464"/>
            <w:shd w:val="clear" w:color="auto" w:fill="EAF0EE"/>
          </w:tcPr>
          <w:p>
            <w:pPr>
              <w:spacing w:after="20"/>
            </w:pPr>
            <w:r>
              <w:rPr>
                <w:b/>
                <w:color w:val="1C3A36"/>
                <w:sz w:val="17"/>
              </w:rPr>
              <w:t>Role</w:t>
            </w:r>
          </w:p>
        </w:tc>
      </w:tr>
      <w:tr>
        <w:trPr>
          <w:cantSplit/>
        </w:trPr>
        <w:tc>
          <w:tcPr>
            <w:tcW w:type="dxa" w:w="2304"/>
          </w:tcPr>
          <w:p>
            <w:pPr>
              <w:spacing w:after="20"/>
            </w:pPr>
            <w:r>
              <w:rPr>
                <w:color w:val="1C3A36"/>
                <w:sz w:val="17"/>
              </w:rPr>
              <w:t>Urea, 46.5% nitrogen</w:t>
            </w:r>
          </w:p>
        </w:tc>
        <w:tc>
          <w:tcPr>
            <w:tcW w:type="dxa" w:w="1728"/>
          </w:tcPr>
          <w:p>
            <w:pPr>
              <w:spacing w:after="20"/>
              <w:jc w:val="right"/>
            </w:pPr>
            <w:r>
              <w:rPr>
                <w:color w:val="1C3A36"/>
                <w:sz w:val="17"/>
              </w:rPr>
              <w:t>513,385</w:t>
            </w:r>
          </w:p>
        </w:tc>
        <w:tc>
          <w:tcPr>
            <w:tcW w:type="dxa" w:w="1584"/>
          </w:tcPr>
          <w:p>
            <w:pPr>
              <w:spacing w:after="20"/>
              <w:jc w:val="right"/>
            </w:pPr>
            <w:r>
              <w:rPr>
                <w:color w:val="1C3A36"/>
                <w:sz w:val="17"/>
              </w:rPr>
              <w:t>7,509</w:t>
            </w:r>
          </w:p>
        </w:tc>
        <w:tc>
          <w:tcPr>
            <w:tcW w:type="dxa" w:w="4464"/>
          </w:tcPr>
          <w:p>
            <w:pPr>
              <w:spacing w:after="20"/>
            </w:pPr>
            <w:r>
              <w:rPr>
                <w:color w:val="1C3A36"/>
                <w:sz w:val="17"/>
              </w:rPr>
              <w:t>The business: sold subsidised, on the local free market and for export</w:t>
            </w:r>
          </w:p>
        </w:tc>
      </w:tr>
      <w:tr>
        <w:trPr>
          <w:cantSplit/>
        </w:trPr>
        <w:tc>
          <w:tcPr>
            <w:tcW w:type="dxa" w:w="2304"/>
          </w:tcPr>
          <w:p>
            <w:pPr>
              <w:spacing w:after="20"/>
            </w:pPr>
            <w:r>
              <w:rPr>
                <w:color w:val="1C3A36"/>
                <w:sz w:val="17"/>
              </w:rPr>
              <w:t>Liquid ammonia</w:t>
            </w:r>
          </w:p>
        </w:tc>
        <w:tc>
          <w:tcPr>
            <w:tcW w:type="dxa" w:w="1728"/>
          </w:tcPr>
          <w:p>
            <w:pPr>
              <w:spacing w:after="20"/>
              <w:jc w:val="right"/>
            </w:pPr>
            <w:r>
              <w:rPr>
                <w:color w:val="1C3A36"/>
                <w:sz w:val="17"/>
              </w:rPr>
              <w:t>318,242</w:t>
            </w:r>
          </w:p>
        </w:tc>
        <w:tc>
          <w:tcPr>
            <w:tcW w:type="dxa" w:w="1584"/>
          </w:tcPr>
          <w:p>
            <w:pPr>
              <w:spacing w:after="20"/>
              <w:jc w:val="right"/>
            </w:pPr>
            <w:r>
              <w:rPr>
                <w:color w:val="1C3A36"/>
                <w:sz w:val="17"/>
              </w:rPr>
              <w:t>9,114</w:t>
            </w:r>
          </w:p>
        </w:tc>
        <w:tc>
          <w:tcPr>
            <w:tcW w:type="dxa" w:w="4464"/>
          </w:tcPr>
          <w:p>
            <w:pPr>
              <w:spacing w:after="20"/>
            </w:pPr>
            <w:r>
              <w:rPr>
                <w:color w:val="1C3A36"/>
                <w:sz w:val="17"/>
              </w:rPr>
              <w:t>Feedstock for urea; a small merchant volume is exported</w:t>
            </w:r>
          </w:p>
        </w:tc>
      </w:tr>
      <w:tr>
        <w:trPr>
          <w:cantSplit/>
        </w:trPr>
        <w:tc>
          <w:tcPr>
            <w:tcW w:type="dxa" w:w="2304"/>
          </w:tcPr>
          <w:p>
            <w:pPr>
              <w:spacing w:after="20"/>
            </w:pPr>
            <w:r>
              <w:rPr>
                <w:color w:val="1C3A36"/>
                <w:sz w:val="17"/>
              </w:rPr>
              <w:t>Granulated 33.5% nitrate</w:t>
            </w:r>
          </w:p>
        </w:tc>
        <w:tc>
          <w:tcPr>
            <w:tcW w:type="dxa" w:w="1728"/>
          </w:tcPr>
          <w:p>
            <w:pPr>
              <w:spacing w:after="20"/>
              <w:jc w:val="right"/>
            </w:pPr>
            <w:r>
              <w:rPr>
                <w:color w:val="1C3A36"/>
                <w:sz w:val="17"/>
              </w:rPr>
              <w:t>17,887</w:t>
            </w:r>
          </w:p>
        </w:tc>
        <w:tc>
          <w:tcPr>
            <w:tcW w:type="dxa" w:w="1584"/>
          </w:tcPr>
          <w:p>
            <w:pPr>
              <w:spacing w:after="20"/>
              <w:jc w:val="right"/>
            </w:pPr>
            <w:r>
              <w:rPr>
                <w:color w:val="1C3A36"/>
                <w:sz w:val="17"/>
              </w:rPr>
              <w:t>4,076</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Low-density ammonium nitrate</w:t>
            </w:r>
          </w:p>
        </w:tc>
        <w:tc>
          <w:tcPr>
            <w:tcW w:type="dxa" w:w="1728"/>
          </w:tcPr>
          <w:p>
            <w:pPr>
              <w:spacing w:after="20"/>
              <w:jc w:val="right"/>
            </w:pPr>
            <w:r>
              <w:rPr>
                <w:color w:val="1C3A36"/>
                <w:sz w:val="17"/>
              </w:rPr>
              <w:t>8,171</w:t>
            </w:r>
          </w:p>
        </w:tc>
        <w:tc>
          <w:tcPr>
            <w:tcW w:type="dxa" w:w="1584"/>
          </w:tcPr>
          <w:p>
            <w:pPr>
              <w:spacing w:after="20"/>
              <w:jc w:val="right"/>
            </w:pPr>
            <w:r>
              <w:rPr>
                <w:color w:val="1C3A36"/>
                <w:sz w:val="17"/>
              </w:rPr>
              <w:t>8,154</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Nitric acid</w:t>
            </w:r>
          </w:p>
        </w:tc>
        <w:tc>
          <w:tcPr>
            <w:tcW w:type="dxa" w:w="1728"/>
          </w:tcPr>
          <w:p>
            <w:pPr>
              <w:spacing w:after="20"/>
              <w:jc w:val="right"/>
            </w:pPr>
            <w:r>
              <w:rPr>
                <w:color w:val="1C3A36"/>
                <w:sz w:val="17"/>
              </w:rPr>
              <w:t>35,590</w:t>
            </w:r>
          </w:p>
        </w:tc>
        <w:tc>
          <w:tcPr>
            <w:tcW w:type="dxa" w:w="1584"/>
          </w:tcPr>
          <w:p>
            <w:pPr>
              <w:spacing w:after="20"/>
              <w:jc w:val="right"/>
            </w:pPr>
            <w:r>
              <w:rPr>
                <w:color w:val="1C3A36"/>
                <w:sz w:val="17"/>
              </w:rPr>
              <w:t>610</w:t>
            </w:r>
          </w:p>
        </w:tc>
        <w:tc>
          <w:tcPr>
            <w:tcW w:type="dxa" w:w="4464"/>
          </w:tcPr>
          <w:p>
            <w:pPr>
              <w:spacing w:after="20"/>
            </w:pPr>
            <w:r>
              <w:rPr>
                <w:color w:val="1C3A36"/>
                <w:sz w:val="17"/>
              </w:rPr>
              <w:t>Intermediate</w:t>
            </w:r>
          </w:p>
        </w:tc>
      </w:tr>
      <w:tr>
        <w:trPr>
          <w:cantSplit/>
        </w:trPr>
        <w:tc>
          <w:tcPr>
            <w:tcW w:type="dxa" w:w="2304"/>
          </w:tcPr>
          <w:p>
            <w:pPr>
              <w:spacing w:after="20"/>
            </w:pPr>
            <w:r>
              <w:rPr>
                <w:color w:val="1C3A36"/>
                <w:sz w:val="17"/>
              </w:rPr>
              <w:t>Ferrosilicon</w:t>
            </w:r>
          </w:p>
        </w:tc>
        <w:tc>
          <w:tcPr>
            <w:tcW w:type="dxa" w:w="1728"/>
          </w:tcPr>
          <w:p>
            <w:pPr>
              <w:spacing w:after="20"/>
              <w:jc w:val="right"/>
            </w:pPr>
            <w:r>
              <w:rPr>
                <w:color w:val="1C3A36"/>
                <w:sz w:val="17"/>
              </w:rPr>
              <w:t>nil</w:t>
            </w:r>
          </w:p>
        </w:tc>
        <w:tc>
          <w:tcPr>
            <w:tcW w:type="dxa" w:w="1584"/>
          </w:tcPr>
          <w:p>
            <w:pPr>
              <w:spacing w:after="20"/>
              <w:jc w:val="right"/>
            </w:pPr>
            <w:r>
              <w:rPr>
                <w:color w:val="1C3A36"/>
                <w:sz w:val="17"/>
              </w:rPr>
              <w:t>n/a</w:t>
            </w:r>
          </w:p>
        </w:tc>
        <w:tc>
          <w:tcPr>
            <w:tcW w:type="dxa" w:w="4464"/>
          </w:tcPr>
          <w:p>
            <w:pPr>
              <w:spacing w:after="20"/>
            </w:pPr>
            <w:r>
              <w:rPr>
                <w:color w:val="1C3A36"/>
                <w:sz w:val="17"/>
              </w:rPr>
              <w:t>Furnace idle since 2019 and leased to a tenant from May 2025, so it is now rent</w:t>
            </w:r>
          </w:p>
        </w:tc>
      </w:tr>
    </w:tbl>
    <w:p>
      <w:pPr>
        <w:spacing w:after="40"/>
      </w:pPr>
    </w:p>
    <w:p>
      <w:pPr>
        <w:spacing w:after="200" w:before="0"/>
      </w:pPr>
      <w:r>
        <w:rPr>
          <w:b w:val="0"/>
          <w:i/>
          <w:color w:val="6E7B77"/>
          <w:sz w:val="17"/>
        </w:rPr>
        <w:t>Table 3.  Production and unit costs as disclosed in the auditor's own cost table. Ammonia is consumed by urea rather than sold, which is why the surplus over urea's draw is what the new complex is built to use.</w:t>
      </w:r>
    </w:p>
    <w:p>
      <w:pPr>
        <w:keepNext/>
        <w:spacing w:after="120" w:before="280"/>
      </w:pPr>
      <w:r>
        <w:rPr>
          <w:b/>
          <w:i w:val="0"/>
          <w:color w:val="1C3A36"/>
          <w:sz w:val="30"/>
        </w:rPr>
        <w:t>1  Fundamental valuation</w:t>
      </w:r>
    </w:p>
    <w:p>
      <w:pPr>
        <w:keepNext/>
        <w:spacing w:after="80" w:before="200"/>
      </w:pPr>
      <w:r>
        <w:rPr>
          <w:b/>
          <w:i w:val="0"/>
          <w:color w:val="1C3A36"/>
          <w:sz w:val="24"/>
        </w:rPr>
        <w:t>1.1  The cash-flow model — the primary lens, with the full waterfall</w:t>
      </w:r>
    </w:p>
    <w:p>
      <w:pPr>
        <w:spacing w:after="120" w:before="0"/>
      </w:pPr>
      <w:r>
        <w:rPr>
          <w:b w:val="0"/>
          <w:i w:val="0"/>
          <w:color w:val="1C3A36"/>
          <w:sz w:val="21"/>
        </w:rPr>
        <w:t>Revenue is tonnes multiplied by price, channel by channel. Cost is physical consumption multiplied by a unit price. Free cash flow to the firm is then built line by line and discounted on a cost of capital that glides to a terminal rate assembled from its own components.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11,674</w:t>
            </w:r>
          </w:p>
        </w:tc>
        <w:tc>
          <w:tcPr>
            <w:tcW w:type="dxa" w:w="1426"/>
          </w:tcPr>
          <w:p>
            <w:pPr>
              <w:spacing w:after="20"/>
              <w:jc w:val="right"/>
            </w:pPr>
            <w:r>
              <w:rPr>
                <w:color w:val="1C3A36"/>
                <w:sz w:val="16"/>
              </w:rPr>
              <w:t>12,693</w:t>
            </w:r>
          </w:p>
        </w:tc>
        <w:tc>
          <w:tcPr>
            <w:tcW w:type="dxa" w:w="1426"/>
          </w:tcPr>
          <w:p>
            <w:pPr>
              <w:spacing w:after="20"/>
              <w:jc w:val="right"/>
            </w:pPr>
            <w:r>
              <w:rPr>
                <w:color w:val="1C3A36"/>
                <w:sz w:val="16"/>
              </w:rPr>
              <w:t>13,513</w:t>
            </w:r>
          </w:p>
        </w:tc>
        <w:tc>
          <w:tcPr>
            <w:tcW w:type="dxa" w:w="1426"/>
          </w:tcPr>
          <w:p>
            <w:pPr>
              <w:spacing w:after="20"/>
              <w:jc w:val="right"/>
            </w:pPr>
            <w:r>
              <w:rPr>
                <w:color w:val="1C3A36"/>
                <w:sz w:val="16"/>
              </w:rPr>
              <w:t>14,277</w:t>
            </w:r>
          </w:p>
        </w:tc>
        <w:tc>
          <w:tcPr>
            <w:tcW w:type="dxa" w:w="1426"/>
          </w:tcPr>
          <w:p>
            <w:pPr>
              <w:spacing w:after="20"/>
              <w:jc w:val="right"/>
            </w:pPr>
            <w:r>
              <w:rPr>
                <w:color w:val="1C3A36"/>
                <w:sz w:val="16"/>
              </w:rPr>
              <w:t>15,043</w:t>
            </w:r>
          </w:p>
        </w:tc>
      </w:tr>
      <w:tr>
        <w:trPr>
          <w:cantSplit/>
        </w:trP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4,812</w:t>
            </w:r>
          </w:p>
        </w:tc>
        <w:tc>
          <w:tcPr>
            <w:tcW w:type="dxa" w:w="1426"/>
            <w:shd w:val="clear" w:color="auto" w:fill="F6F1E6"/>
          </w:tcPr>
          <w:p>
            <w:pPr>
              <w:spacing w:after="20"/>
              <w:jc w:val="right"/>
            </w:pPr>
            <w:r>
              <w:rPr>
                <w:b/>
                <w:color w:val="1C3A36"/>
                <w:sz w:val="16"/>
              </w:rPr>
              <w:t>5,203</w:t>
            </w:r>
          </w:p>
        </w:tc>
        <w:tc>
          <w:tcPr>
            <w:tcW w:type="dxa" w:w="1426"/>
            <w:shd w:val="clear" w:color="auto" w:fill="F6F1E6"/>
          </w:tcPr>
          <w:p>
            <w:pPr>
              <w:spacing w:after="20"/>
              <w:jc w:val="right"/>
            </w:pPr>
            <w:r>
              <w:rPr>
                <w:b/>
                <w:color w:val="1C3A36"/>
                <w:sz w:val="16"/>
              </w:rPr>
              <w:t>5,492</w:t>
            </w:r>
          </w:p>
        </w:tc>
        <w:tc>
          <w:tcPr>
            <w:tcW w:type="dxa" w:w="1426"/>
            <w:shd w:val="clear" w:color="auto" w:fill="F6F1E6"/>
          </w:tcPr>
          <w:p>
            <w:pPr>
              <w:spacing w:after="20"/>
              <w:jc w:val="right"/>
            </w:pPr>
            <w:r>
              <w:rPr>
                <w:b/>
                <w:color w:val="1C3A36"/>
                <w:sz w:val="16"/>
              </w:rPr>
              <w:t>5,746</w:t>
            </w:r>
          </w:p>
        </w:tc>
        <w:tc>
          <w:tcPr>
            <w:tcW w:type="dxa" w:w="1426"/>
            <w:shd w:val="clear" w:color="auto" w:fill="F6F1E6"/>
          </w:tcPr>
          <w:p>
            <w:pPr>
              <w:spacing w:after="20"/>
              <w:jc w:val="right"/>
            </w:pPr>
            <w:r>
              <w:rPr>
                <w:b/>
                <w:color w:val="1C3A36"/>
                <w:sz w:val="16"/>
              </w:rPr>
              <w:t>5,987</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3,921</w:t>
            </w:r>
          </w:p>
        </w:tc>
        <w:tc>
          <w:tcPr>
            <w:tcW w:type="dxa" w:w="1426"/>
            <w:shd w:val="clear" w:color="auto" w:fill="F6F1E6"/>
          </w:tcPr>
          <w:p>
            <w:pPr>
              <w:spacing w:after="20"/>
              <w:jc w:val="right"/>
            </w:pPr>
            <w:r>
              <w:rPr>
                <w:b/>
                <w:color w:val="1C3A36"/>
                <w:sz w:val="16"/>
              </w:rPr>
              <w:t>4,194</w:t>
            </w:r>
          </w:p>
        </w:tc>
        <w:tc>
          <w:tcPr>
            <w:tcW w:type="dxa" w:w="1426"/>
            <w:shd w:val="clear" w:color="auto" w:fill="F6F1E6"/>
          </w:tcPr>
          <w:p>
            <w:pPr>
              <w:spacing w:after="20"/>
              <w:jc w:val="right"/>
            </w:pPr>
            <w:r>
              <w:rPr>
                <w:b/>
                <w:color w:val="1C3A36"/>
                <w:sz w:val="16"/>
              </w:rPr>
              <w:t>4,346</w:t>
            </w:r>
          </w:p>
        </w:tc>
        <w:tc>
          <w:tcPr>
            <w:tcW w:type="dxa" w:w="1426"/>
            <w:shd w:val="clear" w:color="auto" w:fill="F6F1E6"/>
          </w:tcPr>
          <w:p>
            <w:pPr>
              <w:spacing w:after="20"/>
              <w:jc w:val="right"/>
            </w:pPr>
            <w:r>
              <w:rPr>
                <w:b/>
                <w:color w:val="1C3A36"/>
                <w:sz w:val="16"/>
              </w:rPr>
              <w:t>4,453</w:t>
            </w:r>
          </w:p>
        </w:tc>
        <w:tc>
          <w:tcPr>
            <w:tcW w:type="dxa" w:w="1426"/>
            <w:shd w:val="clear" w:color="auto" w:fill="F6F1E6"/>
          </w:tcPr>
          <w:p>
            <w:pPr>
              <w:spacing w:after="20"/>
              <w:jc w:val="right"/>
            </w:pPr>
            <w:r>
              <w:rPr>
                <w:b/>
                <w:color w:val="1C3A36"/>
                <w:sz w:val="16"/>
              </w:rPr>
              <w:t>4,553</w:t>
            </w:r>
          </w:p>
        </w:tc>
      </w:tr>
      <w:tr>
        <w:trPr>
          <w:cantSplit/>
        </w:trPr>
        <w:tc>
          <w:tcPr>
            <w:tcW w:type="dxa" w:w="2952"/>
          </w:tcPr>
          <w:p>
            <w:pPr>
              <w:spacing w:after="20"/>
            </w:pPr>
            <w:r>
              <w:rPr>
                <w:color w:val="1C3A36"/>
                <w:sz w:val="16"/>
              </w:rPr>
              <w:t>NOPAT — EBIT after tax</w:t>
            </w:r>
          </w:p>
        </w:tc>
        <w:tc>
          <w:tcPr>
            <w:tcW w:type="dxa" w:w="1426"/>
          </w:tcPr>
          <w:p>
            <w:pPr>
              <w:spacing w:after="20"/>
              <w:jc w:val="right"/>
            </w:pPr>
            <w:r>
              <w:rPr>
                <w:color w:val="1C3A36"/>
                <w:sz w:val="16"/>
              </w:rPr>
              <w:t>3,039</w:t>
            </w:r>
          </w:p>
        </w:tc>
        <w:tc>
          <w:tcPr>
            <w:tcW w:type="dxa" w:w="1426"/>
          </w:tcPr>
          <w:p>
            <w:pPr>
              <w:spacing w:after="20"/>
              <w:jc w:val="right"/>
            </w:pPr>
            <w:r>
              <w:rPr>
                <w:color w:val="1C3A36"/>
                <w:sz w:val="16"/>
              </w:rPr>
              <w:t>3,251</w:t>
            </w:r>
          </w:p>
        </w:tc>
        <w:tc>
          <w:tcPr>
            <w:tcW w:type="dxa" w:w="1426"/>
          </w:tcPr>
          <w:p>
            <w:pPr>
              <w:spacing w:after="20"/>
              <w:jc w:val="right"/>
            </w:pPr>
            <w:r>
              <w:rPr>
                <w:color w:val="1C3A36"/>
                <w:sz w:val="16"/>
              </w:rPr>
              <w:t>3,368</w:t>
            </w:r>
          </w:p>
        </w:tc>
        <w:tc>
          <w:tcPr>
            <w:tcW w:type="dxa" w:w="1426"/>
          </w:tcPr>
          <w:p>
            <w:pPr>
              <w:spacing w:after="20"/>
              <w:jc w:val="right"/>
            </w:pPr>
            <w:r>
              <w:rPr>
                <w:color w:val="1C3A36"/>
                <w:sz w:val="16"/>
              </w:rPr>
              <w:t>3,451</w:t>
            </w:r>
          </w:p>
        </w:tc>
        <w:tc>
          <w:tcPr>
            <w:tcW w:type="dxa" w:w="1426"/>
          </w:tcPr>
          <w:p>
            <w:pPr>
              <w:spacing w:after="20"/>
              <w:jc w:val="right"/>
            </w:pPr>
            <w:r>
              <w:rPr>
                <w:color w:val="1C3A36"/>
                <w:sz w:val="16"/>
              </w:rPr>
              <w:t>3,529</w:t>
            </w:r>
          </w:p>
        </w:tc>
      </w:tr>
      <w:tr>
        <w:trPr>
          <w:cantSplit/>
        </w:trPr>
        <w:tc>
          <w:tcPr>
            <w:tcW w:type="dxa" w:w="2952"/>
          </w:tcPr>
          <w:p>
            <w:pPr>
              <w:spacing w:after="20"/>
            </w:pPr>
            <w:r>
              <w:rPr>
                <w:color w:val="1C3A36"/>
                <w:sz w:val="16"/>
              </w:rPr>
              <w:t>Add back depreciation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Less capital expenditure</w:t>
            </w:r>
          </w:p>
        </w:tc>
        <w:tc>
          <w:tcPr>
            <w:tcW w:type="dxa" w:w="1426"/>
          </w:tcPr>
          <w:p>
            <w:pPr>
              <w:spacing w:after="20"/>
              <w:jc w:val="right"/>
            </w:pPr>
            <w:r>
              <w:rPr>
                <w:color w:val="1C3A36"/>
                <w:sz w:val="16"/>
              </w:rPr>
              <w:t>-2,729</w:t>
            </w:r>
          </w:p>
        </w:tc>
        <w:tc>
          <w:tcPr>
            <w:tcW w:type="dxa" w:w="1426"/>
          </w:tcPr>
          <w:p>
            <w:pPr>
              <w:spacing w:after="20"/>
              <w:jc w:val="right"/>
            </w:pPr>
            <w:r>
              <w:rPr>
                <w:color w:val="1C3A36"/>
                <w:sz w:val="16"/>
              </w:rPr>
              <w:t>-3,242</w:t>
            </w:r>
          </w:p>
        </w:tc>
        <w:tc>
          <w:tcPr>
            <w:tcW w:type="dxa" w:w="1426"/>
          </w:tcPr>
          <w:p>
            <w:pPr>
              <w:spacing w:after="20"/>
              <w:jc w:val="right"/>
            </w:pPr>
            <w:r>
              <w:rPr>
                <w:color w:val="1C3A36"/>
                <w:sz w:val="16"/>
              </w:rPr>
              <w:t>-3,451</w:t>
            </w:r>
          </w:p>
        </w:tc>
        <w:tc>
          <w:tcPr>
            <w:tcW w:type="dxa" w:w="1426"/>
          </w:tcPr>
          <w:p>
            <w:pPr>
              <w:spacing w:after="20"/>
              <w:jc w:val="right"/>
            </w:pPr>
            <w:r>
              <w:rPr>
                <w:color w:val="1C3A36"/>
                <w:sz w:val="16"/>
              </w:rPr>
              <w:t>-3,359</w:t>
            </w:r>
          </w:p>
        </w:tc>
        <w:tc>
          <w:tcPr>
            <w:tcW w:type="dxa" w:w="1426"/>
          </w:tcPr>
          <w:p>
            <w:pPr>
              <w:spacing w:after="20"/>
              <w:jc w:val="right"/>
            </w:pPr>
            <w:r>
              <w:rPr>
                <w:color w:val="1C3A36"/>
                <w:sz w:val="16"/>
              </w:rPr>
              <w:t>-2,657</w:t>
            </w:r>
          </w:p>
        </w:tc>
      </w:tr>
      <w:tr>
        <w:trPr>
          <w:cantSplit/>
        </w:trPr>
        <w:tc>
          <w:tcPr>
            <w:tcW w:type="dxa" w:w="2952"/>
          </w:tcPr>
          <w:p>
            <w:pPr>
              <w:spacing w:after="20"/>
            </w:pPr>
            <w:r>
              <w:rPr>
                <w:color w:val="1C3A36"/>
                <w:sz w:val="16"/>
              </w:rPr>
              <w:t>Less change in working capital</w:t>
            </w:r>
          </w:p>
        </w:tc>
        <w:tc>
          <w:tcPr>
            <w:tcW w:type="dxa" w:w="1426"/>
          </w:tcPr>
          <w:p>
            <w:pPr>
              <w:spacing w:after="20"/>
              <w:jc w:val="right"/>
            </w:pPr>
            <w:r>
              <w:rPr>
                <w:color w:val="1C3A36"/>
                <w:sz w:val="16"/>
              </w:rPr>
              <w:t>788</w:t>
            </w:r>
          </w:p>
        </w:tc>
        <w:tc>
          <w:tcPr>
            <w:tcW w:type="dxa" w:w="1426"/>
          </w:tcPr>
          <w:p>
            <w:pPr>
              <w:spacing w:after="20"/>
              <w:jc w:val="right"/>
            </w:pPr>
            <w:r>
              <w:rPr>
                <w:color w:val="1C3A36"/>
                <w:sz w:val="16"/>
              </w:rPr>
              <w:t>-220</w:t>
            </w:r>
          </w:p>
        </w:tc>
        <w:tc>
          <w:tcPr>
            <w:tcW w:type="dxa" w:w="1426"/>
          </w:tcPr>
          <w:p>
            <w:pPr>
              <w:spacing w:after="20"/>
              <w:jc w:val="right"/>
            </w:pPr>
            <w:r>
              <w:rPr>
                <w:color w:val="1C3A36"/>
                <w:sz w:val="16"/>
              </w:rPr>
              <w:t>-190</w:t>
            </w:r>
          </w:p>
        </w:tc>
        <w:tc>
          <w:tcPr>
            <w:tcW w:type="dxa" w:w="1426"/>
          </w:tcPr>
          <w:p>
            <w:pPr>
              <w:spacing w:after="20"/>
              <w:jc w:val="right"/>
            </w:pPr>
            <w:r>
              <w:rPr>
                <w:color w:val="1C3A36"/>
                <w:sz w:val="16"/>
              </w:rPr>
              <w:t>-182</w:t>
            </w:r>
          </w:p>
        </w:tc>
        <w:tc>
          <w:tcPr>
            <w:tcW w:type="dxa" w:w="1426"/>
          </w:tcPr>
          <w:p>
            <w:pPr>
              <w:spacing w:after="20"/>
              <w:jc w:val="right"/>
            </w:pPr>
            <w:r>
              <w:rPr>
                <w:color w:val="1C3A36"/>
                <w:sz w:val="16"/>
              </w:rPr>
              <w:t>-183</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1,989</w:t>
            </w:r>
          </w:p>
        </w:tc>
        <w:tc>
          <w:tcPr>
            <w:tcW w:type="dxa" w:w="1426"/>
            <w:shd w:val="clear" w:color="auto" w:fill="F6F1E6"/>
          </w:tcPr>
          <w:p>
            <w:pPr>
              <w:spacing w:after="20"/>
              <w:jc w:val="right"/>
            </w:pPr>
            <w:r>
              <w:rPr>
                <w:b/>
                <w:color w:val="1C3A36"/>
                <w:sz w:val="16"/>
              </w:rPr>
              <w:t>798</w:t>
            </w:r>
          </w:p>
        </w:tc>
        <w:tc>
          <w:tcPr>
            <w:tcW w:type="dxa" w:w="1426"/>
            <w:shd w:val="clear" w:color="auto" w:fill="F6F1E6"/>
          </w:tcPr>
          <w:p>
            <w:pPr>
              <w:spacing w:after="20"/>
              <w:jc w:val="right"/>
            </w:pPr>
            <w:r>
              <w:rPr>
                <w:b/>
                <w:color w:val="1C3A36"/>
                <w:sz w:val="16"/>
              </w:rPr>
              <w:t>874</w:t>
            </w:r>
          </w:p>
        </w:tc>
        <w:tc>
          <w:tcPr>
            <w:tcW w:type="dxa" w:w="1426"/>
            <w:shd w:val="clear" w:color="auto" w:fill="F6F1E6"/>
          </w:tcPr>
          <w:p>
            <w:pPr>
              <w:spacing w:after="20"/>
              <w:jc w:val="right"/>
            </w:pPr>
            <w:r>
              <w:rPr>
                <w:b/>
                <w:color w:val="1C3A36"/>
                <w:sz w:val="16"/>
              </w:rPr>
              <w:t>1,202</w:t>
            </w:r>
          </w:p>
        </w:tc>
        <w:tc>
          <w:tcPr>
            <w:tcW w:type="dxa" w:w="1426"/>
            <w:shd w:val="clear" w:color="auto" w:fill="F6F1E6"/>
          </w:tcPr>
          <w:p>
            <w:pPr>
              <w:spacing w:after="20"/>
              <w:jc w:val="right"/>
            </w:pPr>
            <w:r>
              <w:rPr>
                <w:b/>
                <w:color w:val="1C3A36"/>
                <w:sz w:val="16"/>
              </w:rPr>
              <w:t>2,122</w:t>
            </w:r>
          </w:p>
        </w:tc>
      </w:tr>
      <w:tr>
        <w:trPr>
          <w:cantSplit/>
        </w:trPr>
        <w:tc>
          <w:tcPr>
            <w:tcW w:type="dxa" w:w="2952"/>
          </w:tcPr>
          <w:p>
            <w:pPr>
              <w:spacing w:after="20"/>
            </w:pPr>
            <w:r>
              <w:rPr>
                <w:color w:val="1C3A36"/>
                <w:sz w:val="16"/>
              </w:rPr>
              <w:t>Discount rate from the glide</w:t>
            </w:r>
          </w:p>
        </w:tc>
        <w:tc>
          <w:tcPr>
            <w:tcW w:type="dxa" w:w="1426"/>
          </w:tcPr>
          <w:p>
            <w:pPr>
              <w:spacing w:after="20"/>
              <w:jc w:val="right"/>
            </w:pPr>
            <w:r>
              <w:rPr>
                <w:color w:val="1C3A36"/>
                <w:sz w:val="16"/>
              </w:rPr>
              <w:t>25.76%</w:t>
            </w:r>
          </w:p>
        </w:tc>
        <w:tc>
          <w:tcPr>
            <w:tcW w:type="dxa" w:w="1426"/>
          </w:tcPr>
          <w:p>
            <w:pPr>
              <w:spacing w:after="20"/>
              <w:jc w:val="right"/>
            </w:pPr>
            <w:r>
              <w:rPr>
                <w:color w:val="1C3A36"/>
                <w:sz w:val="16"/>
              </w:rPr>
              <w:t>23.87%</w:t>
            </w:r>
          </w:p>
        </w:tc>
        <w:tc>
          <w:tcPr>
            <w:tcW w:type="dxa" w:w="1426"/>
          </w:tcPr>
          <w:p>
            <w:pPr>
              <w:spacing w:after="20"/>
              <w:jc w:val="right"/>
            </w:pPr>
            <w:r>
              <w:rPr>
                <w:color w:val="1C3A36"/>
                <w:sz w:val="16"/>
              </w:rPr>
              <w:t>22.34%</w:t>
            </w:r>
          </w:p>
        </w:tc>
        <w:tc>
          <w:tcPr>
            <w:tcW w:type="dxa" w:w="1426"/>
          </w:tcPr>
          <w:p>
            <w:pPr>
              <w:spacing w:after="20"/>
              <w:jc w:val="right"/>
            </w:pPr>
            <w:r>
              <w:rPr>
                <w:color w:val="1C3A36"/>
                <w:sz w:val="16"/>
              </w:rPr>
              <w:t>21.17%</w:t>
            </w:r>
          </w:p>
        </w:tc>
        <w:tc>
          <w:tcPr>
            <w:tcW w:type="dxa" w:w="1426"/>
          </w:tcPr>
          <w:p>
            <w:pPr>
              <w:spacing w:after="20"/>
              <w:jc w:val="right"/>
            </w:pPr>
            <w:r>
              <w:rPr>
                <w:color w:val="1C3A36"/>
                <w:sz w:val="16"/>
              </w:rPr>
              <w:t>20.21%</w:t>
            </w:r>
          </w:p>
        </w:tc>
      </w:tr>
      <w:tr>
        <w:trPr>
          <w:cantSplit/>
        </w:trPr>
        <w:tc>
          <w:tcPr>
            <w:tcW w:type="dxa" w:w="2952"/>
          </w:tcPr>
          <w:p>
            <w:pPr>
              <w:spacing w:after="20"/>
            </w:pPr>
            <w:r>
              <w:rPr>
                <w:color w:val="1C3A36"/>
                <w:sz w:val="16"/>
              </w:rPr>
              <w:t>Discount factor</w:t>
            </w:r>
          </w:p>
        </w:tc>
        <w:tc>
          <w:tcPr>
            <w:tcW w:type="dxa" w:w="1426"/>
          </w:tcPr>
          <w:p>
            <w:pPr>
              <w:spacing w:after="20"/>
              <w:jc w:val="right"/>
            </w:pPr>
            <w:r>
              <w:rPr>
                <w:color w:val="1C3A36"/>
                <w:sz w:val="16"/>
              </w:rPr>
              <w:t>0.7952</w:t>
            </w:r>
          </w:p>
        </w:tc>
        <w:tc>
          <w:tcPr>
            <w:tcW w:type="dxa" w:w="1426"/>
          </w:tcPr>
          <w:p>
            <w:pPr>
              <w:spacing w:after="20"/>
              <w:jc w:val="right"/>
            </w:pPr>
            <w:r>
              <w:rPr>
                <w:color w:val="1C3A36"/>
                <w:sz w:val="16"/>
              </w:rPr>
              <w:t>0.6419</w:t>
            </w:r>
          </w:p>
        </w:tc>
        <w:tc>
          <w:tcPr>
            <w:tcW w:type="dxa" w:w="1426"/>
          </w:tcPr>
          <w:p>
            <w:pPr>
              <w:spacing w:after="20"/>
              <w:jc w:val="right"/>
            </w:pPr>
            <w:r>
              <w:rPr>
                <w:color w:val="1C3A36"/>
                <w:sz w:val="16"/>
              </w:rPr>
              <w:t>0.5247</w:t>
            </w:r>
          </w:p>
        </w:tc>
        <w:tc>
          <w:tcPr>
            <w:tcW w:type="dxa" w:w="1426"/>
          </w:tcPr>
          <w:p>
            <w:pPr>
              <w:spacing w:after="20"/>
              <w:jc w:val="right"/>
            </w:pPr>
            <w:r>
              <w:rPr>
                <w:color w:val="1C3A36"/>
                <w:sz w:val="16"/>
              </w:rPr>
              <w:t>0.4330</w:t>
            </w:r>
          </w:p>
        </w:tc>
        <w:tc>
          <w:tcPr>
            <w:tcW w:type="dxa" w:w="1426"/>
          </w:tcPr>
          <w:p>
            <w:pPr>
              <w:spacing w:after="20"/>
              <w:jc w:val="right"/>
            </w:pPr>
            <w:r>
              <w:rPr>
                <w:color w:val="1C3A36"/>
                <w:sz w:val="16"/>
              </w:rPr>
              <w:t>0.3602</w:t>
            </w:r>
          </w:p>
        </w:tc>
      </w:tr>
      <w:tr>
        <w:trPr>
          <w:cantSplit/>
        </w:trPr>
        <w:tc>
          <w:tcPr>
            <w:tcW w:type="dxa" w:w="2952"/>
            <w:shd w:val="clear" w:color="auto" w:fill="F6F1E6"/>
          </w:tcPr>
          <w:p>
            <w:pPr>
              <w:spacing w:after="20"/>
            </w:pPr>
            <w:r>
              <w:rPr>
                <w:b/>
                <w:color w:val="1C3A36"/>
                <w:sz w:val="16"/>
              </w:rPr>
              <w:t>PRESENT VALUE OF FREE CASH FLOW</w:t>
            </w:r>
          </w:p>
        </w:tc>
        <w:tc>
          <w:tcPr>
            <w:tcW w:type="dxa" w:w="1426"/>
            <w:shd w:val="clear" w:color="auto" w:fill="F6F1E6"/>
          </w:tcPr>
          <w:p>
            <w:pPr>
              <w:spacing w:after="20"/>
              <w:jc w:val="right"/>
            </w:pPr>
            <w:r>
              <w:rPr>
                <w:b/>
                <w:color w:val="1C3A36"/>
                <w:sz w:val="16"/>
              </w:rPr>
              <w:t>1,581</w:t>
            </w:r>
          </w:p>
        </w:tc>
        <w:tc>
          <w:tcPr>
            <w:tcW w:type="dxa" w:w="1426"/>
            <w:shd w:val="clear" w:color="auto" w:fill="F6F1E6"/>
          </w:tcPr>
          <w:p>
            <w:pPr>
              <w:spacing w:after="20"/>
              <w:jc w:val="right"/>
            </w:pPr>
            <w:r>
              <w:rPr>
                <w:b/>
                <w:color w:val="1C3A36"/>
                <w:sz w:val="16"/>
              </w:rPr>
              <w:t>512</w:t>
            </w:r>
          </w:p>
        </w:tc>
        <w:tc>
          <w:tcPr>
            <w:tcW w:type="dxa" w:w="1426"/>
            <w:shd w:val="clear" w:color="auto" w:fill="F6F1E6"/>
          </w:tcPr>
          <w:p>
            <w:pPr>
              <w:spacing w:after="20"/>
              <w:jc w:val="right"/>
            </w:pPr>
            <w:r>
              <w:rPr>
                <w:b/>
                <w:color w:val="1C3A36"/>
                <w:sz w:val="16"/>
              </w:rPr>
              <w:t>459</w:t>
            </w:r>
          </w:p>
        </w:tc>
        <w:tc>
          <w:tcPr>
            <w:tcW w:type="dxa" w:w="1426"/>
            <w:shd w:val="clear" w:color="auto" w:fill="F6F1E6"/>
          </w:tcPr>
          <w:p>
            <w:pPr>
              <w:spacing w:after="20"/>
              <w:jc w:val="right"/>
            </w:pPr>
            <w:r>
              <w:rPr>
                <w:b/>
                <w:color w:val="1C3A36"/>
                <w:sz w:val="16"/>
              </w:rPr>
              <w:t>521</w:t>
            </w:r>
          </w:p>
        </w:tc>
        <w:tc>
          <w:tcPr>
            <w:tcW w:type="dxa" w:w="1426"/>
            <w:shd w:val="clear" w:color="auto" w:fill="F6F1E6"/>
          </w:tcPr>
          <w:p>
            <w:pPr>
              <w:spacing w:after="20"/>
              <w:jc w:val="right"/>
            </w:pPr>
            <w:r>
              <w:rPr>
                <w:b/>
                <w:color w:val="1C3A36"/>
                <w:sz w:val="16"/>
              </w:rPr>
              <w:t>764</w:t>
            </w:r>
          </w:p>
        </w:tc>
      </w:tr>
    </w:tbl>
    <w:p>
      <w:pPr>
        <w:spacing w:after="40"/>
      </w:pPr>
    </w:p>
    <w:p>
      <w:pPr>
        <w:spacing w:after="200" w:before="0"/>
      </w:pPr>
      <w:r>
        <w:rPr>
          <w:b w:val="0"/>
          <w:i/>
          <w:color w:val="6E7B77"/>
          <w:sz w:val="17"/>
        </w:rPr>
        <w:t>Table 4.  The full waterfall, programme carried through. Every line is a live formula in the accompanying workbook.</w:t>
      </w:r>
    </w:p>
    <w:p>
      <w:pPr>
        <w:spacing w:after="40"/>
        <w:jc w:val="center"/>
      </w:pPr>
      <w:r>
        <w:drawing>
          <wp:inline xmlns:a="http://schemas.openxmlformats.org/drawingml/2006/main" xmlns:pic="http://schemas.openxmlformats.org/drawingml/2006/picture">
            <wp:extent cx="6309360" cy="2704011"/>
            <wp:docPr id="2" name="Picture 2"/>
            <wp:cNvGraphicFramePr>
              <a:graphicFrameLocks noChangeAspect="1"/>
            </wp:cNvGraphicFramePr>
            <a:graphic>
              <a:graphicData uri="http://schemas.openxmlformats.org/drawingml/2006/picture">
                <pic:pic>
                  <pic:nvPicPr>
                    <pic:cNvPr id="0" name="fig4_cashflow.png"/>
                    <pic:cNvPicPr/>
                  </pic:nvPicPr>
                  <pic:blipFill>
                    <a:blip r:embed="rId10"/>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2.  Operating profit is healthy throughout and free cash flow is not, because the capital programme absorbs it. This is the study in one picture.</w:t>
      </w:r>
    </w:p>
    <w:p>
      <w:pPr>
        <w:keepNext/>
        <w:spacing w:after="80" w:before="200"/>
      </w:pPr>
      <w:r>
        <w:rPr>
          <w:b/>
          <w:i w:val="0"/>
          <w:color w:val="1C3A36"/>
          <w:sz w:val="24"/>
        </w:rPr>
        <w:t>The bridge from enterprise value to the equity — both sides of the judgement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808"/>
        <w:gridCol w:w="2808"/>
      </w:tblGrid>
      <w:tr>
        <w:trPr>
          <w:cantSplit/>
          <w:tblHeader/>
        </w:trPr>
        <w:tc>
          <w:tcPr>
            <w:tcW w:type="dxa" w:w="4320"/>
            <w:shd w:val="clear" w:color="auto" w:fill="EAF0EE"/>
          </w:tcPr>
          <w:p>
            <w:pPr>
              <w:spacing w:after="20"/>
            </w:pPr>
            <w:r>
              <w:rPr>
                <w:b/>
                <w:color w:val="1C3A36"/>
                <w:sz w:val="17"/>
              </w:rPr>
              <w:t>Component</w:t>
            </w:r>
          </w:p>
        </w:tc>
        <w:tc>
          <w:tcPr>
            <w:tcW w:type="dxa" w:w="2808"/>
            <w:shd w:val="clear" w:color="auto" w:fill="EAF0EE"/>
          </w:tcPr>
          <w:p>
            <w:pPr>
              <w:spacing w:after="20"/>
            </w:pPr>
            <w:r>
              <w:rPr>
                <w:b/>
                <w:color w:val="1C3A36"/>
                <w:sz w:val="17"/>
              </w:rPr>
              <w:t>Carried through (EGP m)</w:t>
            </w:r>
          </w:p>
        </w:tc>
        <w:tc>
          <w:tcPr>
            <w:tcW w:type="dxa" w:w="2808"/>
            <w:shd w:val="clear" w:color="auto" w:fill="EAF0EE"/>
          </w:tcPr>
          <w:p>
            <w:pPr>
              <w:spacing w:after="20"/>
            </w:pPr>
            <w:r>
              <w:rPr>
                <w:b/>
                <w:color w:val="1C3A36"/>
                <w:sz w:val="17"/>
              </w:rPr>
              <w:t>Stopped (EGP m)</w:t>
            </w:r>
          </w:p>
        </w:tc>
      </w:tr>
      <w:tr>
        <w:trPr>
          <w:cantSplit/>
        </w:trPr>
        <w:tc>
          <w:tcPr>
            <w:tcW w:type="dxa" w:w="4320"/>
          </w:tcPr>
          <w:p>
            <w:pPr>
              <w:spacing w:after="20"/>
            </w:pPr>
            <w:r>
              <w:rPr>
                <w:color w:val="1C3A36"/>
                <w:sz w:val="17"/>
              </w:rPr>
              <w:t>Present value of the explicit window</w:t>
            </w:r>
          </w:p>
        </w:tc>
        <w:tc>
          <w:tcPr>
            <w:tcW w:type="dxa" w:w="2808"/>
          </w:tcPr>
          <w:p>
            <w:pPr>
              <w:spacing w:after="20"/>
              <w:jc w:val="right"/>
            </w:pPr>
            <w:r>
              <w:rPr>
                <w:color w:val="1C3A36"/>
                <w:sz w:val="17"/>
              </w:rPr>
              <w:t>3,837</w:t>
            </w:r>
          </w:p>
        </w:tc>
        <w:tc>
          <w:tcPr>
            <w:tcW w:type="dxa" w:w="2808"/>
          </w:tcPr>
          <w:p>
            <w:pPr>
              <w:spacing w:after="20"/>
              <w:jc w:val="right"/>
            </w:pPr>
            <w:r>
              <w:rPr>
                <w:color w:val="1C3A36"/>
                <w:sz w:val="17"/>
              </w:rPr>
              <w:t>10,997</w:t>
            </w:r>
          </w:p>
        </w:tc>
      </w:tr>
      <w:tr>
        <w:trPr>
          <w:cantSplit/>
        </w:trPr>
        <w:tc>
          <w:tcPr>
            <w:tcW w:type="dxa" w:w="4320"/>
          </w:tcPr>
          <w:p>
            <w:pPr>
              <w:spacing w:after="20"/>
            </w:pPr>
            <w:r>
              <w:rPr>
                <w:color w:val="1C3A36"/>
                <w:sz w:val="17"/>
              </w:rPr>
              <w:t>Present value of the terminal value</w:t>
            </w:r>
          </w:p>
        </w:tc>
        <w:tc>
          <w:tcPr>
            <w:tcW w:type="dxa" w:w="2808"/>
          </w:tcPr>
          <w:p>
            <w:pPr>
              <w:spacing w:after="20"/>
              <w:jc w:val="right"/>
            </w:pPr>
            <w:r>
              <w:rPr>
                <w:color w:val="1C3A36"/>
                <w:sz w:val="17"/>
              </w:rPr>
              <w:t>7,248</w:t>
            </w:r>
          </w:p>
        </w:tc>
        <w:tc>
          <w:tcPr>
            <w:tcW w:type="dxa" w:w="2808"/>
          </w:tcPr>
          <w:p>
            <w:pPr>
              <w:spacing w:after="20"/>
              <w:jc w:val="right"/>
            </w:pPr>
            <w:r>
              <w:rPr>
                <w:color w:val="1C3A36"/>
                <w:sz w:val="17"/>
              </w:rPr>
              <w:t>7,931</w:t>
            </w:r>
          </w:p>
        </w:tc>
      </w:tr>
      <w:tr>
        <w:trPr>
          <w:cantSplit/>
        </w:trPr>
        <w:tc>
          <w:tcPr>
            <w:tcW w:type="dxa" w:w="4320"/>
            <w:shd w:val="clear" w:color="auto" w:fill="F6F1E6"/>
          </w:tcPr>
          <w:p>
            <w:pPr>
              <w:spacing w:after="20"/>
            </w:pPr>
            <w:r>
              <w:rPr>
                <w:b/>
                <w:color w:val="1C3A36"/>
                <w:sz w:val="17"/>
              </w:rPr>
              <w:t>Enterprise value</w:t>
            </w:r>
          </w:p>
        </w:tc>
        <w:tc>
          <w:tcPr>
            <w:tcW w:type="dxa" w:w="2808"/>
            <w:shd w:val="clear" w:color="auto" w:fill="F6F1E6"/>
          </w:tcPr>
          <w:p>
            <w:pPr>
              <w:spacing w:after="20"/>
              <w:jc w:val="right"/>
            </w:pPr>
            <w:r>
              <w:rPr>
                <w:b/>
                <w:color w:val="1C3A36"/>
                <w:sz w:val="17"/>
              </w:rPr>
              <w:t>11,085</w:t>
            </w:r>
          </w:p>
        </w:tc>
        <w:tc>
          <w:tcPr>
            <w:tcW w:type="dxa" w:w="2808"/>
            <w:shd w:val="clear" w:color="auto" w:fill="F6F1E6"/>
          </w:tcPr>
          <w:p>
            <w:pPr>
              <w:spacing w:after="20"/>
              <w:jc w:val="right"/>
            </w:pPr>
            <w:r>
              <w:rPr>
                <w:b/>
                <w:color w:val="1C3A36"/>
                <w:sz w:val="17"/>
              </w:rPr>
              <w:t>18,929</w:t>
            </w:r>
          </w:p>
        </w:tc>
      </w:tr>
      <w:tr>
        <w:trPr>
          <w:cantSplit/>
        </w:trPr>
        <w:tc>
          <w:tcPr>
            <w:tcW w:type="dxa" w:w="4320"/>
            <w:shd w:val="clear" w:color="auto" w:fill="F6F1E6"/>
          </w:tcPr>
          <w:p>
            <w:pPr>
              <w:spacing w:after="20"/>
            </w:pPr>
            <w:r>
              <w:rPr>
                <w:b/>
                <w:color w:val="1C3A36"/>
                <w:sz w:val="17"/>
              </w:rPr>
              <w:t>Terminal value as a share of enterprise value</w:t>
            </w:r>
          </w:p>
        </w:tc>
        <w:tc>
          <w:tcPr>
            <w:tcW w:type="dxa" w:w="2808"/>
            <w:shd w:val="clear" w:color="auto" w:fill="F6F1E6"/>
          </w:tcPr>
          <w:p>
            <w:pPr>
              <w:spacing w:after="20"/>
              <w:jc w:val="right"/>
            </w:pPr>
            <w:r>
              <w:rPr>
                <w:b/>
                <w:color w:val="1C3A36"/>
                <w:sz w:val="17"/>
              </w:rPr>
              <w:t>65.4%</w:t>
            </w:r>
          </w:p>
        </w:tc>
        <w:tc>
          <w:tcPr>
            <w:tcW w:type="dxa" w:w="2808"/>
            <w:shd w:val="clear" w:color="auto" w:fill="F6F1E6"/>
          </w:tcPr>
          <w:p>
            <w:pPr>
              <w:spacing w:after="20"/>
              <w:jc w:val="right"/>
            </w:pPr>
            <w:r>
              <w:rPr>
                <w:b/>
                <w:color w:val="1C3A36"/>
                <w:sz w:val="17"/>
              </w:rPr>
              <w:t>41.9%</w:t>
            </w:r>
          </w:p>
        </w:tc>
      </w:tr>
      <w:tr>
        <w:trPr>
          <w:cantSplit/>
        </w:trPr>
        <w:tc>
          <w:tcPr>
            <w:tcW w:type="dxa" w:w="4320"/>
          </w:tcPr>
          <w:p>
            <w:pPr>
              <w:spacing w:after="20"/>
            </w:pPr>
            <w:r>
              <w:rPr>
                <w:color w:val="1C3A36"/>
                <w:sz w:val="17"/>
              </w:rPr>
              <w:t>Less net debt</w:t>
            </w:r>
          </w:p>
        </w:tc>
        <w:tc>
          <w:tcPr>
            <w:tcW w:type="dxa" w:w="2808"/>
          </w:tcPr>
          <w:p>
            <w:pPr>
              <w:spacing w:after="20"/>
              <w:jc w:val="right"/>
            </w:pPr>
            <w:r>
              <w:rPr>
                <w:color w:val="1C3A36"/>
                <w:sz w:val="17"/>
              </w:rPr>
              <w:t>-10,032</w:t>
            </w:r>
          </w:p>
        </w:tc>
        <w:tc>
          <w:tcPr>
            <w:tcW w:type="dxa" w:w="2808"/>
          </w:tcPr>
          <w:p>
            <w:pPr>
              <w:spacing w:after="20"/>
              <w:jc w:val="right"/>
            </w:pPr>
            <w:r>
              <w:rPr>
                <w:color w:val="1C3A36"/>
                <w:sz w:val="17"/>
              </w:rPr>
              <w:t>-10,032</w:t>
            </w:r>
          </w:p>
        </w:tc>
      </w:tr>
      <w:tr>
        <w:trPr>
          <w:cantSplit/>
        </w:trPr>
        <w:tc>
          <w:tcPr>
            <w:tcW w:type="dxa" w:w="4320"/>
          </w:tcPr>
          <w:p>
            <w:pPr>
              <w:spacing w:after="20"/>
            </w:pPr>
            <w:r>
              <w:rPr>
                <w:color w:val="1C3A36"/>
                <w:sz w:val="17"/>
              </w:rPr>
              <w:t>Plus listed equity stakes at market</w:t>
            </w:r>
          </w:p>
        </w:tc>
        <w:tc>
          <w:tcPr>
            <w:tcW w:type="dxa" w:w="2808"/>
          </w:tcPr>
          <w:p>
            <w:pPr>
              <w:spacing w:after="20"/>
              <w:jc w:val="right"/>
            </w:pPr>
            <w:r>
              <w:rPr>
                <w:color w:val="1C3A36"/>
                <w:sz w:val="17"/>
              </w:rPr>
              <w:t>1,383</w:t>
            </w:r>
          </w:p>
        </w:tc>
        <w:tc>
          <w:tcPr>
            <w:tcW w:type="dxa" w:w="2808"/>
          </w:tcPr>
          <w:p>
            <w:pPr>
              <w:spacing w:after="20"/>
              <w:jc w:val="right"/>
            </w:pPr>
            <w:r>
              <w:rPr>
                <w:color w:val="1C3A36"/>
                <w:sz w:val="17"/>
              </w:rPr>
              <w:t>1,383</w:t>
            </w:r>
          </w:p>
        </w:tc>
      </w:tr>
      <w:tr>
        <w:trPr>
          <w:cantSplit/>
        </w:trPr>
        <w:tc>
          <w:tcPr>
            <w:tcW w:type="dxa" w:w="4320"/>
          </w:tcPr>
          <w:p>
            <w:pPr>
              <w:spacing w:after="20"/>
            </w:pPr>
            <w:r>
              <w:rPr>
                <w:color w:val="1C3A36"/>
                <w:sz w:val="17"/>
              </w:rPr>
              <w:t>Plus investment property</w:t>
            </w:r>
          </w:p>
        </w:tc>
        <w:tc>
          <w:tcPr>
            <w:tcW w:type="dxa" w:w="2808"/>
          </w:tcPr>
          <w:p>
            <w:pPr>
              <w:spacing w:after="20"/>
              <w:jc w:val="right"/>
            </w:pPr>
            <w:r>
              <w:rPr>
                <w:color w:val="1C3A36"/>
                <w:sz w:val="17"/>
              </w:rPr>
              <w:t>2,155</w:t>
            </w:r>
          </w:p>
        </w:tc>
        <w:tc>
          <w:tcPr>
            <w:tcW w:type="dxa" w:w="2808"/>
          </w:tcPr>
          <w:p>
            <w:pPr>
              <w:spacing w:after="20"/>
              <w:jc w:val="right"/>
            </w:pPr>
            <w:r>
              <w:rPr>
                <w:color w:val="1C3A36"/>
                <w:sz w:val="17"/>
              </w:rPr>
              <w:t>2,155</w:t>
            </w:r>
          </w:p>
        </w:tc>
      </w:tr>
      <w:tr>
        <w:trPr>
          <w:cantSplit/>
        </w:trPr>
        <w:tc>
          <w:tcPr>
            <w:tcW w:type="dxa" w:w="4320"/>
            <w:shd w:val="clear" w:color="auto" w:fill="F6F1E6"/>
          </w:tcPr>
          <w:p>
            <w:pPr>
              <w:spacing w:after="20"/>
            </w:pPr>
            <w:r>
              <w:rPr>
                <w:b/>
                <w:color w:val="1C3A36"/>
                <w:sz w:val="17"/>
              </w:rPr>
              <w:t>EQUITY VALUE</w:t>
            </w:r>
          </w:p>
        </w:tc>
        <w:tc>
          <w:tcPr>
            <w:tcW w:type="dxa" w:w="2808"/>
            <w:shd w:val="clear" w:color="auto" w:fill="F6F1E6"/>
          </w:tcPr>
          <w:p>
            <w:pPr>
              <w:spacing w:after="20"/>
              <w:jc w:val="right"/>
            </w:pPr>
            <w:r>
              <w:rPr>
                <w:b/>
                <w:color w:val="1C3A36"/>
                <w:sz w:val="17"/>
              </w:rPr>
              <w:t>4,591</w:t>
            </w:r>
          </w:p>
        </w:tc>
        <w:tc>
          <w:tcPr>
            <w:tcW w:type="dxa" w:w="2808"/>
            <w:shd w:val="clear" w:color="auto" w:fill="F6F1E6"/>
          </w:tcPr>
          <w:p>
            <w:pPr>
              <w:spacing w:after="20"/>
              <w:jc w:val="right"/>
            </w:pPr>
            <w:r>
              <w:rPr>
                <w:b/>
                <w:color w:val="1C3A36"/>
                <w:sz w:val="17"/>
              </w:rPr>
              <w:t>12,434</w:t>
            </w:r>
          </w:p>
        </w:tc>
      </w:tr>
      <w:tr>
        <w:trPr>
          <w:cantSplit/>
        </w:trPr>
        <w:tc>
          <w:tcPr>
            <w:tcW w:type="dxa" w:w="4320"/>
            <w:shd w:val="clear" w:color="auto" w:fill="F6F1E6"/>
          </w:tcPr>
          <w:p>
            <w:pPr>
              <w:spacing w:after="20"/>
            </w:pPr>
            <w:r>
              <w:rPr>
                <w:b/>
                <w:color w:val="1C3A36"/>
                <w:sz w:val="17"/>
              </w:rPr>
              <w:t>VALUE PER SHARE (EGP)</w:t>
            </w:r>
          </w:p>
        </w:tc>
        <w:tc>
          <w:tcPr>
            <w:tcW w:type="dxa" w:w="2808"/>
            <w:shd w:val="clear" w:color="auto" w:fill="F6F1E6"/>
          </w:tcPr>
          <w:p>
            <w:pPr>
              <w:spacing w:after="20"/>
              <w:jc w:val="right"/>
            </w:pPr>
            <w:r>
              <w:rPr>
                <w:b/>
                <w:color w:val="1C3A36"/>
                <w:sz w:val="17"/>
              </w:rPr>
              <w:t>2.31</w:t>
            </w:r>
          </w:p>
        </w:tc>
        <w:tc>
          <w:tcPr>
            <w:tcW w:type="dxa" w:w="2808"/>
            <w:shd w:val="clear" w:color="auto" w:fill="F6F1E6"/>
          </w:tcPr>
          <w:p>
            <w:pPr>
              <w:spacing w:after="20"/>
              <w:jc w:val="right"/>
            </w:pPr>
            <w:r>
              <w:rPr>
                <w:b/>
                <w:color w:val="1C3A36"/>
                <w:sz w:val="17"/>
              </w:rPr>
              <w:t>6.26</w:t>
            </w:r>
          </w:p>
        </w:tc>
      </w:tr>
    </w:tbl>
    <w:p>
      <w:pPr>
        <w:spacing w:after="40"/>
      </w:pPr>
    </w:p>
    <w:p>
      <w:pPr>
        <w:spacing w:after="200" w:before="0"/>
      </w:pPr>
      <w:r>
        <w:rPr>
          <w:b w:val="0"/>
          <w:i/>
          <w:color w:val="6E7B77"/>
          <w:sz w:val="17"/>
        </w:rPr>
        <w:t>Table 5.  Net debt is larger than the enterprise value the cash flows support in the carried-through column. That is why the equity value there is negative, and it is stated rather than clipped to zero.</w:t>
      </w:r>
    </w:p>
    <w:p>
      <w:pPr>
        <w:spacing w:after="40"/>
        <w:jc w:val="center"/>
      </w:pPr>
      <w:r>
        <w:drawing>
          <wp:inline xmlns:a="http://schemas.openxmlformats.org/drawingml/2006/main" xmlns:pic="http://schemas.openxmlformats.org/drawingml/2006/picture">
            <wp:extent cx="6309360" cy="2704011"/>
            <wp:docPr id="3" name="Picture 3"/>
            <wp:cNvGraphicFramePr>
              <a:graphicFrameLocks noChangeAspect="1"/>
            </wp:cNvGraphicFramePr>
            <a:graphic>
              <a:graphicData uri="http://schemas.openxmlformats.org/drawingml/2006/picture">
                <pic:pic>
                  <pic:nvPicPr>
                    <pic:cNvPr id="0" name="fig2_bridge.png"/>
                    <pic:cNvPicPr/>
                  </pic:nvPicPr>
                  <pic:blipFill>
                    <a:blip r:embed="rId11"/>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3.  The bridge, carried-through case.</w:t>
      </w:r>
    </w:p>
    <w:p>
      <w:pPr>
        <w:keepNext/>
        <w:spacing w:after="80" w:before="200"/>
      </w:pPr>
      <w:r>
        <w:rPr>
          <w:b/>
          <w:i w:val="0"/>
          <w:color w:val="1C3A36"/>
          <w:sz w:val="24"/>
        </w:rPr>
        <w:t>Why the answer is so far below the price, and what would change it</w:t>
      </w:r>
    </w:p>
    <w:p>
      <w:pPr>
        <w:spacing w:after="120" w:before="0"/>
      </w:pPr>
      <w:r>
        <w:rPr>
          <w:b w:val="0"/>
          <w:i w:val="0"/>
          <w:color w:val="1C3A36"/>
          <w:sz w:val="21"/>
        </w:rPr>
        <w:t>The same bridge in pounds a share makes the mechanism plain, and it is not the capital programme.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Carried-through case, per share</w:t>
            </w:r>
          </w:p>
        </w:tc>
        <w:tc>
          <w:tcPr>
            <w:tcW w:type="dxa" w:w="3600"/>
            <w:shd w:val="clear" w:color="auto" w:fill="EAF0EE"/>
          </w:tcPr>
          <w:p>
            <w:pPr>
              <w:spacing w:after="20"/>
            </w:pPr>
            <w:r>
              <w:rPr>
                <w:b/>
                <w:color w:val="1C3A36"/>
                <w:sz w:val="17"/>
              </w:rPr>
              <w:t>EGP</w:t>
            </w:r>
          </w:p>
        </w:tc>
      </w:tr>
      <w:tr>
        <w:trPr>
          <w:cantSplit/>
        </w:trPr>
        <w:tc>
          <w:tcPr>
            <w:tcW w:type="dxa" w:w="6336"/>
          </w:tcPr>
          <w:p>
            <w:pPr>
              <w:spacing w:after="20"/>
            </w:pPr>
            <w:r>
              <w:rPr>
                <w:color w:val="1C3A36"/>
                <w:sz w:val="17"/>
              </w:rPr>
              <w:t>Enterprise value the cash flows support</w:t>
            </w:r>
          </w:p>
        </w:tc>
        <w:tc>
          <w:tcPr>
            <w:tcW w:type="dxa" w:w="3600"/>
          </w:tcPr>
          <w:p>
            <w:pPr>
              <w:spacing w:after="20"/>
              <w:jc w:val="right"/>
            </w:pPr>
            <w:r>
              <w:rPr>
                <w:color w:val="1C3A36"/>
                <w:sz w:val="17"/>
              </w:rPr>
              <w:t>5.58</w:t>
            </w:r>
          </w:p>
        </w:tc>
      </w:tr>
      <w:tr>
        <w:trPr>
          <w:cantSplit/>
        </w:trPr>
        <w:tc>
          <w:tcPr>
            <w:tcW w:type="dxa" w:w="6336"/>
          </w:tcPr>
          <w:p>
            <w:pPr>
              <w:spacing w:after="20"/>
            </w:pPr>
            <w:r>
              <w:rPr>
                <w:color w:val="1C3A36"/>
                <w:sz w:val="17"/>
              </w:rPr>
              <w:t>Less net debt</w:t>
            </w:r>
          </w:p>
        </w:tc>
        <w:tc>
          <w:tcPr>
            <w:tcW w:type="dxa" w:w="3600"/>
          </w:tcPr>
          <w:p>
            <w:pPr>
              <w:spacing w:after="20"/>
              <w:jc w:val="right"/>
            </w:pPr>
            <w:r>
              <w:rPr>
                <w:color w:val="1C3A36"/>
                <w:sz w:val="17"/>
              </w:rPr>
              <w:t>-5.05</w:t>
            </w:r>
          </w:p>
        </w:tc>
      </w:tr>
      <w:tr>
        <w:trPr>
          <w:cantSplit/>
        </w:trPr>
        <w:tc>
          <w:tcPr>
            <w:tcW w:type="dxa" w:w="6336"/>
          </w:tcPr>
          <w:p>
            <w:pPr>
              <w:spacing w:after="20"/>
            </w:pPr>
            <w:r>
              <w:rPr>
                <w:color w:val="1C3A36"/>
                <w:sz w:val="17"/>
              </w:rPr>
              <w:t>Plus listed stakes and investment property</w:t>
            </w:r>
          </w:p>
        </w:tc>
        <w:tc>
          <w:tcPr>
            <w:tcW w:type="dxa" w:w="3600"/>
          </w:tcPr>
          <w:p>
            <w:pPr>
              <w:spacing w:after="20"/>
              <w:jc w:val="right"/>
            </w:pPr>
            <w:r>
              <w:rPr>
                <w:color w:val="1C3A36"/>
                <w:sz w:val="17"/>
              </w:rPr>
              <w:t>1.78</w:t>
            </w:r>
          </w:p>
        </w:tc>
      </w:tr>
      <w:tr>
        <w:trPr>
          <w:cantSplit/>
        </w:trPr>
        <w:tc>
          <w:tcPr>
            <w:tcW w:type="dxa" w:w="6336"/>
            <w:shd w:val="clear" w:color="auto" w:fill="F6F1E6"/>
          </w:tcPr>
          <w:p>
            <w:pPr>
              <w:spacing w:after="20"/>
            </w:pPr>
            <w:r>
              <w:rPr>
                <w:b/>
                <w:color w:val="1C3A36"/>
                <w:sz w:val="17"/>
              </w:rPr>
              <w:t>EQUITY</w:t>
            </w:r>
          </w:p>
        </w:tc>
        <w:tc>
          <w:tcPr>
            <w:tcW w:type="dxa" w:w="3600"/>
            <w:shd w:val="clear" w:color="auto" w:fill="F6F1E6"/>
          </w:tcPr>
          <w:p>
            <w:pPr>
              <w:spacing w:after="20"/>
              <w:jc w:val="right"/>
            </w:pPr>
            <w:r>
              <w:rPr>
                <w:b/>
                <w:color w:val="1C3A36"/>
                <w:sz w:val="17"/>
              </w:rPr>
              <w:t>2.31</w:t>
            </w:r>
          </w:p>
        </w:tc>
      </w:tr>
      <w:tr>
        <w:trPr>
          <w:cantSplit/>
        </w:trPr>
        <w:tc>
          <w:tcPr>
            <w:tcW w:type="dxa" w:w="6336"/>
            <w:shd w:val="clear" w:color="auto" w:fill="F6F1E6"/>
          </w:tcPr>
          <w:p>
            <w:pPr>
              <w:spacing w:after="20"/>
            </w:pPr>
            <w:r>
              <w:rPr>
                <w:b/>
                <w:color w:val="1C3A36"/>
                <w:sz w:val="17"/>
              </w:rPr>
              <w:t>Traded price</w:t>
            </w:r>
          </w:p>
        </w:tc>
        <w:tc>
          <w:tcPr>
            <w:tcW w:type="dxa" w:w="3600"/>
            <w:shd w:val="clear" w:color="auto" w:fill="F6F1E6"/>
          </w:tcPr>
          <w:p>
            <w:pPr>
              <w:spacing w:after="20"/>
              <w:jc w:val="right"/>
            </w:pPr>
            <w:r>
              <w:rPr>
                <w:b/>
                <w:color w:val="1C3A36"/>
                <w:sz w:val="17"/>
              </w:rPr>
              <w:t>14.41</w:t>
            </w:r>
          </w:p>
        </w:tc>
      </w:tr>
    </w:tbl>
    <w:p>
      <w:pPr>
        <w:spacing w:after="40"/>
      </w:pPr>
    </w:p>
    <w:p>
      <w:pPr>
        <w:spacing w:after="200" w:before="0"/>
      </w:pPr>
      <w:r>
        <w:rPr>
          <w:b w:val="0"/>
          <w:i/>
          <w:color w:val="6E7B77"/>
          <w:sz w:val="17"/>
        </w:rPr>
        <w:t>Table 6.  The operating business is carried at EGP 5.58 a share against net debt of EGP 5.05 — more than the debt standing against it. Free cash flow is positive in 5 of the five forecast years. The equity is the thin residual between two large numbers, which is why the answer moves so violently on any change to either.</w:t>
      </w:r>
    </w:p>
    <w:p>
      <w:pPr>
        <w:spacing w:after="120" w:before="0"/>
      </w:pPr>
      <w:r>
        <w:rPr>
          <w:b w:val="0"/>
          <w:i w:val="0"/>
          <w:color w:val="1C3A36"/>
          <w:sz w:val="21"/>
        </w:rPr>
        <w:t>So the question is not whether the plant earns. It is whether EGP 11,085 million is the right enterprise value for a business generating around EGP 4,812 million of operating profit before depreciation, and that is entirely a question about the rate at which Egyptian pounds are capitalised. Holding every operating assumption exactly as built and moving only the discount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592"/>
        <w:gridCol w:w="5184"/>
      </w:tblGrid>
      <w:tr>
        <w:trPr>
          <w:cantSplit/>
          <w:tblHeader/>
        </w:trPr>
        <w:tc>
          <w:tcPr>
            <w:tcW w:type="dxa" w:w="2160"/>
            <w:shd w:val="clear" w:color="auto" w:fill="EAF0EE"/>
          </w:tcPr>
          <w:p>
            <w:pPr>
              <w:spacing w:after="20"/>
            </w:pPr>
            <w:r>
              <w:rPr>
                <w:b/>
                <w:color w:val="1C3A36"/>
                <w:sz w:val="17"/>
              </w:rPr>
              <w:t>A flat cost of capital of</w:t>
            </w:r>
          </w:p>
        </w:tc>
        <w:tc>
          <w:tcPr>
            <w:tcW w:type="dxa" w:w="2592"/>
            <w:shd w:val="clear" w:color="auto" w:fill="EAF0EE"/>
          </w:tcPr>
          <w:p>
            <w:pPr>
              <w:spacing w:after="20"/>
            </w:pPr>
            <w:r>
              <w:rPr>
                <w:b/>
                <w:color w:val="1C3A36"/>
                <w:sz w:val="17"/>
              </w:rPr>
              <w:t>Value per share (EGP)</w:t>
            </w:r>
          </w:p>
        </w:tc>
        <w:tc>
          <w:tcPr>
            <w:tcW w:type="dxa" w:w="5184"/>
            <w:shd w:val="clear" w:color="auto" w:fill="EAF0EE"/>
          </w:tcPr>
          <w:p>
            <w:pPr>
              <w:spacing w:after="20"/>
            </w:pPr>
            <w:r>
              <w:rPr>
                <w:b/>
                <w:color w:val="1C3A36"/>
                <w:sz w:val="17"/>
              </w:rPr>
              <w:t>What it would mean</w:t>
            </w:r>
          </w:p>
        </w:tc>
      </w:tr>
      <w:tr>
        <w:trPr>
          <w:cantSplit/>
        </w:trPr>
        <w:tc>
          <w:tcPr>
            <w:tcW w:type="dxa" w:w="2160"/>
          </w:tcPr>
          <w:p>
            <w:pPr>
              <w:spacing w:after="20"/>
            </w:pPr>
            <w:r>
              <w:rPr>
                <w:color w:val="1C3A36"/>
                <w:sz w:val="17"/>
              </w:rPr>
              <w:t>25.0%</w:t>
            </w:r>
          </w:p>
        </w:tc>
        <w:tc>
          <w:tcPr>
            <w:tcW w:type="dxa" w:w="2592"/>
          </w:tcPr>
          <w:p>
            <w:pPr>
              <w:spacing w:after="20"/>
              <w:jc w:val="right"/>
            </w:pPr>
            <w:r>
              <w:rPr>
                <w:color w:val="1C3A36"/>
                <w:sz w:val="17"/>
              </w:rPr>
              <w:t>0.75</w:t>
            </w:r>
          </w:p>
        </w:tc>
        <w:tc>
          <w:tcPr>
            <w:tcW w:type="dxa" w:w="5184"/>
          </w:tcPr>
          <w:p>
            <w:pPr>
              <w:spacing w:after="20"/>
            </w:pPr>
            <w:r>
              <w:rPr>
                <w:color w:val="1C3A36"/>
                <w:sz w:val="17"/>
              </w:rPr>
              <w:t>roughly the rate this study builds from the sovereign's own yield</w:t>
            </w:r>
          </w:p>
        </w:tc>
      </w:tr>
      <w:tr>
        <w:trPr>
          <w:cantSplit/>
        </w:trPr>
        <w:tc>
          <w:tcPr>
            <w:tcW w:type="dxa" w:w="2160"/>
          </w:tcPr>
          <w:p>
            <w:pPr>
              <w:spacing w:after="20"/>
            </w:pPr>
            <w:r>
              <w:rPr>
                <w:color w:val="1C3A36"/>
                <w:sz w:val="17"/>
              </w:rPr>
              <w:t>20.0%</w:t>
            </w:r>
          </w:p>
        </w:tc>
        <w:tc>
          <w:tcPr>
            <w:tcW w:type="dxa" w:w="2592"/>
          </w:tcPr>
          <w:p>
            <w:pPr>
              <w:spacing w:after="20"/>
              <w:jc w:val="right"/>
            </w:pPr>
            <w:r>
              <w:rPr>
                <w:color w:val="1C3A36"/>
                <w:sz w:val="17"/>
              </w:rPr>
              <w:t>2.45</w:t>
            </w:r>
          </w:p>
        </w:tc>
        <w:tc>
          <w:tcPr>
            <w:tcW w:type="dxa" w:w="5184"/>
          </w:tcPr>
          <w:p>
            <w:pPr>
              <w:spacing w:after="20"/>
            </w:pPr>
            <w:r>
              <w:rPr>
                <w:color w:val="1C3A36"/>
                <w:sz w:val="17"/>
              </w:rPr>
              <w:t>below the sovereign's ten-year yield of 23.0%</w:t>
            </w:r>
          </w:p>
        </w:tc>
      </w:tr>
      <w:tr>
        <w:trPr>
          <w:cantSplit/>
        </w:trPr>
        <w:tc>
          <w:tcPr>
            <w:tcW w:type="dxa" w:w="2160"/>
            <w:shd w:val="clear" w:color="auto" w:fill="F6F1E6"/>
          </w:tcPr>
          <w:p>
            <w:pPr>
              <w:spacing w:after="20"/>
            </w:pPr>
            <w:r>
              <w:rPr>
                <w:b/>
                <w:color w:val="1C3A36"/>
                <w:sz w:val="17"/>
              </w:rPr>
              <w:t>18.0%</w:t>
            </w:r>
          </w:p>
        </w:tc>
        <w:tc>
          <w:tcPr>
            <w:tcW w:type="dxa" w:w="2592"/>
            <w:shd w:val="clear" w:color="auto" w:fill="F6F1E6"/>
          </w:tcPr>
          <w:p>
            <w:pPr>
              <w:spacing w:after="20"/>
              <w:jc w:val="right"/>
            </w:pPr>
            <w:r>
              <w:rPr>
                <w:b/>
                <w:color w:val="1C3A36"/>
                <w:sz w:val="17"/>
              </w:rPr>
              <w:t>3.58</w:t>
            </w:r>
          </w:p>
        </w:tc>
        <w:tc>
          <w:tcPr>
            <w:tcW w:type="dxa" w:w="5184"/>
            <w:shd w:val="clear" w:color="auto" w:fill="F6F1E6"/>
          </w:tcPr>
          <w:p>
            <w:pPr>
              <w:spacing w:after="20"/>
            </w:pPr>
            <w:r>
              <w:rPr>
                <w:b/>
                <w:color w:val="1C3A36"/>
                <w:sz w:val="17"/>
              </w:rPr>
            </w:r>
          </w:p>
        </w:tc>
      </w:tr>
      <w:tr>
        <w:trPr>
          <w:cantSplit/>
        </w:trPr>
        <w:tc>
          <w:tcPr>
            <w:tcW w:type="dxa" w:w="2160"/>
          </w:tcPr>
          <w:p>
            <w:pPr>
              <w:spacing w:after="20"/>
            </w:pPr>
            <w:r>
              <w:rPr>
                <w:color w:val="1C3A36"/>
                <w:sz w:val="17"/>
              </w:rPr>
              <w:t>16.0%</w:t>
            </w:r>
          </w:p>
        </w:tc>
        <w:tc>
          <w:tcPr>
            <w:tcW w:type="dxa" w:w="2592"/>
          </w:tcPr>
          <w:p>
            <w:pPr>
              <w:spacing w:after="20"/>
              <w:jc w:val="right"/>
            </w:pPr>
            <w:r>
              <w:rPr>
                <w:color w:val="1C3A36"/>
                <w:sz w:val="17"/>
              </w:rPr>
              <w:t>5.23</w:t>
            </w:r>
          </w:p>
        </w:tc>
        <w:tc>
          <w:tcPr>
            <w:tcW w:type="dxa" w:w="5184"/>
          </w:tcPr>
          <w:p>
            <w:pPr>
              <w:spacing w:after="20"/>
            </w:pPr>
            <w:r>
              <w:rPr>
                <w:color w:val="1C3A36"/>
                <w:sz w:val="17"/>
              </w:rPr>
            </w:r>
          </w:p>
        </w:tc>
      </w:tr>
      <w:tr>
        <w:trPr>
          <w:cantSplit/>
        </w:trPr>
        <w:tc>
          <w:tcPr>
            <w:tcW w:type="dxa" w:w="2160"/>
          </w:tcPr>
          <w:p>
            <w:pPr>
              <w:spacing w:after="20"/>
            </w:pPr>
            <w:r>
              <w:rPr>
                <w:color w:val="1C3A36"/>
                <w:sz w:val="17"/>
              </w:rPr>
              <w:t>14.0%</w:t>
            </w:r>
          </w:p>
        </w:tc>
        <w:tc>
          <w:tcPr>
            <w:tcW w:type="dxa" w:w="2592"/>
          </w:tcPr>
          <w:p>
            <w:pPr>
              <w:spacing w:after="20"/>
              <w:jc w:val="right"/>
            </w:pPr>
            <w:r>
              <w:rPr>
                <w:color w:val="1C3A36"/>
                <w:sz w:val="17"/>
              </w:rPr>
              <w:t>7.84</w:t>
            </w:r>
          </w:p>
        </w:tc>
        <w:tc>
          <w:tcPr>
            <w:tcW w:type="dxa" w:w="5184"/>
          </w:tcPr>
          <w:p>
            <w:pPr>
              <w:spacing w:after="20"/>
            </w:pPr>
            <w:r>
              <w:rPr>
                <w:color w:val="1C3A36"/>
                <w:sz w:val="17"/>
              </w:rPr>
            </w:r>
          </w:p>
        </w:tc>
      </w:tr>
      <w:tr>
        <w:trPr>
          <w:cantSplit/>
        </w:trPr>
        <w:tc>
          <w:tcPr>
            <w:tcW w:type="dxa" w:w="2160"/>
          </w:tcPr>
          <w:p>
            <w:pPr>
              <w:spacing w:after="20"/>
            </w:pPr>
            <w:r>
              <w:rPr>
                <w:color w:val="1C3A36"/>
                <w:sz w:val="17"/>
              </w:rPr>
              <w:t>12.0%</w:t>
            </w:r>
          </w:p>
        </w:tc>
        <w:tc>
          <w:tcPr>
            <w:tcW w:type="dxa" w:w="2592"/>
          </w:tcPr>
          <w:p>
            <w:pPr>
              <w:spacing w:after="20"/>
              <w:jc w:val="right"/>
            </w:pPr>
            <w:r>
              <w:rPr>
                <w:color w:val="1C3A36"/>
                <w:sz w:val="17"/>
              </w:rPr>
              <w:t>12.57</w:t>
            </w:r>
          </w:p>
        </w:tc>
        <w:tc>
          <w:tcPr>
            <w:tcW w:type="dxa" w:w="5184"/>
          </w:tcPr>
          <w:p>
            <w:pPr>
              <w:spacing w:after="20"/>
            </w:pPr>
            <w:r>
              <w:rPr>
                <w:color w:val="1C3A36"/>
                <w:sz w:val="17"/>
              </w:rPr>
            </w:r>
          </w:p>
        </w:tc>
      </w:tr>
      <w:tr>
        <w:trPr>
          <w:cantSplit/>
        </w:trPr>
        <w:tc>
          <w:tcPr>
            <w:tcW w:type="dxa" w:w="2160"/>
            <w:shd w:val="clear" w:color="auto" w:fill="F6F1E6"/>
          </w:tcPr>
          <w:p>
            <w:pPr>
              <w:spacing w:after="20"/>
            </w:pPr>
            <w:r>
              <w:rPr>
                <w:b/>
                <w:color w:val="1C3A36"/>
                <w:sz w:val="17"/>
              </w:rPr>
              <w:t>11.5%</w:t>
            </w:r>
          </w:p>
        </w:tc>
        <w:tc>
          <w:tcPr>
            <w:tcW w:type="dxa" w:w="2592"/>
            <w:shd w:val="clear" w:color="auto" w:fill="F6F1E6"/>
          </w:tcPr>
          <w:p>
            <w:pPr>
              <w:spacing w:after="20"/>
              <w:jc w:val="right"/>
            </w:pPr>
            <w:r>
              <w:rPr>
                <w:b/>
                <w:color w:val="1C3A36"/>
                <w:sz w:val="17"/>
              </w:rPr>
              <w:t>14.41</w:t>
            </w:r>
          </w:p>
        </w:tc>
        <w:tc>
          <w:tcPr>
            <w:tcW w:type="dxa" w:w="5184"/>
            <w:shd w:val="clear" w:color="auto" w:fill="F6F1E6"/>
          </w:tcPr>
          <w:p>
            <w:pPr>
              <w:spacing w:after="20"/>
            </w:pPr>
            <w:r>
              <w:rPr>
                <w:b/>
                <w:color w:val="1C3A36"/>
                <w:sz w:val="17"/>
              </w:rPr>
              <w:t>the rate the traded price itself implies</w:t>
            </w:r>
          </w:p>
        </w:tc>
      </w:tr>
    </w:tbl>
    <w:p>
      <w:pPr>
        <w:spacing w:after="40"/>
      </w:pPr>
    </w:p>
    <w:p>
      <w:pPr>
        <w:spacing w:after="200" w:before="0"/>
      </w:pPr>
      <w:r>
        <w:rPr>
          <w:b w:val="0"/>
          <w:i/>
          <w:color w:val="6E7B77"/>
          <w:sz w:val="17"/>
        </w:rPr>
        <w:t>Table 7.  Every row is a full re-run. The sign of the answer turns at about eighteen per cent — five points below what Egypt's own government pays to borrow for ten years. Reaching the traded price needs about 11.5%, which is 11.5% below the sovereign. That, and not the capital programme, is the disagreement between this study and the market.</w:t>
      </w:r>
    </w:p>
    <w:p>
      <w:pPr>
        <w:keepNext/>
        <w:spacing w:after="80" w:before="200"/>
      </w:pPr>
      <w:r>
        <w:rPr>
          <w:b/>
          <w:i w:val="0"/>
          <w:color w:val="1C3A36"/>
          <w:sz w:val="24"/>
        </w:rPr>
        <w:t>1.2  Book value and sustainable return — the asset lens</w:t>
      </w:r>
    </w:p>
    <w:p>
      <w:pPr>
        <w:spacing w:after="120" w:before="0"/>
      </w:pPr>
      <w:r>
        <w:rPr>
          <w:b w:val="0"/>
          <w:i w:val="0"/>
          <w:color w:val="1C3A36"/>
          <w:sz w:val="21"/>
        </w:rPr>
        <w:t>Book equity stood at EGP 16,206 million at 31 March 2026, or EGP 8.16 a share. What that book is worth depends on what it earns. On underlying profit — the FY2023/24 result stripped of its one-off revaluation gain — the return on opening equity was 6.9% and then 6.8%, a sustainable 6.9%.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Value</w:t>
            </w:r>
          </w:p>
        </w:tc>
      </w:tr>
      <w:tr>
        <w:trPr>
          <w:cantSplit/>
        </w:trPr>
        <w:tc>
          <w:tcPr>
            <w:tcW w:type="dxa" w:w="6336"/>
          </w:tcPr>
          <w:p>
            <w:pPr>
              <w:spacing w:after="20"/>
            </w:pPr>
            <w:r>
              <w:rPr>
                <w:color w:val="1C3A36"/>
                <w:sz w:val="17"/>
              </w:rPr>
              <w:t>Book equity, 31 March 2026 (EGP m)</w:t>
            </w:r>
          </w:p>
        </w:tc>
        <w:tc>
          <w:tcPr>
            <w:tcW w:type="dxa" w:w="3600"/>
          </w:tcPr>
          <w:p>
            <w:pPr>
              <w:spacing w:after="20"/>
              <w:jc w:val="right"/>
            </w:pPr>
            <w:r>
              <w:rPr>
                <w:color w:val="1C3A36"/>
                <w:sz w:val="17"/>
              </w:rPr>
              <w:t>16,206</w:t>
            </w:r>
          </w:p>
        </w:tc>
      </w:tr>
      <w:tr>
        <w:trPr>
          <w:cantSplit/>
        </w:trPr>
        <w:tc>
          <w:tcPr>
            <w:tcW w:type="dxa" w:w="6336"/>
          </w:tcPr>
          <w:p>
            <w:pPr>
              <w:spacing w:after="20"/>
            </w:pPr>
            <w:r>
              <w:rPr>
                <w:color w:val="1C3A36"/>
                <w:sz w:val="17"/>
              </w:rPr>
              <w:t>Book value per share (EGP)</w:t>
            </w:r>
          </w:p>
        </w:tc>
        <w:tc>
          <w:tcPr>
            <w:tcW w:type="dxa" w:w="3600"/>
          </w:tcPr>
          <w:p>
            <w:pPr>
              <w:spacing w:after="20"/>
              <w:jc w:val="right"/>
            </w:pPr>
            <w:r>
              <w:rPr>
                <w:color w:val="1C3A36"/>
                <w:sz w:val="17"/>
              </w:rPr>
              <w:t>8.16</w:t>
            </w:r>
          </w:p>
        </w:tc>
      </w:tr>
      <w:tr>
        <w:trPr>
          <w:cantSplit/>
        </w:trPr>
        <w:tc>
          <w:tcPr>
            <w:tcW w:type="dxa" w:w="6336"/>
          </w:tcPr>
          <w:p>
            <w:pPr>
              <w:spacing w:after="20"/>
            </w:pPr>
            <w:r>
              <w:rPr>
                <w:color w:val="1C3A36"/>
                <w:sz w:val="17"/>
              </w:rPr>
              <w:t>Underlying profit FY2023/24 (EGP m)</w:t>
            </w:r>
          </w:p>
        </w:tc>
        <w:tc>
          <w:tcPr>
            <w:tcW w:type="dxa" w:w="3600"/>
          </w:tcPr>
          <w:p>
            <w:pPr>
              <w:spacing w:after="20"/>
              <w:jc w:val="right"/>
            </w:pPr>
            <w:r>
              <w:rPr>
                <w:color w:val="1C3A36"/>
                <w:sz w:val="17"/>
              </w:rPr>
              <w:t>503</w:t>
            </w:r>
          </w:p>
        </w:tc>
      </w:tr>
      <w:tr>
        <w:trPr>
          <w:cantSplit/>
        </w:trPr>
        <w:tc>
          <w:tcPr>
            <w:tcW w:type="dxa" w:w="6336"/>
          </w:tcPr>
          <w:p>
            <w:pPr>
              <w:spacing w:after="20"/>
            </w:pPr>
            <w:r>
              <w:rPr>
                <w:color w:val="1C3A36"/>
                <w:sz w:val="17"/>
              </w:rPr>
              <w:t>Underlying profit FY2024/25 (EGP m)</w:t>
            </w:r>
          </w:p>
        </w:tc>
        <w:tc>
          <w:tcPr>
            <w:tcW w:type="dxa" w:w="3600"/>
          </w:tcPr>
          <w:p>
            <w:pPr>
              <w:spacing w:after="20"/>
              <w:jc w:val="right"/>
            </w:pPr>
            <w:r>
              <w:rPr>
                <w:color w:val="1C3A36"/>
                <w:sz w:val="17"/>
              </w:rPr>
              <w:t>987</w:t>
            </w:r>
          </w:p>
        </w:tc>
      </w:tr>
      <w:tr>
        <w:trPr>
          <w:cantSplit/>
        </w:trPr>
        <w:tc>
          <w:tcPr>
            <w:tcW w:type="dxa" w:w="6336"/>
          </w:tcPr>
          <w:p>
            <w:pPr>
              <w:spacing w:after="20"/>
            </w:pPr>
            <w:r>
              <w:rPr>
                <w:color w:val="1C3A36"/>
                <w:sz w:val="17"/>
              </w:rPr>
              <w:t>Return on equity FY2023/24</w:t>
            </w:r>
          </w:p>
        </w:tc>
        <w:tc>
          <w:tcPr>
            <w:tcW w:type="dxa" w:w="3600"/>
          </w:tcPr>
          <w:p>
            <w:pPr>
              <w:spacing w:after="20"/>
              <w:jc w:val="right"/>
            </w:pPr>
            <w:r>
              <w:rPr>
                <w:color w:val="1C3A36"/>
                <w:sz w:val="17"/>
              </w:rPr>
              <w:t>6.9%</w:t>
            </w:r>
          </w:p>
        </w:tc>
      </w:tr>
      <w:tr>
        <w:trPr>
          <w:cantSplit/>
        </w:trPr>
        <w:tc>
          <w:tcPr>
            <w:tcW w:type="dxa" w:w="6336"/>
          </w:tcPr>
          <w:p>
            <w:pPr>
              <w:spacing w:after="20"/>
            </w:pPr>
            <w:r>
              <w:rPr>
                <w:color w:val="1C3A36"/>
                <w:sz w:val="17"/>
              </w:rPr>
              <w:t>Return on equity FY2024/25</w:t>
            </w:r>
          </w:p>
        </w:tc>
        <w:tc>
          <w:tcPr>
            <w:tcW w:type="dxa" w:w="3600"/>
          </w:tcPr>
          <w:p>
            <w:pPr>
              <w:spacing w:after="20"/>
              <w:jc w:val="right"/>
            </w:pPr>
            <w:r>
              <w:rPr>
                <w:color w:val="1C3A36"/>
                <w:sz w:val="17"/>
              </w:rPr>
              <w:t>6.8%</w:t>
            </w:r>
          </w:p>
        </w:tc>
      </w:tr>
      <w:tr>
        <w:trPr>
          <w:cantSplit/>
        </w:trPr>
        <w:tc>
          <w:tcPr>
            <w:tcW w:type="dxa" w:w="6336"/>
            <w:shd w:val="clear" w:color="auto" w:fill="F6F1E6"/>
          </w:tcPr>
          <w:p>
            <w:pPr>
              <w:spacing w:after="20"/>
            </w:pPr>
            <w:r>
              <w:rPr>
                <w:b/>
                <w:color w:val="1C3A36"/>
                <w:sz w:val="17"/>
              </w:rPr>
              <w:t>Sustainable return on equity</w:t>
            </w:r>
          </w:p>
        </w:tc>
        <w:tc>
          <w:tcPr>
            <w:tcW w:type="dxa" w:w="3600"/>
            <w:shd w:val="clear" w:color="auto" w:fill="F6F1E6"/>
          </w:tcPr>
          <w:p>
            <w:pPr>
              <w:spacing w:after="20"/>
              <w:jc w:val="right"/>
            </w:pPr>
            <w:r>
              <w:rPr>
                <w:b/>
                <w:color w:val="1C3A36"/>
                <w:sz w:val="17"/>
              </w:rPr>
              <w:t>6.9%</w:t>
            </w:r>
          </w:p>
        </w:tc>
      </w:tr>
      <w:tr>
        <w:trPr>
          <w:cantSplit/>
        </w:trPr>
        <w:tc>
          <w:tcPr>
            <w:tcW w:type="dxa" w:w="6336"/>
          </w:tcPr>
          <w:p>
            <w:pPr>
              <w:spacing w:after="20"/>
            </w:pPr>
            <w:r>
              <w:rPr>
                <w:color w:val="1C3A36"/>
                <w:sz w:val="17"/>
              </w:rPr>
              <w:t>Cost of equity</w:t>
            </w:r>
          </w:p>
        </w:tc>
        <w:tc>
          <w:tcPr>
            <w:tcW w:type="dxa" w:w="3600"/>
          </w:tcPr>
          <w:p>
            <w:pPr>
              <w:spacing w:after="20"/>
              <w:jc w:val="right"/>
            </w:pPr>
            <w:r>
              <w:rPr>
                <w:color w:val="1C3A36"/>
                <w:sz w:val="17"/>
              </w:rPr>
              <w:t>29.28%</w:t>
            </w:r>
          </w:p>
        </w:tc>
      </w:tr>
      <w:tr>
        <w:trPr>
          <w:cantSplit/>
        </w:trPr>
        <w:tc>
          <w:tcPr>
            <w:tcW w:type="dxa" w:w="6336"/>
          </w:tcPr>
          <w:p>
            <w:pPr>
              <w:spacing w:after="20"/>
            </w:pPr>
            <w:r>
              <w:rPr>
                <w:color w:val="1C3A36"/>
                <w:sz w:val="17"/>
              </w:rPr>
              <w:t>Terminal growth</w:t>
            </w:r>
          </w:p>
        </w:tc>
        <w:tc>
          <w:tcPr>
            <w:tcW w:type="dxa" w:w="3600"/>
          </w:tcPr>
          <w:p>
            <w:pPr>
              <w:spacing w:after="20"/>
              <w:jc w:val="right"/>
            </w:pPr>
            <w:r>
              <w:rPr>
                <w:color w:val="1C3A36"/>
                <w:sz w:val="17"/>
              </w:rPr>
              <w:t>7.0%</w:t>
            </w:r>
          </w:p>
        </w:tc>
      </w:tr>
      <w:tr>
        <w:trPr>
          <w:cantSplit/>
        </w:trPr>
        <w:tc>
          <w:tcPr>
            <w:tcW w:type="dxa" w:w="6336"/>
          </w:tcPr>
          <w:p>
            <w:pPr>
              <w:spacing w:after="20"/>
            </w:pPr>
            <w:r>
              <w:rPr>
                <w:color w:val="1C3A36"/>
                <w:sz w:val="17"/>
              </w:rPr>
              <w:t>Justified price-to-book before flooring</w:t>
            </w:r>
          </w:p>
        </w:tc>
        <w:tc>
          <w:tcPr>
            <w:tcW w:type="dxa" w:w="3600"/>
          </w:tcPr>
          <w:p>
            <w:pPr>
              <w:spacing w:after="20"/>
              <w:jc w:val="right"/>
            </w:pPr>
            <w:r>
              <w:rPr>
                <w:color w:val="1C3A36"/>
                <w:sz w:val="17"/>
              </w:rPr>
              <w:t>-0.006x</w:t>
            </w:r>
          </w:p>
        </w:tc>
      </w:tr>
      <w:tr>
        <w:trPr>
          <w:cantSplit/>
        </w:trPr>
        <w:tc>
          <w:tcPr>
            <w:tcW w:type="dxa" w:w="6336"/>
          </w:tcPr>
          <w:p>
            <w:pPr>
              <w:spacing w:after="20"/>
            </w:pPr>
            <w:r>
              <w:rPr>
                <w:color w:val="1C3A36"/>
                <w:sz w:val="17"/>
              </w:rPr>
              <w:t>Justified price-to-book</w:t>
            </w:r>
          </w:p>
        </w:tc>
        <w:tc>
          <w:tcPr>
            <w:tcW w:type="dxa" w:w="3600"/>
          </w:tcPr>
          <w:p>
            <w:pPr>
              <w:spacing w:after="20"/>
              <w:jc w:val="right"/>
            </w:pPr>
            <w:r>
              <w:rPr>
                <w:color w:val="1C3A36"/>
                <w:sz w:val="17"/>
              </w:rPr>
              <w:t>0.00x</w:t>
            </w:r>
          </w:p>
        </w:tc>
      </w:tr>
      <w:tr>
        <w:trPr>
          <w:cantSplit/>
        </w:trPr>
        <w:tc>
          <w:tcPr>
            <w:tcW w:type="dxa" w:w="6336"/>
            <w:shd w:val="clear" w:color="auto" w:fill="F6F1E6"/>
          </w:tcPr>
          <w:p>
            <w:pPr>
              <w:spacing w:after="20"/>
            </w:pPr>
            <w:r>
              <w:rPr>
                <w:b/>
                <w:color w:val="1C3A36"/>
                <w:sz w:val="17"/>
              </w:rPr>
              <w:t>Value per share on this lens (EGP)</w:t>
            </w:r>
          </w:p>
        </w:tc>
        <w:tc>
          <w:tcPr>
            <w:tcW w:type="dxa" w:w="3600"/>
            <w:shd w:val="clear" w:color="auto" w:fill="F6F1E6"/>
          </w:tcPr>
          <w:p>
            <w:pPr>
              <w:spacing w:after="20"/>
              <w:jc w:val="right"/>
            </w:pPr>
            <w:r>
              <w:rPr>
                <w:b/>
                <w:color w:val="1C3A36"/>
                <w:sz w:val="17"/>
              </w:rPr>
              <w:t>0.00</w:t>
            </w:r>
          </w:p>
        </w:tc>
      </w:tr>
      <w:tr>
        <w:trPr>
          <w:cantSplit/>
        </w:trPr>
        <w:tc>
          <w:tcPr>
            <w:tcW w:type="dxa" w:w="6336"/>
          </w:tcPr>
          <w:p>
            <w:pPr>
              <w:spacing w:after="20"/>
            </w:pPr>
            <w:r>
              <w:rPr>
                <w:color w:val="1C3A36"/>
                <w:sz w:val="17"/>
              </w:rPr>
              <w:t>Price-to-book the market pays</w:t>
            </w:r>
          </w:p>
        </w:tc>
        <w:tc>
          <w:tcPr>
            <w:tcW w:type="dxa" w:w="3600"/>
          </w:tcPr>
          <w:p>
            <w:pPr>
              <w:spacing w:after="20"/>
              <w:jc w:val="right"/>
            </w:pPr>
            <w:r>
              <w:rPr>
                <w:color w:val="1C3A36"/>
                <w:sz w:val="17"/>
              </w:rPr>
              <w:t>1.77x</w:t>
            </w:r>
          </w:p>
        </w:tc>
      </w:tr>
    </w:tbl>
    <w:p>
      <w:pPr>
        <w:spacing w:after="40"/>
      </w:pPr>
    </w:p>
    <w:p>
      <w:pPr>
        <w:spacing w:after="200" w:before="0"/>
      </w:pPr>
      <w:r>
        <w:rPr>
          <w:b w:val="0"/>
          <w:i/>
          <w:color w:val="6E7B77"/>
          <w:sz w:val="17"/>
        </w:rPr>
        <w:t>Table 8.  The justified multiple of book is negative before flooring: a sustainable return of 6.9% does not cover nominal maintenance growth of 7.0%, let alone a 29.28% cost of equity, so on this lens the book is worth nothing beyond what the assets would fetch, and the market pays 1.77 times it.</w:t>
      </w:r>
    </w:p>
    <w:p>
      <w:pPr>
        <w:keepNext/>
        <w:spacing w:after="80" w:before="200"/>
      </w:pPr>
      <w:r>
        <w:rPr>
          <w:b/>
          <w:i w:val="0"/>
          <w:color w:val="1C3A36"/>
          <w:sz w:val="24"/>
        </w:rPr>
        <w:t>1.3  Relative multiples</w:t>
      </w:r>
    </w:p>
    <w:p>
      <w:pPr>
        <w:spacing w:after="120" w:before="0"/>
      </w:pPr>
      <w:r>
        <w:rPr>
          <w:b w:val="0"/>
          <w:i w:val="0"/>
          <w:color w:val="1C3A36"/>
          <w:sz w:val="21"/>
        </w:rPr>
        <w:t>Egyptian industrial businesses have generally changed hands between 6.0 and 9.9 times operating profit before depreciation. On forward EBITDA of EGP 4,812 million the mid-point implies an enterprise value of EGP 38,255 million and, after the debt and the non-operating stack, EGP 15.99 a share — a range of EGP 11.26 to EGP 20.71 across the band.</w:t>
      </w:r>
    </w:p>
    <w:p>
      <w:pPr>
        <w:spacing w:after="120" w:before="0"/>
      </w:pPr>
      <w:r>
        <w:rPr>
          <w:b/>
          <w:i w:val="0"/>
          <w:color w:val="1C3A36"/>
          <w:sz w:val="21"/>
        </w:rPr>
        <w:t>The two numbers worth putting side by side are these: at the traded price the shares change hands at 8.0 times that same forward EBITDA, while the cash-flow lens values them at 2.3 times. One is above the Egyptian industrial band and the other below it. That is the whole disagreement in a single number, and it is reported rather than resolved.</w:t>
      </w:r>
    </w:p>
    <w:p>
      <w:pPr>
        <w:spacing w:after="120" w:before="0"/>
      </w:pPr>
      <w:r>
        <w:rPr>
          <w:b w:val="0"/>
          <w:i w:val="0"/>
          <w:color w:val="1C3A36"/>
          <w:sz w:val="21"/>
        </w:rPr>
        <w:t>This lens gives the highest of the four answers, and the reason matters. A multiple of forward operating profit never asks what the capital programme does to cash: it values the plant as though the money being spent on the new complex were not being spent. That is precisely the question the cash-flow lens exists to answer, which is why this one is a cross-check rather than the primary read.</w:t>
      </w:r>
    </w:p>
    <w:p>
      <w:pPr>
        <w:keepNext/>
        <w:spacing w:after="80" w:before="200"/>
      </w:pPr>
      <w:r>
        <w:rPr>
          <w:b/>
          <w:i w:val="0"/>
          <w:color w:val="1C3A36"/>
          <w:sz w:val="24"/>
        </w:rPr>
        <w:t>1.4  Normalised earnings power</w:t>
      </w:r>
    </w:p>
    <w:p>
      <w:pPr>
        <w:spacing w:after="120" w:before="0"/>
      </w:pPr>
      <w:r>
        <w:rPr>
          <w:b w:val="0"/>
          <w:i w:val="0"/>
          <w:color w:val="1C3A36"/>
          <w:sz w:val="21"/>
        </w:rPr>
        <w:t>Strip out the construction, the translation noise and the price cycle. Take urea output at the three-year average of audited production, 540,542 tonnes, and a mid-cycle export price of US$400 a tonne — above the 2015-2020 average of roughly US$250 and well below the US$545 at which the contract settled in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EGP million</w:t>
            </w:r>
          </w:p>
        </w:tc>
      </w:tr>
      <w:tr>
        <w:trPr>
          <w:cantSplit/>
        </w:trPr>
        <w:tc>
          <w:tcPr>
            <w:tcW w:type="dxa" w:w="6336"/>
          </w:tcPr>
          <w:p>
            <w:pPr>
              <w:spacing w:after="20"/>
            </w:pPr>
            <w:r>
              <w:rPr>
                <w:color w:val="1C3A36"/>
                <w:sz w:val="17"/>
              </w:rPr>
              <w:t>Mid-cycle revenue</w:t>
            </w:r>
          </w:p>
        </w:tc>
        <w:tc>
          <w:tcPr>
            <w:tcW w:type="dxa" w:w="3600"/>
          </w:tcPr>
          <w:p>
            <w:pPr>
              <w:spacing w:after="20"/>
              <w:jc w:val="right"/>
            </w:pPr>
            <w:r>
              <w:rPr>
                <w:color w:val="1C3A36"/>
                <w:sz w:val="17"/>
              </w:rPr>
              <w:t>9,657</w:t>
            </w:r>
          </w:p>
        </w:tc>
      </w:tr>
      <w:tr>
        <w:trPr>
          <w:cantSplit/>
        </w:trPr>
        <w:tc>
          <w:tcPr>
            <w:tcW w:type="dxa" w:w="6336"/>
          </w:tcPr>
          <w:p>
            <w:pPr>
              <w:spacing w:after="20"/>
            </w:pPr>
            <w:r>
              <w:rPr>
                <w:color w:val="1C3A36"/>
                <w:sz w:val="17"/>
              </w:rPr>
              <w:t>Natural gas</w:t>
            </w:r>
          </w:p>
        </w:tc>
        <w:tc>
          <w:tcPr>
            <w:tcW w:type="dxa" w:w="3600"/>
          </w:tcPr>
          <w:p>
            <w:pPr>
              <w:spacing w:after="20"/>
              <w:jc w:val="right"/>
            </w:pPr>
            <w:r>
              <w:rPr>
                <w:color w:val="1C3A36"/>
                <w:sz w:val="17"/>
              </w:rPr>
              <w:t>-3,998</w:t>
            </w:r>
          </w:p>
        </w:tc>
      </w:tr>
      <w:tr>
        <w:trPr>
          <w:cantSplit/>
        </w:trPr>
        <w:tc>
          <w:tcPr>
            <w:tcW w:type="dxa" w:w="6336"/>
          </w:tcPr>
          <w:p>
            <w:pPr>
              <w:spacing w:after="20"/>
            </w:pPr>
            <w:r>
              <w:rPr>
                <w:color w:val="1C3A36"/>
                <w:sz w:val="17"/>
              </w:rPr>
              <w:t>Other materials</w:t>
            </w:r>
          </w:p>
        </w:tc>
        <w:tc>
          <w:tcPr>
            <w:tcW w:type="dxa" w:w="3600"/>
          </w:tcPr>
          <w:p>
            <w:pPr>
              <w:spacing w:after="20"/>
              <w:jc w:val="right"/>
            </w:pPr>
            <w:r>
              <w:rPr>
                <w:color w:val="1C3A36"/>
                <w:sz w:val="17"/>
              </w:rPr>
              <w:t>-1,276</w:t>
            </w:r>
          </w:p>
        </w:tc>
      </w:tr>
      <w:tr>
        <w:trPr>
          <w:cantSplit/>
        </w:trPr>
        <w:tc>
          <w:tcPr>
            <w:tcW w:type="dxa" w:w="6336"/>
          </w:tcPr>
          <w:p>
            <w:pPr>
              <w:spacing w:after="20"/>
            </w:pPr>
            <w:r>
              <w:rPr>
                <w:color w:val="1C3A36"/>
                <w:sz w:val="17"/>
              </w:rPr>
              <w:t>Wages and purchased services</w:t>
            </w:r>
          </w:p>
        </w:tc>
        <w:tc>
          <w:tcPr>
            <w:tcW w:type="dxa" w:w="3600"/>
          </w:tcPr>
          <w:p>
            <w:pPr>
              <w:spacing w:after="20"/>
              <w:jc w:val="right"/>
            </w:pPr>
            <w:r>
              <w:rPr>
                <w:color w:val="1C3A36"/>
                <w:sz w:val="17"/>
              </w:rPr>
              <w:t>-303</w:t>
            </w:r>
          </w:p>
        </w:tc>
      </w:tr>
      <w:tr>
        <w:trPr>
          <w:cantSplit/>
        </w:trPr>
        <w:tc>
          <w:tcPr>
            <w:tcW w:type="dxa" w:w="6336"/>
          </w:tcPr>
          <w:p>
            <w:pPr>
              <w:spacing w:after="20"/>
            </w:pPr>
            <w:r>
              <w:rPr>
                <w:color w:val="1C3A36"/>
                <w:sz w:val="17"/>
              </w:rPr>
              <w:t>Inland freight</w:t>
            </w:r>
          </w:p>
        </w:tc>
        <w:tc>
          <w:tcPr>
            <w:tcW w:type="dxa" w:w="3600"/>
          </w:tcPr>
          <w:p>
            <w:pPr>
              <w:spacing w:after="20"/>
              <w:jc w:val="right"/>
            </w:pPr>
            <w:r>
              <w:rPr>
                <w:color w:val="1C3A36"/>
                <w:sz w:val="17"/>
              </w:rPr>
              <w:t>-662</w:t>
            </w:r>
          </w:p>
        </w:tc>
      </w:tr>
      <w:tr>
        <w:trPr>
          <w:cantSplit/>
        </w:trPr>
        <w:tc>
          <w:tcPr>
            <w:tcW w:type="dxa" w:w="6336"/>
          </w:tcPr>
          <w:p>
            <w:pPr>
              <w:spacing w:after="20"/>
            </w:pPr>
            <w:r>
              <w:rPr>
                <w:color w:val="1C3A36"/>
                <w:sz w:val="17"/>
              </w:rPr>
              <w:t>Other selling and administration</w:t>
            </w:r>
          </w:p>
        </w:tc>
        <w:tc>
          <w:tcPr>
            <w:tcW w:type="dxa" w:w="3600"/>
          </w:tcPr>
          <w:p>
            <w:pPr>
              <w:spacing w:after="20"/>
              <w:jc w:val="right"/>
            </w:pPr>
            <w:r>
              <w:rPr>
                <w:color w:val="1C3A36"/>
                <w:sz w:val="17"/>
              </w:rPr>
              <w:t>-590</w:t>
            </w:r>
          </w:p>
        </w:tc>
      </w:tr>
      <w:tr>
        <w:trPr>
          <w:cantSplit/>
        </w:trPr>
        <w:tc>
          <w:tcPr>
            <w:tcW w:type="dxa" w:w="6336"/>
            <w:shd w:val="clear" w:color="auto" w:fill="F6F1E6"/>
          </w:tcPr>
          <w:p>
            <w:pPr>
              <w:spacing w:after="20"/>
            </w:pPr>
            <w:r>
              <w:rPr>
                <w:b/>
                <w:color w:val="1C3A36"/>
                <w:sz w:val="17"/>
              </w:rPr>
              <w:t>MID-CYCLE EBITDA</w:t>
            </w:r>
          </w:p>
        </w:tc>
        <w:tc>
          <w:tcPr>
            <w:tcW w:type="dxa" w:w="3600"/>
            <w:shd w:val="clear" w:color="auto" w:fill="F6F1E6"/>
          </w:tcPr>
          <w:p>
            <w:pPr>
              <w:spacing w:after="20"/>
              <w:jc w:val="right"/>
            </w:pPr>
            <w:r>
              <w:rPr>
                <w:b/>
                <w:color w:val="1C3A36"/>
                <w:sz w:val="17"/>
              </w:rPr>
              <w:t>2,828</w:t>
            </w:r>
          </w:p>
        </w:tc>
      </w:tr>
      <w:tr>
        <w:trPr>
          <w:cantSplit/>
        </w:trPr>
        <w:tc>
          <w:tcPr>
            <w:tcW w:type="dxa" w:w="6336"/>
          </w:tcPr>
          <w:p>
            <w:pPr>
              <w:spacing w:after="20"/>
            </w:pPr>
            <w:r>
              <w:rPr>
                <w:color w:val="1C3A36"/>
                <w:sz w:val="17"/>
              </w:rPr>
              <w:t>Depreciation and amortisation</w:t>
            </w:r>
          </w:p>
        </w:tc>
        <w:tc>
          <w:tcPr>
            <w:tcW w:type="dxa" w:w="3600"/>
          </w:tcPr>
          <w:p>
            <w:pPr>
              <w:spacing w:after="20"/>
              <w:jc w:val="right"/>
            </w:pPr>
            <w:r>
              <w:rPr>
                <w:color w:val="1C3A36"/>
                <w:sz w:val="17"/>
              </w:rPr>
              <w:t>-891</w:t>
            </w:r>
          </w:p>
        </w:tc>
      </w:tr>
      <w:tr>
        <w:trPr>
          <w:cantSplit/>
        </w:trPr>
        <w:tc>
          <w:tcPr>
            <w:tcW w:type="dxa" w:w="6336"/>
            <w:shd w:val="clear" w:color="auto" w:fill="F6F1E6"/>
          </w:tcPr>
          <w:p>
            <w:pPr>
              <w:spacing w:after="20"/>
            </w:pPr>
            <w:r>
              <w:rPr>
                <w:b/>
                <w:color w:val="1C3A36"/>
                <w:sz w:val="17"/>
              </w:rPr>
              <w:t>MID-CYCLE OPERATING PROFIT AFTER TAX</w:t>
            </w:r>
          </w:p>
        </w:tc>
        <w:tc>
          <w:tcPr>
            <w:tcW w:type="dxa" w:w="3600"/>
            <w:shd w:val="clear" w:color="auto" w:fill="F6F1E6"/>
          </w:tcPr>
          <w:p>
            <w:pPr>
              <w:spacing w:after="20"/>
              <w:jc w:val="right"/>
            </w:pPr>
            <w:r>
              <w:rPr>
                <w:b/>
                <w:color w:val="1C3A36"/>
                <w:sz w:val="17"/>
              </w:rPr>
              <w:t>1,502</w:t>
            </w:r>
          </w:p>
        </w:tc>
      </w:tr>
      <w:tr>
        <w:trPr>
          <w:cantSplit/>
        </w:trPr>
        <w:tc>
          <w:tcPr>
            <w:tcW w:type="dxa" w:w="6336"/>
          </w:tcPr>
          <w:p>
            <w:pPr>
              <w:spacing w:after="20"/>
            </w:pPr>
            <w:r>
              <w:rPr>
                <w:color w:val="1C3A36"/>
                <w:sz w:val="17"/>
              </w:rPr>
              <w:t>At ten times — enterprise value</w:t>
            </w:r>
          </w:p>
        </w:tc>
        <w:tc>
          <w:tcPr>
            <w:tcW w:type="dxa" w:w="3600"/>
          </w:tcPr>
          <w:p>
            <w:pPr>
              <w:spacing w:after="20"/>
              <w:jc w:val="right"/>
            </w:pPr>
            <w:r>
              <w:rPr>
                <w:color w:val="1C3A36"/>
                <w:sz w:val="17"/>
              </w:rPr>
              <w:t>15,016</w:t>
            </w:r>
          </w:p>
        </w:tc>
      </w:tr>
      <w:tr>
        <w:trPr>
          <w:cantSplit/>
        </w:trPr>
        <w:tc>
          <w:tcPr>
            <w:tcW w:type="dxa" w:w="6336"/>
            <w:shd w:val="clear" w:color="auto" w:fill="F6F1E6"/>
          </w:tcPr>
          <w:p>
            <w:pPr>
              <w:spacing w:after="20"/>
            </w:pPr>
            <w:r>
              <w:rPr>
                <w:b/>
                <w:color w:val="1C3A36"/>
                <w:sz w:val="17"/>
              </w:rPr>
              <w:t>Value per share at ten times (EGP)</w:t>
            </w:r>
          </w:p>
        </w:tc>
        <w:tc>
          <w:tcPr>
            <w:tcW w:type="dxa" w:w="3600"/>
            <w:shd w:val="clear" w:color="auto" w:fill="F6F1E6"/>
          </w:tcPr>
          <w:p>
            <w:pPr>
              <w:spacing w:after="20"/>
              <w:jc w:val="right"/>
            </w:pPr>
            <w:r>
              <w:rPr>
                <w:b/>
                <w:color w:val="1C3A36"/>
                <w:sz w:val="17"/>
              </w:rPr>
              <w:t>4.29</w:t>
            </w:r>
          </w:p>
        </w:tc>
      </w:tr>
      <w:tr>
        <w:trPr>
          <w:cantSplit/>
        </w:trPr>
        <w:tc>
          <w:tcPr>
            <w:tcW w:type="dxa" w:w="6336"/>
          </w:tcPr>
          <w:p>
            <w:pPr>
              <w:spacing w:after="20"/>
            </w:pPr>
            <w:r>
              <w:rPr>
                <w:color w:val="1C3A36"/>
                <w:sz w:val="17"/>
              </w:rPr>
              <w:t>At eight times (EGP)</w:t>
            </w:r>
          </w:p>
        </w:tc>
        <w:tc>
          <w:tcPr>
            <w:tcW w:type="dxa" w:w="3600"/>
          </w:tcPr>
          <w:p>
            <w:pPr>
              <w:spacing w:after="20"/>
              <w:jc w:val="right"/>
            </w:pPr>
            <w:r>
              <w:rPr>
                <w:color w:val="1C3A36"/>
                <w:sz w:val="17"/>
              </w:rPr>
              <w:t>2.78</w:t>
            </w:r>
          </w:p>
        </w:tc>
      </w:tr>
      <w:tr>
        <w:trPr>
          <w:cantSplit/>
        </w:trPr>
        <w:tc>
          <w:tcPr>
            <w:tcW w:type="dxa" w:w="6336"/>
          </w:tcPr>
          <w:p>
            <w:pPr>
              <w:spacing w:after="20"/>
            </w:pPr>
            <w:r>
              <w:rPr>
                <w:color w:val="1C3A36"/>
                <w:sz w:val="17"/>
              </w:rPr>
              <w:t>At twelve times (EGP)</w:t>
            </w:r>
          </w:p>
        </w:tc>
        <w:tc>
          <w:tcPr>
            <w:tcW w:type="dxa" w:w="3600"/>
          </w:tcPr>
          <w:p>
            <w:pPr>
              <w:spacing w:after="20"/>
              <w:jc w:val="right"/>
            </w:pPr>
            <w:r>
              <w:rPr>
                <w:color w:val="1C3A36"/>
                <w:sz w:val="17"/>
              </w:rPr>
              <w:t>5.80</w:t>
            </w:r>
          </w:p>
        </w:tc>
      </w:tr>
    </w:tbl>
    <w:p>
      <w:pPr>
        <w:spacing w:after="40"/>
      </w:pPr>
    </w:p>
    <w:p>
      <w:pPr>
        <w:spacing w:after="200" w:before="0"/>
      </w:pPr>
      <w:r>
        <w:rPr>
          <w:b w:val="0"/>
          <w:i/>
          <w:color w:val="6E7B77"/>
          <w:sz w:val="17"/>
        </w:rPr>
        <w:t>Table 9.  A mature single-asset industrial in a high-inflation economy does not deserve more than ten times, and the band either side is shown.</w:t>
      </w:r>
    </w:p>
    <w:p>
      <w:pPr>
        <w:keepNext/>
        <w:spacing w:after="80" w:before="200"/>
      </w:pPr>
      <w:r>
        <w:rPr>
          <w:b/>
          <w:i w:val="0"/>
          <w:color w:val="1C3A36"/>
          <w:sz w:val="24"/>
        </w:rPr>
        <w:t>1.5  Synthesis — four lenses, one field</w:t>
      </w:r>
    </w:p>
    <w:p>
      <w:pPr>
        <w:spacing w:after="120" w:before="0"/>
      </w:pPr>
      <w:r>
        <w:rPr>
          <w:b w:val="0"/>
          <w:i w:val="0"/>
          <w:color w:val="1C3A36"/>
          <w:sz w:val="21"/>
        </w:rPr>
        <w:t>The field runs from EGP 2.31 to EGP 15.99 a share. It is a wide field, and the width is honest: the lenses disagree because they ask different questions of a company whose asset base is changing underneath its earnings. One of them now reaches the traded price: on the observable Egyptian listed range the multiple lens centres at EGP 15.99 against EGP 14.41. That is a change from the first issue of this study, which used a lower multiple band it could not source, and it is reported rather than resisted.</w:t>
      </w:r>
    </w:p>
    <w:p>
      <w:pPr>
        <w:spacing w:after="120" w:before="0"/>
      </w:pPr>
      <w:r>
        <w:rPr>
          <w:b w:val="0"/>
          <w:i w:val="0"/>
          <w:color w:val="1C3A36"/>
          <w:sz w:val="21"/>
        </w:rPr>
        <w:t>The answer is the cash-flow lens alone: EGP 2.31 a share with the capital programme carried through, 84% below the traded price, and EGP 6.26 if the programme is stopped. It is the answer because it is the one lens that charges the capital programme against the years in which it is spent, which on this company is the whole question. The relative, normalised and book reads are CROSS-CHECKS published beside it — book value in particular prices what has been paid for rather than what it earns, and is a disclosed floor rather than a valuation. A previous edition blended all four at stated weights and published the result as the central; the weights were typed, had never cleared any out-of-sample test, and imported every weakness of the weakest read at whatever weight somebody chose. A number produced by averaging several methods is not more robust than the best of them — it is a new method with free parameters nobody tested. The blend is retired and published unused so a reader of the previous edition can see what changed. The bear and full readings are the floor and ceiling of every read, never a weighted extreme.</w:t>
      </w:r>
    </w:p>
    <w:p>
      <w:pPr>
        <w:spacing w:after="120" w:before="0"/>
      </w:pPr>
      <w:r>
        <w:rPr>
          <w:b w:val="0"/>
          <w:i w:val="0"/>
          <w:color w:val="1C3A36"/>
          <w:sz w:val="21"/>
        </w:rPr>
        <w:t>The ordering is itself informative. The asset-backed and multiple-based lenses sit highest because they value what has been built without asking what it earns. The cash-flow lens sits lowest because it asks exactly that, and gets an uncomfortable answer. The book value itself is EGP 8.16 a share as filed, and it is published as a FLOOR rather than a valuation; the justified multiple OF that book is zero, because a 6.9% sustainable return on equity barely clears nominal growth and does not approach a 29.28% cost of equity — a company earning below its cost of capital destroys value by growing, which is the same finding the capital programme produces from a different direction.</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1_range.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The same cash-flow model run in four states of the world. The spread between the top and the bottom bar is what the capital programme is worth, in either direction.</w:t>
      </w:r>
    </w:p>
    <w:p>
      <w:pPr>
        <w:keepNext/>
        <w:spacing w:after="80" w:before="200"/>
      </w:pPr>
      <w:r>
        <w:rPr>
          <w:b/>
          <w:i w:val="0"/>
          <w:color w:val="1C3A36"/>
          <w:sz w:val="24"/>
        </w:rPr>
        <w:t>1.6  The drivers — each leg grown on its own driver, margins as outputs</w:t>
      </w:r>
    </w:p>
    <w:p>
      <w:pPr>
        <w:spacing w:after="120" w:before="0"/>
      </w:pPr>
      <w:r>
        <w:rPr>
          <w:b w:val="0"/>
          <w:i w:val="0"/>
          <w:color w:val="1C3A36"/>
          <w:sz w:val="21"/>
        </w:rPr>
        <w:t>The company reports one operating segment, so the build goes below it to the product and the channel, which is the finest level the statements source. Nothing in the model sets a margin: every margin falls out of tonnes, prices and physical consumption.</w:t>
      </w:r>
    </w:p>
    <w:p>
      <w:pPr>
        <w:keepNext/>
        <w:spacing w:after="80" w:before="200"/>
      </w:pPr>
      <w:r>
        <w:rPr>
          <w:b/>
          <w:i w:val="0"/>
          <w:color w:val="1C3A36"/>
          <w:sz w:val="24"/>
        </w:rPr>
        <w:t>The channels,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325"/>
        <w:gridCol w:w="1325"/>
        <w:gridCol w:w="1325"/>
        <w:gridCol w:w="3312"/>
      </w:tblGrid>
      <w:tr>
        <w:trPr>
          <w:cantSplit/>
          <w:tblHeader/>
        </w:trPr>
        <w:tc>
          <w:tcPr>
            <w:tcW w:type="dxa" w:w="2664"/>
            <w:shd w:val="clear" w:color="auto" w:fill="EAF0EE"/>
          </w:tcPr>
          <w:p>
            <w:pPr>
              <w:spacing w:after="20"/>
            </w:pPr>
            <w:r>
              <w:rPr>
                <w:b/>
                <w:color w:val="1C3A36"/>
                <w:sz w:val="16"/>
              </w:rPr>
              <w:t>Channel</w:t>
            </w:r>
          </w:p>
        </w:tc>
        <w:tc>
          <w:tcPr>
            <w:tcW w:type="dxa" w:w="1325"/>
            <w:shd w:val="clear" w:color="auto" w:fill="EAF0EE"/>
          </w:tcPr>
          <w:p>
            <w:pPr>
              <w:spacing w:after="20"/>
            </w:pPr>
            <w:r>
              <w:rPr>
                <w:b/>
                <w:color w:val="1C3A36"/>
                <w:sz w:val="16"/>
              </w:rPr>
              <w:t>FY2022/23</w:t>
            </w:r>
          </w:p>
        </w:tc>
        <w:tc>
          <w:tcPr>
            <w:tcW w:type="dxa" w:w="1325"/>
            <w:shd w:val="clear" w:color="auto" w:fill="EAF0EE"/>
          </w:tcPr>
          <w:p>
            <w:pPr>
              <w:spacing w:after="20"/>
            </w:pPr>
            <w:r>
              <w:rPr>
                <w:b/>
                <w:color w:val="1C3A36"/>
                <w:sz w:val="16"/>
              </w:rPr>
              <w:t>FY2023/24</w:t>
            </w:r>
          </w:p>
        </w:tc>
        <w:tc>
          <w:tcPr>
            <w:tcW w:type="dxa" w:w="1325"/>
            <w:shd w:val="clear" w:color="auto" w:fill="EAF0EE"/>
          </w:tcPr>
          <w:p>
            <w:pPr>
              <w:spacing w:after="20"/>
            </w:pPr>
            <w:r>
              <w:rPr>
                <w:b/>
                <w:color w:val="1C3A36"/>
                <w:sz w:val="16"/>
              </w:rPr>
              <w:t>FY2024/25</w:t>
            </w:r>
          </w:p>
        </w:tc>
        <w:tc>
          <w:tcPr>
            <w:tcW w:type="dxa" w:w="3312"/>
            <w:shd w:val="clear" w:color="auto" w:fill="EAF0EE"/>
          </w:tcPr>
          <w:p>
            <w:pPr>
              <w:spacing w:after="20"/>
            </w:pPr>
            <w:r>
              <w:rPr>
                <w:b/>
                <w:color w:val="1C3A36"/>
                <w:sz w:val="16"/>
              </w:rPr>
              <w:t>What sets it</w:t>
            </w:r>
          </w:p>
        </w:tc>
      </w:tr>
      <w:tr>
        <w:trPr>
          <w:cantSplit/>
        </w:trPr>
        <w:tc>
          <w:tcPr>
            <w:tcW w:type="dxa" w:w="2664"/>
          </w:tcPr>
          <w:p>
            <w:pPr>
              <w:spacing w:after="20"/>
            </w:pPr>
            <w:r>
              <w:rPr>
                <w:color w:val="1C3A36"/>
                <w:sz w:val="16"/>
              </w:rPr>
              <w:t>Urea produced (tonnes)</w:t>
            </w:r>
          </w:p>
        </w:tc>
        <w:tc>
          <w:tcPr>
            <w:tcW w:type="dxa" w:w="1325"/>
          </w:tcPr>
          <w:p>
            <w:pPr>
              <w:spacing w:after="20"/>
              <w:jc w:val="right"/>
            </w:pPr>
            <w:r>
              <w:rPr>
                <w:color w:val="1C3A36"/>
                <w:sz w:val="16"/>
              </w:rPr>
              <w:t>586,373</w:t>
            </w:r>
          </w:p>
        </w:tc>
        <w:tc>
          <w:tcPr>
            <w:tcW w:type="dxa" w:w="1325"/>
          </w:tcPr>
          <w:p>
            <w:pPr>
              <w:spacing w:after="20"/>
              <w:jc w:val="right"/>
            </w:pPr>
            <w:r>
              <w:rPr>
                <w:color w:val="1C3A36"/>
                <w:sz w:val="16"/>
              </w:rPr>
              <w:t>521,868</w:t>
            </w:r>
          </w:p>
        </w:tc>
        <w:tc>
          <w:tcPr>
            <w:tcW w:type="dxa" w:w="1325"/>
          </w:tcPr>
          <w:p>
            <w:pPr>
              <w:spacing w:after="20"/>
              <w:jc w:val="right"/>
            </w:pPr>
            <w:r>
              <w:rPr>
                <w:color w:val="1C3A36"/>
                <w:sz w:val="16"/>
              </w:rPr>
              <w:t>513,385</w:t>
            </w:r>
          </w:p>
        </w:tc>
        <w:tc>
          <w:tcPr>
            <w:tcW w:type="dxa" w:w="3312"/>
          </w:tcPr>
          <w:p>
            <w:pPr>
              <w:spacing w:after="20"/>
            </w:pPr>
            <w:r>
              <w:rPr>
                <w:color w:val="1C3A36"/>
                <w:sz w:val="16"/>
              </w:rPr>
              <w:t>Gas availability against a 574,875-tonne design plate</w:t>
            </w:r>
          </w:p>
        </w:tc>
      </w:tr>
      <w:tr>
        <w:trPr>
          <w:cantSplit/>
        </w:trPr>
        <w:tc>
          <w:tcPr>
            <w:tcW w:type="dxa" w:w="2664"/>
          </w:tcPr>
          <w:p>
            <w:pPr>
              <w:spacing w:after="20"/>
            </w:pPr>
            <w:r>
              <w:rPr>
                <w:color w:val="1C3A36"/>
                <w:sz w:val="16"/>
              </w:rPr>
              <w:t>Export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350,318</w:t>
            </w:r>
          </w:p>
        </w:tc>
        <w:tc>
          <w:tcPr>
            <w:tcW w:type="dxa" w:w="3312"/>
          </w:tcPr>
          <w:p>
            <w:pPr>
              <w:spacing w:after="20"/>
            </w:pPr>
            <w:r>
              <w:rPr>
                <w:color w:val="1C3A36"/>
                <w:sz w:val="16"/>
              </w:rPr>
              <w:t>Output less the subsidised and free-market legs</w:t>
            </w:r>
          </w:p>
        </w:tc>
      </w:tr>
      <w:tr>
        <w:trPr>
          <w:cantSplit/>
        </w:trPr>
        <w:tc>
          <w:tcPr>
            <w:tcW w:type="dxa" w:w="2664"/>
          </w:tcPr>
          <w:p>
            <w:pPr>
              <w:spacing w:after="20"/>
            </w:pPr>
            <w:r>
              <w:rPr>
                <w:color w:val="1C3A36"/>
                <w:sz w:val="16"/>
              </w:rPr>
              <w:t>Subsidised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126,000</w:t>
            </w:r>
          </w:p>
        </w:tc>
        <w:tc>
          <w:tcPr>
            <w:tcW w:type="dxa" w:w="3312"/>
          </w:tcPr>
          <w:p>
            <w:pPr>
              <w:spacing w:after="20"/>
            </w:pPr>
            <w:r>
              <w:rPr>
                <w:color w:val="1C3A36"/>
                <w:sz w:val="16"/>
              </w:rPr>
              <w:t>An administered quota the company has been unable to meet in full</w:t>
            </w:r>
          </w:p>
        </w:tc>
      </w:tr>
      <w:tr>
        <w:trPr>
          <w:cantSplit/>
        </w:trPr>
        <w:tc>
          <w:tcPr>
            <w:tcW w:type="dxa" w:w="2664"/>
          </w:tcPr>
          <w:p>
            <w:pPr>
              <w:spacing w:after="20"/>
            </w:pPr>
            <w:r>
              <w:rPr>
                <w:color w:val="1C3A36"/>
                <w:sz w:val="16"/>
              </w:rPr>
              <w:t>Free-market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37,085</w:t>
            </w:r>
          </w:p>
        </w:tc>
        <w:tc>
          <w:tcPr>
            <w:tcW w:type="dxa" w:w="3312"/>
          </w:tcPr>
          <w:p>
            <w:pPr>
              <w:spacing w:after="20"/>
            </w:pPr>
            <w:r>
              <w:rPr>
                <w:color w:val="1C3A36"/>
                <w:sz w:val="16"/>
              </w:rPr>
              <w:t>The residual of the local revenue note</w:t>
            </w:r>
          </w:p>
        </w:tc>
      </w:tr>
      <w:tr>
        <w:trPr>
          <w:cantSplit/>
        </w:trPr>
        <w:tc>
          <w:tcPr>
            <w:tcW w:type="dxa" w:w="2664"/>
          </w:tcPr>
          <w:p>
            <w:pPr>
              <w:spacing w:after="20"/>
            </w:pPr>
            <w:r>
              <w:rPr>
                <w:color w:val="1C3A36"/>
                <w:sz w:val="16"/>
              </w:rPr>
              <w:t>Realised export price (US$/t)</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385</w:t>
            </w:r>
          </w:p>
        </w:tc>
        <w:tc>
          <w:tcPr>
            <w:tcW w:type="dxa" w:w="3312"/>
          </w:tcPr>
          <w:p>
            <w:pPr>
              <w:spacing w:after="20"/>
            </w:pPr>
            <w:r>
              <w:rPr>
                <w:color w:val="1C3A36"/>
                <w:sz w:val="16"/>
              </w:rPr>
              <w:t>The auditor's own disclosed average</w:t>
            </w:r>
          </w:p>
        </w:tc>
      </w:tr>
      <w:tr>
        <w:trPr>
          <w:cantSplit/>
        </w:trPr>
        <w:tc>
          <w:tcPr>
            <w:tcW w:type="dxa" w:w="2664"/>
            <w:shd w:val="clear" w:color="auto" w:fill="F6F1E6"/>
          </w:tcPr>
          <w:p>
            <w:pPr>
              <w:spacing w:after="20"/>
            </w:pPr>
            <w:r>
              <w:rPr>
                <w:b/>
                <w:color w:val="1C3A36"/>
                <w:sz w:val="16"/>
              </w:rPr>
              <w:t>Revenue (EGP m)</w:t>
            </w:r>
          </w:p>
        </w:tc>
        <w:tc>
          <w:tcPr>
            <w:tcW w:type="dxa" w:w="1325"/>
            <w:shd w:val="clear" w:color="auto" w:fill="F6F1E6"/>
          </w:tcPr>
          <w:p>
            <w:pPr>
              <w:spacing w:after="20"/>
              <w:jc w:val="right"/>
            </w:pPr>
            <w:r>
              <w:rPr>
                <w:b/>
                <w:color w:val="1C3A36"/>
                <w:sz w:val="16"/>
              </w:rPr>
              <w:t>6,612</w:t>
            </w:r>
          </w:p>
        </w:tc>
        <w:tc>
          <w:tcPr>
            <w:tcW w:type="dxa" w:w="1325"/>
            <w:shd w:val="clear" w:color="auto" w:fill="F6F1E6"/>
          </w:tcPr>
          <w:p>
            <w:pPr>
              <w:spacing w:after="20"/>
              <w:jc w:val="right"/>
            </w:pPr>
            <w:r>
              <w:rPr>
                <w:b/>
                <w:color w:val="1C3A36"/>
                <w:sz w:val="16"/>
              </w:rPr>
              <w:t>6,532</w:t>
            </w:r>
          </w:p>
        </w:tc>
        <w:tc>
          <w:tcPr>
            <w:tcW w:type="dxa" w:w="1325"/>
            <w:shd w:val="clear" w:color="auto" w:fill="F6F1E6"/>
          </w:tcPr>
          <w:p>
            <w:pPr>
              <w:spacing w:after="20"/>
              <w:jc w:val="right"/>
            </w:pPr>
            <w:r>
              <w:rPr>
                <w:b/>
                <w:color w:val="1C3A36"/>
                <w:sz w:val="16"/>
              </w:rPr>
              <w:t>8,603</w:t>
            </w:r>
          </w:p>
        </w:tc>
        <w:tc>
          <w:tcPr>
            <w:tcW w:type="dxa" w:w="3312"/>
            <w:shd w:val="clear" w:color="auto" w:fill="F6F1E6"/>
          </w:tcPr>
          <w:p>
            <w:pPr>
              <w:spacing w:after="20"/>
            </w:pPr>
            <w:r>
              <w:rPr>
                <w:b/>
                <w:color w:val="1C3A36"/>
                <w:sz w:val="16"/>
              </w:rPr>
              <w:t>Tonnes times price, in five legs</w:t>
            </w:r>
          </w:p>
        </w:tc>
      </w:tr>
      <w:tr>
        <w:trPr>
          <w:cantSplit/>
        </w:trPr>
        <w:tc>
          <w:tcPr>
            <w:tcW w:type="dxa" w:w="2664"/>
            <w:shd w:val="clear" w:color="auto" w:fill="F6F1E6"/>
          </w:tcPr>
          <w:p>
            <w:pPr>
              <w:spacing w:after="20"/>
            </w:pPr>
            <w:r>
              <w:rPr>
                <w:b/>
                <w:color w:val="1C3A36"/>
                <w:sz w:val="16"/>
              </w:rPr>
              <w:t>Gross margin</w:t>
            </w:r>
          </w:p>
        </w:tc>
        <w:tc>
          <w:tcPr>
            <w:tcW w:type="dxa" w:w="1325"/>
            <w:shd w:val="clear" w:color="auto" w:fill="F6F1E6"/>
          </w:tcPr>
          <w:p>
            <w:pPr>
              <w:spacing w:after="20"/>
              <w:jc w:val="right"/>
            </w:pPr>
            <w:r>
              <w:rPr>
                <w:b/>
                <w:color w:val="1C3A36"/>
                <w:sz w:val="16"/>
              </w:rPr>
              <w:t>45.9%</w:t>
            </w:r>
          </w:p>
        </w:tc>
        <w:tc>
          <w:tcPr>
            <w:tcW w:type="dxa" w:w="1325"/>
            <w:shd w:val="clear" w:color="auto" w:fill="F6F1E6"/>
          </w:tcPr>
          <w:p>
            <w:pPr>
              <w:spacing w:after="20"/>
              <w:jc w:val="right"/>
            </w:pPr>
            <w:r>
              <w:rPr>
                <w:b/>
                <w:color w:val="1C3A36"/>
                <w:sz w:val="16"/>
              </w:rPr>
              <w:t>32.7%</w:t>
            </w:r>
          </w:p>
        </w:tc>
        <w:tc>
          <w:tcPr>
            <w:tcW w:type="dxa" w:w="1325"/>
            <w:shd w:val="clear" w:color="auto" w:fill="F6F1E6"/>
          </w:tcPr>
          <w:p>
            <w:pPr>
              <w:spacing w:after="20"/>
              <w:jc w:val="right"/>
            </w:pPr>
            <w:r>
              <w:rPr>
                <w:b/>
                <w:color w:val="1C3A36"/>
                <w:sz w:val="16"/>
              </w:rPr>
              <w:t>38.4%</w:t>
            </w:r>
          </w:p>
        </w:tc>
        <w:tc>
          <w:tcPr>
            <w:tcW w:type="dxa" w:w="3312"/>
            <w:shd w:val="clear" w:color="auto" w:fill="F6F1E6"/>
          </w:tcPr>
          <w:p>
            <w:pPr>
              <w:spacing w:after="20"/>
            </w:pPr>
            <w:r>
              <w:rPr>
                <w:b/>
                <w:color w:val="1C3A36"/>
                <w:sz w:val="16"/>
              </w:rPr>
              <w:t>An output, never an input</w:t>
            </w:r>
          </w:p>
        </w:tc>
      </w:tr>
      <w:tr>
        <w:trPr>
          <w:cantSplit/>
        </w:trPr>
        <w:tc>
          <w:tcPr>
            <w:tcW w:type="dxa" w:w="2664"/>
            <w:shd w:val="clear" w:color="auto" w:fill="F6F1E6"/>
          </w:tcPr>
          <w:p>
            <w:pPr>
              <w:spacing w:after="20"/>
            </w:pPr>
            <w:r>
              <w:rPr>
                <w:b/>
                <w:color w:val="1C3A36"/>
                <w:sz w:val="16"/>
              </w:rPr>
              <w:t>Operating margin before depreciation</w:t>
            </w:r>
          </w:p>
        </w:tc>
        <w:tc>
          <w:tcPr>
            <w:tcW w:type="dxa" w:w="1325"/>
            <w:shd w:val="clear" w:color="auto" w:fill="F6F1E6"/>
          </w:tcPr>
          <w:p>
            <w:pPr>
              <w:spacing w:after="20"/>
              <w:jc w:val="right"/>
            </w:pPr>
            <w:r>
              <w:rPr>
                <w:b/>
                <w:color w:val="1C3A36"/>
                <w:sz w:val="16"/>
              </w:rPr>
              <w:t>46.8%</w:t>
            </w:r>
          </w:p>
        </w:tc>
        <w:tc>
          <w:tcPr>
            <w:tcW w:type="dxa" w:w="1325"/>
            <w:shd w:val="clear" w:color="auto" w:fill="F6F1E6"/>
          </w:tcPr>
          <w:p>
            <w:pPr>
              <w:spacing w:after="20"/>
              <w:jc w:val="right"/>
            </w:pPr>
            <w:r>
              <w:rPr>
                <w:b/>
                <w:color w:val="1C3A36"/>
                <w:sz w:val="16"/>
              </w:rPr>
              <w:t>31.4%</w:t>
            </w:r>
          </w:p>
        </w:tc>
        <w:tc>
          <w:tcPr>
            <w:tcW w:type="dxa" w:w="1325"/>
            <w:shd w:val="clear" w:color="auto" w:fill="F6F1E6"/>
          </w:tcPr>
          <w:p>
            <w:pPr>
              <w:spacing w:after="20"/>
              <w:jc w:val="right"/>
            </w:pPr>
            <w:r>
              <w:rPr>
                <w:b/>
                <w:color w:val="1C3A36"/>
                <w:sz w:val="16"/>
              </w:rPr>
              <w:t>35.5%</w:t>
            </w:r>
          </w:p>
        </w:tc>
        <w:tc>
          <w:tcPr>
            <w:tcW w:type="dxa" w:w="3312"/>
            <w:shd w:val="clear" w:color="auto" w:fill="F6F1E6"/>
          </w:tcPr>
          <w:p>
            <w:pPr>
              <w:spacing w:after="20"/>
            </w:pPr>
            <w:r>
              <w:rPr>
                <w:b/>
                <w:color w:val="1C3A36"/>
                <w:sz w:val="16"/>
              </w:rPr>
              <w:t>An output</w:t>
            </w:r>
          </w:p>
        </w:tc>
      </w:tr>
    </w:tbl>
    <w:p>
      <w:pPr>
        <w:spacing w:after="40"/>
      </w:pPr>
    </w:p>
    <w:p>
      <w:pPr>
        <w:spacing w:after="200" w:before="0"/>
      </w:pPr>
      <w:r>
        <w:rPr>
          <w:b w:val="0"/>
          <w:i/>
          <w:color w:val="6E7B77"/>
          <w:sz w:val="17"/>
        </w:rPr>
        <w:t>Table 10.  The channel split is disclosed only for the most recent year, in the revenue note; the two earlier years disclose production and revenue but not the split between the three domestic and export channels. That gap is stated here rather than filled with an assumption.</w:t>
      </w:r>
    </w:p>
    <w:p>
      <w:pPr>
        <w:keepNext/>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3960"/>
        <w:gridCol w:w="1843"/>
        <w:gridCol w:w="1843"/>
      </w:tblGrid>
      <w:tr>
        <w:trPr>
          <w:cantSplit/>
          <w:tblHeader/>
        </w:trPr>
        <w:tc>
          <w:tcPr>
            <w:tcW w:type="dxa" w:w="2304"/>
            <w:shd w:val="clear" w:color="auto" w:fill="EAF0EE"/>
          </w:tcPr>
          <w:p>
            <w:pPr>
              <w:spacing w:after="20"/>
            </w:pPr>
            <w:r>
              <w:rPr>
                <w:b/>
                <w:color w:val="1C3A36"/>
                <w:sz w:val="17"/>
              </w:rPr>
              <w:t>Driver</w:t>
            </w:r>
          </w:p>
        </w:tc>
        <w:tc>
          <w:tcPr>
            <w:tcW w:type="dxa" w:w="3960"/>
            <w:shd w:val="clear" w:color="auto" w:fill="EAF0EE"/>
          </w:tcPr>
          <w:p>
            <w:pPr>
              <w:spacing w:after="20"/>
            </w:pPr>
            <w:r>
              <w:rPr>
                <w:b/>
                <w:color w:val="1C3A36"/>
                <w:sz w:val="17"/>
              </w:rPr>
              <w:t>Basis</w:t>
            </w:r>
          </w:p>
        </w:tc>
        <w:tc>
          <w:tcPr>
            <w:tcW w:type="dxa" w:w="1843"/>
            <w:shd w:val="clear" w:color="auto" w:fill="EAF0EE"/>
          </w:tcPr>
          <w:p>
            <w:pPr>
              <w:spacing w:after="20"/>
            </w:pPr>
            <w:r>
              <w:rPr>
                <w:b/>
                <w:color w:val="1C3A36"/>
                <w:sz w:val="17"/>
              </w:rPr>
              <w:t>FY2026/27</w:t>
            </w:r>
          </w:p>
        </w:tc>
        <w:tc>
          <w:tcPr>
            <w:tcW w:type="dxa" w:w="1843"/>
            <w:shd w:val="clear" w:color="auto" w:fill="EAF0EE"/>
          </w:tcPr>
          <w:p>
            <w:pPr>
              <w:spacing w:after="20"/>
            </w:pPr>
            <w:r>
              <w:rPr>
                <w:b/>
                <w:color w:val="1C3A36"/>
                <w:sz w:val="17"/>
              </w:rPr>
              <w:t>FY2030/31</w:t>
            </w:r>
          </w:p>
        </w:tc>
      </w:tr>
      <w:tr>
        <w:trPr>
          <w:cantSplit/>
        </w:trPr>
        <w:tc>
          <w:tcPr>
            <w:tcW w:type="dxa" w:w="2304"/>
          </w:tcPr>
          <w:p>
            <w:pPr>
              <w:spacing w:after="20"/>
            </w:pPr>
            <w:r>
              <w:rPr>
                <w:color w:val="1C3A36"/>
                <w:sz w:val="17"/>
              </w:rPr>
              <w:t>Urea output (tonnes)</w:t>
            </w:r>
          </w:p>
        </w:tc>
        <w:tc>
          <w:tcPr>
            <w:tcW w:type="dxa" w:w="3960"/>
          </w:tcPr>
          <w:p>
            <w:pPr>
              <w:spacing w:after="20"/>
            </w:pPr>
            <w:r>
              <w:rPr>
                <w:color w:val="1C3A36"/>
                <w:sz w:val="17"/>
              </w:rPr>
              <w:t>Design plate with utilisation banded by gas availability</w:t>
            </w:r>
          </w:p>
        </w:tc>
        <w:tc>
          <w:tcPr>
            <w:tcW w:type="dxa" w:w="1843"/>
          </w:tcPr>
          <w:p>
            <w:pPr>
              <w:spacing w:after="20"/>
              <w:jc w:val="right"/>
            </w:pPr>
            <w:r>
              <w:rPr>
                <w:color w:val="1C3A36"/>
                <w:sz w:val="17"/>
              </w:rPr>
              <w:t>524,861</w:t>
            </w:r>
          </w:p>
        </w:tc>
        <w:tc>
          <w:tcPr>
            <w:tcW w:type="dxa" w:w="1843"/>
          </w:tcPr>
          <w:p>
            <w:pPr>
              <w:spacing w:after="20"/>
              <w:jc w:val="right"/>
            </w:pPr>
            <w:r>
              <w:rPr>
                <w:color w:val="1C3A36"/>
                <w:sz w:val="17"/>
              </w:rPr>
              <w:t>544,982</w:t>
            </w:r>
          </w:p>
        </w:tc>
      </w:tr>
      <w:tr>
        <w:trPr>
          <w:cantSplit/>
        </w:trPr>
        <w:tc>
          <w:tcPr>
            <w:tcW w:type="dxa" w:w="2304"/>
          </w:tcPr>
          <w:p>
            <w:pPr>
              <w:spacing w:after="20"/>
            </w:pPr>
            <w:r>
              <w:rPr>
                <w:color w:val="1C3A36"/>
                <w:sz w:val="17"/>
              </w:rPr>
              <w:t>Export tonnes</w:t>
            </w:r>
          </w:p>
        </w:tc>
        <w:tc>
          <w:tcPr>
            <w:tcW w:type="dxa" w:w="3960"/>
          </w:tcPr>
          <w:p>
            <w:pPr>
              <w:spacing w:after="20"/>
            </w:pPr>
            <w:r>
              <w:rPr>
                <w:color w:val="1C3A36"/>
                <w:sz w:val="17"/>
              </w:rPr>
              <w:t>Output less the subsidised and free-market legs</w:t>
            </w:r>
          </w:p>
        </w:tc>
        <w:tc>
          <w:tcPr>
            <w:tcW w:type="dxa" w:w="1843"/>
          </w:tcPr>
          <w:p>
            <w:pPr>
              <w:spacing w:after="20"/>
              <w:jc w:val="right"/>
            </w:pPr>
            <w:r>
              <w:rPr>
                <w:color w:val="1C3A36"/>
                <w:sz w:val="17"/>
              </w:rPr>
              <w:t>329,861</w:t>
            </w:r>
          </w:p>
        </w:tc>
        <w:tc>
          <w:tcPr>
            <w:tcW w:type="dxa" w:w="1843"/>
          </w:tcPr>
          <w:p>
            <w:pPr>
              <w:spacing w:after="20"/>
              <w:jc w:val="right"/>
            </w:pPr>
            <w:r>
              <w:rPr>
                <w:color w:val="1C3A36"/>
                <w:sz w:val="17"/>
              </w:rPr>
              <w:t>325,982</w:t>
            </w:r>
          </w:p>
        </w:tc>
      </w:tr>
      <w:tr>
        <w:trPr>
          <w:cantSplit/>
        </w:trPr>
        <w:tc>
          <w:tcPr>
            <w:tcW w:type="dxa" w:w="2304"/>
          </w:tcPr>
          <w:p>
            <w:pPr>
              <w:spacing w:after="20"/>
            </w:pPr>
            <w:r>
              <w:rPr>
                <w:color w:val="1C3A36"/>
                <w:sz w:val="17"/>
              </w:rPr>
              <w:t>Export price (US$/t)</w:t>
            </w:r>
          </w:p>
        </w:tc>
        <w:tc>
          <w:tcPr>
            <w:tcW w:type="dxa" w:w="3960"/>
          </w:tcPr>
          <w:p>
            <w:pPr>
              <w:spacing w:after="20"/>
            </w:pPr>
            <w:r>
              <w:rPr>
                <w:color w:val="1C3A36"/>
                <w:sz w:val="17"/>
              </w:rPr>
              <w:t>US$385 realised FY2024/25; US$545 spot; mean reversion</w:t>
            </w:r>
          </w:p>
        </w:tc>
        <w:tc>
          <w:tcPr>
            <w:tcW w:type="dxa" w:w="1843"/>
          </w:tcPr>
          <w:p>
            <w:pPr>
              <w:spacing w:after="20"/>
              <w:jc w:val="right"/>
            </w:pPr>
            <w:r>
              <w:rPr>
                <w:color w:val="1C3A36"/>
                <w:sz w:val="17"/>
              </w:rPr>
              <w:t>530</w:t>
            </w:r>
          </w:p>
        </w:tc>
        <w:tc>
          <w:tcPr>
            <w:tcW w:type="dxa" w:w="1843"/>
          </w:tcPr>
          <w:p>
            <w:pPr>
              <w:spacing w:after="20"/>
              <w:jc w:val="right"/>
            </w:pPr>
            <w:r>
              <w:rPr>
                <w:color w:val="1C3A36"/>
                <w:sz w:val="17"/>
              </w:rPr>
              <w:t>530</w:t>
            </w:r>
          </w:p>
        </w:tc>
      </w:tr>
      <w:tr>
        <w:trPr>
          <w:cantSplit/>
        </w:trPr>
        <w:tc>
          <w:tcPr>
            <w:tcW w:type="dxa" w:w="2304"/>
          </w:tcPr>
          <w:p>
            <w:pPr>
              <w:spacing w:after="20"/>
            </w:pPr>
            <w:r>
              <w:rPr>
                <w:color w:val="1C3A36"/>
                <w:sz w:val="17"/>
              </w:rPr>
              <w:t>Exchange rate (EGP/US$)</w:t>
            </w:r>
          </w:p>
        </w:tc>
        <w:tc>
          <w:tcPr>
            <w:tcW w:type="dxa" w:w="3960"/>
          </w:tcPr>
          <w:p>
            <w:pPr>
              <w:spacing w:after="20"/>
            </w:pPr>
            <w:r>
              <w:rPr>
                <w:color w:val="1C3A36"/>
                <w:sz w:val="17"/>
              </w:rPr>
              <w:t>Spot, carried on the inflation differential year by year</w:t>
            </w:r>
          </w:p>
        </w:tc>
        <w:tc>
          <w:tcPr>
            <w:tcW w:type="dxa" w:w="1843"/>
          </w:tcPr>
          <w:p>
            <w:pPr>
              <w:spacing w:after="20"/>
              <w:jc w:val="right"/>
            </w:pPr>
            <w:r>
              <w:rPr>
                <w:color w:val="1C3A36"/>
                <w:sz w:val="17"/>
              </w:rPr>
              <w:t>55.43</w:t>
            </w:r>
          </w:p>
        </w:tc>
        <w:tc>
          <w:tcPr>
            <w:tcW w:type="dxa" w:w="1843"/>
          </w:tcPr>
          <w:p>
            <w:pPr>
              <w:spacing w:after="20"/>
              <w:jc w:val="right"/>
            </w:pPr>
            <w:r>
              <w:rPr>
                <w:color w:val="1C3A36"/>
                <w:sz w:val="17"/>
              </w:rPr>
              <w:t>69.20</w:t>
            </w:r>
          </w:p>
        </w:tc>
      </w:tr>
      <w:tr>
        <w:trPr>
          <w:cantSplit/>
        </w:trPr>
        <w:tc>
          <w:tcPr>
            <w:tcW w:type="dxa" w:w="2304"/>
          </w:tcPr>
          <w:p>
            <w:pPr>
              <w:spacing w:after="20"/>
            </w:pPr>
            <w:r>
              <w:rPr>
                <w:color w:val="1C3A36"/>
                <w:sz w:val="17"/>
              </w:rPr>
              <w:t>Subsidised price (EGP/t)</w:t>
            </w:r>
          </w:p>
        </w:tc>
        <w:tc>
          <w:tcPr>
            <w:tcW w:type="dxa" w:w="3960"/>
          </w:tcPr>
          <w:p>
            <w:pPr>
              <w:spacing w:after="20"/>
            </w:pPr>
            <w:r>
              <w:rPr>
                <w:color w:val="1C3A36"/>
                <w:sz w:val="17"/>
              </w:rPr>
              <w:t>Cooperative supply price on an administered path</w:t>
            </w:r>
          </w:p>
        </w:tc>
        <w:tc>
          <w:tcPr>
            <w:tcW w:type="dxa" w:w="1843"/>
          </w:tcPr>
          <w:p>
            <w:pPr>
              <w:spacing w:after="20"/>
              <w:jc w:val="right"/>
            </w:pPr>
            <w:r>
              <w:rPr>
                <w:color w:val="1C3A36"/>
                <w:sz w:val="17"/>
              </w:rPr>
              <w:t>7,526</w:t>
            </w:r>
          </w:p>
        </w:tc>
        <w:tc>
          <w:tcPr>
            <w:tcW w:type="dxa" w:w="1843"/>
          </w:tcPr>
          <w:p>
            <w:pPr>
              <w:spacing w:after="20"/>
              <w:jc w:val="right"/>
            </w:pPr>
            <w:r>
              <w:rPr>
                <w:color w:val="1C3A36"/>
                <w:sz w:val="17"/>
              </w:rPr>
              <w:t>10,915</w:t>
            </w:r>
          </w:p>
        </w:tc>
      </w:tr>
      <w:tr>
        <w:trPr>
          <w:cantSplit/>
        </w:trPr>
        <w:tc>
          <w:tcPr>
            <w:tcW w:type="dxa" w:w="2304"/>
          </w:tcPr>
          <w:p>
            <w:pPr>
              <w:spacing w:after="20"/>
            </w:pPr>
            <w:r>
              <w:rPr>
                <w:color w:val="1C3A36"/>
                <w:sz w:val="17"/>
              </w:rPr>
              <w:t>Gas (EGP per m3)</w:t>
            </w:r>
          </w:p>
        </w:tc>
        <w:tc>
          <w:tcPr>
            <w:tcW w:type="dxa" w:w="3960"/>
          </w:tcPr>
          <w:p>
            <w:pPr>
              <w:spacing w:after="20"/>
            </w:pPr>
            <w:r>
              <w:rPr>
                <w:color w:val="1C3A36"/>
                <w:sz w:val="17"/>
              </w:rPr>
              <w:t>Realised dollar price through the exchange rate</w:t>
            </w:r>
          </w:p>
        </w:tc>
        <w:tc>
          <w:tcPr>
            <w:tcW w:type="dxa" w:w="1843"/>
          </w:tcPr>
          <w:p>
            <w:pPr>
              <w:spacing w:after="20"/>
              <w:jc w:val="right"/>
            </w:pPr>
            <w:r>
              <w:rPr>
                <w:color w:val="1C3A36"/>
                <w:sz w:val="17"/>
              </w:rPr>
              <w:t>9.16</w:t>
            </w:r>
          </w:p>
        </w:tc>
        <w:tc>
          <w:tcPr>
            <w:tcW w:type="dxa" w:w="1843"/>
          </w:tcPr>
          <w:p>
            <w:pPr>
              <w:spacing w:after="20"/>
              <w:jc w:val="right"/>
            </w:pPr>
            <w:r>
              <w:rPr>
                <w:color w:val="1C3A36"/>
                <w:sz w:val="17"/>
              </w:rPr>
              <w:t>11.44</w:t>
            </w:r>
          </w:p>
        </w:tc>
      </w:tr>
      <w:tr>
        <w:trPr>
          <w:cantSplit/>
        </w:trPr>
        <w:tc>
          <w:tcPr>
            <w:tcW w:type="dxa" w:w="2304"/>
          </w:tcPr>
          <w:p>
            <w:pPr>
              <w:spacing w:after="20"/>
            </w:pPr>
            <w:r>
              <w:rPr>
                <w:color w:val="1C3A36"/>
                <w:sz w:val="17"/>
              </w:rPr>
              <w:t>Egyptian inflation</w:t>
            </w:r>
          </w:p>
        </w:tc>
        <w:tc>
          <w:tcPr>
            <w:tcW w:type="dxa" w:w="3960"/>
          </w:tcPr>
          <w:p>
            <w:pPr>
              <w:spacing w:after="20"/>
            </w:pPr>
            <w:r>
              <w:rPr>
                <w:color w:val="1C3A36"/>
                <w:sz w:val="17"/>
              </w:rPr>
              <w:t>Converging on the central bank's target</w:t>
            </w:r>
          </w:p>
        </w:tc>
        <w:tc>
          <w:tcPr>
            <w:tcW w:type="dxa" w:w="1843"/>
          </w:tcPr>
          <w:p>
            <w:pPr>
              <w:spacing w:after="20"/>
              <w:jc w:val="right"/>
            </w:pPr>
            <w:r>
              <w:rPr>
                <w:color w:val="1C3A36"/>
                <w:sz w:val="17"/>
              </w:rPr>
              <w:t>14.0%</w:t>
            </w:r>
          </w:p>
        </w:tc>
        <w:tc>
          <w:tcPr>
            <w:tcW w:type="dxa" w:w="1843"/>
          </w:tcPr>
          <w:p>
            <w:pPr>
              <w:spacing w:after="20"/>
              <w:jc w:val="right"/>
            </w:pPr>
            <w:r>
              <w:rPr>
                <w:color w:val="1C3A36"/>
                <w:sz w:val="17"/>
              </w:rPr>
              <w:t>7.0%</w:t>
            </w:r>
          </w:p>
        </w:tc>
      </w:tr>
      <w:tr>
        <w:trPr>
          <w:cantSplit/>
        </w:trPr>
        <w:tc>
          <w:tcPr>
            <w:tcW w:type="dxa" w:w="2304"/>
            <w:shd w:val="clear" w:color="auto" w:fill="F6F1E6"/>
          </w:tcPr>
          <w:p>
            <w:pPr>
              <w:spacing w:after="20"/>
            </w:pPr>
            <w:r>
              <w:rPr>
                <w:b/>
                <w:color w:val="1C3A36"/>
                <w:sz w:val="17"/>
              </w:rPr>
              <w:t>Gross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45.7%</w:t>
            </w:r>
          </w:p>
        </w:tc>
        <w:tc>
          <w:tcPr>
            <w:tcW w:type="dxa" w:w="1843"/>
            <w:shd w:val="clear" w:color="auto" w:fill="F6F1E6"/>
          </w:tcPr>
          <w:p>
            <w:pPr>
              <w:spacing w:after="20"/>
              <w:jc w:val="right"/>
            </w:pPr>
            <w:r>
              <w:rPr>
                <w:b/>
                <w:color w:val="1C3A36"/>
                <w:sz w:val="17"/>
              </w:rPr>
              <w:t>42.3%</w:t>
            </w:r>
          </w:p>
        </w:tc>
      </w:tr>
      <w:tr>
        <w:trPr>
          <w:cantSplit/>
        </w:trPr>
        <w:tc>
          <w:tcPr>
            <w:tcW w:type="dxa" w:w="2304"/>
            <w:shd w:val="clear" w:color="auto" w:fill="F6F1E6"/>
          </w:tcPr>
          <w:p>
            <w:pPr>
              <w:spacing w:after="20"/>
            </w:pPr>
            <w:r>
              <w:rPr>
                <w:b/>
                <w:color w:val="1C3A36"/>
                <w:sz w:val="17"/>
              </w:rPr>
              <w:t>EBITDA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41.2%</w:t>
            </w:r>
          </w:p>
        </w:tc>
        <w:tc>
          <w:tcPr>
            <w:tcW w:type="dxa" w:w="1843"/>
            <w:shd w:val="clear" w:color="auto" w:fill="F6F1E6"/>
          </w:tcPr>
          <w:p>
            <w:pPr>
              <w:spacing w:after="20"/>
              <w:jc w:val="right"/>
            </w:pPr>
            <w:r>
              <w:rPr>
                <w:b/>
                <w:color w:val="1C3A36"/>
                <w:sz w:val="17"/>
              </w:rPr>
              <w:t>39.8%</w:t>
            </w:r>
          </w:p>
        </w:tc>
      </w:tr>
    </w:tbl>
    <w:p>
      <w:pPr>
        <w:spacing w:after="40"/>
      </w:pPr>
    </w:p>
    <w:p>
      <w:pPr>
        <w:spacing w:after="200" w:before="0"/>
      </w:pPr>
      <w:r>
        <w:rPr>
          <w:b w:val="0"/>
          <w:i/>
          <w:color w:val="6E7B77"/>
          <w:sz w:val="17"/>
        </w:rPr>
        <w:t>Table 11.  The physically distinct classes each carry their own escalator: gas on its administered dollar price through the exchange rate, the export price on the commodity path, the subsidised price on its administered path. The domestic lines — other materials, wages, purchased services, inland haulage, other selling and administration — share the one domestic inflation path, because that is the index they are paid in; a globally traded input is never put on it.</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3_revenue.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Revenue built channel by channel.</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6_coststack.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Where a tonne of urea costs its money. Gas dominates, which is why the gas price and the consumption rate are treated as crux variables.</w:t>
      </w:r>
    </w:p>
    <w:p>
      <w:pPr>
        <w:keepNext/>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11,674</w:t>
            </w:r>
          </w:p>
        </w:tc>
        <w:tc>
          <w:tcPr>
            <w:tcW w:type="dxa" w:w="1426"/>
          </w:tcPr>
          <w:p>
            <w:pPr>
              <w:spacing w:after="20"/>
              <w:jc w:val="right"/>
            </w:pPr>
            <w:r>
              <w:rPr>
                <w:color w:val="1C3A36"/>
                <w:sz w:val="16"/>
              </w:rPr>
              <w:t>12,693</w:t>
            </w:r>
          </w:p>
        </w:tc>
        <w:tc>
          <w:tcPr>
            <w:tcW w:type="dxa" w:w="1426"/>
          </w:tcPr>
          <w:p>
            <w:pPr>
              <w:spacing w:after="20"/>
              <w:jc w:val="right"/>
            </w:pPr>
            <w:r>
              <w:rPr>
                <w:color w:val="1C3A36"/>
                <w:sz w:val="16"/>
              </w:rPr>
              <w:t>13,513</w:t>
            </w:r>
          </w:p>
        </w:tc>
        <w:tc>
          <w:tcPr>
            <w:tcW w:type="dxa" w:w="1426"/>
          </w:tcPr>
          <w:p>
            <w:pPr>
              <w:spacing w:after="20"/>
              <w:jc w:val="right"/>
            </w:pPr>
            <w:r>
              <w:rPr>
                <w:color w:val="1C3A36"/>
                <w:sz w:val="16"/>
              </w:rPr>
              <w:t>14,277</w:t>
            </w:r>
          </w:p>
        </w:tc>
        <w:tc>
          <w:tcPr>
            <w:tcW w:type="dxa" w:w="1426"/>
          </w:tcPr>
          <w:p>
            <w:pPr>
              <w:spacing w:after="20"/>
              <w:jc w:val="right"/>
            </w:pPr>
            <w:r>
              <w:rPr>
                <w:color w:val="1C3A36"/>
                <w:sz w:val="16"/>
              </w:rPr>
              <w:t>15,043</w:t>
            </w:r>
          </w:p>
        </w:tc>
      </w:tr>
      <w:tr>
        <w:trPr>
          <w:cantSplit/>
        </w:trPr>
        <w:tc>
          <w:tcPr>
            <w:tcW w:type="dxa" w:w="2952"/>
          </w:tcPr>
          <w:p>
            <w:pPr>
              <w:spacing w:after="20"/>
            </w:pPr>
            <w:r>
              <w:rPr>
                <w:color w:val="1C3A36"/>
                <w:sz w:val="16"/>
              </w:rPr>
              <w:t>Cost of sales</w:t>
            </w:r>
          </w:p>
        </w:tc>
        <w:tc>
          <w:tcPr>
            <w:tcW w:type="dxa" w:w="1426"/>
          </w:tcPr>
          <w:p>
            <w:pPr>
              <w:spacing w:after="20"/>
              <w:jc w:val="right"/>
            </w:pPr>
            <w:r>
              <w:rPr>
                <w:color w:val="1C3A36"/>
                <w:sz w:val="16"/>
              </w:rPr>
              <w:t>6,337</w:t>
            </w:r>
          </w:p>
        </w:tc>
        <w:tc>
          <w:tcPr>
            <w:tcW w:type="dxa" w:w="1426"/>
          </w:tcPr>
          <w:p>
            <w:pPr>
              <w:spacing w:after="20"/>
              <w:jc w:val="right"/>
            </w:pPr>
            <w:r>
              <w:rPr>
                <w:color w:val="1C3A36"/>
                <w:sz w:val="16"/>
              </w:rPr>
              <w:t>6,982</w:t>
            </w:r>
          </w:p>
        </w:tc>
        <w:tc>
          <w:tcPr>
            <w:tcW w:type="dxa" w:w="1426"/>
          </w:tcPr>
          <w:p>
            <w:pPr>
              <w:spacing w:after="20"/>
              <w:jc w:val="right"/>
            </w:pPr>
            <w:r>
              <w:rPr>
                <w:color w:val="1C3A36"/>
                <w:sz w:val="16"/>
              </w:rPr>
              <w:t>7,558</w:t>
            </w:r>
          </w:p>
        </w:tc>
        <w:tc>
          <w:tcPr>
            <w:tcW w:type="dxa" w:w="1426"/>
          </w:tcPr>
          <w:p>
            <w:pPr>
              <w:spacing w:after="20"/>
              <w:jc w:val="right"/>
            </w:pPr>
            <w:r>
              <w:rPr>
                <w:color w:val="1C3A36"/>
                <w:sz w:val="16"/>
              </w:rPr>
              <w:t>8,118</w:t>
            </w:r>
          </w:p>
        </w:tc>
        <w:tc>
          <w:tcPr>
            <w:tcW w:type="dxa" w:w="1426"/>
          </w:tcPr>
          <w:p>
            <w:pPr>
              <w:spacing w:after="20"/>
              <w:jc w:val="right"/>
            </w:pPr>
            <w:r>
              <w:rPr>
                <w:color w:val="1C3A36"/>
                <w:sz w:val="16"/>
              </w:rPr>
              <w:t>8,683</w:t>
            </w:r>
          </w:p>
        </w:tc>
      </w:tr>
      <w:tr>
        <w:trPr>
          <w:cantSplit/>
        </w:trPr>
        <w:tc>
          <w:tcPr>
            <w:tcW w:type="dxa" w:w="2952"/>
          </w:tcPr>
          <w:p>
            <w:pPr>
              <w:spacing w:after="20"/>
            </w:pPr>
            <w:r>
              <w:rPr>
                <w:color w:val="1C3A36"/>
                <w:sz w:val="16"/>
              </w:rPr>
              <w:t>Gross profit</w:t>
            </w:r>
          </w:p>
        </w:tc>
        <w:tc>
          <w:tcPr>
            <w:tcW w:type="dxa" w:w="1426"/>
          </w:tcPr>
          <w:p>
            <w:pPr>
              <w:spacing w:after="20"/>
              <w:jc w:val="right"/>
            </w:pPr>
            <w:r>
              <w:rPr>
                <w:color w:val="1C3A36"/>
                <w:sz w:val="16"/>
              </w:rPr>
              <w:t>5,337</w:t>
            </w:r>
          </w:p>
        </w:tc>
        <w:tc>
          <w:tcPr>
            <w:tcW w:type="dxa" w:w="1426"/>
          </w:tcPr>
          <w:p>
            <w:pPr>
              <w:spacing w:after="20"/>
              <w:jc w:val="right"/>
            </w:pPr>
            <w:r>
              <w:rPr>
                <w:color w:val="1C3A36"/>
                <w:sz w:val="16"/>
              </w:rPr>
              <w:t>5,711</w:t>
            </w:r>
          </w:p>
        </w:tc>
        <w:tc>
          <w:tcPr>
            <w:tcW w:type="dxa" w:w="1426"/>
          </w:tcPr>
          <w:p>
            <w:pPr>
              <w:spacing w:after="20"/>
              <w:jc w:val="right"/>
            </w:pPr>
            <w:r>
              <w:rPr>
                <w:color w:val="1C3A36"/>
                <w:sz w:val="16"/>
              </w:rPr>
              <w:t>5,955</w:t>
            </w:r>
          </w:p>
        </w:tc>
        <w:tc>
          <w:tcPr>
            <w:tcW w:type="dxa" w:w="1426"/>
          </w:tcPr>
          <w:p>
            <w:pPr>
              <w:spacing w:after="20"/>
              <w:jc w:val="right"/>
            </w:pPr>
            <w:r>
              <w:rPr>
                <w:color w:val="1C3A36"/>
                <w:sz w:val="16"/>
              </w:rPr>
              <w:t>6,160</w:t>
            </w:r>
          </w:p>
        </w:tc>
        <w:tc>
          <w:tcPr>
            <w:tcW w:type="dxa" w:w="1426"/>
          </w:tcPr>
          <w:p>
            <w:pPr>
              <w:spacing w:after="20"/>
              <w:jc w:val="right"/>
            </w:pPr>
            <w:r>
              <w:rPr>
                <w:color w:val="1C3A36"/>
                <w:sz w:val="16"/>
              </w:rPr>
              <w:t>6,360</w:t>
            </w:r>
          </w:p>
        </w:tc>
      </w:tr>
      <w:tr>
        <w:trPr>
          <w:cantSplit/>
        </w:trPr>
        <w:tc>
          <w:tcPr>
            <w:tcW w:type="dxa" w:w="2952"/>
            <w:shd w:val="clear" w:color="auto" w:fill="F6F1E6"/>
          </w:tcPr>
          <w:p>
            <w:pPr>
              <w:spacing w:after="20"/>
            </w:pPr>
            <w:r>
              <w:rPr>
                <w:b/>
                <w:color w:val="1C3A36"/>
                <w:sz w:val="16"/>
              </w:rPr>
              <w:t>Gross margin</w:t>
            </w:r>
          </w:p>
        </w:tc>
        <w:tc>
          <w:tcPr>
            <w:tcW w:type="dxa" w:w="1426"/>
            <w:shd w:val="clear" w:color="auto" w:fill="F6F1E6"/>
          </w:tcPr>
          <w:p>
            <w:pPr>
              <w:spacing w:after="20"/>
              <w:jc w:val="right"/>
            </w:pPr>
            <w:r>
              <w:rPr>
                <w:b/>
                <w:color w:val="1C3A36"/>
                <w:sz w:val="16"/>
              </w:rPr>
              <w:t>45.7%</w:t>
            </w:r>
          </w:p>
        </w:tc>
        <w:tc>
          <w:tcPr>
            <w:tcW w:type="dxa" w:w="1426"/>
            <w:shd w:val="clear" w:color="auto" w:fill="F6F1E6"/>
          </w:tcPr>
          <w:p>
            <w:pPr>
              <w:spacing w:after="20"/>
              <w:jc w:val="right"/>
            </w:pPr>
            <w:r>
              <w:rPr>
                <w:b/>
                <w:color w:val="1C3A36"/>
                <w:sz w:val="16"/>
              </w:rPr>
              <w:t>45.0%</w:t>
            </w:r>
          </w:p>
        </w:tc>
        <w:tc>
          <w:tcPr>
            <w:tcW w:type="dxa" w:w="1426"/>
            <w:shd w:val="clear" w:color="auto" w:fill="F6F1E6"/>
          </w:tcPr>
          <w:p>
            <w:pPr>
              <w:spacing w:after="20"/>
              <w:jc w:val="right"/>
            </w:pPr>
            <w:r>
              <w:rPr>
                <w:b/>
                <w:color w:val="1C3A36"/>
                <w:sz w:val="16"/>
              </w:rPr>
              <w:t>44.1%</w:t>
            </w:r>
          </w:p>
        </w:tc>
        <w:tc>
          <w:tcPr>
            <w:tcW w:type="dxa" w:w="1426"/>
            <w:shd w:val="clear" w:color="auto" w:fill="F6F1E6"/>
          </w:tcPr>
          <w:p>
            <w:pPr>
              <w:spacing w:after="20"/>
              <w:jc w:val="right"/>
            </w:pPr>
            <w:r>
              <w:rPr>
                <w:b/>
                <w:color w:val="1C3A36"/>
                <w:sz w:val="16"/>
              </w:rPr>
              <w:t>43.1%</w:t>
            </w:r>
          </w:p>
        </w:tc>
        <w:tc>
          <w:tcPr>
            <w:tcW w:type="dxa" w:w="1426"/>
            <w:shd w:val="clear" w:color="auto" w:fill="F6F1E6"/>
          </w:tcPr>
          <w:p>
            <w:pPr>
              <w:spacing w:after="20"/>
              <w:jc w:val="right"/>
            </w:pPr>
            <w:r>
              <w:rPr>
                <w:b/>
                <w:color w:val="1C3A36"/>
                <w:sz w:val="16"/>
              </w:rPr>
              <w:t>42.3%</w:t>
            </w:r>
          </w:p>
        </w:tc>
      </w:tr>
      <w:tr>
        <w:trPr>
          <w:cantSplit/>
        </w:trPr>
        <w:tc>
          <w:tcPr>
            <w:tcW w:type="dxa" w:w="2952"/>
          </w:tcPr>
          <w:p>
            <w:pPr>
              <w:spacing w:after="20"/>
            </w:pPr>
            <w:r>
              <w:rPr>
                <w:color w:val="1C3A36"/>
                <w:sz w:val="16"/>
              </w:rPr>
              <w:t>Operating profit before depreciation</w:t>
            </w:r>
          </w:p>
        </w:tc>
        <w:tc>
          <w:tcPr>
            <w:tcW w:type="dxa" w:w="1426"/>
          </w:tcPr>
          <w:p>
            <w:pPr>
              <w:spacing w:after="20"/>
              <w:jc w:val="right"/>
            </w:pPr>
            <w:r>
              <w:rPr>
                <w:color w:val="1C3A36"/>
                <w:sz w:val="16"/>
              </w:rPr>
              <w:t>4,812</w:t>
            </w:r>
          </w:p>
        </w:tc>
        <w:tc>
          <w:tcPr>
            <w:tcW w:type="dxa" w:w="1426"/>
          </w:tcPr>
          <w:p>
            <w:pPr>
              <w:spacing w:after="20"/>
              <w:jc w:val="right"/>
            </w:pPr>
            <w:r>
              <w:rPr>
                <w:color w:val="1C3A36"/>
                <w:sz w:val="16"/>
              </w:rPr>
              <w:t>5,203</w:t>
            </w:r>
          </w:p>
        </w:tc>
        <w:tc>
          <w:tcPr>
            <w:tcW w:type="dxa" w:w="1426"/>
          </w:tcPr>
          <w:p>
            <w:pPr>
              <w:spacing w:after="20"/>
              <w:jc w:val="right"/>
            </w:pPr>
            <w:r>
              <w:rPr>
                <w:color w:val="1C3A36"/>
                <w:sz w:val="16"/>
              </w:rPr>
              <w:t>5,492</w:t>
            </w:r>
          </w:p>
        </w:tc>
        <w:tc>
          <w:tcPr>
            <w:tcW w:type="dxa" w:w="1426"/>
          </w:tcPr>
          <w:p>
            <w:pPr>
              <w:spacing w:after="20"/>
              <w:jc w:val="right"/>
            </w:pPr>
            <w:r>
              <w:rPr>
                <w:color w:val="1C3A36"/>
                <w:sz w:val="16"/>
              </w:rPr>
              <w:t>5,746</w:t>
            </w:r>
          </w:p>
        </w:tc>
        <w:tc>
          <w:tcPr>
            <w:tcW w:type="dxa" w:w="1426"/>
          </w:tcPr>
          <w:p>
            <w:pPr>
              <w:spacing w:after="20"/>
              <w:jc w:val="right"/>
            </w:pPr>
            <w:r>
              <w:rPr>
                <w:color w:val="1C3A36"/>
                <w:sz w:val="16"/>
              </w:rPr>
              <w:t>5,987</w:t>
            </w:r>
          </w:p>
        </w:tc>
      </w:tr>
      <w:tr>
        <w:trPr>
          <w:cantSplit/>
        </w:trPr>
        <w:tc>
          <w:tcPr>
            <w:tcW w:type="dxa" w:w="2952"/>
            <w:shd w:val="clear" w:color="auto" w:fill="F6F1E6"/>
          </w:tcPr>
          <w:p>
            <w:pPr>
              <w:spacing w:after="20"/>
            </w:pPr>
            <w:r>
              <w:rPr>
                <w:b/>
                <w:color w:val="1C3A36"/>
                <w:sz w:val="16"/>
              </w:rPr>
              <w:t>Margin before depreciation</w:t>
            </w:r>
          </w:p>
        </w:tc>
        <w:tc>
          <w:tcPr>
            <w:tcW w:type="dxa" w:w="1426"/>
            <w:shd w:val="clear" w:color="auto" w:fill="F6F1E6"/>
          </w:tcPr>
          <w:p>
            <w:pPr>
              <w:spacing w:after="20"/>
              <w:jc w:val="right"/>
            </w:pPr>
            <w:r>
              <w:rPr>
                <w:b/>
                <w:color w:val="1C3A36"/>
                <w:sz w:val="16"/>
              </w:rPr>
              <w:t>41.2%</w:t>
            </w:r>
          </w:p>
        </w:tc>
        <w:tc>
          <w:tcPr>
            <w:tcW w:type="dxa" w:w="1426"/>
            <w:shd w:val="clear" w:color="auto" w:fill="F6F1E6"/>
          </w:tcPr>
          <w:p>
            <w:pPr>
              <w:spacing w:after="20"/>
              <w:jc w:val="right"/>
            </w:pPr>
            <w:r>
              <w:rPr>
                <w:b/>
                <w:color w:val="1C3A36"/>
                <w:sz w:val="16"/>
              </w:rPr>
              <w:t>41.0%</w:t>
            </w:r>
          </w:p>
        </w:tc>
        <w:tc>
          <w:tcPr>
            <w:tcW w:type="dxa" w:w="1426"/>
            <w:shd w:val="clear" w:color="auto" w:fill="F6F1E6"/>
          </w:tcPr>
          <w:p>
            <w:pPr>
              <w:spacing w:after="20"/>
              <w:jc w:val="right"/>
            </w:pPr>
            <w:r>
              <w:rPr>
                <w:b/>
                <w:color w:val="1C3A36"/>
                <w:sz w:val="16"/>
              </w:rPr>
              <w:t>40.6%</w:t>
            </w:r>
          </w:p>
        </w:tc>
        <w:tc>
          <w:tcPr>
            <w:tcW w:type="dxa" w:w="1426"/>
            <w:shd w:val="clear" w:color="auto" w:fill="F6F1E6"/>
          </w:tcPr>
          <w:p>
            <w:pPr>
              <w:spacing w:after="20"/>
              <w:jc w:val="right"/>
            </w:pPr>
            <w:r>
              <w:rPr>
                <w:b/>
                <w:color w:val="1C3A36"/>
                <w:sz w:val="16"/>
              </w:rPr>
              <w:t>40.2%</w:t>
            </w:r>
          </w:p>
        </w:tc>
        <w:tc>
          <w:tcPr>
            <w:tcW w:type="dxa" w:w="1426"/>
            <w:shd w:val="clear" w:color="auto" w:fill="F6F1E6"/>
          </w:tcPr>
          <w:p>
            <w:pPr>
              <w:spacing w:after="20"/>
              <w:jc w:val="right"/>
            </w:pPr>
            <w:r>
              <w:rPr>
                <w:b/>
                <w:color w:val="1C3A36"/>
                <w:sz w:val="16"/>
              </w:rPr>
              <w:t>39.8%</w:t>
            </w:r>
          </w:p>
        </w:tc>
      </w:tr>
      <w:tr>
        <w:trPr>
          <w:cantSplit/>
        </w:trPr>
        <w:tc>
          <w:tcPr>
            <w:tcW w:type="dxa" w:w="2952"/>
          </w:tcPr>
          <w:p>
            <w:pPr>
              <w:spacing w:after="20"/>
            </w:pPr>
            <w:r>
              <w:rPr>
                <w:color w:val="1C3A36"/>
                <w:sz w:val="16"/>
              </w:rPr>
              <w:t>Operating profit</w:t>
            </w:r>
          </w:p>
        </w:tc>
        <w:tc>
          <w:tcPr>
            <w:tcW w:type="dxa" w:w="1426"/>
          </w:tcPr>
          <w:p>
            <w:pPr>
              <w:spacing w:after="20"/>
              <w:jc w:val="right"/>
            </w:pPr>
            <w:r>
              <w:rPr>
                <w:color w:val="1C3A36"/>
                <w:sz w:val="16"/>
              </w:rPr>
              <w:t>3,921</w:t>
            </w:r>
          </w:p>
        </w:tc>
        <w:tc>
          <w:tcPr>
            <w:tcW w:type="dxa" w:w="1426"/>
          </w:tcPr>
          <w:p>
            <w:pPr>
              <w:spacing w:after="20"/>
              <w:jc w:val="right"/>
            </w:pPr>
            <w:r>
              <w:rPr>
                <w:color w:val="1C3A36"/>
                <w:sz w:val="16"/>
              </w:rPr>
              <w:t>4,194</w:t>
            </w:r>
          </w:p>
        </w:tc>
        <w:tc>
          <w:tcPr>
            <w:tcW w:type="dxa" w:w="1426"/>
          </w:tcPr>
          <w:p>
            <w:pPr>
              <w:spacing w:after="20"/>
              <w:jc w:val="right"/>
            </w:pPr>
            <w:r>
              <w:rPr>
                <w:color w:val="1C3A36"/>
                <w:sz w:val="16"/>
              </w:rPr>
              <w:t>4,346</w:t>
            </w:r>
          </w:p>
        </w:tc>
        <w:tc>
          <w:tcPr>
            <w:tcW w:type="dxa" w:w="1426"/>
          </w:tcPr>
          <w:p>
            <w:pPr>
              <w:spacing w:after="20"/>
              <w:jc w:val="right"/>
            </w:pPr>
            <w:r>
              <w:rPr>
                <w:color w:val="1C3A36"/>
                <w:sz w:val="16"/>
              </w:rPr>
              <w:t>4,453</w:t>
            </w:r>
          </w:p>
        </w:tc>
        <w:tc>
          <w:tcPr>
            <w:tcW w:type="dxa" w:w="1426"/>
          </w:tcPr>
          <w:p>
            <w:pPr>
              <w:spacing w:after="20"/>
              <w:jc w:val="right"/>
            </w:pPr>
            <w:r>
              <w:rPr>
                <w:color w:val="1C3A36"/>
                <w:sz w:val="16"/>
              </w:rPr>
              <w:t>4,553</w:t>
            </w:r>
          </w:p>
        </w:tc>
      </w:tr>
      <w:tr>
        <w:trPr>
          <w:cantSplit/>
        </w:trPr>
        <w:tc>
          <w:tcPr>
            <w:tcW w:type="dxa" w:w="2952"/>
          </w:tcPr>
          <w:p>
            <w:pPr>
              <w:spacing w:after="20"/>
            </w:pPr>
            <w:r>
              <w:rPr>
                <w:color w:val="1C3A36"/>
                <w:sz w:val="16"/>
              </w:rPr>
              <w:t>Operating margin</w:t>
            </w:r>
          </w:p>
        </w:tc>
        <w:tc>
          <w:tcPr>
            <w:tcW w:type="dxa" w:w="1426"/>
          </w:tcPr>
          <w:p>
            <w:pPr>
              <w:spacing w:after="20"/>
              <w:jc w:val="right"/>
            </w:pPr>
            <w:r>
              <w:rPr>
                <w:color w:val="1C3A36"/>
                <w:sz w:val="16"/>
              </w:rPr>
              <w:t>33.6%</w:t>
            </w:r>
          </w:p>
        </w:tc>
        <w:tc>
          <w:tcPr>
            <w:tcW w:type="dxa" w:w="1426"/>
          </w:tcPr>
          <w:p>
            <w:pPr>
              <w:spacing w:after="20"/>
              <w:jc w:val="right"/>
            </w:pPr>
            <w:r>
              <w:rPr>
                <w:color w:val="1C3A36"/>
                <w:sz w:val="16"/>
              </w:rPr>
              <w:t>33.0%</w:t>
            </w:r>
          </w:p>
        </w:tc>
        <w:tc>
          <w:tcPr>
            <w:tcW w:type="dxa" w:w="1426"/>
          </w:tcPr>
          <w:p>
            <w:pPr>
              <w:spacing w:after="20"/>
              <w:jc w:val="right"/>
            </w:pPr>
            <w:r>
              <w:rPr>
                <w:color w:val="1C3A36"/>
                <w:sz w:val="16"/>
              </w:rPr>
              <w:t>32.2%</w:t>
            </w:r>
          </w:p>
        </w:tc>
        <w:tc>
          <w:tcPr>
            <w:tcW w:type="dxa" w:w="1426"/>
          </w:tcPr>
          <w:p>
            <w:pPr>
              <w:spacing w:after="20"/>
              <w:jc w:val="right"/>
            </w:pPr>
            <w:r>
              <w:rPr>
                <w:color w:val="1C3A36"/>
                <w:sz w:val="16"/>
              </w:rPr>
              <w:t>31.2%</w:t>
            </w:r>
          </w:p>
        </w:tc>
        <w:tc>
          <w:tcPr>
            <w:tcW w:type="dxa" w:w="1426"/>
          </w:tcPr>
          <w:p>
            <w:pPr>
              <w:spacing w:after="20"/>
              <w:jc w:val="right"/>
            </w:pPr>
            <w:r>
              <w:rPr>
                <w:color w:val="1C3A36"/>
                <w:sz w:val="16"/>
              </w:rPr>
              <w:t>30.3%</w:t>
            </w:r>
          </w:p>
        </w:tc>
      </w:tr>
    </w:tbl>
    <w:p>
      <w:pPr>
        <w:spacing w:after="40"/>
      </w:pPr>
    </w:p>
    <w:p>
      <w:pPr>
        <w:spacing w:after="200" w:before="0"/>
      </w:pPr>
      <w:r>
        <w:rPr>
          <w:b w:val="0"/>
          <w:i/>
          <w:color w:val="6E7B77"/>
          <w:sz w:val="17"/>
        </w:rPr>
        <w:t>Table 12.  Not one margin in this table is set. Each is revenue less a cost stack built from physical consumption times a unit price, so the margin path is a consequence of the tonnes, the prices and the escalators above it. It eases from 45.7% to 42.3% because the dollar export price is held FLAT in nominal dollars — no forecast of a traded commodity price is defensible — while the pound-denominated cost legs escalate on the domestic path. That is a real cost drift, and it is a claim rather than an assumption: the company's own audited accounts show cost per unit of revenue rising from 54.1% in the year to June 2023 to 61.6% in the year to June 2025, which is the direction the forecast carries forward.</w:t>
      </w:r>
    </w:p>
    <w:p>
      <w:pPr>
        <w:keepNext/>
        <w:spacing w:after="80" w:before="200"/>
      </w:pPr>
      <w:r>
        <w:rPr>
          <w:b/>
          <w:i w:val="0"/>
          <w:color w:val="1C3A36"/>
          <w:sz w:val="24"/>
        </w:rPr>
        <w:t>The revenue mix, the first forecast year against the last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296"/>
        <w:gridCol w:w="1944"/>
        <w:gridCol w:w="1296"/>
      </w:tblGrid>
      <w:tr>
        <w:trPr>
          <w:cantSplit/>
          <w:tblHeader/>
        </w:trPr>
        <w:tc>
          <w:tcPr>
            <w:tcW w:type="dxa" w:w="2592"/>
            <w:shd w:val="clear" w:color="auto" w:fill="EAF0EE"/>
          </w:tcPr>
          <w:p>
            <w:pPr>
              <w:spacing w:after="20"/>
            </w:pPr>
            <w:r>
              <w:rPr>
                <w:b/>
                <w:color w:val="1C3A36"/>
                <w:sz w:val="17"/>
              </w:rPr>
              <w:t>Channel</w:t>
            </w:r>
          </w:p>
        </w:tc>
        <w:tc>
          <w:tcPr>
            <w:tcW w:type="dxa" w:w="1944"/>
            <w:shd w:val="clear" w:color="auto" w:fill="EAF0EE"/>
          </w:tcPr>
          <w:p>
            <w:pPr>
              <w:spacing w:after="20"/>
            </w:pPr>
            <w:r>
              <w:rPr>
                <w:b/>
                <w:color w:val="1C3A36"/>
                <w:sz w:val="17"/>
              </w:rPr>
              <w:t>FY2026/27 revenue (EGP m)</w:t>
            </w:r>
          </w:p>
        </w:tc>
        <w:tc>
          <w:tcPr>
            <w:tcW w:type="dxa" w:w="1296"/>
            <w:shd w:val="clear" w:color="auto" w:fill="EAF0EE"/>
          </w:tcPr>
          <w:p>
            <w:pPr>
              <w:spacing w:after="20"/>
            </w:pPr>
            <w:r>
              <w:rPr>
                <w:b/>
                <w:color w:val="1C3A36"/>
                <w:sz w:val="17"/>
              </w:rPr>
              <w:t>Share</w:t>
            </w:r>
          </w:p>
        </w:tc>
        <w:tc>
          <w:tcPr>
            <w:tcW w:type="dxa" w:w="1944"/>
            <w:shd w:val="clear" w:color="auto" w:fill="EAF0EE"/>
          </w:tcPr>
          <w:p>
            <w:pPr>
              <w:spacing w:after="20"/>
            </w:pPr>
            <w:r>
              <w:rPr>
                <w:b/>
                <w:color w:val="1C3A36"/>
                <w:sz w:val="17"/>
              </w:rPr>
              <w:t>FY2030/31 revenue (EGP m)</w:t>
            </w:r>
          </w:p>
        </w:tc>
        <w:tc>
          <w:tcPr>
            <w:tcW w:type="dxa" w:w="1296"/>
            <w:shd w:val="clear" w:color="auto" w:fill="EAF0EE"/>
          </w:tcPr>
          <w:p>
            <w:pPr>
              <w:spacing w:after="20"/>
            </w:pPr>
            <w:r>
              <w:rPr>
                <w:b/>
                <w:color w:val="1C3A36"/>
                <w:sz w:val="17"/>
              </w:rPr>
              <w:t>Share</w:t>
            </w:r>
          </w:p>
        </w:tc>
      </w:tr>
      <w:tr>
        <w:trPr>
          <w:cantSplit/>
        </w:trPr>
        <w:tc>
          <w:tcPr>
            <w:tcW w:type="dxa" w:w="2592"/>
          </w:tcPr>
          <w:p>
            <w:pPr>
              <w:spacing w:after="20"/>
            </w:pPr>
            <w:r>
              <w:rPr>
                <w:color w:val="1C3A36"/>
                <w:sz w:val="17"/>
              </w:rPr>
              <w:t>Export urea</w:t>
            </w:r>
          </w:p>
        </w:tc>
        <w:tc>
          <w:tcPr>
            <w:tcW w:type="dxa" w:w="1944"/>
          </w:tcPr>
          <w:p>
            <w:pPr>
              <w:spacing w:after="20"/>
              <w:jc w:val="right"/>
            </w:pPr>
            <w:r>
              <w:rPr>
                <w:color w:val="1C3A36"/>
                <w:sz w:val="17"/>
              </w:rPr>
              <w:t>8,722</w:t>
            </w:r>
          </w:p>
        </w:tc>
        <w:tc>
          <w:tcPr>
            <w:tcW w:type="dxa" w:w="1296"/>
          </w:tcPr>
          <w:p>
            <w:pPr>
              <w:spacing w:after="20"/>
              <w:jc w:val="right"/>
            </w:pPr>
            <w:r>
              <w:rPr>
                <w:color w:val="1C3A36"/>
                <w:sz w:val="17"/>
              </w:rPr>
              <w:t>74.7%</w:t>
            </w:r>
          </w:p>
        </w:tc>
        <w:tc>
          <w:tcPr>
            <w:tcW w:type="dxa" w:w="1944"/>
          </w:tcPr>
          <w:p>
            <w:pPr>
              <w:spacing w:after="20"/>
              <w:jc w:val="right"/>
            </w:pPr>
            <w:r>
              <w:rPr>
                <w:color w:val="1C3A36"/>
                <w:sz w:val="17"/>
              </w:rPr>
              <w:t>10,760</w:t>
            </w:r>
          </w:p>
        </w:tc>
        <w:tc>
          <w:tcPr>
            <w:tcW w:type="dxa" w:w="1296"/>
          </w:tcPr>
          <w:p>
            <w:pPr>
              <w:spacing w:after="20"/>
              <w:jc w:val="right"/>
            </w:pPr>
            <w:r>
              <w:rPr>
                <w:color w:val="1C3A36"/>
                <w:sz w:val="17"/>
              </w:rPr>
              <w:t>71.5%</w:t>
            </w:r>
          </w:p>
        </w:tc>
      </w:tr>
      <w:tr>
        <w:trPr>
          <w:cantSplit/>
        </w:trPr>
        <w:tc>
          <w:tcPr>
            <w:tcW w:type="dxa" w:w="2592"/>
          </w:tcPr>
          <w:p>
            <w:pPr>
              <w:spacing w:after="20"/>
            </w:pPr>
            <w:r>
              <w:rPr>
                <w:color w:val="1C3A36"/>
                <w:sz w:val="17"/>
              </w:rPr>
              <w:t>Subsidised urea</w:t>
            </w:r>
          </w:p>
        </w:tc>
        <w:tc>
          <w:tcPr>
            <w:tcW w:type="dxa" w:w="1944"/>
          </w:tcPr>
          <w:p>
            <w:pPr>
              <w:spacing w:after="20"/>
              <w:jc w:val="right"/>
            </w:pPr>
            <w:r>
              <w:rPr>
                <w:color w:val="1C3A36"/>
                <w:sz w:val="17"/>
              </w:rPr>
              <w:t>1,167</w:t>
            </w:r>
          </w:p>
        </w:tc>
        <w:tc>
          <w:tcPr>
            <w:tcW w:type="dxa" w:w="1296"/>
          </w:tcPr>
          <w:p>
            <w:pPr>
              <w:spacing w:after="20"/>
              <w:jc w:val="right"/>
            </w:pPr>
            <w:r>
              <w:rPr>
                <w:color w:val="1C3A36"/>
                <w:sz w:val="17"/>
              </w:rPr>
              <w:t>10.0%</w:t>
            </w:r>
          </w:p>
        </w:tc>
        <w:tc>
          <w:tcPr>
            <w:tcW w:type="dxa" w:w="1944"/>
          </w:tcPr>
          <w:p>
            <w:pPr>
              <w:spacing w:after="20"/>
              <w:jc w:val="right"/>
            </w:pPr>
            <w:r>
              <w:rPr>
                <w:color w:val="1C3A36"/>
                <w:sz w:val="17"/>
              </w:rPr>
              <w:t>1,910</w:t>
            </w:r>
          </w:p>
        </w:tc>
        <w:tc>
          <w:tcPr>
            <w:tcW w:type="dxa" w:w="1296"/>
          </w:tcPr>
          <w:p>
            <w:pPr>
              <w:spacing w:after="20"/>
              <w:jc w:val="right"/>
            </w:pPr>
            <w:r>
              <w:rPr>
                <w:color w:val="1C3A36"/>
                <w:sz w:val="17"/>
              </w:rPr>
              <w:t>12.7%</w:t>
            </w:r>
          </w:p>
        </w:tc>
      </w:tr>
      <w:tr>
        <w:trPr>
          <w:cantSplit/>
        </w:trPr>
        <w:tc>
          <w:tcPr>
            <w:tcW w:type="dxa" w:w="2592"/>
          </w:tcPr>
          <w:p>
            <w:pPr>
              <w:spacing w:after="20"/>
            </w:pPr>
            <w:r>
              <w:rPr>
                <w:color w:val="1C3A36"/>
                <w:sz w:val="17"/>
              </w:rPr>
              <w:t>Free-market urea</w:t>
            </w:r>
          </w:p>
        </w:tc>
        <w:tc>
          <w:tcPr>
            <w:tcW w:type="dxa" w:w="1944"/>
          </w:tcPr>
          <w:p>
            <w:pPr>
              <w:spacing w:after="20"/>
              <w:jc w:val="right"/>
            </w:pPr>
            <w:r>
              <w:rPr>
                <w:color w:val="1C3A36"/>
                <w:sz w:val="17"/>
              </w:rPr>
              <w:t>1,058</w:t>
            </w:r>
          </w:p>
        </w:tc>
        <w:tc>
          <w:tcPr>
            <w:tcW w:type="dxa" w:w="1296"/>
          </w:tcPr>
          <w:p>
            <w:pPr>
              <w:spacing w:after="20"/>
              <w:jc w:val="right"/>
            </w:pPr>
            <w:r>
              <w:rPr>
                <w:color w:val="1C3A36"/>
                <w:sz w:val="17"/>
              </w:rPr>
              <w:t>9.1%</w:t>
            </w:r>
          </w:p>
        </w:tc>
        <w:tc>
          <w:tcPr>
            <w:tcW w:type="dxa" w:w="1944"/>
          </w:tcPr>
          <w:p>
            <w:pPr>
              <w:spacing w:after="20"/>
              <w:jc w:val="right"/>
            </w:pPr>
            <w:r>
              <w:rPr>
                <w:color w:val="1C3A36"/>
                <w:sz w:val="17"/>
              </w:rPr>
              <w:t>1,452</w:t>
            </w:r>
          </w:p>
        </w:tc>
        <w:tc>
          <w:tcPr>
            <w:tcW w:type="dxa" w:w="1296"/>
          </w:tcPr>
          <w:p>
            <w:pPr>
              <w:spacing w:after="20"/>
              <w:jc w:val="right"/>
            </w:pPr>
            <w:r>
              <w:rPr>
                <w:color w:val="1C3A36"/>
                <w:sz w:val="17"/>
              </w:rPr>
              <w:t>9.7%</w:t>
            </w:r>
          </w:p>
        </w:tc>
      </w:tr>
      <w:tr>
        <w:trPr>
          <w:cantSplit/>
        </w:trPr>
        <w:tc>
          <w:tcPr>
            <w:tcW w:type="dxa" w:w="2592"/>
          </w:tcPr>
          <w:p>
            <w:pPr>
              <w:spacing w:after="20"/>
            </w:pPr>
            <w:r>
              <w:rPr>
                <w:color w:val="1C3A36"/>
                <w:sz w:val="17"/>
              </w:rPr>
              <w:t>Nitrates</w:t>
            </w:r>
          </w:p>
        </w:tc>
        <w:tc>
          <w:tcPr>
            <w:tcW w:type="dxa" w:w="1944"/>
          </w:tcPr>
          <w:p>
            <w:pPr>
              <w:spacing w:after="20"/>
              <w:jc w:val="right"/>
            </w:pPr>
            <w:r>
              <w:rPr>
                <w:color w:val="1C3A36"/>
                <w:sz w:val="17"/>
              </w:rPr>
              <w:t>588</w:t>
            </w:r>
          </w:p>
        </w:tc>
        <w:tc>
          <w:tcPr>
            <w:tcW w:type="dxa" w:w="1296"/>
          </w:tcPr>
          <w:p>
            <w:pPr>
              <w:spacing w:after="20"/>
              <w:jc w:val="right"/>
            </w:pPr>
            <w:r>
              <w:rPr>
                <w:color w:val="1C3A36"/>
                <w:sz w:val="17"/>
              </w:rPr>
              <w:t>5.0%</w:t>
            </w:r>
          </w:p>
        </w:tc>
        <w:tc>
          <w:tcPr>
            <w:tcW w:type="dxa" w:w="1944"/>
          </w:tcPr>
          <w:p>
            <w:pPr>
              <w:spacing w:after="20"/>
              <w:jc w:val="right"/>
            </w:pPr>
            <w:r>
              <w:rPr>
                <w:color w:val="1C3A36"/>
                <w:sz w:val="17"/>
              </w:rPr>
              <w:t>734</w:t>
            </w:r>
          </w:p>
        </w:tc>
        <w:tc>
          <w:tcPr>
            <w:tcW w:type="dxa" w:w="1296"/>
          </w:tcPr>
          <w:p>
            <w:pPr>
              <w:spacing w:after="20"/>
              <w:jc w:val="right"/>
            </w:pPr>
            <w:r>
              <w:rPr>
                <w:color w:val="1C3A36"/>
                <w:sz w:val="17"/>
              </w:rPr>
              <w:t>4.9%</w:t>
            </w:r>
          </w:p>
        </w:tc>
      </w:tr>
      <w:tr>
        <w:trPr>
          <w:cantSplit/>
        </w:trPr>
        <w:tc>
          <w:tcPr>
            <w:tcW w:type="dxa" w:w="2592"/>
          </w:tcPr>
          <w:p>
            <w:pPr>
              <w:spacing w:after="20"/>
            </w:pPr>
            <w:r>
              <w:rPr>
                <w:color w:val="1C3A36"/>
                <w:sz w:val="17"/>
              </w:rPr>
              <w:t>Other</w:t>
            </w:r>
          </w:p>
        </w:tc>
        <w:tc>
          <w:tcPr>
            <w:tcW w:type="dxa" w:w="1944"/>
          </w:tcPr>
          <w:p>
            <w:pPr>
              <w:spacing w:after="20"/>
              <w:jc w:val="right"/>
            </w:pPr>
            <w:r>
              <w:rPr>
                <w:color w:val="1C3A36"/>
                <w:sz w:val="17"/>
              </w:rPr>
              <w:t>140</w:t>
            </w:r>
          </w:p>
        </w:tc>
        <w:tc>
          <w:tcPr>
            <w:tcW w:type="dxa" w:w="1296"/>
          </w:tcPr>
          <w:p>
            <w:pPr>
              <w:spacing w:after="20"/>
              <w:jc w:val="right"/>
            </w:pPr>
            <w:r>
              <w:rPr>
                <w:color w:val="1C3A36"/>
                <w:sz w:val="17"/>
              </w:rPr>
              <w:t>1.2%</w:t>
            </w:r>
          </w:p>
        </w:tc>
        <w:tc>
          <w:tcPr>
            <w:tcW w:type="dxa" w:w="1944"/>
          </w:tcPr>
          <w:p>
            <w:pPr>
              <w:spacing w:after="20"/>
              <w:jc w:val="right"/>
            </w:pPr>
            <w:r>
              <w:rPr>
                <w:color w:val="1C3A36"/>
                <w:sz w:val="17"/>
              </w:rPr>
              <w:t>186</w:t>
            </w:r>
          </w:p>
        </w:tc>
        <w:tc>
          <w:tcPr>
            <w:tcW w:type="dxa" w:w="1296"/>
          </w:tcPr>
          <w:p>
            <w:pPr>
              <w:spacing w:after="20"/>
              <w:jc w:val="right"/>
            </w:pPr>
            <w:r>
              <w:rPr>
                <w:color w:val="1C3A36"/>
                <w:sz w:val="17"/>
              </w:rPr>
              <w:t>1.2%</w:t>
            </w:r>
          </w:p>
        </w:tc>
      </w:tr>
      <w:tr>
        <w:trPr>
          <w:cantSplit/>
        </w:trPr>
        <w:tc>
          <w:tcPr>
            <w:tcW w:type="dxa" w:w="2592"/>
            <w:shd w:val="clear" w:color="auto" w:fill="F6F1E6"/>
          </w:tcPr>
          <w:p>
            <w:pPr>
              <w:spacing w:after="20"/>
            </w:pPr>
            <w:r>
              <w:rPr>
                <w:b/>
                <w:color w:val="1C3A36"/>
                <w:sz w:val="17"/>
              </w:rPr>
              <w:t>Total</w:t>
            </w:r>
          </w:p>
        </w:tc>
        <w:tc>
          <w:tcPr>
            <w:tcW w:type="dxa" w:w="1944"/>
            <w:shd w:val="clear" w:color="auto" w:fill="F6F1E6"/>
          </w:tcPr>
          <w:p>
            <w:pPr>
              <w:spacing w:after="20"/>
              <w:jc w:val="right"/>
            </w:pPr>
            <w:r>
              <w:rPr>
                <w:b/>
                <w:color w:val="1C3A36"/>
                <w:sz w:val="17"/>
              </w:rPr>
              <w:t>11,674</w:t>
            </w:r>
          </w:p>
        </w:tc>
        <w:tc>
          <w:tcPr>
            <w:tcW w:type="dxa" w:w="1296"/>
            <w:shd w:val="clear" w:color="auto" w:fill="F6F1E6"/>
          </w:tcPr>
          <w:p>
            <w:pPr>
              <w:spacing w:after="20"/>
              <w:jc w:val="right"/>
            </w:pPr>
            <w:r>
              <w:rPr>
                <w:b/>
                <w:color w:val="1C3A36"/>
                <w:sz w:val="17"/>
              </w:rPr>
              <w:t>100.0%</w:t>
            </w:r>
          </w:p>
        </w:tc>
        <w:tc>
          <w:tcPr>
            <w:tcW w:type="dxa" w:w="1944"/>
            <w:shd w:val="clear" w:color="auto" w:fill="F6F1E6"/>
          </w:tcPr>
          <w:p>
            <w:pPr>
              <w:spacing w:after="20"/>
              <w:jc w:val="right"/>
            </w:pPr>
            <w:r>
              <w:rPr>
                <w:b/>
                <w:color w:val="1C3A36"/>
                <w:sz w:val="17"/>
              </w:rPr>
              <w:t>15,043</w:t>
            </w:r>
          </w:p>
        </w:tc>
        <w:tc>
          <w:tcPr>
            <w:tcW w:type="dxa" w:w="1296"/>
            <w:shd w:val="clear" w:color="auto" w:fill="F6F1E6"/>
          </w:tcPr>
          <w:p>
            <w:pPr>
              <w:spacing w:after="20"/>
              <w:jc w:val="right"/>
            </w:pPr>
            <w:r>
              <w:rPr>
                <w:b/>
                <w:color w:val="1C3A36"/>
                <w:sz w:val="17"/>
              </w:rPr>
              <w:t>100.0%</w:t>
            </w:r>
          </w:p>
        </w:tc>
      </w:tr>
    </w:tbl>
    <w:p>
      <w:pPr>
        <w:spacing w:after="40"/>
      </w:pPr>
    </w:p>
    <w:p>
      <w:pPr>
        <w:spacing w:after="200" w:before="0"/>
      </w:pPr>
      <w:r>
        <w:rPr>
          <w:b w:val="0"/>
          <w:i/>
          <w:color w:val="6E7B77"/>
          <w:sz w:val="17"/>
        </w:rPr>
        <w:t>Table 13.  The export leg shrinks as a share of the total, not because the company sells less abroad but because the administered domestic price rises faster than the export price falls. A reader who expects the opposite is disagreeing with one of those two paths, and section 1.9 prices both.</w:t>
      </w:r>
    </w:p>
    <w:p>
      <w:pPr>
        <w:spacing w:after="120" w:before="0"/>
      </w:pPr>
      <w:r>
        <w:rPr>
          <w:b w:val="0"/>
          <w:i/>
          <w:color w:val="1C3A36"/>
          <w:sz w:val="19"/>
        </w:rPr>
        <w:t>One allocation is the model's rather than the company's, and it is the largest in the study. The audited statements give a single materials line and do not split gas from everything else. Gas is set at three quarters of that line, which implies 1,292 cubic metres per tonne of ammonia — inside the auditor's own disclosed range of 1,025 to 1,771. A reader who prefers a different split should move the gas driver and watch the model reprice.</w:t>
      </w:r>
    </w:p>
    <w:p>
      <w:pPr>
        <w:keepNext/>
        <w:spacing w:after="80" w:before="200"/>
      </w:pPr>
      <w:r>
        <w:rPr>
          <w:b/>
          <w:i w:val="0"/>
          <w:color w:val="1C3A36"/>
          <w:sz w:val="24"/>
        </w:rPr>
        <w:t>1.7  The crux — the capital programme first, the price second</w:t>
      </w:r>
    </w:p>
    <w:p>
      <w:pPr>
        <w:spacing w:after="120" w:before="0"/>
      </w:pPr>
      <w:r>
        <w:rPr>
          <w:b w:val="0"/>
          <w:i w:val="0"/>
          <w:color w:val="1C3A36"/>
          <w:sz w:val="21"/>
        </w:rPr>
        <w:t>One judgement dominates. The new complex has a bank-approved cost of EGP 6,422 million plus US$278.4 million — about EGP 20.3 billion at today's rate, against a stock-market value of EGP 28.6 billion. EGP 5,654 million sat in construction at 31 March 2026 and the auditor put physical progress at 12.9% against a 37.0% plan.</w:t>
      </w:r>
    </w:p>
    <w:p>
      <w:pPr>
        <w:spacing w:after="120" w:before="0"/>
      </w:pPr>
      <w:r>
        <w:rPr>
          <w:b/>
          <w:i w:val="0"/>
          <w:color w:val="1C3A36"/>
          <w:sz w:val="21"/>
        </w:rPr>
        <w:t>Carried through, the programme is worth EGP 2.31 a share. Stopped, EGP 6.26. The difference, EGP 3.95 a share or EGP 7,843 million of equity, is the cost of the programme to shareholders on this model's assumptions. What decides it is whether the plant, once built, earns a return above the capital sunk into it. On the disclosed cost and the derived nameplate it does not.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520"/>
        <w:gridCol w:w="3456"/>
      </w:tblGrid>
      <w:tr>
        <w:trPr>
          <w:cantSplit/>
          <w:tblHeader/>
        </w:trPr>
        <w:tc>
          <w:tcPr>
            <w:tcW w:type="dxa" w:w="4104"/>
            <w:shd w:val="clear" w:color="auto" w:fill="EAF0EE"/>
          </w:tcPr>
          <w:p>
            <w:pPr>
              <w:spacing w:after="20"/>
            </w:pPr>
            <w:r>
              <w:rPr>
                <w:b/>
                <w:color w:val="1C3A36"/>
                <w:sz w:val="16"/>
              </w:rPr>
              <w:t>The capital programme</w:t>
            </w:r>
          </w:p>
        </w:tc>
        <w:tc>
          <w:tcPr>
            <w:tcW w:type="dxa" w:w="2520"/>
            <w:shd w:val="clear" w:color="auto" w:fill="EAF0EE"/>
          </w:tcPr>
          <w:p>
            <w:pPr>
              <w:spacing w:after="20"/>
            </w:pPr>
            <w:r>
              <w:rPr>
                <w:b/>
                <w:color w:val="1C3A36"/>
                <w:sz w:val="16"/>
              </w:rPr>
              <w:t>Value</w:t>
            </w:r>
          </w:p>
        </w:tc>
        <w:tc>
          <w:tcPr>
            <w:tcW w:type="dxa" w:w="3456"/>
            <w:shd w:val="clear" w:color="auto" w:fill="EAF0EE"/>
          </w:tcPr>
          <w:p>
            <w:pPr>
              <w:spacing w:after="20"/>
            </w:pPr>
            <w:r>
              <w:rPr>
                <w:b/>
                <w:color w:val="1C3A36"/>
                <w:sz w:val="16"/>
              </w:rPr>
              <w:t>Where it comes from</w:t>
            </w:r>
          </w:p>
        </w:tc>
      </w:tr>
      <w:tr>
        <w:trPr>
          <w:cantSplit/>
        </w:trPr>
        <w:tc>
          <w:tcPr>
            <w:tcW w:type="dxa" w:w="4104"/>
          </w:tcPr>
          <w:p>
            <w:pPr>
              <w:spacing w:after="20"/>
            </w:pPr>
            <w:r>
              <w:rPr>
                <w:color w:val="1C3A36"/>
                <w:sz w:val="16"/>
              </w:rPr>
              <w:t>Bank-approved cost</w:t>
            </w:r>
          </w:p>
        </w:tc>
        <w:tc>
          <w:tcPr>
            <w:tcW w:type="dxa" w:w="2520"/>
          </w:tcPr>
          <w:p>
            <w:pPr>
              <w:spacing w:after="20"/>
              <w:jc w:val="right"/>
            </w:pPr>
            <w:r>
              <w:rPr>
                <w:color w:val="1C3A36"/>
                <w:sz w:val="16"/>
              </w:rPr>
              <w:t>EGP 6,422m plus US$278.4m</w:t>
            </w:r>
          </w:p>
        </w:tc>
        <w:tc>
          <w:tcPr>
            <w:tcW w:type="dxa" w:w="3456"/>
          </w:tcPr>
          <w:p>
            <w:pPr>
              <w:spacing w:after="20"/>
            </w:pPr>
            <w:r>
              <w:rPr>
                <w:color w:val="1C3A36"/>
                <w:sz w:val="16"/>
              </w:rPr>
              <w:t>The facility signed on 25 June 2025</w:t>
            </w:r>
          </w:p>
        </w:tc>
      </w:tr>
      <w:tr>
        <w:trPr>
          <w:cantSplit/>
        </w:trPr>
        <w:tc>
          <w:tcPr>
            <w:tcW w:type="dxa" w:w="4104"/>
          </w:tcPr>
          <w:p>
            <w:pPr>
              <w:spacing w:after="20"/>
            </w:pPr>
            <w:r>
              <w:rPr>
                <w:color w:val="1C3A36"/>
                <w:sz w:val="16"/>
              </w:rPr>
              <w:t>Approved cost, one currency</w:t>
            </w:r>
          </w:p>
        </w:tc>
        <w:tc>
          <w:tcPr>
            <w:tcW w:type="dxa" w:w="2520"/>
          </w:tcPr>
          <w:p>
            <w:pPr>
              <w:spacing w:after="20"/>
              <w:jc w:val="right"/>
            </w:pPr>
            <w:r>
              <w:rPr>
                <w:color w:val="1C3A36"/>
                <w:sz w:val="16"/>
              </w:rPr>
              <w:t>EGP 20,342m</w:t>
            </w:r>
          </w:p>
        </w:tc>
        <w:tc>
          <w:tcPr>
            <w:tcW w:type="dxa" w:w="3456"/>
          </w:tcPr>
          <w:p>
            <w:pPr>
              <w:spacing w:after="20"/>
            </w:pPr>
            <w:r>
              <w:rPr>
                <w:color w:val="1C3A36"/>
                <w:sz w:val="16"/>
              </w:rPr>
              <w:t>At the rate prevailing when it was approved</w:t>
            </w:r>
          </w:p>
        </w:tc>
      </w:tr>
      <w:tr>
        <w:trPr>
          <w:cantSplit/>
        </w:trPr>
        <w:tc>
          <w:tcPr>
            <w:tcW w:type="dxa" w:w="4104"/>
          </w:tcPr>
          <w:p>
            <w:pPr>
              <w:spacing w:after="20"/>
            </w:pPr>
            <w:r>
              <w:rPr>
                <w:color w:val="1C3A36"/>
                <w:sz w:val="16"/>
              </w:rPr>
              <w:t>As a share of the whole company's market value</w:t>
            </w:r>
          </w:p>
        </w:tc>
        <w:tc>
          <w:tcPr>
            <w:tcW w:type="dxa" w:w="2520"/>
          </w:tcPr>
          <w:p>
            <w:pPr>
              <w:spacing w:after="20"/>
              <w:jc w:val="right"/>
            </w:pPr>
            <w:r>
              <w:rPr>
                <w:color w:val="1C3A36"/>
                <w:sz w:val="16"/>
              </w:rPr>
              <w:t>71.1%</w:t>
            </w:r>
          </w:p>
        </w:tc>
        <w:tc>
          <w:tcPr>
            <w:tcW w:type="dxa" w:w="3456"/>
          </w:tcPr>
          <w:p>
            <w:pPr>
              <w:spacing w:after="20"/>
            </w:pPr>
            <w:r>
              <w:rPr>
                <w:color w:val="1C3A36"/>
                <w:sz w:val="16"/>
              </w:rPr>
              <w:t>Against a market value of EGP 28,627m</w:t>
            </w:r>
          </w:p>
        </w:tc>
      </w:tr>
      <w:tr>
        <w:trPr>
          <w:cantSplit/>
        </w:trPr>
        <w:tc>
          <w:tcPr>
            <w:tcW w:type="dxa" w:w="4104"/>
          </w:tcPr>
          <w:p>
            <w:pPr>
              <w:spacing w:after="20"/>
            </w:pPr>
            <w:r>
              <w:rPr>
                <w:color w:val="1C3A36"/>
                <w:sz w:val="16"/>
              </w:rPr>
              <w:t>Spent by 31 March 2026</w:t>
            </w:r>
          </w:p>
        </w:tc>
        <w:tc>
          <w:tcPr>
            <w:tcW w:type="dxa" w:w="2520"/>
          </w:tcPr>
          <w:p>
            <w:pPr>
              <w:spacing w:after="20"/>
              <w:jc w:val="right"/>
            </w:pPr>
            <w:r>
              <w:rPr>
                <w:color w:val="1C3A36"/>
                <w:sz w:val="16"/>
              </w:rPr>
              <w:t>EGP 5,654m</w:t>
            </w:r>
          </w:p>
        </w:tc>
        <w:tc>
          <w:tcPr>
            <w:tcW w:type="dxa" w:w="3456"/>
          </w:tcPr>
          <w:p>
            <w:pPr>
              <w:spacing w:after="20"/>
            </w:pPr>
            <w:r>
              <w:rPr>
                <w:color w:val="1C3A36"/>
                <w:sz w:val="16"/>
              </w:rPr>
              <w:t>Construction in progress on the reviewed balance sheet</w:t>
            </w:r>
          </w:p>
        </w:tc>
      </w:tr>
      <w:tr>
        <w:trPr>
          <w:cantSplit/>
        </w:trPr>
        <w:tc>
          <w:tcPr>
            <w:tcW w:type="dxa" w:w="4104"/>
            <w:shd w:val="clear" w:color="auto" w:fill="F6F1E6"/>
          </w:tcPr>
          <w:p>
            <w:pPr>
              <w:spacing w:after="20"/>
            </w:pPr>
            <w:r>
              <w:rPr>
                <w:b/>
                <w:color w:val="1C3A36"/>
                <w:sz w:val="16"/>
              </w:rPr>
              <w:t>Money spent, as a share of the approved cost</w:t>
            </w:r>
          </w:p>
        </w:tc>
        <w:tc>
          <w:tcPr>
            <w:tcW w:type="dxa" w:w="2520"/>
            <w:shd w:val="clear" w:color="auto" w:fill="F6F1E6"/>
          </w:tcPr>
          <w:p>
            <w:pPr>
              <w:spacing w:after="20"/>
              <w:jc w:val="right"/>
            </w:pPr>
            <w:r>
              <w:rPr>
                <w:b/>
                <w:color w:val="1C3A36"/>
                <w:sz w:val="16"/>
              </w:rPr>
              <w:t>27.8%</w:t>
            </w:r>
          </w:p>
        </w:tc>
        <w:tc>
          <w:tcPr>
            <w:tcW w:type="dxa" w:w="3456"/>
            <w:shd w:val="clear" w:color="auto" w:fill="F6F1E6"/>
          </w:tcPr>
          <w:p>
            <w:pPr>
              <w:spacing w:after="20"/>
            </w:pPr>
            <w:r>
              <w:rPr>
                <w:b/>
                <w:color w:val="1C3A36"/>
                <w:sz w:val="16"/>
              </w:rPr>
              <w:t>Derived</w:t>
            </w:r>
          </w:p>
        </w:tc>
      </w:tr>
      <w:tr>
        <w:trPr>
          <w:cantSplit/>
        </w:trPr>
        <w:tc>
          <w:tcPr>
            <w:tcW w:type="dxa" w:w="4104"/>
          </w:tcPr>
          <w:p>
            <w:pPr>
              <w:spacing w:after="20"/>
            </w:pPr>
            <w:r>
              <w:rPr>
                <w:color w:val="1C3A36"/>
                <w:sz w:val="16"/>
              </w:rPr>
              <w:t>Physical progress reported</w:t>
            </w:r>
          </w:p>
        </w:tc>
        <w:tc>
          <w:tcPr>
            <w:tcW w:type="dxa" w:w="2520"/>
          </w:tcPr>
          <w:p>
            <w:pPr>
              <w:spacing w:after="20"/>
              <w:jc w:val="right"/>
            </w:pPr>
            <w:r>
              <w:rPr>
                <w:color w:val="1C3A36"/>
                <w:sz w:val="16"/>
              </w:rPr>
              <w:t>12.9%</w:t>
            </w:r>
          </w:p>
        </w:tc>
        <w:tc>
          <w:tcPr>
            <w:tcW w:type="dxa" w:w="3456"/>
          </w:tcPr>
          <w:p>
            <w:pPr>
              <w:spacing w:after="20"/>
            </w:pPr>
            <w:r>
              <w:rPr>
                <w:color w:val="1C3A36"/>
                <w:sz w:val="16"/>
              </w:rPr>
              <w:t>The auditor's own figure at September 2025</w:t>
            </w:r>
          </w:p>
        </w:tc>
      </w:tr>
      <w:tr>
        <w:trPr>
          <w:cantSplit/>
        </w:trPr>
        <w:tc>
          <w:tcPr>
            <w:tcW w:type="dxa" w:w="4104"/>
          </w:tcPr>
          <w:p>
            <w:pPr>
              <w:spacing w:after="20"/>
            </w:pPr>
            <w:r>
              <w:rPr>
                <w:color w:val="1C3A36"/>
                <w:sz w:val="16"/>
              </w:rPr>
              <w:t>Physical progress planned by the same date</w:t>
            </w:r>
          </w:p>
        </w:tc>
        <w:tc>
          <w:tcPr>
            <w:tcW w:type="dxa" w:w="2520"/>
          </w:tcPr>
          <w:p>
            <w:pPr>
              <w:spacing w:after="20"/>
              <w:jc w:val="right"/>
            </w:pPr>
            <w:r>
              <w:rPr>
                <w:color w:val="1C3A36"/>
                <w:sz w:val="16"/>
              </w:rPr>
              <w:t>37.0%</w:t>
            </w:r>
          </w:p>
        </w:tc>
        <w:tc>
          <w:tcPr>
            <w:tcW w:type="dxa" w:w="3456"/>
          </w:tcPr>
          <w:p>
            <w:pPr>
              <w:spacing w:after="20"/>
            </w:pPr>
            <w:r>
              <w:rPr>
                <w:color w:val="1C3A36"/>
                <w:sz w:val="16"/>
              </w:rPr>
              <w:t>The auditor's own figure</w:t>
            </w:r>
          </w:p>
        </w:tc>
      </w:tr>
      <w:tr>
        <w:trPr>
          <w:cantSplit/>
        </w:trPr>
        <w:tc>
          <w:tcPr>
            <w:tcW w:type="dxa" w:w="4104"/>
          </w:tcPr>
          <w:p>
            <w:pPr>
              <w:spacing w:after="20"/>
            </w:pPr>
            <w:r>
              <w:rPr>
                <w:color w:val="1C3A36"/>
                <w:sz w:val="16"/>
              </w:rPr>
              <w:t>Still to spend</w:t>
            </w:r>
          </w:p>
        </w:tc>
        <w:tc>
          <w:tcPr>
            <w:tcW w:type="dxa" w:w="2520"/>
          </w:tcPr>
          <w:p>
            <w:pPr>
              <w:spacing w:after="20"/>
              <w:jc w:val="right"/>
            </w:pPr>
            <w:r>
              <w:rPr>
                <w:color w:val="1C3A36"/>
                <w:sz w:val="16"/>
              </w:rPr>
              <w:t>EGP 14,688m</w:t>
            </w:r>
          </w:p>
        </w:tc>
        <w:tc>
          <w:tcPr>
            <w:tcW w:type="dxa" w:w="3456"/>
          </w:tcPr>
          <w:p>
            <w:pPr>
              <w:spacing w:after="20"/>
            </w:pPr>
            <w:r>
              <w:rPr>
                <w:color w:val="1C3A36"/>
                <w:sz w:val="16"/>
              </w:rPr>
              <w:t>Derived</w:t>
            </w:r>
          </w:p>
        </w:tc>
      </w:tr>
      <w:tr>
        <w:trPr>
          <w:cantSplit/>
        </w:trPr>
        <w:tc>
          <w:tcPr>
            <w:tcW w:type="dxa" w:w="4104"/>
          </w:tcPr>
          <w:p>
            <w:pPr>
              <w:spacing w:after="20"/>
            </w:pPr>
            <w:r>
              <w:rPr>
                <w:color w:val="1C3A36"/>
                <w:sz w:val="16"/>
              </w:rPr>
              <w:t>Derived nameplate</w:t>
            </w:r>
          </w:p>
        </w:tc>
        <w:tc>
          <w:tcPr>
            <w:tcW w:type="dxa" w:w="2520"/>
          </w:tcPr>
          <w:p>
            <w:pPr>
              <w:spacing w:after="20"/>
              <w:jc w:val="right"/>
            </w:pPr>
            <w:r>
              <w:rPr>
                <w:color w:val="1C3A36"/>
                <w:sz w:val="16"/>
              </w:rPr>
              <w:t>264,000 tonnes a year</w:t>
            </w:r>
          </w:p>
        </w:tc>
        <w:tc>
          <w:tcPr>
            <w:tcW w:type="dxa" w:w="3456"/>
          </w:tcPr>
          <w:p>
            <w:pPr>
              <w:spacing w:after="20"/>
            </w:pPr>
            <w:r>
              <w:rPr>
                <w:color w:val="1C3A36"/>
                <w:sz w:val="16"/>
              </w:rPr>
              <w:t>FLAGGED as derived: no filing states it</w:t>
            </w:r>
          </w:p>
        </w:tc>
      </w:tr>
      <w:tr>
        <w:trPr>
          <w:cantSplit/>
        </w:trPr>
        <w:tc>
          <w:tcPr>
            <w:tcW w:type="dxa" w:w="4104"/>
          </w:tcPr>
          <w:p>
            <w:pPr>
              <w:spacing w:after="20"/>
            </w:pPr>
            <w:r>
              <w:rPr>
                <w:color w:val="1C3A36"/>
                <w:sz w:val="16"/>
              </w:rPr>
              <w:t>Capital per annual tonne</w:t>
            </w:r>
          </w:p>
        </w:tc>
        <w:tc>
          <w:tcPr>
            <w:tcW w:type="dxa" w:w="2520"/>
          </w:tcPr>
          <w:p>
            <w:pPr>
              <w:spacing w:after="20"/>
              <w:jc w:val="right"/>
            </w:pPr>
            <w:r>
              <w:rPr>
                <w:color w:val="1C3A36"/>
                <w:sz w:val="16"/>
              </w:rPr>
              <w:t>EGP 77,052</w:t>
            </w:r>
          </w:p>
        </w:tc>
        <w:tc>
          <w:tcPr>
            <w:tcW w:type="dxa" w:w="3456"/>
          </w:tcPr>
          <w:p>
            <w:pPr>
              <w:spacing w:after="20"/>
            </w:pPr>
            <w:r>
              <w:rPr>
                <w:color w:val="1C3A36"/>
                <w:sz w:val="16"/>
              </w:rPr>
              <w:t>Approved cost over derived nameplate</w:t>
            </w:r>
          </w:p>
        </w:tc>
      </w:tr>
      <w:tr>
        <w:trPr>
          <w:cantSplit/>
        </w:trPr>
        <w:tc>
          <w:tcPr>
            <w:tcW w:type="dxa" w:w="4104"/>
          </w:tcPr>
          <w:p>
            <w:pPr>
              <w:spacing w:after="20"/>
            </w:pPr>
            <w:r>
              <w:rPr>
                <w:color w:val="1C3A36"/>
                <w:sz w:val="16"/>
              </w:rPr>
              <w:t>What it earns after tax in the terminal year, at half nameplate</w:t>
            </w:r>
          </w:p>
        </w:tc>
        <w:tc>
          <w:tcPr>
            <w:tcW w:type="dxa" w:w="2520"/>
          </w:tcPr>
          <w:p>
            <w:pPr>
              <w:spacing w:after="20"/>
              <w:jc w:val="right"/>
            </w:pPr>
            <w:r>
              <w:rPr>
                <w:color w:val="1C3A36"/>
                <w:sz w:val="16"/>
              </w:rPr>
              <w:t>EGP 40m</w:t>
            </w:r>
          </w:p>
        </w:tc>
        <w:tc>
          <w:tcPr>
            <w:tcW w:type="dxa" w:w="3456"/>
          </w:tcPr>
          <w:p>
            <w:pPr>
              <w:spacing w:after="20"/>
            </w:pPr>
            <w:r>
              <w:rPr>
                <w:color w:val="1C3A36"/>
                <w:sz w:val="16"/>
              </w:rPr>
              <w:t>The model's own terminal year</w:t>
            </w:r>
          </w:p>
        </w:tc>
      </w:tr>
      <w:tr>
        <w:trPr>
          <w:cantSplit/>
        </w:trPr>
        <w:tc>
          <w:tcPr>
            <w:tcW w:type="dxa" w:w="4104"/>
            <w:shd w:val="clear" w:color="auto" w:fill="F6F1E6"/>
          </w:tcPr>
          <w:p>
            <w:pPr>
              <w:spacing w:after="20"/>
            </w:pPr>
            <w:r>
              <w:rPr>
                <w:b/>
                <w:color w:val="1C3A36"/>
                <w:sz w:val="16"/>
              </w:rPr>
              <w:t>Return on the approved cost</w:t>
            </w:r>
          </w:p>
        </w:tc>
        <w:tc>
          <w:tcPr>
            <w:tcW w:type="dxa" w:w="2520"/>
            <w:shd w:val="clear" w:color="auto" w:fill="F6F1E6"/>
          </w:tcPr>
          <w:p>
            <w:pPr>
              <w:spacing w:after="20"/>
              <w:jc w:val="right"/>
            </w:pPr>
            <w:r>
              <w:rPr>
                <w:b/>
                <w:color w:val="1C3A36"/>
                <w:sz w:val="16"/>
              </w:rPr>
              <w:t>0.2%</w:t>
            </w:r>
          </w:p>
        </w:tc>
        <w:tc>
          <w:tcPr>
            <w:tcW w:type="dxa" w:w="3456"/>
            <w:shd w:val="clear" w:color="auto" w:fill="F6F1E6"/>
          </w:tcPr>
          <w:p>
            <w:pPr>
              <w:spacing w:after="20"/>
            </w:pPr>
            <w:r>
              <w:rPr>
                <w:b/>
                <w:color w:val="1C3A36"/>
                <w:sz w:val="16"/>
              </w:rPr>
              <w:t>Derived</w:t>
            </w:r>
          </w:p>
        </w:tc>
      </w:tr>
      <w:tr>
        <w:trPr>
          <w:cantSplit/>
        </w:trPr>
        <w:tc>
          <w:tcPr>
            <w:tcW w:type="dxa" w:w="4104"/>
            <w:shd w:val="clear" w:color="auto" w:fill="F6F1E6"/>
          </w:tcPr>
          <w:p>
            <w:pPr>
              <w:spacing w:after="20"/>
            </w:pPr>
            <w:r>
              <w:rPr>
                <w:b/>
                <w:color w:val="1C3A36"/>
                <w:sz w:val="16"/>
              </w:rPr>
              <w:t>Against a terminal cost of capital of</w:t>
            </w:r>
          </w:p>
        </w:tc>
        <w:tc>
          <w:tcPr>
            <w:tcW w:type="dxa" w:w="2520"/>
            <w:shd w:val="clear" w:color="auto" w:fill="F6F1E6"/>
          </w:tcPr>
          <w:p>
            <w:pPr>
              <w:spacing w:after="20"/>
              <w:jc w:val="right"/>
            </w:pPr>
            <w:r>
              <w:rPr>
                <w:b/>
                <w:color w:val="1C3A36"/>
                <w:sz w:val="16"/>
              </w:rPr>
              <w:t>18.6%</w:t>
            </w:r>
          </w:p>
        </w:tc>
        <w:tc>
          <w:tcPr>
            <w:tcW w:type="dxa" w:w="3456"/>
            <w:shd w:val="clear" w:color="auto" w:fill="F6F1E6"/>
          </w:tcPr>
          <w:p>
            <w:pPr>
              <w:spacing w:after="20"/>
            </w:pPr>
            <w:r>
              <w:rPr>
                <w:b/>
                <w:color w:val="1C3A36"/>
                <w:sz w:val="16"/>
              </w:rPr>
              <w:t>Section 1.8</w:t>
            </w:r>
          </w:p>
        </w:tc>
      </w:tr>
    </w:tbl>
    <w:p>
      <w:pPr>
        <w:spacing w:after="40"/>
      </w:pPr>
    </w:p>
    <w:p>
      <w:pPr>
        <w:spacing w:after="200" w:before="0"/>
      </w:pPr>
      <w:r>
        <w:rPr>
          <w:b w:val="0"/>
          <w:i/>
          <w:color w:val="6E7B77"/>
          <w:sz w:val="17"/>
        </w:rPr>
        <w:t>Table 14.  The two lines that matter are the fifth and the sixth. More than a quarter of the money has been spent against an eighth of the plant, and the whole of it earns a return an order of magnitude below what the capital costs. Neither number is a forecast: both are the company's own disclosures set against the model's own terminal year.</w:t>
      </w:r>
    </w:p>
    <w:p>
      <w:pPr>
        <w:spacing w:after="40"/>
        <w:jc w:val="center"/>
      </w:pPr>
      <w:r>
        <w:drawing>
          <wp:inline xmlns:a="http://schemas.openxmlformats.org/drawingml/2006/main" xmlns:pic="http://schemas.openxmlformats.org/drawingml/2006/picture">
            <wp:extent cx="6309360" cy="2382105"/>
            <wp:docPr id="7" name="Picture 7"/>
            <wp:cNvGraphicFramePr>
              <a:graphicFrameLocks noChangeAspect="1"/>
            </wp:cNvGraphicFramePr>
            <a:graphic>
              <a:graphicData uri="http://schemas.openxmlformats.org/drawingml/2006/picture">
                <pic:pic>
                  <pic:nvPicPr>
                    <pic:cNvPr id="0" name="fig14_programme.png"/>
                    <pic:cNvPicPr/>
                  </pic:nvPicPr>
                  <pic:blipFill>
                    <a:blip r:embed="rId15"/>
                    <a:stretch>
                      <a:fillRect/>
                    </a:stretch>
                  </pic:blipFill>
                  <pic:spPr>
                    <a:xfrm>
                      <a:off x="0" y="0"/>
                      <a:ext cx="6309360" cy="2382105"/>
                    </a:xfrm>
                    <a:prstGeom prst="rect"/>
                  </pic:spPr>
                </pic:pic>
              </a:graphicData>
            </a:graphic>
          </wp:inline>
        </w:drawing>
      </w:r>
    </w:p>
    <w:p>
      <w:pPr>
        <w:spacing w:after="200" w:before="0"/>
      </w:pPr>
      <w:r>
        <w:rPr>
          <w:b w:val="0"/>
          <w:i/>
          <w:color w:val="6E7B77"/>
          <w:sz w:val="17"/>
        </w:rPr>
        <w:t>Figure 7.  On the left, what has been spent against what has been built. On the right, what the finished plant earns against what the capital costs.</w:t>
      </w:r>
    </w:p>
    <w:p>
      <w:pPr>
        <w:keepNext/>
        <w:spacing w:after="80" w:before="200"/>
      </w:pPr>
      <w:r>
        <w:rPr>
          <w:b/>
          <w:i w:val="0"/>
          <w:color w:val="1C3A36"/>
          <w:sz w:val="24"/>
        </w:rPr>
        <w:t>What the company actually spends — the capital-expenditure record</w:t>
      </w:r>
    </w:p>
    <w:p>
      <w:pPr>
        <w:spacing w:after="120" w:before="0"/>
      </w:pPr>
      <w:r>
        <w:rPr>
          <w:b w:val="0"/>
          <w:i w:val="0"/>
          <w:color w:val="1C3A36"/>
          <w:sz w:val="21"/>
        </w:rPr>
        <w:t>Before any of the above can be read, one question has to be answered from the statements rather than assumed: is this a one-off build, or is it what this company spends? The cash-flow statements answer it directly. The investing section carries a single line — payments to acquire fixed assets, projects under construction — and it has two clean years before the programme started.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2232"/>
        <w:gridCol w:w="1656"/>
        <w:gridCol w:w="1152"/>
        <w:gridCol w:w="3240"/>
      </w:tblGrid>
      <w:tr>
        <w:trPr>
          <w:cantSplit/>
          <w:tblHeader/>
        </w:trPr>
        <w:tc>
          <w:tcPr>
            <w:tcW w:type="dxa" w:w="1800"/>
            <w:shd w:val="clear" w:color="auto" w:fill="EAF0EE"/>
          </w:tcPr>
          <w:p>
            <w:pPr>
              <w:spacing w:after="20"/>
            </w:pPr>
            <w:r>
              <w:rPr>
                <w:b/>
                <w:color w:val="1C3A36"/>
                <w:sz w:val="16"/>
              </w:rPr>
              <w:t>Year</w:t>
            </w:r>
          </w:p>
        </w:tc>
        <w:tc>
          <w:tcPr>
            <w:tcW w:type="dxa" w:w="2232"/>
            <w:shd w:val="clear" w:color="auto" w:fill="EAF0EE"/>
          </w:tcPr>
          <w:p>
            <w:pPr>
              <w:spacing w:after="20"/>
            </w:pPr>
            <w:r>
              <w:rPr>
                <w:b/>
                <w:color w:val="1C3A36"/>
                <w:sz w:val="16"/>
              </w:rPr>
              <w:t>Capital expenditure paid (EGP m)</w:t>
            </w:r>
          </w:p>
        </w:tc>
        <w:tc>
          <w:tcPr>
            <w:tcW w:type="dxa" w:w="1656"/>
            <w:shd w:val="clear" w:color="auto" w:fill="EAF0EE"/>
          </w:tcPr>
          <w:p>
            <w:pPr>
              <w:spacing w:after="20"/>
            </w:pPr>
            <w:r>
              <w:rPr>
                <w:b/>
                <w:color w:val="1C3A36"/>
                <w:sz w:val="16"/>
              </w:rPr>
              <w:t>Revenue (EGP m)</w:t>
            </w:r>
          </w:p>
        </w:tc>
        <w:tc>
          <w:tcPr>
            <w:tcW w:type="dxa" w:w="1152"/>
            <w:shd w:val="clear" w:color="auto" w:fill="EAF0EE"/>
          </w:tcPr>
          <w:p>
            <w:pPr>
              <w:spacing w:after="20"/>
            </w:pPr>
            <w:r>
              <w:rPr>
                <w:b/>
                <w:color w:val="1C3A36"/>
                <w:sz w:val="16"/>
              </w:rPr>
              <w:t>Of revenue</w:t>
            </w:r>
          </w:p>
        </w:tc>
        <w:tc>
          <w:tcPr>
            <w:tcW w:type="dxa" w:w="3240"/>
            <w:shd w:val="clear" w:color="auto" w:fill="EAF0EE"/>
          </w:tcPr>
          <w:p>
            <w:pPr>
              <w:spacing w:after="20"/>
            </w:pPr>
            <w:r>
              <w:rPr>
                <w:b/>
                <w:color w:val="1C3A36"/>
                <w:sz w:val="16"/>
              </w:rPr>
              <w:t>What it was</w:t>
            </w:r>
          </w:p>
        </w:tc>
      </w:tr>
      <w:tr>
        <w:trPr>
          <w:cantSplit/>
        </w:trPr>
        <w:tc>
          <w:tcPr>
            <w:tcW w:type="dxa" w:w="1800"/>
            <w:shd w:val="clear" w:color="auto" w:fill="F6F1E6"/>
          </w:tcPr>
          <w:p>
            <w:pPr>
              <w:spacing w:after="20"/>
            </w:pPr>
            <w:r>
              <w:rPr>
                <w:b/>
                <w:color w:val="1C3A36"/>
                <w:sz w:val="16"/>
              </w:rPr>
              <w:t>FY2021/22</w:t>
            </w:r>
          </w:p>
        </w:tc>
        <w:tc>
          <w:tcPr>
            <w:tcW w:type="dxa" w:w="2232"/>
            <w:shd w:val="clear" w:color="auto" w:fill="F6F1E6"/>
          </w:tcPr>
          <w:p>
            <w:pPr>
              <w:spacing w:after="20"/>
              <w:jc w:val="right"/>
            </w:pPr>
            <w:r>
              <w:rPr>
                <w:b/>
                <w:color w:val="1C3A36"/>
                <w:sz w:val="16"/>
              </w:rPr>
              <w:t>80.8</w:t>
            </w:r>
          </w:p>
        </w:tc>
        <w:tc>
          <w:tcPr>
            <w:tcW w:type="dxa" w:w="1656"/>
            <w:shd w:val="clear" w:color="auto" w:fill="F6F1E6"/>
          </w:tcPr>
          <w:p>
            <w:pPr>
              <w:spacing w:after="20"/>
              <w:jc w:val="right"/>
            </w:pPr>
            <w:r>
              <w:rPr>
                <w:b/>
                <w:color w:val="1C3A36"/>
                <w:sz w:val="16"/>
              </w:rPr>
              <w:t>4,441</w:t>
            </w:r>
          </w:p>
        </w:tc>
        <w:tc>
          <w:tcPr>
            <w:tcW w:type="dxa" w:w="1152"/>
            <w:shd w:val="clear" w:color="auto" w:fill="F6F1E6"/>
          </w:tcPr>
          <w:p>
            <w:pPr>
              <w:spacing w:after="20"/>
              <w:jc w:val="right"/>
            </w:pPr>
            <w:r>
              <w:rPr>
                <w:b/>
                <w:color w:val="1C3A36"/>
                <w:sz w:val="16"/>
              </w:rPr>
              <w:t>1.8%</w:t>
            </w:r>
          </w:p>
        </w:tc>
        <w:tc>
          <w:tcPr>
            <w:tcW w:type="dxa" w:w="3240"/>
            <w:shd w:val="clear" w:color="auto" w:fill="F6F1E6"/>
          </w:tcPr>
          <w:p>
            <w:pPr>
              <w:spacing w:after="20"/>
            </w:pPr>
            <w:r>
              <w:rPr>
                <w:b/>
                <w:color w:val="1C3A36"/>
                <w:sz w:val="16"/>
              </w:rPr>
              <w:t>Before the project</w:t>
            </w:r>
          </w:p>
        </w:tc>
      </w:tr>
      <w:tr>
        <w:trPr>
          <w:cantSplit/>
        </w:trPr>
        <w:tc>
          <w:tcPr>
            <w:tcW w:type="dxa" w:w="1800"/>
            <w:shd w:val="clear" w:color="auto" w:fill="F6F1E6"/>
          </w:tcPr>
          <w:p>
            <w:pPr>
              <w:spacing w:after="20"/>
            </w:pPr>
            <w:r>
              <w:rPr>
                <w:b/>
                <w:color w:val="1C3A36"/>
                <w:sz w:val="16"/>
              </w:rPr>
              <w:t>FY2022/23</w:t>
            </w:r>
          </w:p>
        </w:tc>
        <w:tc>
          <w:tcPr>
            <w:tcW w:type="dxa" w:w="2232"/>
            <w:shd w:val="clear" w:color="auto" w:fill="F6F1E6"/>
          </w:tcPr>
          <w:p>
            <w:pPr>
              <w:spacing w:after="20"/>
              <w:jc w:val="right"/>
            </w:pPr>
            <w:r>
              <w:rPr>
                <w:b/>
                <w:color w:val="1C3A36"/>
                <w:sz w:val="16"/>
              </w:rPr>
              <w:t>42.5</w:t>
            </w:r>
          </w:p>
        </w:tc>
        <w:tc>
          <w:tcPr>
            <w:tcW w:type="dxa" w:w="1656"/>
            <w:shd w:val="clear" w:color="auto" w:fill="F6F1E6"/>
          </w:tcPr>
          <w:p>
            <w:pPr>
              <w:spacing w:after="20"/>
              <w:jc w:val="right"/>
            </w:pPr>
            <w:r>
              <w:rPr>
                <w:b/>
                <w:color w:val="1C3A36"/>
                <w:sz w:val="16"/>
              </w:rPr>
              <w:t>6,612</w:t>
            </w:r>
          </w:p>
        </w:tc>
        <w:tc>
          <w:tcPr>
            <w:tcW w:type="dxa" w:w="1152"/>
            <w:shd w:val="clear" w:color="auto" w:fill="F6F1E6"/>
          </w:tcPr>
          <w:p>
            <w:pPr>
              <w:spacing w:after="20"/>
              <w:jc w:val="right"/>
            </w:pPr>
            <w:r>
              <w:rPr>
                <w:b/>
                <w:color w:val="1C3A36"/>
                <w:sz w:val="16"/>
              </w:rPr>
              <w:t>0.6%</w:t>
            </w:r>
          </w:p>
        </w:tc>
        <w:tc>
          <w:tcPr>
            <w:tcW w:type="dxa" w:w="3240"/>
            <w:shd w:val="clear" w:color="auto" w:fill="F6F1E6"/>
          </w:tcPr>
          <w:p>
            <w:pPr>
              <w:spacing w:after="20"/>
            </w:pPr>
            <w:r>
              <w:rPr>
                <w:b/>
                <w:color w:val="1C3A36"/>
                <w:sz w:val="16"/>
              </w:rPr>
              <w:t>Before the project</w:t>
            </w:r>
          </w:p>
        </w:tc>
      </w:tr>
      <w:tr>
        <w:trPr>
          <w:cantSplit/>
        </w:trPr>
        <w:tc>
          <w:tcPr>
            <w:tcW w:type="dxa" w:w="1800"/>
          </w:tcPr>
          <w:p>
            <w:pPr>
              <w:spacing w:after="20"/>
            </w:pPr>
            <w:r>
              <w:rPr>
                <w:color w:val="1C3A36"/>
                <w:sz w:val="16"/>
              </w:rPr>
              <w:t>FY2023/24</w:t>
            </w:r>
          </w:p>
        </w:tc>
        <w:tc>
          <w:tcPr>
            <w:tcW w:type="dxa" w:w="2232"/>
          </w:tcPr>
          <w:p>
            <w:pPr>
              <w:spacing w:after="20"/>
              <w:jc w:val="right"/>
            </w:pPr>
            <w:r>
              <w:rPr>
                <w:color w:val="1C3A36"/>
                <w:sz w:val="16"/>
              </w:rPr>
              <w:t>2,396.6</w:t>
            </w:r>
          </w:p>
        </w:tc>
        <w:tc>
          <w:tcPr>
            <w:tcW w:type="dxa" w:w="1656"/>
          </w:tcPr>
          <w:p>
            <w:pPr>
              <w:spacing w:after="20"/>
              <w:jc w:val="right"/>
            </w:pPr>
            <w:r>
              <w:rPr>
                <w:color w:val="1C3A36"/>
                <w:sz w:val="16"/>
              </w:rPr>
              <w:t>6,532</w:t>
            </w:r>
          </w:p>
        </w:tc>
        <w:tc>
          <w:tcPr>
            <w:tcW w:type="dxa" w:w="1152"/>
          </w:tcPr>
          <w:p>
            <w:pPr>
              <w:spacing w:after="20"/>
              <w:jc w:val="right"/>
            </w:pPr>
            <w:r>
              <w:rPr>
                <w:color w:val="1C3A36"/>
                <w:sz w:val="16"/>
              </w:rPr>
              <w:t>36.7%</w:t>
            </w:r>
          </w:p>
        </w:tc>
        <w:tc>
          <w:tcPr>
            <w:tcW w:type="dxa" w:w="3240"/>
          </w:tcPr>
          <w:p>
            <w:pPr>
              <w:spacing w:after="20"/>
            </w:pPr>
            <w:r>
              <w:rPr>
                <w:color w:val="1C3A36"/>
                <w:sz w:val="16"/>
              </w:rPr>
              <w:t>The build begins</w:t>
            </w:r>
          </w:p>
        </w:tc>
      </w:tr>
      <w:tr>
        <w:trPr>
          <w:cantSplit/>
        </w:trPr>
        <w:tc>
          <w:tcPr>
            <w:tcW w:type="dxa" w:w="1800"/>
          </w:tcPr>
          <w:p>
            <w:pPr>
              <w:spacing w:after="20"/>
            </w:pPr>
            <w:r>
              <w:rPr>
                <w:color w:val="1C3A36"/>
                <w:sz w:val="16"/>
              </w:rPr>
              <w:t>FY2024/25</w:t>
            </w:r>
          </w:p>
        </w:tc>
        <w:tc>
          <w:tcPr>
            <w:tcW w:type="dxa" w:w="2232"/>
          </w:tcPr>
          <w:p>
            <w:pPr>
              <w:spacing w:after="20"/>
              <w:jc w:val="right"/>
            </w:pPr>
            <w:r>
              <w:rPr>
                <w:color w:val="1C3A36"/>
                <w:sz w:val="16"/>
              </w:rPr>
              <w:t>1,545.1</w:t>
            </w:r>
          </w:p>
        </w:tc>
        <w:tc>
          <w:tcPr>
            <w:tcW w:type="dxa" w:w="1656"/>
          </w:tcPr>
          <w:p>
            <w:pPr>
              <w:spacing w:after="20"/>
              <w:jc w:val="right"/>
            </w:pPr>
            <w:r>
              <w:rPr>
                <w:color w:val="1C3A36"/>
                <w:sz w:val="16"/>
              </w:rPr>
              <w:t>8,603</w:t>
            </w:r>
          </w:p>
        </w:tc>
        <w:tc>
          <w:tcPr>
            <w:tcW w:type="dxa" w:w="1152"/>
          </w:tcPr>
          <w:p>
            <w:pPr>
              <w:spacing w:after="20"/>
              <w:jc w:val="right"/>
            </w:pPr>
            <w:r>
              <w:rPr>
                <w:color w:val="1C3A36"/>
                <w:sz w:val="16"/>
              </w:rPr>
              <w:t>18.0%</w:t>
            </w:r>
          </w:p>
        </w:tc>
        <w:tc>
          <w:tcPr>
            <w:tcW w:type="dxa" w:w="3240"/>
          </w:tcPr>
          <w:p>
            <w:pPr>
              <w:spacing w:after="20"/>
            </w:pPr>
            <w:r>
              <w:rPr>
                <w:color w:val="1C3A36"/>
                <w:sz w:val="16"/>
              </w:rPr>
              <w:t>Building</w:t>
            </w:r>
          </w:p>
        </w:tc>
      </w:tr>
      <w:tr>
        <w:trPr>
          <w:cantSplit/>
        </w:trPr>
        <w:tc>
          <w:tcPr>
            <w:tcW w:type="dxa" w:w="1800"/>
          </w:tcPr>
          <w:p>
            <w:pPr>
              <w:spacing w:after="20"/>
            </w:pPr>
            <w:r>
              <w:rPr>
                <w:color w:val="1C3A36"/>
                <w:sz w:val="16"/>
              </w:rPr>
              <w:t>9M FY2025/26</w:t>
            </w:r>
          </w:p>
        </w:tc>
        <w:tc>
          <w:tcPr>
            <w:tcW w:type="dxa" w:w="2232"/>
          </w:tcPr>
          <w:p>
            <w:pPr>
              <w:spacing w:after="20"/>
              <w:jc w:val="right"/>
            </w:pPr>
            <w:r>
              <w:rPr>
                <w:color w:val="1C3A36"/>
                <w:sz w:val="16"/>
              </w:rPr>
              <w:t>1,949.1</w:t>
            </w:r>
          </w:p>
        </w:tc>
        <w:tc>
          <w:tcPr>
            <w:tcW w:type="dxa" w:w="1656"/>
          </w:tcPr>
          <w:p>
            <w:pPr>
              <w:spacing w:after="20"/>
              <w:jc w:val="right"/>
            </w:pPr>
            <w:r>
              <w:rPr>
                <w:color w:val="1C3A36"/>
                <w:sz w:val="16"/>
              </w:rPr>
              <w:t>7,315</w:t>
            </w:r>
          </w:p>
        </w:tc>
        <w:tc>
          <w:tcPr>
            <w:tcW w:type="dxa" w:w="1152"/>
          </w:tcPr>
          <w:p>
            <w:pPr>
              <w:spacing w:after="20"/>
              <w:jc w:val="right"/>
            </w:pPr>
            <w:r>
              <w:rPr>
                <w:color w:val="1C3A36"/>
                <w:sz w:val="16"/>
              </w:rPr>
              <w:t>26.6%</w:t>
            </w:r>
          </w:p>
        </w:tc>
        <w:tc>
          <w:tcPr>
            <w:tcW w:type="dxa" w:w="3240"/>
          </w:tcPr>
          <w:p>
            <w:pPr>
              <w:spacing w:after="20"/>
            </w:pPr>
            <w:r>
              <w:rPr>
                <w:color w:val="1C3A36"/>
                <w:sz w:val="16"/>
              </w:rPr>
              <w:t>Nine months actual; a full year at this rate is EGP 2,599m</w:t>
            </w:r>
          </w:p>
        </w:tc>
      </w:tr>
    </w:tbl>
    <w:p>
      <w:pPr>
        <w:spacing w:after="40"/>
      </w:pPr>
    </w:p>
    <w:p>
      <w:pPr>
        <w:spacing w:after="200" w:before="0"/>
      </w:pPr>
      <w:r>
        <w:rPr>
          <w:b w:val="0"/>
          <w:i/>
          <w:color w:val="6E7B77"/>
          <w:sz w:val="17"/>
        </w:rPr>
        <w:t>Table 15.  The two shaded years are the answer. With nothing being built, this plant cost EGP 80.8m and then EGP 42.5m a year to keep running — pooled, 1.1% of revenue. Everything above that is the new complex.</w:t>
      </w:r>
    </w:p>
    <w:p>
      <w:pPr>
        <w:spacing w:after="120" w:before="0"/>
      </w:pPr>
      <w:r>
        <w:rPr>
          <w:b/>
          <w:i w:val="0"/>
          <w:color w:val="1C3A36"/>
          <w:sz w:val="21"/>
        </w:rPr>
        <w:t>Three things follow, and the first two correct this study rather than confirm it. First, the capital expenditure in the forecast IS a one-off bulk: EGP 14,688 million across five years against EGP 14,688 million still to spend on the approved cost, after which it stops. Second, it does not repeat inside any horizon this study can see — the disclosed depreciation rate on the plant's machinery is 3.95% a year, an asset life of about 25 years, so the replacement cycle sits far beyond the terminal year. Third, and this is the correction: maintenance capital expenditure is now set at the 1.1% of revenue the company has actually paid, not at a three per cent mature-plant standard. That standard was an assertion, it was 2.7 times the pooled rate of the two pre-project years and 1.6 times the higher of them, and no disclosure supported it.</w:t>
      </w:r>
    </w:p>
    <w:p>
      <w:pPr>
        <w:spacing w:after="120" w:before="0"/>
      </w:pPr>
      <w:r>
        <w:rPr>
          <w:b w:val="0"/>
          <w:i w:val="0"/>
          <w:color w:val="1C3A36"/>
          <w:sz w:val="21"/>
        </w:rPr>
        <w:t>The project path is anchored the same way. The company spent EGP 1,545.1m in the last audited year and EGP 1,949.1m in nine months of this one — a full year at that rate is EGP 2,599m, and that is where the forecast now opens. The remaining years complete the approved cost inside the window, because the terminal year only earns if the plant is finished.</w:t>
      </w:r>
    </w:p>
    <w:p>
      <w:pPr>
        <w:spacing w:after="120" w:before="0"/>
      </w:pPr>
      <w:r>
        <w:rPr>
          <w:b w:val="0"/>
          <w:i/>
          <w:color w:val="1C3A36"/>
          <w:sz w:val="19"/>
        </w:rPr>
        <w:t>The honest counter-argument is that the two pre-project years flatter the plant: it was newly built, and new plant does not need much. The upper framing of the same driver is replacement-rate maintenance — gross fixed assets at that same 3.95% machinery rate, or 6.1% of revenue. Both are published: the observed rate is the central and the replacement rate is the downside, and they are worth EGP 0.91 a share between them. They are not averaged.</w:t>
      </w:r>
    </w:p>
    <w:p>
      <w:pPr>
        <w:keepNext/>
        <w:spacing w:after="80" w:before="200"/>
      </w:pPr>
      <w:r>
        <w:rPr>
          <w:b/>
          <w:i w:val="0"/>
          <w:color w:val="1C3A36"/>
          <w:sz w:val="24"/>
        </w:rPr>
        <w:t>The asset-conversion cycle — disclosed, then projected from it</w:t>
      </w:r>
    </w:p>
    <w:p>
      <w:pPr>
        <w:spacing w:after="120" w:before="0"/>
      </w:pPr>
      <w:r>
        <w:rPr>
          <w:b w:val="0"/>
          <w:i w:val="0"/>
          <w:color w:val="1C3A36"/>
          <w:sz w:val="21"/>
        </w:rPr>
        <w:t>Working capital is not a percentage of revenue in this model. It is three day counts taken from the audited statements and applied to the forecast revenue and cost of sales, so that every pound of it traces to a receivable, an inventory or a payable rather than to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1656"/>
        <w:gridCol w:w="1656"/>
        <w:gridCol w:w="2232"/>
      </w:tblGrid>
      <w:tr>
        <w:trPr>
          <w:cantSplit/>
          <w:tblHeader/>
        </w:trPr>
        <w:tc>
          <w:tcPr>
            <w:tcW w:type="dxa" w:w="2880"/>
            <w:shd w:val="clear" w:color="auto" w:fill="EAF0EE"/>
          </w:tcPr>
          <w:p>
            <w:pPr>
              <w:spacing w:after="20"/>
            </w:pPr>
            <w:r>
              <w:rPr>
                <w:b/>
                <w:color w:val="1C3A36"/>
                <w:sz w:val="17"/>
              </w:rPr>
              <w:t>Days</w:t>
            </w:r>
          </w:p>
        </w:tc>
        <w:tc>
          <w:tcPr>
            <w:tcW w:type="dxa" w:w="1656"/>
            <w:shd w:val="clear" w:color="auto" w:fill="EAF0EE"/>
          </w:tcPr>
          <w:p>
            <w:pPr>
              <w:spacing w:after="20"/>
            </w:pPr>
            <w:r>
              <w:rPr>
                <w:b/>
                <w:color w:val="1C3A36"/>
                <w:sz w:val="17"/>
              </w:rPr>
              <w:t>FY2022/23</w:t>
            </w:r>
          </w:p>
        </w:tc>
        <w:tc>
          <w:tcPr>
            <w:tcW w:type="dxa" w:w="1656"/>
            <w:shd w:val="clear" w:color="auto" w:fill="EAF0EE"/>
          </w:tcPr>
          <w:p>
            <w:pPr>
              <w:spacing w:after="20"/>
            </w:pPr>
            <w:r>
              <w:rPr>
                <w:b/>
                <w:color w:val="1C3A36"/>
                <w:sz w:val="17"/>
              </w:rPr>
              <w:t>FY2023/24</w:t>
            </w:r>
          </w:p>
        </w:tc>
        <w:tc>
          <w:tcPr>
            <w:tcW w:type="dxa" w:w="1656"/>
            <w:shd w:val="clear" w:color="auto" w:fill="EAF0EE"/>
          </w:tcPr>
          <w:p>
            <w:pPr>
              <w:spacing w:after="20"/>
            </w:pPr>
            <w:r>
              <w:rPr>
                <w:b/>
                <w:color w:val="1C3A36"/>
                <w:sz w:val="17"/>
              </w:rPr>
              <w:t>FY2024/25</w:t>
            </w:r>
          </w:p>
        </w:tc>
        <w:tc>
          <w:tcPr>
            <w:tcW w:type="dxa" w:w="2232"/>
            <w:shd w:val="clear" w:color="auto" w:fill="EAF0EE"/>
          </w:tcPr>
          <w:p>
            <w:pPr>
              <w:spacing w:after="20"/>
            </w:pPr>
            <w:r>
              <w:rPr>
                <w:b/>
                <w:color w:val="1C3A36"/>
                <w:sz w:val="17"/>
              </w:rPr>
              <w:t>Carried forward</w:t>
            </w:r>
          </w:p>
        </w:tc>
      </w:tr>
      <w:tr>
        <w:trPr>
          <w:cantSplit/>
        </w:trPr>
        <w:tc>
          <w:tcPr>
            <w:tcW w:type="dxa" w:w="2880"/>
          </w:tcPr>
          <w:p>
            <w:pPr>
              <w:spacing w:after="20"/>
            </w:pPr>
            <w:r>
              <w:rPr>
                <w:color w:val="1C3A36"/>
                <w:sz w:val="17"/>
              </w:rPr>
              <w:t>Receivable days</w:t>
            </w:r>
          </w:p>
        </w:tc>
        <w:tc>
          <w:tcPr>
            <w:tcW w:type="dxa" w:w="1656"/>
          </w:tcPr>
          <w:p>
            <w:pPr>
              <w:spacing w:after="20"/>
              <w:jc w:val="right"/>
            </w:pPr>
            <w:r>
              <w:rPr>
                <w:color w:val="1C3A36"/>
                <w:sz w:val="17"/>
              </w:rPr>
              <w:t>44.1</w:t>
            </w:r>
          </w:p>
        </w:tc>
        <w:tc>
          <w:tcPr>
            <w:tcW w:type="dxa" w:w="1656"/>
          </w:tcPr>
          <w:p>
            <w:pPr>
              <w:spacing w:after="20"/>
              <w:jc w:val="right"/>
            </w:pPr>
            <w:r>
              <w:rPr>
                <w:color w:val="1C3A36"/>
                <w:sz w:val="17"/>
              </w:rPr>
              <w:t>48.0</w:t>
            </w:r>
          </w:p>
        </w:tc>
        <w:tc>
          <w:tcPr>
            <w:tcW w:type="dxa" w:w="1656"/>
          </w:tcPr>
          <w:p>
            <w:pPr>
              <w:spacing w:after="20"/>
              <w:jc w:val="right"/>
            </w:pPr>
            <w:r>
              <w:rPr>
                <w:color w:val="1C3A36"/>
                <w:sz w:val="17"/>
              </w:rPr>
              <w:t>26.8</w:t>
            </w:r>
          </w:p>
        </w:tc>
        <w:tc>
          <w:tcPr>
            <w:tcW w:type="dxa" w:w="2232"/>
          </w:tcPr>
          <w:p>
            <w:pPr>
              <w:spacing w:after="20"/>
              <w:jc w:val="right"/>
            </w:pPr>
            <w:r>
              <w:rPr>
                <w:color w:val="1C3A36"/>
                <w:sz w:val="17"/>
              </w:rPr>
              <w:t>26.8</w:t>
            </w:r>
          </w:p>
        </w:tc>
      </w:tr>
      <w:tr>
        <w:trPr>
          <w:cantSplit/>
        </w:trPr>
        <w:tc>
          <w:tcPr>
            <w:tcW w:type="dxa" w:w="2880"/>
          </w:tcPr>
          <w:p>
            <w:pPr>
              <w:spacing w:after="20"/>
            </w:pPr>
            <w:r>
              <w:rPr>
                <w:color w:val="1C3A36"/>
                <w:sz w:val="17"/>
              </w:rPr>
              <w:t>Inventory days</w:t>
            </w:r>
          </w:p>
        </w:tc>
        <w:tc>
          <w:tcPr>
            <w:tcW w:type="dxa" w:w="1656"/>
          </w:tcPr>
          <w:p>
            <w:pPr>
              <w:spacing w:after="20"/>
              <w:jc w:val="right"/>
            </w:pPr>
            <w:r>
              <w:rPr>
                <w:color w:val="1C3A36"/>
                <w:sz w:val="17"/>
              </w:rPr>
              <w:t>142.1</w:t>
            </w:r>
          </w:p>
        </w:tc>
        <w:tc>
          <w:tcPr>
            <w:tcW w:type="dxa" w:w="1656"/>
          </w:tcPr>
          <w:p>
            <w:pPr>
              <w:spacing w:after="20"/>
              <w:jc w:val="right"/>
            </w:pPr>
            <w:r>
              <w:rPr>
                <w:color w:val="1C3A36"/>
                <w:sz w:val="17"/>
              </w:rPr>
              <w:t>134.1</w:t>
            </w:r>
          </w:p>
        </w:tc>
        <w:tc>
          <w:tcPr>
            <w:tcW w:type="dxa" w:w="1656"/>
          </w:tcPr>
          <w:p>
            <w:pPr>
              <w:spacing w:after="20"/>
              <w:jc w:val="right"/>
            </w:pPr>
            <w:r>
              <w:rPr>
                <w:color w:val="1C3A36"/>
                <w:sz w:val="17"/>
              </w:rPr>
              <w:t>165.2</w:t>
            </w:r>
          </w:p>
        </w:tc>
        <w:tc>
          <w:tcPr>
            <w:tcW w:type="dxa" w:w="2232"/>
          </w:tcPr>
          <w:p>
            <w:pPr>
              <w:spacing w:after="20"/>
              <w:jc w:val="right"/>
            </w:pPr>
            <w:r>
              <w:rPr>
                <w:color w:val="1C3A36"/>
                <w:sz w:val="17"/>
              </w:rPr>
              <w:t>165.2</w:t>
            </w:r>
          </w:p>
        </w:tc>
      </w:tr>
      <w:tr>
        <w:trPr>
          <w:cantSplit/>
        </w:trPr>
        <w:tc>
          <w:tcPr>
            <w:tcW w:type="dxa" w:w="2880"/>
          </w:tcPr>
          <w:p>
            <w:pPr>
              <w:spacing w:after="20"/>
            </w:pPr>
            <w:r>
              <w:rPr>
                <w:color w:val="1C3A36"/>
                <w:sz w:val="17"/>
              </w:rPr>
              <w:t>Payable days</w:t>
            </w:r>
          </w:p>
        </w:tc>
        <w:tc>
          <w:tcPr>
            <w:tcW w:type="dxa" w:w="1656"/>
          </w:tcPr>
          <w:p>
            <w:pPr>
              <w:spacing w:after="20"/>
              <w:jc w:val="right"/>
            </w:pPr>
            <w:r>
              <w:rPr>
                <w:color w:val="1C3A36"/>
                <w:sz w:val="17"/>
              </w:rPr>
              <w:t>139.7</w:t>
            </w:r>
          </w:p>
        </w:tc>
        <w:tc>
          <w:tcPr>
            <w:tcW w:type="dxa" w:w="1656"/>
          </w:tcPr>
          <w:p>
            <w:pPr>
              <w:spacing w:after="20"/>
              <w:jc w:val="right"/>
            </w:pPr>
            <w:r>
              <w:rPr>
                <w:color w:val="1C3A36"/>
                <w:sz w:val="17"/>
              </w:rPr>
              <w:t>131.8</w:t>
            </w:r>
          </w:p>
        </w:tc>
        <w:tc>
          <w:tcPr>
            <w:tcW w:type="dxa" w:w="1656"/>
          </w:tcPr>
          <w:p>
            <w:pPr>
              <w:spacing w:after="20"/>
              <w:jc w:val="right"/>
            </w:pPr>
            <w:r>
              <w:rPr>
                <w:color w:val="1C3A36"/>
                <w:sz w:val="17"/>
              </w:rPr>
              <w:t>83.2</w:t>
            </w:r>
          </w:p>
        </w:tc>
        <w:tc>
          <w:tcPr>
            <w:tcW w:type="dxa" w:w="2232"/>
          </w:tcPr>
          <w:p>
            <w:pPr>
              <w:spacing w:after="20"/>
              <w:jc w:val="right"/>
            </w:pPr>
            <w:r>
              <w:rPr>
                <w:color w:val="1C3A36"/>
                <w:sz w:val="17"/>
              </w:rPr>
              <w:t>83.2</w:t>
            </w:r>
          </w:p>
        </w:tc>
      </w:tr>
      <w:tr>
        <w:trPr>
          <w:cantSplit/>
        </w:trPr>
        <w:tc>
          <w:tcPr>
            <w:tcW w:type="dxa" w:w="2880"/>
            <w:shd w:val="clear" w:color="auto" w:fill="F6F1E6"/>
          </w:tcPr>
          <w:p>
            <w:pPr>
              <w:spacing w:after="20"/>
            </w:pPr>
            <w:r>
              <w:rPr>
                <w:b/>
                <w:color w:val="1C3A36"/>
                <w:sz w:val="17"/>
              </w:rPr>
              <w:t>Cash-conversion cycle</w:t>
            </w:r>
          </w:p>
        </w:tc>
        <w:tc>
          <w:tcPr>
            <w:tcW w:type="dxa" w:w="1656"/>
            <w:shd w:val="clear" w:color="auto" w:fill="F6F1E6"/>
          </w:tcPr>
          <w:p>
            <w:pPr>
              <w:spacing w:after="20"/>
              <w:jc w:val="right"/>
            </w:pPr>
            <w:r>
              <w:rPr>
                <w:b/>
                <w:color w:val="1C3A36"/>
                <w:sz w:val="17"/>
              </w:rPr>
              <w:t>46.5</w:t>
            </w:r>
          </w:p>
        </w:tc>
        <w:tc>
          <w:tcPr>
            <w:tcW w:type="dxa" w:w="1656"/>
            <w:shd w:val="clear" w:color="auto" w:fill="F6F1E6"/>
          </w:tcPr>
          <w:p>
            <w:pPr>
              <w:spacing w:after="20"/>
              <w:jc w:val="right"/>
            </w:pPr>
            <w:r>
              <w:rPr>
                <w:b/>
                <w:color w:val="1C3A36"/>
                <w:sz w:val="17"/>
              </w:rPr>
              <w:t>50.3</w:t>
            </w:r>
          </w:p>
        </w:tc>
        <w:tc>
          <w:tcPr>
            <w:tcW w:type="dxa" w:w="1656"/>
            <w:shd w:val="clear" w:color="auto" w:fill="F6F1E6"/>
          </w:tcPr>
          <w:p>
            <w:pPr>
              <w:spacing w:after="20"/>
              <w:jc w:val="right"/>
            </w:pPr>
            <w:r>
              <w:rPr>
                <w:b/>
                <w:color w:val="1C3A36"/>
                <w:sz w:val="17"/>
              </w:rPr>
              <w:t>108.9</w:t>
            </w:r>
          </w:p>
        </w:tc>
        <w:tc>
          <w:tcPr>
            <w:tcW w:type="dxa" w:w="2232"/>
            <w:shd w:val="clear" w:color="auto" w:fill="F6F1E6"/>
          </w:tcPr>
          <w:p>
            <w:pPr>
              <w:spacing w:after="20"/>
              <w:jc w:val="right"/>
            </w:pPr>
            <w:r>
              <w:rPr>
                <w:b/>
                <w:color w:val="1C3A36"/>
                <w:sz w:val="17"/>
              </w:rPr>
              <w:t>108.9</w:t>
            </w:r>
          </w:p>
        </w:tc>
      </w:tr>
      <w:tr>
        <w:trPr>
          <w:cantSplit/>
        </w:trPr>
        <w:tc>
          <w:tcPr>
            <w:tcW w:type="dxa" w:w="2880"/>
          </w:tcPr>
          <w:p>
            <w:pPr>
              <w:spacing w:after="20"/>
            </w:pPr>
            <w:r>
              <w:rPr>
                <w:color w:val="1C3A36"/>
                <w:sz w:val="17"/>
              </w:rPr>
              <w:t>Working capital (EGP m)</w:t>
            </w:r>
          </w:p>
        </w:tc>
        <w:tc>
          <w:tcPr>
            <w:tcW w:type="dxa" w:w="1656"/>
          </w:tcPr>
          <w:p>
            <w:pPr>
              <w:spacing w:after="20"/>
              <w:jc w:val="right"/>
            </w:pPr>
            <w:r>
              <w:rPr>
                <w:color w:val="1C3A36"/>
                <w:sz w:val="17"/>
              </w:rPr>
              <w:t>823</w:t>
            </w:r>
          </w:p>
        </w:tc>
        <w:tc>
          <w:tcPr>
            <w:tcW w:type="dxa" w:w="1656"/>
          </w:tcPr>
          <w:p>
            <w:pPr>
              <w:spacing w:after="20"/>
              <w:jc w:val="right"/>
            </w:pPr>
            <w:r>
              <w:rPr>
                <w:color w:val="1C3A36"/>
                <w:sz w:val="17"/>
              </w:rPr>
              <w:t>887</w:t>
            </w:r>
          </w:p>
        </w:tc>
        <w:tc>
          <w:tcPr>
            <w:tcW w:type="dxa" w:w="1656"/>
          </w:tcPr>
          <w:p>
            <w:pPr>
              <w:spacing w:after="20"/>
              <w:jc w:val="right"/>
            </w:pPr>
            <w:r>
              <w:rPr>
                <w:color w:val="1C3A36"/>
                <w:sz w:val="17"/>
              </w:rPr>
              <w:t>1,823</w:t>
            </w:r>
          </w:p>
        </w:tc>
        <w:tc>
          <w:tcPr>
            <w:tcW w:type="dxa" w:w="2232"/>
          </w:tcPr>
          <w:p>
            <w:pPr>
              <w:spacing w:after="20"/>
              <w:jc w:val="right"/>
            </w:pPr>
            <w:r>
              <w:rPr>
                <w:color w:val="1C3A36"/>
                <w:sz w:val="17"/>
              </w:rPr>
              <w:t>2,281</w:t>
            </w:r>
          </w:p>
        </w:tc>
      </w:tr>
      <w:tr>
        <w:trPr>
          <w:cantSplit/>
        </w:trPr>
        <w:tc>
          <w:tcPr>
            <w:tcW w:type="dxa" w:w="2880"/>
            <w:shd w:val="clear" w:color="auto" w:fill="F6F1E6"/>
          </w:tcPr>
          <w:p>
            <w:pPr>
              <w:spacing w:after="20"/>
            </w:pPr>
            <w:r>
              <w:rPr>
                <w:b/>
                <w:color w:val="1C3A36"/>
                <w:sz w:val="17"/>
              </w:rPr>
              <w:t>As a share of revenue</w:t>
            </w:r>
          </w:p>
        </w:tc>
        <w:tc>
          <w:tcPr>
            <w:tcW w:type="dxa" w:w="1656"/>
            <w:shd w:val="clear" w:color="auto" w:fill="F6F1E6"/>
          </w:tcPr>
          <w:p>
            <w:pPr>
              <w:spacing w:after="20"/>
              <w:jc w:val="right"/>
            </w:pPr>
            <w:r>
              <w:rPr>
                <w:b/>
                <w:color w:val="1C3A36"/>
                <w:sz w:val="17"/>
              </w:rPr>
              <w:t>12.4%</w:t>
            </w:r>
          </w:p>
        </w:tc>
        <w:tc>
          <w:tcPr>
            <w:tcW w:type="dxa" w:w="1656"/>
            <w:shd w:val="clear" w:color="auto" w:fill="F6F1E6"/>
          </w:tcPr>
          <w:p>
            <w:pPr>
              <w:spacing w:after="20"/>
              <w:jc w:val="right"/>
            </w:pPr>
            <w:r>
              <w:rPr>
                <w:b/>
                <w:color w:val="1C3A36"/>
                <w:sz w:val="17"/>
              </w:rPr>
              <w:t>13.6%</w:t>
            </w:r>
          </w:p>
        </w:tc>
        <w:tc>
          <w:tcPr>
            <w:tcW w:type="dxa" w:w="1656"/>
            <w:shd w:val="clear" w:color="auto" w:fill="F6F1E6"/>
          </w:tcPr>
          <w:p>
            <w:pPr>
              <w:spacing w:after="20"/>
              <w:jc w:val="right"/>
            </w:pPr>
            <w:r>
              <w:rPr>
                <w:b/>
                <w:color w:val="1C3A36"/>
                <w:sz w:val="17"/>
              </w:rPr>
              <w:t>21.2%</w:t>
            </w:r>
          </w:p>
        </w:tc>
        <w:tc>
          <w:tcPr>
            <w:tcW w:type="dxa" w:w="2232"/>
            <w:shd w:val="clear" w:color="auto" w:fill="F6F1E6"/>
          </w:tcPr>
          <w:p>
            <w:pPr>
              <w:spacing w:after="20"/>
              <w:jc w:val="right"/>
            </w:pPr>
            <w:r>
              <w:rPr>
                <w:b/>
                <w:color w:val="1C3A36"/>
                <w:sz w:val="17"/>
              </w:rPr>
              <w:t>19.5%</w:t>
            </w:r>
          </w:p>
        </w:tc>
      </w:tr>
    </w:tbl>
    <w:p>
      <w:pPr>
        <w:spacing w:after="40"/>
      </w:pPr>
    </w:p>
    <w:p>
      <w:pPr>
        <w:spacing w:after="200" w:before="0"/>
      </w:pPr>
      <w:r>
        <w:rPr>
          <w:b w:val="0"/>
          <w:i/>
          <w:color w:val="6E7B77"/>
          <w:sz w:val="17"/>
        </w:rPr>
        <w:t>Table 16.  Inventory is the whole story: 165.2 days of cost of sales sat in stock at the last audited date, against 26.8 days of receivables. A plant a thousand kilometres from its export port carries its working capital in warehouses, and the auditor's inability to satisfy itself on the slow-moving provision is a caveat about exactly this line.</w:t>
      </w:r>
    </w:p>
    <w:p>
      <w:pPr>
        <w:spacing w:after="120" w:before="0"/>
      </w:pPr>
      <w:r>
        <w:rPr>
          <w:b w:val="0"/>
          <w:i w:val="0"/>
          <w:color w:val="1C3A36"/>
          <w:sz w:val="21"/>
        </w:rPr>
        <w:t>The second-order crux is the long-run export price, and the third is the rate at which a perpetuity of Egyptian pounds is capitalised. Both are observable — one prints daily on a listed futures contract, the other can be read against the sovereign's own borrowing cost — which is why section 1.9 sensitises them in those units rather than in percentage-point abstractions.</w:t>
      </w:r>
    </w:p>
    <w:p>
      <w:pPr>
        <w:keepNext/>
        <w:spacing w:after="80" w:before="200"/>
      </w:pPr>
      <w:r>
        <w:rPr>
          <w:b/>
          <w:i w:val="0"/>
          <w:color w:val="1C3A36"/>
          <w:sz w:val="24"/>
        </w:rPr>
        <w:t>1.8  Macro and country — rates, the pound, and the sourced cost of capital</w:t>
      </w:r>
    </w:p>
    <w:p>
      <w:pPr>
        <w:spacing w:after="120" w:before="0"/>
      </w:pPr>
      <w:r>
        <w:rPr>
          <w:b w:val="0"/>
          <w:i w:val="0"/>
          <w:color w:val="1C3A36"/>
          <w:sz w:val="21"/>
        </w:rPr>
        <w:t>Sovereign risk enters exactly once. The local government bond yield is reduced by Egypt's own default spread before a country-loaded equity premium is added back, because charging the same risk in both places would count it twice. Both premium bases the underlying data supports are published, and neither is mixed with the other's risk-free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512"/>
        <w:gridCol w:w="1512"/>
        <w:gridCol w:w="4248"/>
      </w:tblGrid>
      <w:tr>
        <w:trPr>
          <w:cantSplit/>
          <w:tblHeader/>
        </w:trPr>
        <w:tc>
          <w:tcPr>
            <w:tcW w:type="dxa" w:w="2664"/>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Rating basis</w:t>
            </w:r>
          </w:p>
        </w:tc>
        <w:tc>
          <w:tcPr>
            <w:tcW w:type="dxa" w:w="1512"/>
            <w:shd w:val="clear" w:color="auto" w:fill="EAF0EE"/>
          </w:tcPr>
          <w:p>
            <w:pPr>
              <w:spacing w:after="20"/>
            </w:pPr>
            <w:r>
              <w:rPr>
                <w:b/>
                <w:color w:val="1C3A36"/>
                <w:sz w:val="17"/>
              </w:rPr>
              <w:t>CDS basis</w:t>
            </w:r>
          </w:p>
        </w:tc>
        <w:tc>
          <w:tcPr>
            <w:tcW w:type="dxa" w:w="4248"/>
            <w:shd w:val="clear" w:color="auto" w:fill="EAF0EE"/>
          </w:tcPr>
          <w:p>
            <w:pPr>
              <w:spacing w:after="20"/>
            </w:pPr>
            <w:r>
              <w:rPr>
                <w:b/>
                <w:color w:val="1C3A36"/>
                <w:sz w:val="17"/>
              </w:rPr>
              <w:t>Source</w:t>
            </w:r>
          </w:p>
        </w:tc>
      </w:tr>
      <w:tr>
        <w:trPr>
          <w:cantSplit/>
        </w:trPr>
        <w:tc>
          <w:tcPr>
            <w:tcW w:type="dxa" w:w="2664"/>
          </w:tcPr>
          <w:p>
            <w:pPr>
              <w:spacing w:after="20"/>
            </w:pPr>
            <w:r>
              <w:rPr>
                <w:color w:val="1C3A36"/>
                <w:sz w:val="17"/>
              </w:rPr>
              <w:t>Local ten-year government yield</w:t>
            </w:r>
          </w:p>
        </w:tc>
        <w:tc>
          <w:tcPr>
            <w:tcW w:type="dxa" w:w="1512"/>
          </w:tcPr>
          <w:p>
            <w:pPr>
              <w:spacing w:after="20"/>
              <w:jc w:val="right"/>
            </w:pPr>
            <w:r>
              <w:rPr>
                <w:color w:val="1C3A36"/>
                <w:sz w:val="17"/>
              </w:rPr>
              <w:t>23.00%</w:t>
            </w:r>
          </w:p>
        </w:tc>
        <w:tc>
          <w:tcPr>
            <w:tcW w:type="dxa" w:w="1512"/>
          </w:tcPr>
          <w:p>
            <w:pPr>
              <w:spacing w:after="20"/>
              <w:jc w:val="right"/>
            </w:pPr>
            <w:r>
              <w:rPr>
                <w:color w:val="1C3A36"/>
                <w:sz w:val="17"/>
              </w:rPr>
              <w:t>23.00%</w:t>
            </w:r>
          </w:p>
        </w:tc>
        <w:tc>
          <w:tcPr>
            <w:tcW w:type="dxa" w:w="4248"/>
          </w:tcPr>
          <w:p>
            <w:pPr>
              <w:spacing w:after="20"/>
            </w:pPr>
            <w:r>
              <w:rPr>
                <w:color w:val="1C3A36"/>
                <w:sz w:val="17"/>
              </w:rPr>
              <w:t>Market quote, 6 August 2026, corroborated by a treasury bond listed at a 23.10% coupon</w:t>
            </w:r>
          </w:p>
        </w:tc>
      </w:tr>
      <w:tr>
        <w:trPr>
          <w:cantSplit/>
        </w:trPr>
        <w:tc>
          <w:tcPr>
            <w:tcW w:type="dxa" w:w="2664"/>
          </w:tcPr>
          <w:p>
            <w:pPr>
              <w:spacing w:after="20"/>
            </w:pPr>
            <w:r>
              <w:rPr>
                <w:color w:val="1C3A36"/>
                <w:sz w:val="17"/>
              </w:rPr>
              <w:t>Less sovereign default spread</w:t>
            </w:r>
          </w:p>
        </w:tc>
        <w:tc>
          <w:tcPr>
            <w:tcW w:type="dxa" w:w="1512"/>
          </w:tcPr>
          <w:p>
            <w:pPr>
              <w:spacing w:after="20"/>
              <w:jc w:val="right"/>
            </w:pPr>
            <w:r>
              <w:rPr>
                <w:color w:val="1C3A36"/>
                <w:sz w:val="17"/>
              </w:rPr>
              <w:t>6.37%</w:t>
            </w:r>
          </w:p>
        </w:tc>
        <w:tc>
          <w:tcPr>
            <w:tcW w:type="dxa" w:w="1512"/>
          </w:tcPr>
          <w:p>
            <w:pPr>
              <w:spacing w:after="20"/>
              <w:jc w:val="right"/>
            </w:pPr>
            <w:r>
              <w:rPr>
                <w:color w:val="1C3A36"/>
                <w:sz w:val="17"/>
              </w:rPr>
              <w:t>3.41%</w:t>
            </w:r>
          </w:p>
        </w:tc>
        <w:tc>
          <w:tcPr>
            <w:tcW w:type="dxa" w:w="4248"/>
          </w:tcPr>
          <w:p>
            <w:pPr>
              <w:spacing w:after="20"/>
            </w:pPr>
            <w:r>
              <w:rPr>
                <w:color w:val="1C3A36"/>
                <w:sz w:val="17"/>
              </w:rPr>
              <w:t>Country-premium workbook, Egypt row</w:t>
            </w:r>
          </w:p>
        </w:tc>
      </w:tr>
      <w:tr>
        <w:trPr>
          <w:cantSplit/>
        </w:trPr>
        <w:tc>
          <w:tcPr>
            <w:tcW w:type="dxa" w:w="2664"/>
            <w:shd w:val="clear" w:color="auto" w:fill="F6F1E6"/>
          </w:tcPr>
          <w:p>
            <w:pPr>
              <w:spacing w:after="20"/>
            </w:pPr>
            <w:r>
              <w:rPr>
                <w:b/>
                <w:color w:val="1C3A36"/>
                <w:sz w:val="17"/>
              </w:rPr>
              <w:t>Normalised risk-free rate</w:t>
            </w:r>
          </w:p>
        </w:tc>
        <w:tc>
          <w:tcPr>
            <w:tcW w:type="dxa" w:w="1512"/>
            <w:shd w:val="clear" w:color="auto" w:fill="F6F1E6"/>
          </w:tcPr>
          <w:p>
            <w:pPr>
              <w:spacing w:after="20"/>
              <w:jc w:val="right"/>
            </w:pPr>
            <w:r>
              <w:rPr>
                <w:b/>
                <w:color w:val="1C3A36"/>
                <w:sz w:val="17"/>
              </w:rPr>
              <w:t>16.63%</w:t>
            </w:r>
          </w:p>
        </w:tc>
        <w:tc>
          <w:tcPr>
            <w:tcW w:type="dxa" w:w="1512"/>
            <w:shd w:val="clear" w:color="auto" w:fill="F6F1E6"/>
          </w:tcPr>
          <w:p>
            <w:pPr>
              <w:spacing w:after="20"/>
              <w:jc w:val="right"/>
            </w:pPr>
            <w:r>
              <w:rPr>
                <w:b/>
                <w:color w:val="1C3A36"/>
                <w:sz w:val="17"/>
              </w:rPr>
              <w:t>19.59%</w:t>
            </w:r>
          </w:p>
        </w:tc>
        <w:tc>
          <w:tcPr>
            <w:tcW w:type="dxa" w:w="4248"/>
            <w:shd w:val="clear" w:color="auto" w:fill="F6F1E6"/>
          </w:tcPr>
          <w:p>
            <w:pPr>
              <w:spacing w:after="20"/>
            </w:pPr>
            <w:r>
              <w:rPr>
                <w:b/>
                <w:color w:val="1C3A36"/>
                <w:sz w:val="17"/>
              </w:rPr>
              <w:t>Built, not quoted</w:t>
            </w:r>
          </w:p>
        </w:tc>
      </w:tr>
      <w:tr>
        <w:trPr>
          <w:cantSplit/>
        </w:trPr>
        <w:tc>
          <w:tcPr>
            <w:tcW w:type="dxa" w:w="2664"/>
          </w:tcPr>
          <w:p>
            <w:pPr>
              <w:spacing w:after="20"/>
            </w:pPr>
            <w:r>
              <w:rPr>
                <w:color w:val="1C3A36"/>
                <w:sz w:val="17"/>
              </w:rPr>
              <w:t>Equity risk premium</w:t>
            </w:r>
          </w:p>
        </w:tc>
        <w:tc>
          <w:tcPr>
            <w:tcW w:type="dxa" w:w="1512"/>
          </w:tcPr>
          <w:p>
            <w:pPr>
              <w:spacing w:after="20"/>
              <w:jc w:val="right"/>
            </w:pPr>
            <w:r>
              <w:rPr>
                <w:color w:val="1C3A36"/>
                <w:sz w:val="17"/>
              </w:rPr>
              <w:t>13.94%</w:t>
            </w:r>
          </w:p>
        </w:tc>
        <w:tc>
          <w:tcPr>
            <w:tcW w:type="dxa" w:w="1512"/>
          </w:tcPr>
          <w:p>
            <w:pPr>
              <w:spacing w:after="20"/>
              <w:jc w:val="right"/>
            </w:pPr>
            <w:r>
              <w:rPr>
                <w:color w:val="1C3A36"/>
                <w:sz w:val="17"/>
              </w:rPr>
              <w:t>9.41%</w:t>
            </w:r>
          </w:p>
        </w:tc>
        <w:tc>
          <w:tcPr>
            <w:tcW w:type="dxa" w:w="4248"/>
          </w:tcPr>
          <w:p>
            <w:pPr>
              <w:spacing w:after="20"/>
            </w:pPr>
            <w:r>
              <w:rPr>
                <w:color w:val="1C3A36"/>
                <w:sz w:val="17"/>
              </w:rPr>
              <w:t>Mature-market 4.23% plus the Egypt country premium</w:t>
            </w:r>
          </w:p>
        </w:tc>
      </w:tr>
      <w:tr>
        <w:trPr>
          <w:cantSplit/>
        </w:trPr>
        <w:tc>
          <w:tcPr>
            <w:tcW w:type="dxa" w:w="2664"/>
          </w:tcPr>
          <w:p>
            <w:pPr>
              <w:spacing w:after="20"/>
            </w:pPr>
            <w:r>
              <w:rPr>
                <w:color w:val="1C3A36"/>
                <w:sz w:val="17"/>
              </w:rPr>
              <w:t>Beta</w:t>
            </w:r>
          </w:p>
        </w:tc>
        <w:tc>
          <w:tcPr>
            <w:tcW w:type="dxa" w:w="1512"/>
          </w:tcPr>
          <w:p>
            <w:pPr>
              <w:spacing w:after="20"/>
              <w:jc w:val="right"/>
            </w:pPr>
            <w:r>
              <w:rPr>
                <w:color w:val="1C3A36"/>
                <w:sz w:val="17"/>
              </w:rPr>
              <w:t>1.030</w:t>
            </w:r>
          </w:p>
        </w:tc>
        <w:tc>
          <w:tcPr>
            <w:tcW w:type="dxa" w:w="1512"/>
          </w:tcPr>
          <w:p>
            <w:pPr>
              <w:spacing w:after="20"/>
              <w:jc w:val="right"/>
            </w:pPr>
            <w:r>
              <w:rPr>
                <w:color w:val="1C3A36"/>
                <w:sz w:val="17"/>
              </w:rPr>
              <w:t>1.030</w:t>
            </w:r>
          </w:p>
        </w:tc>
        <w:tc>
          <w:tcPr>
            <w:tcW w:type="dxa" w:w="4248"/>
          </w:tcPr>
          <w:p>
            <w:pPr>
              <w:spacing w:after="20"/>
            </w:pPr>
            <w:r>
              <w:rPr>
                <w:color w:val="1C3A36"/>
                <w:sz w:val="17"/>
              </w:rPr>
              <w:t>Own-stock weekly regression, 253 observations, R-squared 0.250, standard error 0.191</w:t>
            </w:r>
          </w:p>
        </w:tc>
      </w:tr>
      <w:tr>
        <w:trPr>
          <w:cantSplit/>
        </w:trPr>
        <w:tc>
          <w:tcPr>
            <w:tcW w:type="dxa" w:w="2664"/>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30.99%</w:t>
            </w:r>
          </w:p>
        </w:tc>
        <w:tc>
          <w:tcPr>
            <w:tcW w:type="dxa" w:w="1512"/>
            <w:shd w:val="clear" w:color="auto" w:fill="F6F1E6"/>
          </w:tcPr>
          <w:p>
            <w:pPr>
              <w:spacing w:after="20"/>
              <w:jc w:val="right"/>
            </w:pPr>
            <w:r>
              <w:rPr>
                <w:b/>
                <w:color w:val="1C3A36"/>
                <w:sz w:val="17"/>
              </w:rPr>
              <w:t>29.28%</w:t>
            </w:r>
          </w:p>
        </w:tc>
        <w:tc>
          <w:tcPr>
            <w:tcW w:type="dxa" w:w="4248"/>
            <w:shd w:val="clear" w:color="auto" w:fill="F6F1E6"/>
          </w:tcPr>
          <w:p>
            <w:pPr>
              <w:spacing w:after="20"/>
            </w:pPr>
            <w:r>
              <w:rPr>
                <w:b/>
                <w:color w:val="1C3A36"/>
                <w:sz w:val="17"/>
              </w:rPr>
            </w:r>
          </w:p>
        </w:tc>
      </w:tr>
      <w:tr>
        <w:trPr>
          <w:cantSplit/>
        </w:trPr>
        <w:tc>
          <w:tcPr>
            <w:tcW w:type="dxa" w:w="2664"/>
          </w:tcPr>
          <w:p>
            <w:pPr>
              <w:spacing w:after="20"/>
            </w:pPr>
            <w:r>
              <w:rPr>
                <w:color w:val="1C3A36"/>
                <w:sz w:val="17"/>
              </w:rPr>
              <w:t>Cost of debt after tax, year one</w:t>
            </w:r>
          </w:p>
        </w:tc>
        <w:tc>
          <w:tcPr>
            <w:tcW w:type="dxa" w:w="1512"/>
          </w:tcPr>
          <w:p>
            <w:pPr>
              <w:spacing w:after="20"/>
              <w:jc w:val="right"/>
            </w:pPr>
            <w:r>
              <w:rPr>
                <w:color w:val="1C3A36"/>
                <w:sz w:val="17"/>
              </w:rPr>
              <w:t>18.86%</w:t>
            </w:r>
          </w:p>
        </w:tc>
        <w:tc>
          <w:tcPr>
            <w:tcW w:type="dxa" w:w="1512"/>
          </w:tcPr>
          <w:p>
            <w:pPr>
              <w:spacing w:after="20"/>
              <w:jc w:val="right"/>
            </w:pPr>
            <w:r>
              <w:rPr>
                <w:color w:val="1C3A36"/>
                <w:sz w:val="17"/>
              </w:rPr>
              <w:t>18.86%</w:t>
            </w:r>
          </w:p>
        </w:tc>
        <w:tc>
          <w:tcPr>
            <w:tcW w:type="dxa" w:w="4248"/>
          </w:tcPr>
          <w:p>
            <w:pPr>
              <w:spacing w:after="20"/>
            </w:pPr>
            <w:r>
              <w:rPr>
                <w:color w:val="1C3A36"/>
                <w:sz w:val="17"/>
              </w:rPr>
              <w:t>99.7% dollar, carried at local-equivalent cost on that year's currency wedge of 11.3%</w:t>
            </w:r>
          </w:p>
        </w:tc>
      </w:tr>
      <w:tr>
        <w:trPr>
          <w:cantSplit/>
        </w:trPr>
        <w:tc>
          <w:tcPr>
            <w:tcW w:type="dxa" w:w="2664"/>
          </w:tcPr>
          <w:p>
            <w:pPr>
              <w:spacing w:after="20"/>
            </w:pPr>
            <w:r>
              <w:rPr>
                <w:color w:val="1C3A36"/>
                <w:sz w:val="17"/>
              </w:rPr>
              <w:t>Weights, equity and debt</w:t>
            </w:r>
          </w:p>
        </w:tc>
        <w:tc>
          <w:tcPr>
            <w:tcW w:type="dxa" w:w="1512"/>
          </w:tcPr>
          <w:p>
            <w:pPr>
              <w:spacing w:after="20"/>
              <w:jc w:val="right"/>
            </w:pPr>
            <w:r>
              <w:rPr>
                <w:color w:val="1C3A36"/>
                <w:sz w:val="17"/>
              </w:rPr>
              <w:t>66.2% / 33.8%</w:t>
            </w:r>
          </w:p>
        </w:tc>
        <w:tc>
          <w:tcPr>
            <w:tcW w:type="dxa" w:w="1512"/>
          </w:tcPr>
          <w:p>
            <w:pPr>
              <w:spacing w:after="20"/>
              <w:jc w:val="right"/>
            </w:pPr>
            <w:r>
              <w:rPr>
                <w:color w:val="1C3A36"/>
                <w:sz w:val="17"/>
              </w:rPr>
              <w:t>66.2% / 33.8%</w:t>
            </w:r>
          </w:p>
        </w:tc>
        <w:tc>
          <w:tcPr>
            <w:tcW w:type="dxa" w:w="4248"/>
          </w:tcPr>
          <w:p>
            <w:pPr>
              <w:spacing w:after="20"/>
            </w:pPr>
            <w:r>
              <w:rPr>
                <w:color w:val="1C3A36"/>
                <w:sz w:val="17"/>
              </w:rPr>
              <w:t>Market-value equity, never book</w:t>
            </w:r>
          </w:p>
        </w:tc>
      </w:tr>
      <w:tr>
        <w:trPr>
          <w:cantSplit/>
        </w:trPr>
        <w:tc>
          <w:tcPr>
            <w:tcW w:type="dxa" w:w="2664"/>
            <w:shd w:val="clear" w:color="auto" w:fill="F6F1E6"/>
          </w:tcPr>
          <w:p>
            <w:pPr>
              <w:spacing w:after="20"/>
            </w:pPr>
            <w:r>
              <w:rPr>
                <w:b/>
                <w:color w:val="1C3A36"/>
                <w:sz w:val="17"/>
              </w:rPr>
              <w:t>Cost of capital, year one</w:t>
            </w:r>
          </w:p>
        </w:tc>
        <w:tc>
          <w:tcPr>
            <w:tcW w:type="dxa" w:w="1512"/>
            <w:shd w:val="clear" w:color="auto" w:fill="F6F1E6"/>
          </w:tcPr>
          <w:p>
            <w:pPr>
              <w:spacing w:after="20"/>
              <w:jc w:val="right"/>
            </w:pPr>
            <w:r>
              <w:rPr>
                <w:b/>
                <w:color w:val="1C3A36"/>
                <w:sz w:val="17"/>
              </w:rPr>
              <w:t>25.76%</w:t>
            </w:r>
          </w:p>
        </w:tc>
        <w:tc>
          <w:tcPr>
            <w:tcW w:type="dxa" w:w="1512"/>
            <w:shd w:val="clear" w:color="auto" w:fill="F6F1E6"/>
          </w:tcPr>
          <w:p>
            <w:pPr>
              <w:spacing w:after="20"/>
              <w:jc w:val="right"/>
            </w:pPr>
            <w:r>
              <w:rPr>
                <w:b/>
                <w:color w:val="1C3A36"/>
                <w:sz w:val="17"/>
              </w:rPr>
              <w:t>25.76%</w:t>
            </w:r>
          </w:p>
        </w:tc>
        <w:tc>
          <w:tcPr>
            <w:tcW w:type="dxa" w:w="4248"/>
            <w:shd w:val="clear" w:color="auto" w:fill="F6F1E6"/>
          </w:tcPr>
          <w:p>
            <w:pPr>
              <w:spacing w:after="20"/>
            </w:pPr>
            <w:r>
              <w:rPr>
                <w:b/>
                <w:color w:val="1C3A36"/>
                <w:sz w:val="17"/>
              </w:rPr>
              <w:t>The rating basis is carried into the valuation as the more conservative</w:t>
            </w:r>
          </w:p>
        </w:tc>
      </w:tr>
    </w:tbl>
    <w:p>
      <w:pPr>
        <w:spacing w:after="40"/>
      </w:pPr>
    </w:p>
    <w:p>
      <w:pPr>
        <w:spacing w:after="200" w:before="0"/>
      </w:pPr>
      <w:r>
        <w:rPr>
          <w:b w:val="0"/>
          <w:i/>
          <w:color w:val="6E7B77"/>
          <w:sz w:val="17"/>
        </w:rPr>
        <w:t>Table 17.  The cost of capital, built rather than assumed, on both premium bases.</w:t>
      </w:r>
    </w:p>
    <w:p>
      <w:pPr>
        <w:keepNext/>
        <w:spacing w:after="80" w:before="200"/>
      </w:pPr>
      <w:r>
        <w:rPr>
          <w:b/>
          <w:i w:val="0"/>
          <w:color w:val="1C3A36"/>
          <w:sz w:val="24"/>
        </w:rPr>
        <w:t>The cost of debt — three pieces of evidence, not an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5184"/>
        <w:gridCol w:w="2016"/>
      </w:tblGrid>
      <w:tr>
        <w:trPr>
          <w:cantSplit/>
          <w:tblHeader/>
        </w:trPr>
        <w:tc>
          <w:tcPr>
            <w:tcW w:type="dxa" w:w="2736"/>
            <w:shd w:val="clear" w:color="auto" w:fill="EAF0EE"/>
          </w:tcPr>
          <w:p>
            <w:pPr>
              <w:spacing w:after="20"/>
            </w:pPr>
            <w:r>
              <w:rPr>
                <w:b/>
                <w:color w:val="1C3A36"/>
                <w:sz w:val="17"/>
              </w:rPr>
              <w:t>Evidence</w:t>
            </w:r>
          </w:p>
        </w:tc>
        <w:tc>
          <w:tcPr>
            <w:tcW w:type="dxa" w:w="5184"/>
            <w:shd w:val="clear" w:color="auto" w:fill="EAF0EE"/>
          </w:tcPr>
          <w:p>
            <w:pPr>
              <w:spacing w:after="20"/>
            </w:pPr>
            <w:r>
              <w:rPr>
                <w:b/>
                <w:color w:val="1C3A36"/>
                <w:sz w:val="17"/>
              </w:rPr>
              <w:t>What it shows</w:t>
            </w:r>
          </w:p>
        </w:tc>
        <w:tc>
          <w:tcPr>
            <w:tcW w:type="dxa" w:w="2016"/>
            <w:shd w:val="clear" w:color="auto" w:fill="EAF0EE"/>
          </w:tcPr>
          <w:p>
            <w:pPr>
              <w:spacing w:after="20"/>
            </w:pPr>
            <w:r>
              <w:rPr>
                <w:b/>
                <w:color w:val="1C3A36"/>
                <w:sz w:val="17"/>
              </w:rPr>
              <w:t>Rate</w:t>
            </w:r>
          </w:p>
        </w:tc>
      </w:tr>
      <w:tr>
        <w:trPr>
          <w:cantSplit/>
        </w:trPr>
        <w:tc>
          <w:tcPr>
            <w:tcW w:type="dxa" w:w="2736"/>
          </w:tcPr>
          <w:p>
            <w:pPr>
              <w:spacing w:after="20"/>
            </w:pPr>
            <w:r>
              <w:rPr>
                <w:color w:val="1C3A36"/>
                <w:sz w:val="17"/>
              </w:rPr>
              <w:t>The holding-company facility</w:t>
            </w:r>
          </w:p>
        </w:tc>
        <w:tc>
          <w:tcPr>
            <w:tcW w:type="dxa" w:w="5184"/>
          </w:tcPr>
          <w:p>
            <w:pPr>
              <w:spacing w:after="20"/>
            </w:pPr>
            <w:r>
              <w:rPr>
                <w:color w:val="1C3A36"/>
                <w:sz w:val="17"/>
              </w:rPr>
              <w:t>EGP 500 million drawn in FY2024/25 carried EGP 96.9 million of interest — the company's own latest local-currency borrowing</w:t>
            </w:r>
          </w:p>
        </w:tc>
        <w:tc>
          <w:tcPr>
            <w:tcW w:type="dxa" w:w="2016"/>
          </w:tcPr>
          <w:p>
            <w:pPr>
              <w:spacing w:after="20"/>
              <w:jc w:val="right"/>
            </w:pPr>
            <w:r>
              <w:rPr>
                <w:color w:val="1C3A36"/>
                <w:sz w:val="17"/>
              </w:rPr>
              <w:t>19.40%</w:t>
            </w:r>
          </w:p>
        </w:tc>
      </w:tr>
      <w:tr>
        <w:trPr>
          <w:cantSplit/>
        </w:trPr>
        <w:tc>
          <w:tcPr>
            <w:tcW w:type="dxa" w:w="2736"/>
          </w:tcPr>
          <w:p>
            <w:pPr>
              <w:spacing w:after="20"/>
            </w:pPr>
            <w:r>
              <w:rPr>
                <w:color w:val="1C3A36"/>
                <w:sz w:val="17"/>
              </w:rPr>
              <w:t>The project loan</w:t>
            </w:r>
          </w:p>
        </w:tc>
        <w:tc>
          <w:tcPr>
            <w:tcW w:type="dxa" w:w="5184"/>
          </w:tcPr>
          <w:p>
            <w:pPr>
              <w:spacing w:after="20"/>
            </w:pPr>
            <w:r>
              <w:rPr>
                <w:color w:val="1C3A36"/>
                <w:sz w:val="17"/>
              </w:rPr>
              <w:t>EGP 1,338.0 million of interest on a mean dollar balance of about US$233 million</w:t>
            </w:r>
          </w:p>
        </w:tc>
        <w:tc>
          <w:tcPr>
            <w:tcW w:type="dxa" w:w="2016"/>
          </w:tcPr>
          <w:p>
            <w:pPr>
              <w:spacing w:after="20"/>
              <w:jc w:val="right"/>
            </w:pPr>
            <w:r>
              <w:rPr>
                <w:color w:val="1C3A36"/>
                <w:sz w:val="17"/>
              </w:rPr>
              <w:t>11.70% in dollars</w:t>
            </w:r>
          </w:p>
        </w:tc>
      </w:tr>
      <w:tr>
        <w:trPr>
          <w:cantSplit/>
        </w:trPr>
        <w:tc>
          <w:tcPr>
            <w:tcW w:type="dxa" w:w="2736"/>
          </w:tcPr>
          <w:p>
            <w:pPr>
              <w:spacing w:after="20"/>
            </w:pPr>
            <w:r>
              <w:rPr>
                <w:color w:val="1C3A36"/>
                <w:sz w:val="17"/>
              </w:rPr>
              <w:t>The new facility</w:t>
            </w:r>
          </w:p>
        </w:tc>
        <w:tc>
          <w:tcPr>
            <w:tcW w:type="dxa" w:w="5184"/>
          </w:tcPr>
          <w:p>
            <w:pPr>
              <w:spacing w:after="20"/>
            </w:pPr>
            <w:r>
              <w:rPr>
                <w:color w:val="1C3A36"/>
                <w:sz w:val="17"/>
              </w:rPr>
              <w:t>US$82.9 million plus EGP 5,931 million, signed 25 June 2025 and amortising to 2035 and 2036 — the same dual-currency structure forward</w:t>
            </w:r>
          </w:p>
        </w:tc>
        <w:tc>
          <w:tcPr>
            <w:tcW w:type="dxa" w:w="2016"/>
          </w:tcPr>
          <w:p>
            <w:pPr>
              <w:spacing w:after="20"/>
              <w:jc w:val="right"/>
            </w:pPr>
            <w:r>
              <w:rPr>
                <w:color w:val="1C3A36"/>
                <w:sz w:val="17"/>
              </w:rPr>
              <w:t>same structure</w:t>
            </w:r>
          </w:p>
        </w:tc>
      </w:tr>
    </w:tbl>
    <w:p>
      <w:pPr>
        <w:spacing w:after="40"/>
      </w:pPr>
    </w:p>
    <w:p>
      <w:pPr>
        <w:spacing w:after="120" w:before="0"/>
      </w:pPr>
      <w:r>
        <w:rPr>
          <w:b w:val="0"/>
          <w:i w:val="0"/>
          <w:color w:val="1C3A36"/>
          <w:sz w:val="21"/>
        </w:rPr>
        <w:t>The pound tranche of the project loan was repaid in June 2024, so 99.7% of the book is dollar-denominated. A dollar coupon cannot be dropped into a cost of capital denominated in pounds: the company earns pounds and must buy dollars to service it. The dollar cost of 11.7% is therefore grossed up, year by year, by the depreciation the study's own currency path implies in that year — 11.3% in FY2026/27, giving a local-equivalent 24.35%, gliding to 4.5% in FY2030/31 and 16.72% — and to 4.5% on the long-run dollar cost of 9.0% in the terminal year, 13.90% on the dollar leg (13.91% once the 0.3% local facility is blended in). The wedge is the one the revenue build uses, so the debt and the currency cannot quietly disagree.</w:t>
      </w:r>
    </w:p>
    <w:p>
      <w:pPr>
        <w:spacing w:after="120" w:before="0"/>
      </w:pPr>
      <w:r>
        <w:rPr>
          <w:b w:val="0"/>
          <w:i w:val="0"/>
          <w:color w:val="1C3A36"/>
          <w:sz w:val="19"/>
        </w:rPr>
        <w:t>Two things about that construction are disclosed rather than argued, because the cost-of-capital build tests for both. The company's own local-currency facility carries 19.40% against a 23.00% sovereign ten-year yield: a same-currency corporate borrowing below its sovereign. It is the company's disclosed rate on a state-bank facility and is used as disclosed. A same-currency borrower does not normally borrow below its sovereign, so the construction with every leg floored at the 23.00% sovereign yield plus the company's own spread over the policy rate — which its facilities print as nil — is priced in the table below: EGP 1.54 a share on the carried-through cash-flow lens against EGP 2.31, a difference of EGP -0.78. The lower disclosed rates raise the answer, so the choice made leans toward the traded price, not away from it.</w:t>
      </w:r>
    </w:p>
    <w:p>
      <w:pPr>
        <w:keepNext/>
        <w:spacing w:after="80" w:before="200"/>
      </w:pPr>
      <w:r>
        <w:rPr>
          <w:b/>
          <w:i w:val="0"/>
          <w:color w:val="1C3A36"/>
          <w:sz w:val="24"/>
        </w:rPr>
        <w:t>Where this construction is contested, and what the alternative is worth</w:t>
      </w:r>
    </w:p>
    <w:p>
      <w:pPr>
        <w:spacing w:after="120" w:before="0"/>
      </w:pPr>
      <w:r>
        <w:rPr>
          <w:b w:val="0"/>
          <w:i w:val="0"/>
          <w:color w:val="1C3A36"/>
          <w:sz w:val="21"/>
        </w:rPr>
        <w:t>A spot cost of capital embeds today's 14.3% inflation in every future year, while the terminal value grows at the central bank's longest-horizon target of 7.0%. Capitalising one at the other is a units mismatch, and on a company whose value sits in its terminal year it would be the largest error in the study. The rate therefore glides to a terminal rate built from its own components: 7.0% inflation — the same figure terminal growth is set at, so the perpetuity neither grows nor shrinks in real terms — compounded with a 5.5% real rate gives a normalised risk-free rate of 12.88%, and the terminal cost of capital is 18.59%. Discount factors compound the glide year by year rather than raising one rate to a power. The earlier edition of this study discounted a 7.0%-growth perpetuity at a terminal rate built on the shorter-horizon 7.0% target, which assumed a real decline of about two per cent a year for ever that nothing disclosed; that is corrected here.</w:t>
      </w:r>
    </w:p>
    <w:p>
      <w:pPr>
        <w:spacing w:after="40"/>
        <w:jc w:val="center"/>
      </w:pPr>
      <w:r>
        <w:drawing>
          <wp:inline xmlns:a="http://schemas.openxmlformats.org/drawingml/2006/main" xmlns:pic="http://schemas.openxmlformats.org/drawingml/2006/picture">
            <wp:extent cx="6309360" cy="2575249"/>
            <wp:docPr id="8" name="Picture 8"/>
            <wp:cNvGraphicFramePr>
              <a:graphicFrameLocks noChangeAspect="1"/>
            </wp:cNvGraphicFramePr>
            <a:graphic>
              <a:graphicData uri="http://schemas.openxmlformats.org/drawingml/2006/picture">
                <pic:pic>
                  <pic:nvPicPr>
                    <pic:cNvPr id="0" name="fig7_glide.png"/>
                    <pic:cNvPicPr/>
                  </pic:nvPicPr>
                  <pic:blipFill>
                    <a:blip r:embed="rId16"/>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8.  The rate glides from its spot build to a terminal rate made from its own parts. The dotted line is the rate the traded price implies.</w:t>
      </w:r>
    </w:p>
    <w:p>
      <w:pPr>
        <w:spacing w:after="120" w:before="0"/>
      </w:pPr>
      <w:r>
        <w:rPr>
          <w:b w:val="0"/>
          <w:i w:val="0"/>
          <w:color w:val="1C3A36"/>
          <w:sz w:val="21"/>
        </w:rPr>
        <w:t>Ten choices in the construction above are legitimately arguable, and every one of them has been priced rather than defended in prose. Each row below is a complete re-run of the model with that single component moved and everything else held, so the figure in the third column is what this study would have published had it made the other choice.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563"/>
        <w:gridCol w:w="950"/>
        <w:gridCol w:w="950"/>
        <w:gridCol w:w="3139"/>
      </w:tblGrid>
      <w:tr>
        <w:trPr>
          <w:cantSplit/>
          <w:tblHeader/>
        </w:trPr>
        <w:tc>
          <w:tcPr>
            <w:tcW w:type="dxa" w:w="2477"/>
            <w:shd w:val="clear" w:color="auto" w:fill="EAF0EE"/>
          </w:tcPr>
          <w:p>
            <w:pPr>
              <w:spacing w:after="20"/>
            </w:pPr>
            <w:r>
              <w:rPr>
                <w:b/>
                <w:color w:val="1C3A36"/>
                <w:sz w:val="15"/>
              </w:rPr>
              <w:t>Choice made</w:t>
            </w:r>
          </w:p>
        </w:tc>
        <w:tc>
          <w:tcPr>
            <w:tcW w:type="dxa" w:w="2563"/>
            <w:shd w:val="clear" w:color="auto" w:fill="EAF0EE"/>
          </w:tcPr>
          <w:p>
            <w:pPr>
              <w:spacing w:after="20"/>
            </w:pPr>
            <w:r>
              <w:rPr>
                <w:b/>
                <w:color w:val="1C3A36"/>
                <w:sz w:val="15"/>
              </w:rPr>
              <w:t>The alternative</w:t>
            </w:r>
          </w:p>
        </w:tc>
        <w:tc>
          <w:tcPr>
            <w:tcW w:type="dxa" w:w="950"/>
            <w:shd w:val="clear" w:color="auto" w:fill="EAF0EE"/>
          </w:tcPr>
          <w:p>
            <w:pPr>
              <w:spacing w:after="20"/>
            </w:pPr>
            <w:r>
              <w:rPr>
                <w:b/>
                <w:color w:val="1C3A36"/>
                <w:sz w:val="15"/>
              </w:rPr>
              <w:t>On the alternative</w:t>
            </w:r>
          </w:p>
        </w:tc>
        <w:tc>
          <w:tcPr>
            <w:tcW w:type="dxa" w:w="950"/>
            <w:shd w:val="clear" w:color="auto" w:fill="EAF0EE"/>
          </w:tcPr>
          <w:p>
            <w:pPr>
              <w:spacing w:after="20"/>
            </w:pPr>
            <w:r>
              <w:rPr>
                <w:b/>
                <w:color w:val="1C3A36"/>
                <w:sz w:val="15"/>
              </w:rPr>
              <w:t>Against EGP 2.31</w:t>
            </w:r>
          </w:p>
        </w:tc>
        <w:tc>
          <w:tcPr>
            <w:tcW w:type="dxa" w:w="3139"/>
            <w:shd w:val="clear" w:color="auto" w:fill="EAF0EE"/>
          </w:tcPr>
          <w:p>
            <w:pPr>
              <w:spacing w:after="20"/>
            </w:pPr>
            <w:r>
              <w:rPr>
                <w:b/>
                <w:color w:val="1C3A36"/>
                <w:sz w:val="15"/>
              </w:rPr>
              <w:t>Why we keep ours</w:t>
            </w:r>
          </w:p>
        </w:tc>
      </w:tr>
      <w:tr>
        <w:trPr>
          <w:cantSplit/>
        </w:trPr>
        <w:tc>
          <w:tcPr>
            <w:tcW w:type="dxa" w:w="2477"/>
          </w:tcPr>
          <w:p>
            <w:pPr>
              <w:spacing w:after="20"/>
            </w:pPr>
            <w:r>
              <w:rPr>
                <w:color w:val="1C3A36"/>
                <w:sz w:val="15"/>
              </w:rPr>
              <w:t>Country risk priced off the sovereign's credit rating</w:t>
            </w:r>
          </w:p>
        </w:tc>
        <w:tc>
          <w:tcPr>
            <w:tcW w:type="dxa" w:w="2563"/>
          </w:tcPr>
          <w:p>
            <w:pPr>
              <w:spacing w:after="20"/>
            </w:pPr>
            <w:r>
              <w:rPr>
                <w:color w:val="1C3A36"/>
                <w:sz w:val="15"/>
              </w:rPr>
              <w:t>Priced off the sovereign's traded default swap instead, which is the narrower of the two spreads</w:t>
            </w:r>
          </w:p>
        </w:tc>
        <w:tc>
          <w:tcPr>
            <w:tcW w:type="dxa" w:w="950"/>
          </w:tcPr>
          <w:p>
            <w:pPr>
              <w:spacing w:after="20"/>
              <w:jc w:val="right"/>
            </w:pPr>
            <w:r>
              <w:rPr>
                <w:color w:val="1C3A36"/>
                <w:sz w:val="15"/>
              </w:rPr>
              <w:t>2.31</w:t>
            </w:r>
          </w:p>
        </w:tc>
        <w:tc>
          <w:tcPr>
            <w:tcW w:type="dxa" w:w="950"/>
          </w:tcPr>
          <w:p>
            <w:pPr>
              <w:spacing w:after="20"/>
              <w:jc w:val="right"/>
            </w:pPr>
            <w:r>
              <w:rPr>
                <w:color w:val="1C3A36"/>
                <w:sz w:val="15"/>
              </w:rPr>
              <w:t>+0.00</w:t>
            </w:r>
          </w:p>
        </w:tc>
        <w:tc>
          <w:tcPr>
            <w:tcW w:type="dxa" w:w="3139"/>
          </w:tcPr>
          <w:p>
            <w:pPr>
              <w:spacing w:after="20"/>
            </w:pPr>
            <w:r>
              <w:rPr>
                <w:color w:val="1C3A36"/>
                <w:sz w:val="15"/>
              </w:rPr>
              <w:t>The rating basis is the wider spread and therefore the more conservative equity premium. Both are published in full in section 1.8 and neither is ever mixed with the other's risk-free rate.</w:t>
            </w:r>
          </w:p>
        </w:tc>
      </w:tr>
      <w:tr>
        <w:trPr>
          <w:cantSplit/>
        </w:trPr>
        <w:tc>
          <w:tcPr>
            <w:tcW w:type="dxa" w:w="2477"/>
          </w:tcPr>
          <w:p>
            <w:pPr>
              <w:spacing w:after="20"/>
            </w:pPr>
            <w:r>
              <w:rPr>
                <w:color w:val="1C3A36"/>
                <w:sz w:val="15"/>
              </w:rPr>
              <w:t>A cost of capital that glides from its spot build to a terminal rate made from its own long-run components</w:t>
            </w:r>
          </w:p>
        </w:tc>
        <w:tc>
          <w:tcPr>
            <w:tcW w:type="dxa" w:w="2563"/>
          </w:tcPr>
          <w:p>
            <w:pPr>
              <w:spacing w:after="20"/>
            </w:pPr>
            <w:r>
              <w:rPr>
                <w:color w:val="1C3A36"/>
                <w:sz w:val="15"/>
              </w:rPr>
              <w:t>One flat spot rate applied to every explicit year and to the perpetuity</w:t>
            </w:r>
          </w:p>
        </w:tc>
        <w:tc>
          <w:tcPr>
            <w:tcW w:type="dxa" w:w="950"/>
          </w:tcPr>
          <w:p>
            <w:pPr>
              <w:spacing w:after="20"/>
              <w:jc w:val="right"/>
            </w:pPr>
            <w:r>
              <w:rPr>
                <w:color w:val="1C3A36"/>
                <w:sz w:val="15"/>
              </w:rPr>
              <w:t>0.57</w:t>
            </w:r>
          </w:p>
        </w:tc>
        <w:tc>
          <w:tcPr>
            <w:tcW w:type="dxa" w:w="950"/>
          </w:tcPr>
          <w:p>
            <w:pPr>
              <w:spacing w:after="20"/>
              <w:jc w:val="right"/>
            </w:pPr>
            <w:r>
              <w:rPr>
                <w:color w:val="1C3A36"/>
                <w:sz w:val="15"/>
              </w:rPr>
              <w:t>-1.74</w:t>
            </w:r>
          </w:p>
        </w:tc>
        <w:tc>
          <w:tcPr>
            <w:tcW w:type="dxa" w:w="3139"/>
          </w:tcPr>
          <w:p>
            <w:pPr>
              <w:spacing w:after="20"/>
            </w:pPr>
            <w:r>
              <w:rPr>
                <w:color w:val="1C3A36"/>
                <w:sz w:val="15"/>
              </w:rPr>
              <w:t>A spot rate carries today's inflation print into a perpetuity growing at the central bank's target. That is a units mismatch, and on a company whose value sits in its terminal year it would be the largest single error in the study.</w:t>
            </w:r>
          </w:p>
        </w:tc>
      </w:tr>
      <w:tr>
        <w:trPr>
          <w:cantSplit/>
        </w:trPr>
        <w:tc>
          <w:tcPr>
            <w:tcW w:type="dxa" w:w="2477"/>
          </w:tcPr>
          <w:p>
            <w:pPr>
              <w:spacing w:after="20"/>
            </w:pPr>
            <w:r>
              <w:rPr>
                <w:color w:val="1C3A36"/>
                <w:sz w:val="15"/>
              </w:rPr>
              <w:t>Terminal growth at the central bank's medium-term inflation target</w:t>
            </w:r>
          </w:p>
        </w:tc>
        <w:tc>
          <w:tcPr>
            <w:tcW w:type="dxa" w:w="2563"/>
          </w:tcPr>
          <w:p>
            <w:pPr>
              <w:spacing w:after="20"/>
            </w:pPr>
            <w:r>
              <w:rPr>
                <w:color w:val="1C3A36"/>
                <w:sz w:val="15"/>
              </w:rPr>
              <w:t>Two percentage points below it, which is negative real maintenance growth</w:t>
            </w:r>
          </w:p>
        </w:tc>
        <w:tc>
          <w:tcPr>
            <w:tcW w:type="dxa" w:w="950"/>
          </w:tcPr>
          <w:p>
            <w:pPr>
              <w:spacing w:after="20"/>
              <w:jc w:val="right"/>
            </w:pPr>
            <w:r>
              <w:rPr>
                <w:color w:val="1C3A36"/>
                <w:sz w:val="15"/>
              </w:rPr>
              <w:t>2.20</w:t>
            </w:r>
          </w:p>
        </w:tc>
        <w:tc>
          <w:tcPr>
            <w:tcW w:type="dxa" w:w="950"/>
          </w:tcPr>
          <w:p>
            <w:pPr>
              <w:spacing w:after="20"/>
              <w:jc w:val="right"/>
            </w:pPr>
            <w:r>
              <w:rPr>
                <w:color w:val="1C3A36"/>
                <w:sz w:val="15"/>
              </w:rPr>
              <w:t>-0.11</w:t>
            </w:r>
          </w:p>
        </w:tc>
        <w:tc>
          <w:tcPr>
            <w:tcW w:type="dxa" w:w="3139"/>
          </w:tcPr>
          <w:p>
            <w:pPr>
              <w:spacing w:after="20"/>
            </w:pPr>
            <w:r>
              <w:rPr>
                <w:color w:val="1C3A36"/>
                <w:sz w:val="15"/>
              </w:rPr>
              <w:t>Nominal maintenance growth with no real growth is the neutral assumption for a single plant at steady state. Below inflation implies the asset shrinks in real terms every year forever, which the maintenance capital expenditure in the model is sized to prevent.</w:t>
            </w:r>
          </w:p>
        </w:tc>
      </w:tr>
      <w:tr>
        <w:trPr>
          <w:cantSplit/>
        </w:trPr>
        <w:tc>
          <w:tcPr>
            <w:tcW w:type="dxa" w:w="2477"/>
          </w:tcPr>
          <w:p>
            <w:pPr>
              <w:spacing w:after="20"/>
            </w:pPr>
            <w:r>
              <w:rPr>
                <w:color w:val="1C3A36"/>
                <w:sz w:val="15"/>
              </w:rPr>
              <w:t>The cost of debt at the company's own disclosed rates — 19.4% on the local facility, 11.7% in dollars on the project loan carried at local-equivalent cost on the derived currency path, 24.4% in year one gliding to 13.9% at the terminal</w:t>
            </w:r>
          </w:p>
        </w:tc>
        <w:tc>
          <w:tcPr>
            <w:tcW w:type="dxa" w:w="2563"/>
          </w:tcPr>
          <w:p>
            <w:pPr>
              <w:spacing w:after="20"/>
            </w:pPr>
            <w:r>
              <w:rPr>
                <w:color w:val="1C3A36"/>
                <w:sz w:val="15"/>
              </w:rPr>
              <w:t>Every leg floored at the 23.00% sovereign ten-year yield — the company's own facilities print no spread above the policy rate, so no spread is added</w:t>
            </w:r>
          </w:p>
        </w:tc>
        <w:tc>
          <w:tcPr>
            <w:tcW w:type="dxa" w:w="950"/>
          </w:tcPr>
          <w:p>
            <w:pPr>
              <w:spacing w:after="20"/>
              <w:jc w:val="right"/>
            </w:pPr>
            <w:r>
              <w:rPr>
                <w:color w:val="1C3A36"/>
                <w:sz w:val="15"/>
              </w:rPr>
              <w:t>1.54</w:t>
            </w:r>
          </w:p>
        </w:tc>
        <w:tc>
          <w:tcPr>
            <w:tcW w:type="dxa" w:w="950"/>
          </w:tcPr>
          <w:p>
            <w:pPr>
              <w:spacing w:after="20"/>
              <w:jc w:val="right"/>
            </w:pPr>
            <w:r>
              <w:rPr>
                <w:color w:val="1C3A36"/>
                <w:sz w:val="15"/>
              </w:rPr>
              <w:t>-0.78</w:t>
            </w:r>
          </w:p>
        </w:tc>
        <w:tc>
          <w:tcPr>
            <w:tcW w:type="dxa" w:w="3139"/>
          </w:tcPr>
          <w:p>
            <w:pPr>
              <w:spacing w:after="20"/>
            </w:pPr>
            <w:r>
              <w:rPr>
                <w:color w:val="1C3A36"/>
                <w:sz w:val="15"/>
              </w:rPr>
              <w:t>A same-currency corporate cannot normally borrow below its sovereign, and the local facility does (its dollar leg sits below the normalised risk-free rate in 0 of the five explicit years). The disclosed rates are what the company actually pays on state-bank facilities and are used as disclosed; the floored construction is published beside them, not averaged in.</w:t>
            </w:r>
          </w:p>
        </w:tc>
      </w:tr>
      <w:tr>
        <w:trPr>
          <w:cantSplit/>
        </w:trPr>
        <w:tc>
          <w:tcPr>
            <w:tcW w:type="dxa" w:w="2477"/>
          </w:tcPr>
          <w:p>
            <w:pPr>
              <w:spacing w:after="20"/>
            </w:pPr>
            <w:r>
              <w:rPr>
                <w:color w:val="1C3A36"/>
                <w:sz w:val="15"/>
              </w:rPr>
              <w:t>Beta from the five-year weekly regression of the share against the published EGX30 index</w:t>
            </w:r>
          </w:p>
        </w:tc>
        <w:tc>
          <w:tcPr>
            <w:tcW w:type="dxa" w:w="2563"/>
          </w:tcPr>
          <w:p>
            <w:pPr>
              <w:spacing w:after="20"/>
            </w:pPr>
            <w:r>
              <w:rPr>
                <w:color w:val="1C3A36"/>
                <w:sz w:val="15"/>
              </w:rPr>
              <w:t>The lower bound of that regression's own 90% confidence interval</w:t>
            </w:r>
          </w:p>
        </w:tc>
        <w:tc>
          <w:tcPr>
            <w:tcW w:type="dxa" w:w="950"/>
          </w:tcPr>
          <w:p>
            <w:pPr>
              <w:spacing w:after="20"/>
              <w:jc w:val="right"/>
            </w:pPr>
            <w:r>
              <w:rPr>
                <w:color w:val="1C3A36"/>
                <w:sz w:val="15"/>
              </w:rPr>
              <w:t>3.50</w:t>
            </w:r>
          </w:p>
        </w:tc>
        <w:tc>
          <w:tcPr>
            <w:tcW w:type="dxa" w:w="950"/>
          </w:tcPr>
          <w:p>
            <w:pPr>
              <w:spacing w:after="20"/>
              <w:jc w:val="right"/>
            </w:pPr>
            <w:r>
              <w:rPr>
                <w:color w:val="1C3A36"/>
                <w:sz w:val="15"/>
              </w:rPr>
              <w:t>+1.19</w:t>
            </w:r>
          </w:p>
        </w:tc>
        <w:tc>
          <w:tcPr>
            <w:tcW w:type="dxa" w:w="3139"/>
          </w:tcPr>
          <w:p>
            <w:pPr>
              <w:spacing w:after="20"/>
            </w:pPr>
            <w:r>
              <w:rPr>
                <w:color w:val="1C3A36"/>
                <w:sz w:val="15"/>
              </w:rPr>
              <w:t>The regression passes all three conditions of the usability test, so the point estimate is adopted; the interval is wide because the share is thinly traded, and the lower bound is priced here rather than argued away.</w:t>
            </w:r>
          </w:p>
        </w:tc>
      </w:tr>
      <w:tr>
        <w:trPr>
          <w:cantSplit/>
        </w:trPr>
        <w:tc>
          <w:tcPr>
            <w:tcW w:type="dxa" w:w="2477"/>
          </w:tcPr>
          <w:p>
            <w:pPr>
              <w:spacing w:after="20"/>
            </w:pPr>
            <w:r>
              <w:rPr>
                <w:color w:val="1C3A36"/>
                <w:sz w:val="15"/>
              </w:rPr>
              <w:t>Gas at the realised price the company's own loss disclosure implies</w:t>
            </w:r>
          </w:p>
        </w:tc>
        <w:tc>
          <w:tcPr>
            <w:tcW w:type="dxa" w:w="2563"/>
          </w:tcPr>
          <w:p>
            <w:pPr>
              <w:spacing w:after="20"/>
            </w:pPr>
            <w:r>
              <w:rPr>
                <w:color w:val="1C3A36"/>
                <w:sz w:val="15"/>
              </w:rPr>
              <w:t>The contract formula price in the operating agreement, which is higher</w:t>
            </w:r>
          </w:p>
        </w:tc>
        <w:tc>
          <w:tcPr>
            <w:tcW w:type="dxa" w:w="950"/>
          </w:tcPr>
          <w:p>
            <w:pPr>
              <w:spacing w:after="20"/>
              <w:jc w:val="right"/>
            </w:pPr>
            <w:r>
              <w:rPr>
                <w:color w:val="1C3A36"/>
                <w:sz w:val="15"/>
              </w:rPr>
              <w:t>0.25</w:t>
            </w:r>
          </w:p>
        </w:tc>
        <w:tc>
          <w:tcPr>
            <w:tcW w:type="dxa" w:w="950"/>
          </w:tcPr>
          <w:p>
            <w:pPr>
              <w:spacing w:after="20"/>
              <w:jc w:val="right"/>
            </w:pPr>
            <w:r>
              <w:rPr>
                <w:color w:val="1C3A36"/>
                <w:sz w:val="15"/>
              </w:rPr>
              <w:t>-2.06</w:t>
            </w:r>
          </w:p>
        </w:tc>
        <w:tc>
          <w:tcPr>
            <w:tcW w:type="dxa" w:w="3139"/>
          </w:tcPr>
          <w:p>
            <w:pPr>
              <w:spacing w:after="20"/>
            </w:pPr>
            <w:r>
              <w:rPr>
                <w:color w:val="1C3A36"/>
                <w:sz w:val="15"/>
              </w:rPr>
              <w:t>The realised price is what the company actually paid on its own numbers. The contract price is carried as the downside case rather than as the central assumption, because a company that has been paying less than its contract for three years is evidence, not an exception.</w:t>
            </w:r>
          </w:p>
        </w:tc>
      </w:tr>
      <w:tr>
        <w:trPr>
          <w:cantSplit/>
        </w:trPr>
        <w:tc>
          <w:tcPr>
            <w:tcW w:type="dxa" w:w="2477"/>
          </w:tcPr>
          <w:p>
            <w:pPr>
              <w:spacing w:after="20"/>
            </w:pPr>
            <w:r>
              <w:rPr>
                <w:color w:val="1C3A36"/>
                <w:sz w:val="15"/>
              </w:rPr>
              <w:t>The new complex earning at half its derived nameplate in the terminal year</w:t>
            </w:r>
          </w:p>
        </w:tc>
        <w:tc>
          <w:tcPr>
            <w:tcW w:type="dxa" w:w="2563"/>
          </w:tcPr>
          <w:p>
            <w:pPr>
              <w:spacing w:after="20"/>
            </w:pPr>
            <w:r>
              <w:rPr>
                <w:color w:val="1C3A36"/>
                <w:sz w:val="15"/>
              </w:rPr>
              <w:t>Seventy per cent, which is what a well-run nitrate line achieves</w:t>
            </w:r>
          </w:p>
        </w:tc>
        <w:tc>
          <w:tcPr>
            <w:tcW w:type="dxa" w:w="950"/>
          </w:tcPr>
          <w:p>
            <w:pPr>
              <w:spacing w:after="20"/>
              <w:jc w:val="right"/>
            </w:pPr>
            <w:r>
              <w:rPr>
                <w:color w:val="1C3A36"/>
                <w:sz w:val="15"/>
              </w:rPr>
              <w:t>2.56</w:t>
            </w:r>
          </w:p>
        </w:tc>
        <w:tc>
          <w:tcPr>
            <w:tcW w:type="dxa" w:w="950"/>
          </w:tcPr>
          <w:p>
            <w:pPr>
              <w:spacing w:after="20"/>
              <w:jc w:val="right"/>
            </w:pPr>
            <w:r>
              <w:rPr>
                <w:color w:val="1C3A36"/>
                <w:sz w:val="15"/>
              </w:rPr>
              <w:t>+0.25</w:t>
            </w:r>
          </w:p>
        </w:tc>
        <w:tc>
          <w:tcPr>
            <w:tcW w:type="dxa" w:w="3139"/>
          </w:tcPr>
          <w:p>
            <w:pPr>
              <w:spacing w:after="20"/>
            </w:pPr>
            <w:r>
              <w:rPr>
                <w:color w:val="1C3A36"/>
                <w:sz w:val="15"/>
              </w:rPr>
              <w:t>Half is the observed record of the existing plant against its own plate under the same gas constraint. Assuming the new line does better than the old one on the same feedstock would need evidence no filing provides.</w:t>
            </w:r>
          </w:p>
        </w:tc>
      </w:tr>
      <w:tr>
        <w:trPr>
          <w:cantSplit/>
        </w:trPr>
        <w:tc>
          <w:tcPr>
            <w:tcW w:type="dxa" w:w="2477"/>
          </w:tcPr>
          <w:p>
            <w:pPr>
              <w:spacing w:after="20"/>
            </w:pPr>
            <w:r>
              <w:rPr>
                <w:color w:val="1C3A36"/>
                <w:sz w:val="15"/>
              </w:rPr>
              <w:t>Maintenance capital expenditure at the company's own observed pre-project rate of 1.12% of revenue</w:t>
            </w:r>
          </w:p>
        </w:tc>
        <w:tc>
          <w:tcPr>
            <w:tcW w:type="dxa" w:w="2563"/>
          </w:tcPr>
          <w:p>
            <w:pPr>
              <w:spacing w:after="20"/>
            </w:pPr>
            <w:r>
              <w:rPr>
                <w:color w:val="1C3A36"/>
                <w:sz w:val="15"/>
              </w:rPr>
              <w:t>Replacement-rate maintenance: gross fixed assets at the disclosed 3.95% machinery depreciation rate, or 6.11% of revenue</w:t>
            </w:r>
          </w:p>
        </w:tc>
        <w:tc>
          <w:tcPr>
            <w:tcW w:type="dxa" w:w="950"/>
          </w:tcPr>
          <w:p>
            <w:pPr>
              <w:spacing w:after="20"/>
              <w:jc w:val="right"/>
            </w:pPr>
            <w:r>
              <w:rPr>
                <w:color w:val="1C3A36"/>
                <w:sz w:val="15"/>
              </w:rPr>
              <w:t>1.40</w:t>
            </w:r>
          </w:p>
        </w:tc>
        <w:tc>
          <w:tcPr>
            <w:tcW w:type="dxa" w:w="950"/>
          </w:tcPr>
          <w:p>
            <w:pPr>
              <w:spacing w:after="20"/>
              <w:jc w:val="right"/>
            </w:pPr>
            <w:r>
              <w:rPr>
                <w:color w:val="1C3A36"/>
                <w:sz w:val="15"/>
              </w:rPr>
              <w:t>-0.91</w:t>
            </w:r>
          </w:p>
        </w:tc>
        <w:tc>
          <w:tcPr>
            <w:tcW w:type="dxa" w:w="3139"/>
          </w:tcPr>
          <w:p>
            <w:pPr>
              <w:spacing w:after="20"/>
            </w:pPr>
            <w:r>
              <w:rPr>
                <w:color w:val="1C3A36"/>
                <w:sz w:val="15"/>
              </w:rPr>
              <w:t>The observed rate is what this company has actually paid to keep this plant running in the two years when it was not building anything. The replacement-rate framing is the honest upper bound — a plant cannot spend a fifth of its depreciation forever — and it is carried as the downside case rather than averaged into the central.</w:t>
            </w:r>
          </w:p>
        </w:tc>
      </w:tr>
      <w:tr>
        <w:trPr>
          <w:cantSplit/>
        </w:trPr>
        <w:tc>
          <w:tcPr>
            <w:tcW w:type="dxa" w:w="2477"/>
          </w:tcPr>
          <w:p>
            <w:pPr>
              <w:spacing w:after="20"/>
            </w:pPr>
            <w:r>
              <w:rPr>
                <w:color w:val="1C3A36"/>
                <w:sz w:val="15"/>
              </w:rPr>
              <w:t>Terminal reinvestment of 38.9% of operating profit after tax, from growth over an 18% return on capital</w:t>
            </w:r>
          </w:p>
        </w:tc>
        <w:tc>
          <w:tcPr>
            <w:tcW w:type="dxa" w:w="2563"/>
          </w:tcPr>
          <w:p>
            <w:pPr>
              <w:spacing w:after="20"/>
            </w:pPr>
            <w:r>
              <w:rPr>
                <w:color w:val="1C3A36"/>
                <w:sz w:val="15"/>
              </w:rPr>
              <w:t>23.3%, from a 30% return on capital — the rate a newly completed plant earns on incremental capital while it is still filling</w:t>
            </w:r>
          </w:p>
        </w:tc>
        <w:tc>
          <w:tcPr>
            <w:tcW w:type="dxa" w:w="950"/>
          </w:tcPr>
          <w:p>
            <w:pPr>
              <w:spacing w:after="20"/>
              <w:jc w:val="right"/>
            </w:pPr>
            <w:r>
              <w:rPr>
                <w:color w:val="1C3A36"/>
                <w:sz w:val="15"/>
              </w:rPr>
              <w:t>3.24</w:t>
            </w:r>
          </w:p>
        </w:tc>
        <w:tc>
          <w:tcPr>
            <w:tcW w:type="dxa" w:w="950"/>
          </w:tcPr>
          <w:p>
            <w:pPr>
              <w:spacing w:after="20"/>
              <w:jc w:val="right"/>
            </w:pPr>
            <w:r>
              <w:rPr>
                <w:color w:val="1C3A36"/>
                <w:sz w:val="15"/>
              </w:rPr>
              <w:t>+0.93</w:t>
            </w:r>
          </w:p>
        </w:tc>
        <w:tc>
          <w:tcPr>
            <w:tcW w:type="dxa" w:w="3139"/>
          </w:tcPr>
          <w:p>
            <w:pPr>
              <w:spacing w:after="20"/>
            </w:pPr>
            <w:r>
              <w:rPr>
                <w:color w:val="1C3A36"/>
                <w:sz w:val="15"/>
              </w:rPr>
              <w:t>Eighteen per cent is the conservative reading and is kept, but it is an assumption rather than a disclosure, and on a plant that has just been rebuilt it charges a heavy ongoing reinvestment against a terminal year that needs no further building. It is the single largest unsourced input left in the model and is flagged as such.</w:t>
            </w:r>
          </w:p>
        </w:tc>
      </w:tr>
      <w:tr>
        <w:trPr>
          <w:cantSplit/>
        </w:trPr>
        <w:tc>
          <w:tcPr>
            <w:tcW w:type="dxa" w:w="2477"/>
          </w:tcPr>
          <w:p>
            <w:pPr>
              <w:spacing w:after="20"/>
            </w:pPr>
            <w:r>
              <w:rPr>
                <w:color w:val="1C3A36"/>
                <w:sz w:val="15"/>
              </w:rPr>
              <w:t>Project spending anchored on the observed run rate: the nine-month actual extended to a full year</w:t>
            </w:r>
          </w:p>
        </w:tc>
        <w:tc>
          <w:tcPr>
            <w:tcW w:type="dxa" w:w="2563"/>
          </w:tcPr>
          <w:p>
            <w:pPr>
              <w:spacing w:after="20"/>
            </w:pPr>
            <w:r>
              <w:rPr>
                <w:color w:val="1C3A36"/>
                <w:sz w:val="15"/>
              </w:rPr>
              <w:t>The faster profile the first issue of this study used, opening at EGP 3,000m</w:t>
            </w:r>
          </w:p>
        </w:tc>
        <w:tc>
          <w:tcPr>
            <w:tcW w:type="dxa" w:w="950"/>
          </w:tcPr>
          <w:p>
            <w:pPr>
              <w:spacing w:after="20"/>
              <w:jc w:val="right"/>
            </w:pPr>
            <w:r>
              <w:rPr>
                <w:color w:val="1C3A36"/>
                <w:sz w:val="15"/>
              </w:rPr>
              <w:t>2.08</w:t>
            </w:r>
          </w:p>
        </w:tc>
        <w:tc>
          <w:tcPr>
            <w:tcW w:type="dxa" w:w="950"/>
          </w:tcPr>
          <w:p>
            <w:pPr>
              <w:spacing w:after="20"/>
              <w:jc w:val="right"/>
            </w:pPr>
            <w:r>
              <w:rPr>
                <w:color w:val="1C3A36"/>
                <w:sz w:val="15"/>
              </w:rPr>
              <w:t>-0.23</w:t>
            </w:r>
          </w:p>
        </w:tc>
        <w:tc>
          <w:tcPr>
            <w:tcW w:type="dxa" w:w="3139"/>
          </w:tcPr>
          <w:p>
            <w:pPr>
              <w:spacing w:after="20"/>
            </w:pPr>
            <w:r>
              <w:rPr>
                <w:color w:val="1C3A36"/>
                <w:sz w:val="15"/>
              </w:rPr>
              <w:t>The company has never spent EGP 3,000m in a year on this project. The observed rate is a disclosed, dated figure and the total still completes the approved cost inside the forecast window.</w:t>
            </w:r>
          </w:p>
        </w:tc>
      </w:tr>
    </w:tbl>
    <w:p>
      <w:pPr>
        <w:spacing w:after="40"/>
      </w:pPr>
    </w:p>
    <w:p>
      <w:pPr>
        <w:spacing w:after="200" w:before="0"/>
      </w:pPr>
      <w:r>
        <w:rPr>
          <w:b w:val="0"/>
          <w:i/>
          <w:color w:val="6E7B77"/>
          <w:sz w:val="17"/>
        </w:rPr>
        <w:t>Table 18.  The two that move the answer most are gas (-2.06) and glide (-1.74); none of the 10, and no combination of them, closes the gap to the traded price.</w:t>
      </w:r>
    </w:p>
    <w:p>
      <w:pPr>
        <w:keepNext/>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309360" cy="2961536"/>
            <wp:docPr id="9" name="Picture 9"/>
            <wp:cNvGraphicFramePr>
              <a:graphicFrameLocks noChangeAspect="1"/>
            </wp:cNvGraphicFramePr>
            <a:graphic>
              <a:graphicData uri="http://schemas.openxmlformats.org/drawingml/2006/picture">
                <pic:pic>
                  <pic:nvPicPr>
                    <pic:cNvPr id="0" name="fig5_crux.png"/>
                    <pic:cNvPicPr/>
                  </pic:nvPicPr>
                  <pic:blipFill>
                    <a:blip r:embed="rId17"/>
                    <a:stretch>
                      <a:fillRect/>
                    </a:stretch>
                  </pic:blipFill>
                  <pic:spPr>
                    <a:xfrm>
                      <a:off x="0" y="0"/>
                      <a:ext cx="6309360" cy="2961536"/>
                    </a:xfrm>
                    <a:prstGeom prst="rect"/>
                  </pic:spPr>
                </pic:pic>
              </a:graphicData>
            </a:graphic>
          </wp:inline>
        </w:drawing>
      </w:r>
    </w:p>
    <w:p>
      <w:pPr>
        <w:spacing w:after="200" w:before="0"/>
      </w:pPr>
      <w:r>
        <w:rPr>
          <w:b w:val="0"/>
          <w:i/>
          <w:color w:val="6E7B77"/>
          <w:sz w:val="17"/>
        </w:rPr>
        <w:t>Figure 9.  Value per share across the two observable inputs that decide it. Every cell is a complete revaluation, not an interpolation.</w:t>
      </w:r>
    </w:p>
    <w:p>
      <w:pPr>
        <w:spacing w:after="120" w:before="0"/>
      </w:pPr>
      <w:r>
        <w:rPr>
          <w:b w:val="0"/>
          <w:i w:val="0"/>
          <w:color w:val="1C3A36"/>
          <w:sz w:val="21"/>
        </w:rPr>
        <w:t>The same grid in numbers. Each column is a long-run export price in dollars a tonne, each row a terminal cost of capital, and each cell a full re-run of the model — the segment build, the waterfall, the terminal year and the bridge — not a multiplier applied to the central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83"/>
        <w:gridCol w:w="1483"/>
        <w:gridCol w:w="1483"/>
        <w:gridCol w:w="1483"/>
        <w:gridCol w:w="1483"/>
      </w:tblGrid>
      <w:tr>
        <w:trPr>
          <w:cantSplit/>
          <w:tblHeader/>
        </w:trPr>
        <w:tc>
          <w:tcPr>
            <w:tcW w:type="dxa" w:w="2520"/>
            <w:shd w:val="clear" w:color="auto" w:fill="EAF0EE"/>
          </w:tcPr>
          <w:p>
            <w:pPr>
              <w:spacing w:after="20"/>
            </w:pPr>
            <w:r>
              <w:rPr>
                <w:b/>
                <w:color w:val="1C3A36"/>
                <w:sz w:val="17"/>
              </w:rPr>
              <w:t>Terminal cost of capital</w:t>
            </w:r>
          </w:p>
        </w:tc>
        <w:tc>
          <w:tcPr>
            <w:tcW w:type="dxa" w:w="1483"/>
            <w:shd w:val="clear" w:color="auto" w:fill="EAF0EE"/>
          </w:tcPr>
          <w:p>
            <w:pPr>
              <w:spacing w:after="20"/>
            </w:pPr>
            <w:r>
              <w:rPr>
                <w:b/>
                <w:color w:val="1C3A36"/>
                <w:sz w:val="17"/>
              </w:rPr>
              <w:t>US$380/t</w:t>
            </w:r>
          </w:p>
        </w:tc>
        <w:tc>
          <w:tcPr>
            <w:tcW w:type="dxa" w:w="1483"/>
            <w:shd w:val="clear" w:color="auto" w:fill="EAF0EE"/>
          </w:tcPr>
          <w:p>
            <w:pPr>
              <w:spacing w:after="20"/>
            </w:pPr>
            <w:r>
              <w:rPr>
                <w:b/>
                <w:color w:val="1C3A36"/>
                <w:sz w:val="17"/>
              </w:rPr>
              <w:t>US$420/t</w:t>
            </w:r>
          </w:p>
        </w:tc>
        <w:tc>
          <w:tcPr>
            <w:tcW w:type="dxa" w:w="1483"/>
            <w:shd w:val="clear" w:color="auto" w:fill="EAF0EE"/>
          </w:tcPr>
          <w:p>
            <w:pPr>
              <w:spacing w:after="20"/>
            </w:pPr>
            <w:r>
              <w:rPr>
                <w:b/>
                <w:color w:val="1C3A36"/>
                <w:sz w:val="17"/>
              </w:rPr>
              <w:t>US$460/t</w:t>
            </w:r>
          </w:p>
        </w:tc>
        <w:tc>
          <w:tcPr>
            <w:tcW w:type="dxa" w:w="1483"/>
            <w:shd w:val="clear" w:color="auto" w:fill="EAF0EE"/>
          </w:tcPr>
          <w:p>
            <w:pPr>
              <w:spacing w:after="20"/>
            </w:pPr>
            <w:r>
              <w:rPr>
                <w:b/>
                <w:color w:val="1C3A36"/>
                <w:sz w:val="17"/>
              </w:rPr>
              <w:t>US$500/t</w:t>
            </w:r>
          </w:p>
        </w:tc>
        <w:tc>
          <w:tcPr>
            <w:tcW w:type="dxa" w:w="1483"/>
            <w:shd w:val="clear" w:color="auto" w:fill="EAF0EE"/>
          </w:tcPr>
          <w:p>
            <w:pPr>
              <w:spacing w:after="20"/>
            </w:pPr>
            <w:r>
              <w:rPr>
                <w:b/>
                <w:color w:val="1C3A36"/>
                <w:sz w:val="17"/>
              </w:rPr>
              <w:t>US$540/t</w:t>
            </w:r>
          </w:p>
        </w:tc>
      </w:tr>
      <w:tr>
        <w:trPr>
          <w:cantSplit/>
        </w:trPr>
        <w:tc>
          <w:tcPr>
            <w:tcW w:type="dxa" w:w="2520"/>
          </w:tcPr>
          <w:p>
            <w:pPr>
              <w:spacing w:after="20"/>
            </w:pPr>
            <w:r>
              <w:rPr>
                <w:color w:val="1C3A36"/>
                <w:sz w:val="17"/>
              </w:rPr>
              <w:t>17.0%</w:t>
            </w:r>
          </w:p>
        </w:tc>
        <w:tc>
          <w:tcPr>
            <w:tcW w:type="dxa" w:w="1483"/>
          </w:tcPr>
          <w:p>
            <w:pPr>
              <w:spacing w:after="20"/>
              <w:jc w:val="right"/>
            </w:pPr>
            <w:r>
              <w:rPr>
                <w:color w:val="1C3A36"/>
                <w:sz w:val="17"/>
              </w:rPr>
              <w:t>-2.49</w:t>
            </w:r>
          </w:p>
        </w:tc>
        <w:tc>
          <w:tcPr>
            <w:tcW w:type="dxa" w:w="1483"/>
          </w:tcPr>
          <w:p>
            <w:pPr>
              <w:spacing w:after="20"/>
              <w:jc w:val="right"/>
            </w:pPr>
            <w:r>
              <w:rPr>
                <w:color w:val="1C3A36"/>
                <w:sz w:val="17"/>
              </w:rPr>
              <w:t>-0.80</w:t>
            </w:r>
          </w:p>
        </w:tc>
        <w:tc>
          <w:tcPr>
            <w:tcW w:type="dxa" w:w="1483"/>
          </w:tcPr>
          <w:p>
            <w:pPr>
              <w:spacing w:after="20"/>
              <w:jc w:val="right"/>
            </w:pPr>
            <w:r>
              <w:rPr>
                <w:color w:val="1C3A36"/>
                <w:sz w:val="17"/>
              </w:rPr>
              <w:t>0.89</w:t>
            </w:r>
          </w:p>
        </w:tc>
        <w:tc>
          <w:tcPr>
            <w:tcW w:type="dxa" w:w="1483"/>
          </w:tcPr>
          <w:p>
            <w:pPr>
              <w:spacing w:after="20"/>
              <w:jc w:val="right"/>
            </w:pPr>
            <w:r>
              <w:rPr>
                <w:color w:val="1C3A36"/>
                <w:sz w:val="17"/>
              </w:rPr>
              <w:t>2.57</w:t>
            </w:r>
          </w:p>
        </w:tc>
        <w:tc>
          <w:tcPr>
            <w:tcW w:type="dxa" w:w="1483"/>
          </w:tcPr>
          <w:p>
            <w:pPr>
              <w:spacing w:after="20"/>
              <w:jc w:val="right"/>
            </w:pPr>
            <w:r>
              <w:rPr>
                <w:color w:val="1C3A36"/>
                <w:sz w:val="17"/>
              </w:rPr>
              <w:t>4.26</w:t>
            </w:r>
          </w:p>
        </w:tc>
      </w:tr>
      <w:tr>
        <w:trPr>
          <w:cantSplit/>
        </w:trPr>
        <w:tc>
          <w:tcPr>
            <w:tcW w:type="dxa" w:w="2520"/>
          </w:tcPr>
          <w:p>
            <w:pPr>
              <w:spacing w:after="20"/>
            </w:pPr>
            <w:r>
              <w:rPr>
                <w:color w:val="1C3A36"/>
                <w:sz w:val="17"/>
              </w:rPr>
              <w:t>18.5%</w:t>
            </w:r>
          </w:p>
        </w:tc>
        <w:tc>
          <w:tcPr>
            <w:tcW w:type="dxa" w:w="1483"/>
          </w:tcPr>
          <w:p>
            <w:pPr>
              <w:spacing w:after="20"/>
              <w:jc w:val="right"/>
            </w:pPr>
            <w:r>
              <w:rPr>
                <w:color w:val="1C3A36"/>
                <w:sz w:val="17"/>
              </w:rPr>
              <w:t>-2.63</w:t>
            </w:r>
          </w:p>
        </w:tc>
        <w:tc>
          <w:tcPr>
            <w:tcW w:type="dxa" w:w="1483"/>
          </w:tcPr>
          <w:p>
            <w:pPr>
              <w:spacing w:after="20"/>
              <w:jc w:val="right"/>
            </w:pPr>
            <w:r>
              <w:rPr>
                <w:color w:val="1C3A36"/>
                <w:sz w:val="17"/>
              </w:rPr>
              <w:t>-1.05</w:t>
            </w:r>
          </w:p>
        </w:tc>
        <w:tc>
          <w:tcPr>
            <w:tcW w:type="dxa" w:w="1483"/>
          </w:tcPr>
          <w:p>
            <w:pPr>
              <w:spacing w:after="20"/>
              <w:jc w:val="right"/>
            </w:pPr>
            <w:r>
              <w:rPr>
                <w:color w:val="1C3A36"/>
                <w:sz w:val="17"/>
              </w:rPr>
              <w:t>0.53</w:t>
            </w:r>
          </w:p>
        </w:tc>
        <w:tc>
          <w:tcPr>
            <w:tcW w:type="dxa" w:w="1483"/>
          </w:tcPr>
          <w:p>
            <w:pPr>
              <w:spacing w:after="20"/>
              <w:jc w:val="right"/>
            </w:pPr>
            <w:r>
              <w:rPr>
                <w:color w:val="1C3A36"/>
                <w:sz w:val="17"/>
              </w:rPr>
              <w:t>2.10</w:t>
            </w:r>
          </w:p>
        </w:tc>
        <w:tc>
          <w:tcPr>
            <w:tcW w:type="dxa" w:w="1483"/>
          </w:tcPr>
          <w:p>
            <w:pPr>
              <w:spacing w:after="20"/>
              <w:jc w:val="right"/>
            </w:pPr>
            <w:r>
              <w:rPr>
                <w:color w:val="1C3A36"/>
                <w:sz w:val="17"/>
              </w:rPr>
              <w:t>3.68</w:t>
            </w:r>
          </w:p>
        </w:tc>
      </w:tr>
      <w:tr>
        <w:trPr>
          <w:cantSplit/>
        </w:trPr>
        <w:tc>
          <w:tcPr>
            <w:tcW w:type="dxa" w:w="2520"/>
          </w:tcPr>
          <w:p>
            <w:pPr>
              <w:spacing w:after="20"/>
            </w:pPr>
            <w:r>
              <w:rPr>
                <w:color w:val="1C3A36"/>
                <w:sz w:val="17"/>
              </w:rPr>
              <w:t>20.4%</w:t>
            </w:r>
          </w:p>
        </w:tc>
        <w:tc>
          <w:tcPr>
            <w:tcW w:type="dxa" w:w="1483"/>
          </w:tcPr>
          <w:p>
            <w:pPr>
              <w:spacing w:after="20"/>
              <w:jc w:val="right"/>
            </w:pPr>
            <w:r>
              <w:rPr>
                <w:color w:val="1C3A36"/>
                <w:sz w:val="17"/>
              </w:rPr>
              <w:t>-2.76</w:t>
            </w:r>
          </w:p>
        </w:tc>
        <w:tc>
          <w:tcPr>
            <w:tcW w:type="dxa" w:w="1483"/>
          </w:tcPr>
          <w:p>
            <w:pPr>
              <w:spacing w:after="20"/>
              <w:jc w:val="right"/>
            </w:pPr>
            <w:r>
              <w:rPr>
                <w:color w:val="1C3A36"/>
                <w:sz w:val="17"/>
              </w:rPr>
              <w:t>-1.29</w:t>
            </w:r>
          </w:p>
        </w:tc>
        <w:tc>
          <w:tcPr>
            <w:tcW w:type="dxa" w:w="1483"/>
          </w:tcPr>
          <w:p>
            <w:pPr>
              <w:spacing w:after="20"/>
              <w:jc w:val="right"/>
            </w:pPr>
            <w:r>
              <w:rPr>
                <w:color w:val="1C3A36"/>
                <w:sz w:val="17"/>
              </w:rPr>
              <w:t>0.19</w:t>
            </w:r>
          </w:p>
        </w:tc>
        <w:tc>
          <w:tcPr>
            <w:tcW w:type="dxa" w:w="1483"/>
          </w:tcPr>
          <w:p>
            <w:pPr>
              <w:spacing w:after="20"/>
              <w:jc w:val="right"/>
            </w:pPr>
            <w:r>
              <w:rPr>
                <w:color w:val="1C3A36"/>
                <w:sz w:val="17"/>
              </w:rPr>
              <w:t>1.66</w:t>
            </w:r>
          </w:p>
        </w:tc>
        <w:tc>
          <w:tcPr>
            <w:tcW w:type="dxa" w:w="1483"/>
          </w:tcPr>
          <w:p>
            <w:pPr>
              <w:spacing w:after="20"/>
              <w:jc w:val="right"/>
            </w:pPr>
            <w:r>
              <w:rPr>
                <w:color w:val="1C3A36"/>
                <w:sz w:val="17"/>
              </w:rPr>
              <w:t>3.14</w:t>
            </w:r>
          </w:p>
        </w:tc>
      </w:tr>
      <w:tr>
        <w:trPr>
          <w:cantSplit/>
        </w:trPr>
        <w:tc>
          <w:tcPr>
            <w:tcW w:type="dxa" w:w="2520"/>
          </w:tcPr>
          <w:p>
            <w:pPr>
              <w:spacing w:after="20"/>
            </w:pPr>
            <w:r>
              <w:rPr>
                <w:color w:val="1C3A36"/>
                <w:sz w:val="17"/>
              </w:rPr>
              <w:t>22.0%</w:t>
            </w:r>
          </w:p>
        </w:tc>
        <w:tc>
          <w:tcPr>
            <w:tcW w:type="dxa" w:w="1483"/>
          </w:tcPr>
          <w:p>
            <w:pPr>
              <w:spacing w:after="20"/>
              <w:jc w:val="right"/>
            </w:pPr>
            <w:r>
              <w:rPr>
                <w:color w:val="1C3A36"/>
                <w:sz w:val="17"/>
              </w:rPr>
              <w:t>-2.84</w:t>
            </w:r>
          </w:p>
        </w:tc>
        <w:tc>
          <w:tcPr>
            <w:tcW w:type="dxa" w:w="1483"/>
          </w:tcPr>
          <w:p>
            <w:pPr>
              <w:spacing w:after="20"/>
              <w:jc w:val="right"/>
            </w:pPr>
            <w:r>
              <w:rPr>
                <w:color w:val="1C3A36"/>
                <w:sz w:val="17"/>
              </w:rPr>
              <w:t>-1.44</w:t>
            </w:r>
          </w:p>
        </w:tc>
        <w:tc>
          <w:tcPr>
            <w:tcW w:type="dxa" w:w="1483"/>
          </w:tcPr>
          <w:p>
            <w:pPr>
              <w:spacing w:after="20"/>
              <w:jc w:val="right"/>
            </w:pPr>
            <w:r>
              <w:rPr>
                <w:color w:val="1C3A36"/>
                <w:sz w:val="17"/>
              </w:rPr>
              <w:t>-0.03</w:t>
            </w:r>
          </w:p>
        </w:tc>
        <w:tc>
          <w:tcPr>
            <w:tcW w:type="dxa" w:w="1483"/>
          </w:tcPr>
          <w:p>
            <w:pPr>
              <w:spacing w:after="20"/>
              <w:jc w:val="right"/>
            </w:pPr>
            <w:r>
              <w:rPr>
                <w:color w:val="1C3A36"/>
                <w:sz w:val="17"/>
              </w:rPr>
              <w:t>1.38</w:t>
            </w:r>
          </w:p>
        </w:tc>
        <w:tc>
          <w:tcPr>
            <w:tcW w:type="dxa" w:w="1483"/>
          </w:tcPr>
          <w:p>
            <w:pPr>
              <w:spacing w:after="20"/>
              <w:jc w:val="right"/>
            </w:pPr>
            <w:r>
              <w:rPr>
                <w:color w:val="1C3A36"/>
                <w:sz w:val="17"/>
              </w:rPr>
              <w:t>2.78</w:t>
            </w:r>
          </w:p>
        </w:tc>
      </w:tr>
      <w:tr>
        <w:trPr>
          <w:cantSplit/>
        </w:trPr>
        <w:tc>
          <w:tcPr>
            <w:tcW w:type="dxa" w:w="2520"/>
          </w:tcPr>
          <w:p>
            <w:pPr>
              <w:spacing w:after="20"/>
            </w:pPr>
            <w:r>
              <w:rPr>
                <w:color w:val="1C3A36"/>
                <w:sz w:val="17"/>
              </w:rPr>
              <w:t>24.0%</w:t>
            </w:r>
          </w:p>
        </w:tc>
        <w:tc>
          <w:tcPr>
            <w:tcW w:type="dxa" w:w="1483"/>
          </w:tcPr>
          <w:p>
            <w:pPr>
              <w:spacing w:after="20"/>
              <w:jc w:val="right"/>
            </w:pPr>
            <w:r>
              <w:rPr>
                <w:color w:val="1C3A36"/>
                <w:sz w:val="17"/>
              </w:rPr>
              <w:t>-2.92</w:t>
            </w:r>
          </w:p>
        </w:tc>
        <w:tc>
          <w:tcPr>
            <w:tcW w:type="dxa" w:w="1483"/>
          </w:tcPr>
          <w:p>
            <w:pPr>
              <w:spacing w:after="20"/>
              <w:jc w:val="right"/>
            </w:pPr>
            <w:r>
              <w:rPr>
                <w:color w:val="1C3A36"/>
                <w:sz w:val="17"/>
              </w:rPr>
              <w:t>-1.59</w:t>
            </w:r>
          </w:p>
        </w:tc>
        <w:tc>
          <w:tcPr>
            <w:tcW w:type="dxa" w:w="1483"/>
          </w:tcPr>
          <w:p>
            <w:pPr>
              <w:spacing w:after="20"/>
              <w:jc w:val="right"/>
            </w:pPr>
            <w:r>
              <w:rPr>
                <w:color w:val="1C3A36"/>
                <w:sz w:val="17"/>
              </w:rPr>
              <w:t>-0.25</w:t>
            </w:r>
          </w:p>
        </w:tc>
        <w:tc>
          <w:tcPr>
            <w:tcW w:type="dxa" w:w="1483"/>
          </w:tcPr>
          <w:p>
            <w:pPr>
              <w:spacing w:after="20"/>
              <w:jc w:val="right"/>
            </w:pPr>
            <w:r>
              <w:rPr>
                <w:color w:val="1C3A36"/>
                <w:sz w:val="17"/>
              </w:rPr>
              <w:t>1.09</w:t>
            </w:r>
          </w:p>
        </w:tc>
        <w:tc>
          <w:tcPr>
            <w:tcW w:type="dxa" w:w="1483"/>
          </w:tcPr>
          <w:p>
            <w:pPr>
              <w:spacing w:after="20"/>
              <w:jc w:val="right"/>
            </w:pPr>
            <w:r>
              <w:rPr>
                <w:color w:val="1C3A36"/>
                <w:sz w:val="17"/>
              </w:rPr>
              <w:t>2.43</w:t>
            </w:r>
          </w:p>
        </w:tc>
      </w:tr>
    </w:tbl>
    <w:p>
      <w:pPr>
        <w:spacing w:after="40"/>
      </w:pPr>
    </w:p>
    <w:p>
      <w:pPr>
        <w:spacing w:after="200" w:before="0"/>
      </w:pPr>
      <w:r>
        <w:rPr>
          <w:b w:val="0"/>
          <w:i/>
          <w:color w:val="6E7B77"/>
          <w:sz w:val="17"/>
        </w:rPr>
        <w:t>Table 19.  The highest cell in the grid is EGP 4.26, at a long-run export price above today's spot and a terminal rate below the sovereign's own short-term yield. Reaching EGP 14.41 requires leaving the grid altogether, which is what the reverse calculation in the headline does explicitly.</w:t>
      </w:r>
    </w:p>
    <w:p>
      <w:pPr>
        <w:spacing w:after="120" w:before="0"/>
      </w:pPr>
      <w:r>
        <w:rPr>
          <w:b w:val="0"/>
          <w:i w:val="0"/>
          <w:color w:val="1C3A36"/>
          <w:sz w:val="21"/>
        </w:rPr>
        <w:t>Each anchor below is varied independently around its own base, so the swings do not add. Every one is the difference between two complete re-runs of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3384"/>
        <w:gridCol w:w="2160"/>
        <w:gridCol w:w="1152"/>
      </w:tblGrid>
      <w:tr>
        <w:trPr>
          <w:cantSplit/>
          <w:tblHeader/>
        </w:trPr>
        <w:tc>
          <w:tcPr>
            <w:tcW w:type="dxa" w:w="2736"/>
            <w:shd w:val="clear" w:color="auto" w:fill="EAF0EE"/>
          </w:tcPr>
          <w:p>
            <w:pPr>
              <w:spacing w:after="20"/>
            </w:pPr>
            <w:r>
              <w:rPr>
                <w:b/>
                <w:color w:val="1C3A36"/>
                <w:sz w:val="16"/>
              </w:rPr>
              <w:t>What moves</w:t>
            </w:r>
          </w:p>
        </w:tc>
        <w:tc>
          <w:tcPr>
            <w:tcW w:type="dxa" w:w="3384"/>
            <w:shd w:val="clear" w:color="auto" w:fill="EAF0EE"/>
          </w:tcPr>
          <w:p>
            <w:pPr>
              <w:spacing w:after="20"/>
            </w:pPr>
            <w:r>
              <w:rPr>
                <w:b/>
                <w:color w:val="1C3A36"/>
                <w:sz w:val="16"/>
              </w:rPr>
              <w:t>Range tested</w:t>
            </w:r>
          </w:p>
        </w:tc>
        <w:tc>
          <w:tcPr>
            <w:tcW w:type="dxa" w:w="2160"/>
            <w:shd w:val="clear" w:color="auto" w:fill="EAF0EE"/>
          </w:tcPr>
          <w:p>
            <w:pPr>
              <w:spacing w:after="20"/>
            </w:pPr>
            <w:r>
              <w:rPr>
                <w:b/>
                <w:color w:val="1C3A36"/>
                <w:sz w:val="16"/>
              </w:rPr>
              <w:t>Fair value span (EGP/share)</w:t>
            </w:r>
          </w:p>
        </w:tc>
        <w:tc>
          <w:tcPr>
            <w:tcW w:type="dxa" w:w="1152"/>
            <w:shd w:val="clear" w:color="auto" w:fill="EAF0EE"/>
          </w:tcPr>
          <w:p>
            <w:pPr>
              <w:spacing w:after="20"/>
            </w:pPr>
            <w:r>
              <w:rPr>
                <w:b/>
                <w:color w:val="1C3A36"/>
                <w:sz w:val="16"/>
              </w:rPr>
              <w:t>Swing</w:t>
            </w:r>
          </w:p>
        </w:tc>
      </w:tr>
      <w:tr>
        <w:trPr>
          <w:cantSplit/>
        </w:trPr>
        <w:tc>
          <w:tcPr>
            <w:tcW w:type="dxa" w:w="2736"/>
            <w:shd w:val="clear" w:color="auto" w:fill="F6F1E6"/>
          </w:tcPr>
          <w:p>
            <w:pPr>
              <w:spacing w:after="20"/>
            </w:pPr>
            <w:r>
              <w:rPr>
                <w:b/>
                <w:color w:val="1C3A36"/>
                <w:sz w:val="16"/>
              </w:rPr>
              <w:t>Long-run export price</w:t>
            </w:r>
          </w:p>
        </w:tc>
        <w:tc>
          <w:tcPr>
            <w:tcW w:type="dxa" w:w="3384"/>
            <w:shd w:val="clear" w:color="auto" w:fill="F6F1E6"/>
          </w:tcPr>
          <w:p>
            <w:pPr>
              <w:spacing w:after="20"/>
            </w:pPr>
            <w:r>
              <w:rPr>
                <w:b/>
                <w:color w:val="1C3A36"/>
                <w:sz w:val="16"/>
              </w:rPr>
              <w:t>US$380 to US$540 a tonne</w:t>
            </w:r>
          </w:p>
        </w:tc>
        <w:tc>
          <w:tcPr>
            <w:tcW w:type="dxa" w:w="2160"/>
            <w:shd w:val="clear" w:color="auto" w:fill="F6F1E6"/>
          </w:tcPr>
          <w:p>
            <w:pPr>
              <w:spacing w:after="20"/>
              <w:jc w:val="right"/>
            </w:pPr>
            <w:r>
              <w:rPr>
                <w:b/>
                <w:color w:val="1C3A36"/>
                <w:sz w:val="16"/>
              </w:rPr>
              <w:t>-2.76 to 3.14</w:t>
            </w:r>
          </w:p>
        </w:tc>
        <w:tc>
          <w:tcPr>
            <w:tcW w:type="dxa" w:w="1152"/>
            <w:shd w:val="clear" w:color="auto" w:fill="F6F1E6"/>
          </w:tcPr>
          <w:p>
            <w:pPr>
              <w:spacing w:after="20"/>
              <w:jc w:val="right"/>
            </w:pPr>
            <w:r>
              <w:rPr>
                <w:b/>
                <w:color w:val="1C3A36"/>
                <w:sz w:val="16"/>
              </w:rPr>
              <w:t>5.89</w:t>
            </w:r>
          </w:p>
        </w:tc>
      </w:tr>
      <w:tr>
        <w:trPr>
          <w:cantSplit/>
        </w:trPr>
        <w:tc>
          <w:tcPr>
            <w:tcW w:type="dxa" w:w="2736"/>
          </w:tcPr>
          <w:p>
            <w:pPr>
              <w:spacing w:after="20"/>
            </w:pPr>
            <w:r>
              <w:rPr>
                <w:color w:val="1C3A36"/>
                <w:sz w:val="16"/>
              </w:rPr>
              <w:t>The capital programme</w:t>
            </w:r>
          </w:p>
        </w:tc>
        <w:tc>
          <w:tcPr>
            <w:tcW w:type="dxa" w:w="3384"/>
          </w:tcPr>
          <w:p>
            <w:pPr>
              <w:spacing w:after="20"/>
            </w:pPr>
            <w:r>
              <w:rPr>
                <w:color w:val="1C3A36"/>
                <w:sz w:val="16"/>
              </w:rPr>
              <w:t>Carried through against stopped</w:t>
            </w:r>
          </w:p>
        </w:tc>
        <w:tc>
          <w:tcPr>
            <w:tcW w:type="dxa" w:w="2160"/>
          </w:tcPr>
          <w:p>
            <w:pPr>
              <w:spacing w:after="20"/>
              <w:jc w:val="right"/>
            </w:pPr>
            <w:r>
              <w:rPr>
                <w:color w:val="1C3A36"/>
                <w:sz w:val="16"/>
              </w:rPr>
              <w:t>2.31 to 6.26</w:t>
            </w:r>
          </w:p>
        </w:tc>
        <w:tc>
          <w:tcPr>
            <w:tcW w:type="dxa" w:w="1152"/>
          </w:tcPr>
          <w:p>
            <w:pPr>
              <w:spacing w:after="20"/>
              <w:jc w:val="right"/>
            </w:pPr>
            <w:r>
              <w:rPr>
                <w:color w:val="1C3A36"/>
                <w:sz w:val="16"/>
              </w:rPr>
              <w:t>3.95</w:t>
            </w:r>
          </w:p>
        </w:tc>
      </w:tr>
      <w:tr>
        <w:trPr>
          <w:cantSplit/>
        </w:trPr>
        <w:tc>
          <w:tcPr>
            <w:tcW w:type="dxa" w:w="2736"/>
          </w:tcPr>
          <w:p>
            <w:pPr>
              <w:spacing w:after="20"/>
            </w:pPr>
            <w:r>
              <w:rPr>
                <w:color w:val="1C3A36"/>
                <w:sz w:val="16"/>
              </w:rPr>
              <w:t>Gas price</w:t>
            </w:r>
          </w:p>
        </w:tc>
        <w:tc>
          <w:tcPr>
            <w:tcW w:type="dxa" w:w="3384"/>
          </w:tcPr>
          <w:p>
            <w:pPr>
              <w:spacing w:after="20"/>
            </w:pPr>
            <w:r>
              <w:rPr>
                <w:color w:val="1C3A36"/>
                <w:sz w:val="16"/>
              </w:rPr>
              <w:t>The realised price against the contract formula price</w:t>
            </w:r>
          </w:p>
        </w:tc>
        <w:tc>
          <w:tcPr>
            <w:tcW w:type="dxa" w:w="2160"/>
          </w:tcPr>
          <w:p>
            <w:pPr>
              <w:spacing w:after="20"/>
              <w:jc w:val="right"/>
            </w:pPr>
            <w:r>
              <w:rPr>
                <w:color w:val="1C3A36"/>
                <w:sz w:val="16"/>
              </w:rPr>
              <w:t>0.25 to 2.31</w:t>
            </w:r>
          </w:p>
        </w:tc>
        <w:tc>
          <w:tcPr>
            <w:tcW w:type="dxa" w:w="1152"/>
          </w:tcPr>
          <w:p>
            <w:pPr>
              <w:spacing w:after="20"/>
              <w:jc w:val="right"/>
            </w:pPr>
            <w:r>
              <w:rPr>
                <w:color w:val="1C3A36"/>
                <w:sz w:val="16"/>
              </w:rPr>
              <w:t>2.06</w:t>
            </w:r>
          </w:p>
        </w:tc>
      </w:tr>
      <w:tr>
        <w:trPr>
          <w:cantSplit/>
        </w:trPr>
        <w:tc>
          <w:tcPr>
            <w:tcW w:type="dxa" w:w="2736"/>
          </w:tcPr>
          <w:p>
            <w:pPr>
              <w:spacing w:after="20"/>
            </w:pPr>
            <w:r>
              <w:rPr>
                <w:color w:val="1C3A36"/>
                <w:sz w:val="16"/>
              </w:rPr>
              <w:t>Beta</w:t>
            </w:r>
          </w:p>
        </w:tc>
        <w:tc>
          <w:tcPr>
            <w:tcW w:type="dxa" w:w="3384"/>
          </w:tcPr>
          <w:p>
            <w:pPr>
              <w:spacing w:after="20"/>
            </w:pPr>
            <w:r>
              <w:rPr>
                <w:color w:val="1C3A36"/>
                <w:sz w:val="16"/>
              </w:rPr>
              <w:t>1.030 against the lower bound of its own ninety-per-cent interval, 0.717</w:t>
            </w:r>
          </w:p>
        </w:tc>
        <w:tc>
          <w:tcPr>
            <w:tcW w:type="dxa" w:w="2160"/>
          </w:tcPr>
          <w:p>
            <w:pPr>
              <w:spacing w:after="20"/>
              <w:jc w:val="right"/>
            </w:pPr>
            <w:r>
              <w:rPr>
                <w:color w:val="1C3A36"/>
                <w:sz w:val="16"/>
              </w:rPr>
              <w:t>2.31 to 3.50</w:t>
            </w:r>
          </w:p>
        </w:tc>
        <w:tc>
          <w:tcPr>
            <w:tcW w:type="dxa" w:w="1152"/>
          </w:tcPr>
          <w:p>
            <w:pPr>
              <w:spacing w:after="20"/>
              <w:jc w:val="right"/>
            </w:pPr>
            <w:r>
              <w:rPr>
                <w:color w:val="1C3A36"/>
                <w:sz w:val="16"/>
              </w:rPr>
              <w:t>1.19</w:t>
            </w:r>
          </w:p>
        </w:tc>
      </w:tr>
      <w:tr>
        <w:trPr>
          <w:cantSplit/>
        </w:trPr>
        <w:tc>
          <w:tcPr>
            <w:tcW w:type="dxa" w:w="2736"/>
          </w:tcPr>
          <w:p>
            <w:pPr>
              <w:spacing w:after="20"/>
            </w:pPr>
            <w:r>
              <w:rPr>
                <w:color w:val="1C3A36"/>
                <w:sz w:val="16"/>
              </w:rPr>
              <w:t>Terminal cost of capital</w:t>
            </w:r>
          </w:p>
        </w:tc>
        <w:tc>
          <w:tcPr>
            <w:tcW w:type="dxa" w:w="3384"/>
          </w:tcPr>
          <w:p>
            <w:pPr>
              <w:spacing w:after="20"/>
            </w:pPr>
            <w:r>
              <w:rPr>
                <w:color w:val="1C3A36"/>
                <w:sz w:val="16"/>
              </w:rPr>
              <w:t>17.0% to 24.0%</w:t>
            </w:r>
          </w:p>
        </w:tc>
        <w:tc>
          <w:tcPr>
            <w:tcW w:type="dxa" w:w="2160"/>
          </w:tcPr>
          <w:p>
            <w:pPr>
              <w:spacing w:after="20"/>
              <w:jc w:val="right"/>
            </w:pPr>
            <w:r>
              <w:rPr>
                <w:color w:val="1C3A36"/>
                <w:sz w:val="16"/>
              </w:rPr>
              <w:t>-0.25 to 0.89</w:t>
            </w:r>
          </w:p>
        </w:tc>
        <w:tc>
          <w:tcPr>
            <w:tcW w:type="dxa" w:w="1152"/>
          </w:tcPr>
          <w:p>
            <w:pPr>
              <w:spacing w:after="20"/>
              <w:jc w:val="right"/>
            </w:pPr>
            <w:r>
              <w:rPr>
                <w:color w:val="1C3A36"/>
                <w:sz w:val="16"/>
              </w:rPr>
              <w:t>1.13</w:t>
            </w:r>
          </w:p>
        </w:tc>
      </w:tr>
      <w:tr>
        <w:trPr>
          <w:cantSplit/>
        </w:trPr>
        <w:tc>
          <w:tcPr>
            <w:tcW w:type="dxa" w:w="2736"/>
          </w:tcPr>
          <w:p>
            <w:pPr>
              <w:spacing w:after="20"/>
            </w:pPr>
            <w:r>
              <w:rPr>
                <w:color w:val="1C3A36"/>
                <w:sz w:val="16"/>
              </w:rPr>
              <w:t>Maintenance capital expenditure</w:t>
            </w:r>
          </w:p>
        </w:tc>
        <w:tc>
          <w:tcPr>
            <w:tcW w:type="dxa" w:w="3384"/>
          </w:tcPr>
          <w:p>
            <w:pPr>
              <w:spacing w:after="20"/>
            </w:pPr>
            <w:r>
              <w:rPr>
                <w:color w:val="1C3A36"/>
                <w:sz w:val="16"/>
              </w:rPr>
              <w:t>1.1% of revenue against 0.7%</w:t>
            </w:r>
          </w:p>
        </w:tc>
        <w:tc>
          <w:tcPr>
            <w:tcW w:type="dxa" w:w="2160"/>
          </w:tcPr>
          <w:p>
            <w:pPr>
              <w:spacing w:after="20"/>
              <w:jc w:val="right"/>
            </w:pPr>
            <w:r>
              <w:rPr>
                <w:color w:val="1C3A36"/>
                <w:sz w:val="16"/>
              </w:rPr>
              <w:t>1.40 to 2.31</w:t>
            </w:r>
          </w:p>
        </w:tc>
        <w:tc>
          <w:tcPr>
            <w:tcW w:type="dxa" w:w="1152"/>
          </w:tcPr>
          <w:p>
            <w:pPr>
              <w:spacing w:after="20"/>
              <w:jc w:val="right"/>
            </w:pPr>
            <w:r>
              <w:rPr>
                <w:color w:val="1C3A36"/>
                <w:sz w:val="16"/>
              </w:rPr>
              <w:t>0.91</w:t>
            </w:r>
          </w:p>
        </w:tc>
      </w:tr>
      <w:tr>
        <w:trPr>
          <w:cantSplit/>
        </w:trPr>
        <w:tc>
          <w:tcPr>
            <w:tcW w:type="dxa" w:w="2736"/>
          </w:tcPr>
          <w:p>
            <w:pPr>
              <w:spacing w:after="20"/>
            </w:pPr>
            <w:r>
              <w:rPr>
                <w:color w:val="1C3A36"/>
                <w:sz w:val="16"/>
              </w:rPr>
              <w:t>Cost of debt</w:t>
            </w:r>
          </w:p>
        </w:tc>
        <w:tc>
          <w:tcPr>
            <w:tcW w:type="dxa" w:w="3384"/>
          </w:tcPr>
          <w:p>
            <w:pPr>
              <w:spacing w:after="20"/>
            </w:pPr>
            <w:r>
              <w:rPr>
                <w:color w:val="1C3A36"/>
                <w:sz w:val="16"/>
              </w:rPr>
              <w:t>Disclosed rates against every leg floored at the 23.00% sovereign yield</w:t>
            </w:r>
          </w:p>
        </w:tc>
        <w:tc>
          <w:tcPr>
            <w:tcW w:type="dxa" w:w="2160"/>
          </w:tcPr>
          <w:p>
            <w:pPr>
              <w:spacing w:after="20"/>
              <w:jc w:val="right"/>
            </w:pPr>
            <w:r>
              <w:rPr>
                <w:color w:val="1C3A36"/>
                <w:sz w:val="16"/>
              </w:rPr>
              <w:t>1.54 to 2.31</w:t>
            </w:r>
          </w:p>
        </w:tc>
        <w:tc>
          <w:tcPr>
            <w:tcW w:type="dxa" w:w="1152"/>
          </w:tcPr>
          <w:p>
            <w:pPr>
              <w:spacing w:after="20"/>
              <w:jc w:val="right"/>
            </w:pPr>
            <w:r>
              <w:rPr>
                <w:color w:val="1C3A36"/>
                <w:sz w:val="16"/>
              </w:rPr>
              <w:t>0.78</w:t>
            </w:r>
          </w:p>
        </w:tc>
      </w:tr>
      <w:tr>
        <w:trPr>
          <w:cantSplit/>
        </w:trPr>
        <w:tc>
          <w:tcPr>
            <w:tcW w:type="dxa" w:w="2736"/>
          </w:tcPr>
          <w:p>
            <w:pPr>
              <w:spacing w:after="20"/>
            </w:pPr>
            <w:r>
              <w:rPr>
                <w:color w:val="1C3A36"/>
                <w:sz w:val="16"/>
              </w:rPr>
              <w:t>Project utilisation in the terminal year</w:t>
            </w:r>
          </w:p>
        </w:tc>
        <w:tc>
          <w:tcPr>
            <w:tcW w:type="dxa" w:w="3384"/>
          </w:tcPr>
          <w:p>
            <w:pPr>
              <w:spacing w:after="20"/>
            </w:pPr>
            <w:r>
              <w:rPr>
                <w:color w:val="1C3A36"/>
                <w:sz w:val="16"/>
              </w:rPr>
              <w:t>50.0% against 70.0%</w:t>
            </w:r>
          </w:p>
        </w:tc>
        <w:tc>
          <w:tcPr>
            <w:tcW w:type="dxa" w:w="2160"/>
          </w:tcPr>
          <w:p>
            <w:pPr>
              <w:spacing w:after="20"/>
              <w:jc w:val="right"/>
            </w:pPr>
            <w:r>
              <w:rPr>
                <w:color w:val="1C3A36"/>
                <w:sz w:val="16"/>
              </w:rPr>
              <w:t>2.31 to 2.56</w:t>
            </w:r>
          </w:p>
        </w:tc>
        <w:tc>
          <w:tcPr>
            <w:tcW w:type="dxa" w:w="1152"/>
          </w:tcPr>
          <w:p>
            <w:pPr>
              <w:spacing w:after="20"/>
              <w:jc w:val="right"/>
            </w:pPr>
            <w:r>
              <w:rPr>
                <w:color w:val="1C3A36"/>
                <w:sz w:val="16"/>
              </w:rPr>
              <w:t>0.25</w:t>
            </w:r>
          </w:p>
        </w:tc>
      </w:tr>
      <w:tr>
        <w:trPr>
          <w:cantSplit/>
        </w:trPr>
        <w:tc>
          <w:tcPr>
            <w:tcW w:type="dxa" w:w="2736"/>
          </w:tcPr>
          <w:p>
            <w:pPr>
              <w:spacing w:after="20"/>
            </w:pPr>
            <w:r>
              <w:rPr>
                <w:color w:val="1C3A36"/>
                <w:sz w:val="16"/>
              </w:rPr>
              <w:t>Terminal growth</w:t>
            </w:r>
          </w:p>
        </w:tc>
        <w:tc>
          <w:tcPr>
            <w:tcW w:type="dxa" w:w="3384"/>
          </w:tcPr>
          <w:p>
            <w:pPr>
              <w:spacing w:after="20"/>
            </w:pPr>
            <w:r>
              <w:rPr>
                <w:color w:val="1C3A36"/>
                <w:sz w:val="16"/>
              </w:rPr>
              <w:t>7.0% against 3.0%</w:t>
            </w:r>
          </w:p>
        </w:tc>
        <w:tc>
          <w:tcPr>
            <w:tcW w:type="dxa" w:w="2160"/>
          </w:tcPr>
          <w:p>
            <w:pPr>
              <w:spacing w:after="20"/>
              <w:jc w:val="right"/>
            </w:pPr>
            <w:r>
              <w:rPr>
                <w:color w:val="1C3A36"/>
                <w:sz w:val="16"/>
              </w:rPr>
              <w:t>2.20 to 2.31</w:t>
            </w:r>
          </w:p>
        </w:tc>
        <w:tc>
          <w:tcPr>
            <w:tcW w:type="dxa" w:w="1152"/>
          </w:tcPr>
          <w:p>
            <w:pPr>
              <w:spacing w:after="20"/>
              <w:jc w:val="right"/>
            </w:pPr>
            <w:r>
              <w:rPr>
                <w:color w:val="1C3A36"/>
                <w:sz w:val="16"/>
              </w:rPr>
              <w:t>0.11</w:t>
            </w:r>
          </w:p>
        </w:tc>
      </w:tr>
      <w:tr>
        <w:trPr>
          <w:cantSplit/>
        </w:trPr>
        <w:tc>
          <w:tcPr>
            <w:tcW w:type="dxa" w:w="2736"/>
          </w:tcPr>
          <w:p>
            <w:pPr>
              <w:spacing w:after="20"/>
            </w:pPr>
            <w:r>
              <w:rPr>
                <w:color w:val="1C3A36"/>
                <w:sz w:val="16"/>
              </w:rPr>
              <w:t>Country-risk basis</w:t>
            </w:r>
          </w:p>
        </w:tc>
        <w:tc>
          <w:tcPr>
            <w:tcW w:type="dxa" w:w="3384"/>
          </w:tcPr>
          <w:p>
            <w:pPr>
              <w:spacing w:after="20"/>
            </w:pPr>
            <w:r>
              <w:rPr>
                <w:color w:val="1C3A36"/>
                <w:sz w:val="16"/>
              </w:rPr>
              <w:t>Rating spread against traded default swap</w:t>
            </w:r>
          </w:p>
        </w:tc>
        <w:tc>
          <w:tcPr>
            <w:tcW w:type="dxa" w:w="2160"/>
          </w:tcPr>
          <w:p>
            <w:pPr>
              <w:spacing w:after="20"/>
              <w:jc w:val="right"/>
            </w:pPr>
            <w:r>
              <w:rPr>
                <w:color w:val="1C3A36"/>
                <w:sz w:val="16"/>
              </w:rPr>
              <w:t>2.31 to 2.31</w:t>
            </w:r>
          </w:p>
        </w:tc>
        <w:tc>
          <w:tcPr>
            <w:tcW w:type="dxa" w:w="1152"/>
          </w:tcPr>
          <w:p>
            <w:pPr>
              <w:spacing w:after="20"/>
              <w:jc w:val="right"/>
            </w:pPr>
            <w:r>
              <w:rPr>
                <w:color w:val="1C3A36"/>
                <w:sz w:val="16"/>
              </w:rPr>
              <w:t>0.00</w:t>
            </w:r>
          </w:p>
        </w:tc>
      </w:tr>
    </w:tbl>
    <w:p>
      <w:pPr>
        <w:spacing w:after="40"/>
      </w:pPr>
    </w:p>
    <w:p>
      <w:pPr>
        <w:spacing w:after="200" w:before="0"/>
      </w:pPr>
      <w:r>
        <w:rPr>
          <w:b w:val="0"/>
          <w:i/>
          <w:color w:val="6E7B77"/>
          <w:sz w:val="17"/>
        </w:rPr>
        <w:t>Table 20.  Ranked by the size of the swing. The capital programme dominates everything else on this company, which is why it and not the discount rate is the study's contested judgement, and why it is published both ways rather than averaged.</w:t>
      </w:r>
    </w:p>
    <w:p>
      <w:pPr>
        <w:spacing w:after="120" w:before="0"/>
      </w:pPr>
      <w:r>
        <w:rPr>
          <w:b w:val="0"/>
          <w:i w:val="0"/>
          <w:color w:val="1C3A36"/>
          <w:sz w:val="19"/>
        </w:rPr>
        <w:t>The beta deserves a note of its own, because it is the one input in the cost of capital that comes from a statistical estimate rather than from a quote or a disclosure. It is 1.030, from 253 weekly observations over 4.9 years of the share against the published EGX30 index — the index of the exchange the share is listed on, as of 2026-07-22 — on the exchange's own Sunday-to-Thursday week. The regression explains 25.0% of the variation with a standard error of 0.191, so all three conditions of the usability test are met and the estimate is adopted rather than defaulted; the Blume-adjusted cross-check is 1.020. The interval is wide, 0.72 to 1.34 at ninety per cent, because the share is thinly traded, and the lower bound is priced with the other contested constructions in section 1.8 rather than argued away: at 0.72 the answer is EGP 3.50 instead of EGP 2.31. The earlier edition of this study regressed the share against an equal-weight basket of the Egyptian names this series happens to cover; that basket is a coverage artefact and not a market, and the figure it produced (1.053) is withdrawn.</w:t>
      </w:r>
    </w:p>
    <w:p>
      <w:pPr>
        <w:keepNext/>
        <w:spacing w:after="120" w:before="280"/>
      </w:pPr>
      <w:r>
        <w:rPr>
          <w:b/>
          <w:i w:val="0"/>
          <w:color w:val="1C3A36"/>
          <w:sz w:val="30"/>
        </w:rPr>
        <w:t>2  Technical and price structure</w:t>
      </w:r>
    </w:p>
    <w:p>
      <w:pPr>
        <w:spacing w:after="120" w:before="0"/>
      </w:pPr>
      <w:r>
        <w:rPr>
          <w:b w:val="0"/>
          <w:i w:val="0"/>
          <w:color w:val="1C3A36"/>
          <w:sz w:val="21"/>
        </w:rPr>
        <w:t>The shares closed at EGP 13.98 on 2026-08-06, 9.0% below their fifty-two-week high of EGP 15.37 and 47.2% above the low of EGP 9.50. The relative strength index reads 60.6 and the average true range is EGP 0.44, or 3.1% of the price a session — a stock that moves about three per cent on an ordinary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168"/>
        <w:gridCol w:w="3600"/>
      </w:tblGrid>
      <w:tr>
        <w:trPr>
          <w:cantSplit/>
          <w:tblHeader/>
        </w:trPr>
        <w:tc>
          <w:tcPr>
            <w:tcW w:type="dxa" w:w="3168"/>
            <w:shd w:val="clear" w:color="auto" w:fill="EAF0EE"/>
          </w:tcPr>
          <w:p>
            <w:pPr>
              <w:spacing w:after="20"/>
            </w:pPr>
            <w:r>
              <w:rPr>
                <w:b/>
                <w:color w:val="1C3A36"/>
                <w:sz w:val="17"/>
              </w:rPr>
              <w:t>Level</w:t>
            </w:r>
          </w:p>
        </w:tc>
        <w:tc>
          <w:tcPr>
            <w:tcW w:type="dxa" w:w="3168"/>
            <w:shd w:val="clear" w:color="auto" w:fill="EAF0EE"/>
          </w:tcPr>
          <w:p>
            <w:pPr>
              <w:spacing w:after="20"/>
            </w:pPr>
            <w:r>
              <w:rPr>
                <w:b/>
                <w:color w:val="1C3A36"/>
                <w:sz w:val="17"/>
              </w:rPr>
              <w:t>Price (EGP)</w:t>
            </w:r>
          </w:p>
        </w:tc>
        <w:tc>
          <w:tcPr>
            <w:tcW w:type="dxa" w:w="3600"/>
            <w:shd w:val="clear" w:color="auto" w:fill="EAF0EE"/>
          </w:tcPr>
          <w:p>
            <w:pPr>
              <w:spacing w:after="20"/>
            </w:pPr>
            <w:r>
              <w:rPr>
                <w:b/>
                <w:color w:val="1C3A36"/>
                <w:sz w:val="17"/>
              </w:rPr>
              <w:t>Distance from the close</w:t>
            </w:r>
          </w:p>
        </w:tc>
      </w:tr>
      <w:tr>
        <w:trPr>
          <w:cantSplit/>
        </w:trPr>
        <w:tc>
          <w:tcPr>
            <w:tcW w:type="dxa" w:w="3168"/>
          </w:tcPr>
          <w:p>
            <w:pPr>
              <w:spacing w:after="20"/>
            </w:pPr>
            <w:r>
              <w:rPr>
                <w:color w:val="1C3A36"/>
                <w:sz w:val="17"/>
              </w:rPr>
              <w:t>Resistance 1</w:t>
            </w:r>
          </w:p>
        </w:tc>
        <w:tc>
          <w:tcPr>
            <w:tcW w:type="dxa" w:w="3168"/>
          </w:tcPr>
          <w:p>
            <w:pPr>
              <w:spacing w:after="20"/>
              <w:jc w:val="right"/>
            </w:pPr>
            <w:r>
              <w:rPr>
                <w:color w:val="1C3A36"/>
                <w:sz w:val="17"/>
              </w:rPr>
              <w:t>14.98</w:t>
            </w:r>
          </w:p>
        </w:tc>
        <w:tc>
          <w:tcPr>
            <w:tcW w:type="dxa" w:w="3600"/>
          </w:tcPr>
          <w:p>
            <w:pPr>
              <w:spacing w:after="20"/>
              <w:jc w:val="right"/>
            </w:pPr>
            <w:r>
              <w:rPr>
                <w:color w:val="1C3A36"/>
                <w:sz w:val="17"/>
              </w:rPr>
              <w:t>7.2%</w:t>
            </w:r>
          </w:p>
        </w:tc>
      </w:tr>
      <w:tr>
        <w:trPr>
          <w:cantSplit/>
        </w:trPr>
        <w:tc>
          <w:tcPr>
            <w:tcW w:type="dxa" w:w="3168"/>
          </w:tcPr>
          <w:p>
            <w:pPr>
              <w:spacing w:after="20"/>
            </w:pPr>
            <w:r>
              <w:rPr>
                <w:color w:val="1C3A36"/>
                <w:sz w:val="17"/>
              </w:rPr>
              <w:t>Resistance 2</w:t>
            </w:r>
          </w:p>
        </w:tc>
        <w:tc>
          <w:tcPr>
            <w:tcW w:type="dxa" w:w="3168"/>
          </w:tcPr>
          <w:p>
            <w:pPr>
              <w:spacing w:after="20"/>
              <w:jc w:val="right"/>
            </w:pPr>
            <w:r>
              <w:rPr>
                <w:color w:val="1C3A36"/>
                <w:sz w:val="17"/>
              </w:rPr>
              <w:t>15.37</w:t>
            </w:r>
          </w:p>
        </w:tc>
        <w:tc>
          <w:tcPr>
            <w:tcW w:type="dxa" w:w="3600"/>
          </w:tcPr>
          <w:p>
            <w:pPr>
              <w:spacing w:after="20"/>
              <w:jc w:val="right"/>
            </w:pPr>
            <w:r>
              <w:rPr>
                <w:color w:val="1C3A36"/>
                <w:sz w:val="17"/>
              </w:rPr>
              <w:t>9.9%</w:t>
            </w:r>
          </w:p>
        </w:tc>
      </w:tr>
      <w:tr>
        <w:trPr>
          <w:cantSplit/>
        </w:trPr>
        <w:tc>
          <w:tcPr>
            <w:tcW w:type="dxa" w:w="3168"/>
          </w:tcPr>
          <w:p>
            <w:pPr>
              <w:spacing w:after="20"/>
            </w:pPr>
            <w:r>
              <w:rPr>
                <w:color w:val="1C3A36"/>
                <w:sz w:val="17"/>
              </w:rPr>
              <w:t>Resistance 3</w:t>
            </w:r>
          </w:p>
        </w:tc>
        <w:tc>
          <w:tcPr>
            <w:tcW w:type="dxa" w:w="3168"/>
          </w:tcPr>
          <w:p>
            <w:pPr>
              <w:spacing w:after="20"/>
              <w:jc w:val="right"/>
            </w:pPr>
            <w:r>
              <w:rPr>
                <w:color w:val="1C3A36"/>
                <w:sz w:val="17"/>
              </w:rPr>
              <w:t>16.00</w:t>
            </w:r>
          </w:p>
        </w:tc>
        <w:tc>
          <w:tcPr>
            <w:tcW w:type="dxa" w:w="3600"/>
          </w:tcPr>
          <w:p>
            <w:pPr>
              <w:spacing w:after="20"/>
              <w:jc w:val="right"/>
            </w:pPr>
            <w:r>
              <w:rPr>
                <w:color w:val="1C3A36"/>
                <w:sz w:val="17"/>
              </w:rPr>
              <w:t>14.4%</w:t>
            </w:r>
          </w:p>
        </w:tc>
      </w:tr>
      <w:tr>
        <w:trPr>
          <w:cantSplit/>
        </w:trPr>
        <w:tc>
          <w:tcPr>
            <w:tcW w:type="dxa" w:w="3168"/>
          </w:tcPr>
          <w:p>
            <w:pPr>
              <w:spacing w:after="20"/>
            </w:pPr>
            <w:r>
              <w:rPr>
                <w:color w:val="1C3A36"/>
                <w:sz w:val="17"/>
              </w:rPr>
              <w:t>Support 1</w:t>
            </w:r>
          </w:p>
        </w:tc>
        <w:tc>
          <w:tcPr>
            <w:tcW w:type="dxa" w:w="3168"/>
          </w:tcPr>
          <w:p>
            <w:pPr>
              <w:spacing w:after="20"/>
              <w:jc w:val="right"/>
            </w:pPr>
            <w:r>
              <w:rPr>
                <w:color w:val="1C3A36"/>
                <w:sz w:val="17"/>
              </w:rPr>
              <w:t>12.49</w:t>
            </w:r>
          </w:p>
        </w:tc>
        <w:tc>
          <w:tcPr>
            <w:tcW w:type="dxa" w:w="3600"/>
          </w:tcPr>
          <w:p>
            <w:pPr>
              <w:spacing w:after="20"/>
              <w:jc w:val="right"/>
            </w:pPr>
            <w:r>
              <w:rPr>
                <w:color w:val="1C3A36"/>
                <w:sz w:val="17"/>
              </w:rPr>
              <w:t>-10.7%</w:t>
            </w:r>
          </w:p>
        </w:tc>
      </w:tr>
      <w:tr>
        <w:trPr>
          <w:cantSplit/>
        </w:trPr>
        <w:tc>
          <w:tcPr>
            <w:tcW w:type="dxa" w:w="3168"/>
          </w:tcPr>
          <w:p>
            <w:pPr>
              <w:spacing w:after="20"/>
            </w:pPr>
            <w:r>
              <w:rPr>
                <w:color w:val="1C3A36"/>
                <w:sz w:val="17"/>
              </w:rPr>
              <w:t>Support 2</w:t>
            </w:r>
          </w:p>
        </w:tc>
        <w:tc>
          <w:tcPr>
            <w:tcW w:type="dxa" w:w="3168"/>
          </w:tcPr>
          <w:p>
            <w:pPr>
              <w:spacing w:after="20"/>
              <w:jc w:val="right"/>
            </w:pPr>
            <w:r>
              <w:rPr>
                <w:color w:val="1C3A36"/>
                <w:sz w:val="17"/>
              </w:rPr>
              <w:t>11.13</w:t>
            </w:r>
          </w:p>
        </w:tc>
        <w:tc>
          <w:tcPr>
            <w:tcW w:type="dxa" w:w="3600"/>
          </w:tcPr>
          <w:p>
            <w:pPr>
              <w:spacing w:after="20"/>
              <w:jc w:val="right"/>
            </w:pPr>
            <w:r>
              <w:rPr>
                <w:color w:val="1C3A36"/>
                <w:sz w:val="17"/>
              </w:rPr>
              <w:t>-20.4%</w:t>
            </w:r>
          </w:p>
        </w:tc>
      </w:tr>
      <w:tr>
        <w:trPr>
          <w:cantSplit/>
        </w:trPr>
        <w:tc>
          <w:tcPr>
            <w:tcW w:type="dxa" w:w="3168"/>
          </w:tcPr>
          <w:p>
            <w:pPr>
              <w:spacing w:after="20"/>
            </w:pPr>
            <w:r>
              <w:rPr>
                <w:color w:val="1C3A36"/>
                <w:sz w:val="17"/>
              </w:rPr>
              <w:t>Support 3</w:t>
            </w:r>
          </w:p>
        </w:tc>
        <w:tc>
          <w:tcPr>
            <w:tcW w:type="dxa" w:w="3168"/>
          </w:tcPr>
          <w:p>
            <w:pPr>
              <w:spacing w:after="20"/>
              <w:jc w:val="right"/>
            </w:pPr>
            <w:r>
              <w:rPr>
                <w:color w:val="1C3A36"/>
                <w:sz w:val="17"/>
              </w:rPr>
              <w:t>9.83</w:t>
            </w:r>
          </w:p>
        </w:tc>
        <w:tc>
          <w:tcPr>
            <w:tcW w:type="dxa" w:w="3600"/>
          </w:tcPr>
          <w:p>
            <w:pPr>
              <w:spacing w:after="20"/>
              <w:jc w:val="right"/>
            </w:pPr>
            <w:r>
              <w:rPr>
                <w:color w:val="1C3A36"/>
                <w:sz w:val="17"/>
              </w:rPr>
              <w:t>-29.7%</w:t>
            </w:r>
          </w:p>
        </w:tc>
      </w:tr>
    </w:tbl>
    <w:p>
      <w:pPr>
        <w:spacing w:after="40"/>
      </w:pPr>
    </w:p>
    <w:p>
      <w:pPr>
        <w:spacing w:after="200" w:before="0"/>
      </w:pPr>
      <w:r>
        <w:rPr>
          <w:b w:val="0"/>
          <w:i/>
          <w:color w:val="6E7B77"/>
          <w:sz w:val="17"/>
        </w:rPr>
        <w:t>Table 21.  Levels are computed from recency-weighted pivot clusters in the same cleaned price history the rest of the study uses; the first of each is the nearest to the close. Nothing here is fitted and nothing is hand-drawn.</w:t>
      </w:r>
    </w:p>
    <w:p>
      <w:pPr>
        <w:spacing w:after="40"/>
        <w:jc w:val="center"/>
      </w:pPr>
      <w:r>
        <w:drawing>
          <wp:inline xmlns:a="http://schemas.openxmlformats.org/drawingml/2006/main" xmlns:pic="http://schemas.openxmlformats.org/drawingml/2006/picture">
            <wp:extent cx="6309360" cy="2704011"/>
            <wp:docPr id="10" name="Picture 10"/>
            <wp:cNvGraphicFramePr>
              <a:graphicFrameLocks noChangeAspect="1"/>
            </wp:cNvGraphicFramePr>
            <a:graphic>
              <a:graphicData uri="http://schemas.openxmlformats.org/drawingml/2006/picture">
                <pic:pic>
                  <pic:nvPicPr>
                    <pic:cNvPr id="0" name="fig11_technical.png"/>
                    <pic:cNvPicPr/>
                  </pic:nvPicPr>
                  <pic:blipFill>
                    <a:blip r:embed="rId18"/>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10.  Price structure — moving averages and the computed level ladder.</w:t>
      </w:r>
    </w:p>
    <w:p>
      <w:pPr>
        <w:spacing w:after="120" w:before="0"/>
      </w:pPr>
      <w:r>
        <w:rPr>
          <w:b w:val="0"/>
          <w:i w:val="0"/>
          <w:color w:val="1C3A36"/>
          <w:sz w:val="21"/>
        </w:rPr>
        <w:t>A technical read cannot speak to whether a business is worth owning, and this one makes no fundamental claim. What it does say is that the price sits in the upper part of its own year, with the nearest resistance about seven per cent above and the nearest support about eleven per cent below — an asymmetry worth knowing when reading the probability map that follows.</w:t>
      </w:r>
    </w:p>
    <w:p>
      <w:pPr>
        <w:keepNext/>
        <w:spacing w:after="120" w:before="280"/>
      </w:pPr>
      <w:r>
        <w:rPr>
          <w:b/>
          <w:i w:val="0"/>
          <w:color w:val="1C3A36"/>
          <w:sz w:val="30"/>
        </w:rPr>
        <w:t>3  A probabilistic price map</w:t>
      </w:r>
    </w:p>
    <w:p>
      <w:pPr>
        <w:spacing w:after="120" w:before="0"/>
      </w:pPr>
      <w:r>
        <w:rPr>
          <w:b w:val="0"/>
          <w:i w:val="0"/>
          <w:color w:val="1C3A36"/>
          <w:sz w:val="21"/>
        </w:rPr>
        <w:t>This is a map of where the traded price may go, not of what the business is worth. It comes from fifty thousand simulated paths anchored on the 2026-08-06 close of EGP 13.98, drifting at the carry the market itself sets — the local risk-free rate less the dividend yield, which is zero here because nothing was distributed in either of the last two years. That anchor is the last session in the price history this map was simulated from, and it is EARLIER than the 2026-09-03 close of EGP 14.41 the valuation is struck against: the two run on different clocks and a fresh price moves the valuation without re-running the simulation. Read every percentile below against EGP 13.98, not against the price on the masthead.</w:t>
      </w:r>
    </w:p>
    <w:p>
      <w:pPr>
        <w:spacing w:after="40"/>
        <w:jc w:val="center"/>
      </w:pPr>
      <w:r>
        <w:drawing>
          <wp:inline xmlns:a="http://schemas.openxmlformats.org/drawingml/2006/main" xmlns:pic="http://schemas.openxmlformats.org/drawingml/2006/picture">
            <wp:extent cx="6309360" cy="2704011"/>
            <wp:docPr id="11" name="Picture 11"/>
            <wp:cNvGraphicFramePr>
              <a:graphicFrameLocks noChangeAspect="1"/>
            </wp:cNvGraphicFramePr>
            <a:graphic>
              <a:graphicData uri="http://schemas.openxmlformats.org/drawingml/2006/picture">
                <pic:pic>
                  <pic:nvPicPr>
                    <pic:cNvPr id="0" name="fig10_fan.png"/>
                    <pic:cNvPicPr/>
                  </pic:nvPicPr>
                  <pic:blipFill>
                    <a:blip r:embed="rId19"/>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11.  The middle of the simulated distribution over time, to 2026-11-08. The shaded bands hold half and ninety per cent of the paths.</w:t>
      </w:r>
    </w:p>
    <w:p>
      <w:pPr>
        <w:keepNext/>
        <w:spacing w:after="80" w:before="200"/>
      </w:pPr>
      <w:r>
        <w:rPr>
          <w:b/>
          <w:i w:val="0"/>
          <w:color w:val="1C3A36"/>
          <w:sz w:val="24"/>
        </w:rPr>
        <w:t>Percentile map (Egyptian pounds a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Percentile</w:t>
            </w:r>
          </w:p>
        </w:tc>
        <w:tc>
          <w:tcPr>
            <w:tcW w:type="dxa" w:w="3240"/>
            <w:shd w:val="clear" w:color="auto" w:fill="EAF0EE"/>
          </w:tcPr>
          <w:p>
            <w:pPr>
              <w:spacing w:after="20"/>
            </w:pPr>
            <w:r>
              <w:rPr>
                <w:b/>
                <w:color w:val="1C3A36"/>
                <w:sz w:val="17"/>
              </w:rPr>
              <w:t>One month, to 2026-09-06</w:t>
            </w:r>
          </w:p>
        </w:tc>
        <w:tc>
          <w:tcPr>
            <w:tcW w:type="dxa" w:w="3240"/>
            <w:shd w:val="clear" w:color="auto" w:fill="EAF0EE"/>
          </w:tcPr>
          <w:p>
            <w:pPr>
              <w:spacing w:after="20"/>
            </w:pPr>
            <w:r>
              <w:rPr>
                <w:b/>
                <w:color w:val="1C3A36"/>
                <w:sz w:val="17"/>
              </w:rPr>
              <w:t>Three months, to 2026-11-08</w:t>
            </w:r>
          </w:p>
        </w:tc>
      </w:tr>
      <w:tr>
        <w:trPr>
          <w:cantSplit/>
        </w:trPr>
        <w:tc>
          <w:tcPr>
            <w:tcW w:type="dxa" w:w="3456"/>
          </w:tcPr>
          <w:p>
            <w:pPr>
              <w:spacing w:after="20"/>
            </w:pPr>
            <w:r>
              <w:rPr>
                <w:color w:val="1C3A36"/>
                <w:sz w:val="17"/>
              </w:rPr>
              <w:t>Percentile 5</w:t>
            </w:r>
          </w:p>
        </w:tc>
        <w:tc>
          <w:tcPr>
            <w:tcW w:type="dxa" w:w="3240"/>
          </w:tcPr>
          <w:p>
            <w:pPr>
              <w:spacing w:after="20"/>
              <w:jc w:val="right"/>
            </w:pPr>
            <w:r>
              <w:rPr>
                <w:color w:val="1C3A36"/>
                <w:sz w:val="17"/>
              </w:rPr>
              <w:t>12.04</w:t>
            </w:r>
          </w:p>
        </w:tc>
        <w:tc>
          <w:tcPr>
            <w:tcW w:type="dxa" w:w="3240"/>
          </w:tcPr>
          <w:p>
            <w:pPr>
              <w:spacing w:after="20"/>
              <w:jc w:val="right"/>
            </w:pPr>
            <w:r>
              <w:rPr>
                <w:color w:val="1C3A36"/>
                <w:sz w:val="17"/>
              </w:rPr>
              <w:t>10.69</w:t>
            </w:r>
          </w:p>
        </w:tc>
      </w:tr>
      <w:tr>
        <w:trPr>
          <w:cantSplit/>
        </w:trPr>
        <w:tc>
          <w:tcPr>
            <w:tcW w:type="dxa" w:w="3456"/>
          </w:tcPr>
          <w:p>
            <w:pPr>
              <w:spacing w:after="20"/>
            </w:pPr>
            <w:r>
              <w:rPr>
                <w:color w:val="1C3A36"/>
                <w:sz w:val="17"/>
              </w:rPr>
              <w:t>Percentile 25</w:t>
            </w:r>
          </w:p>
        </w:tc>
        <w:tc>
          <w:tcPr>
            <w:tcW w:type="dxa" w:w="3240"/>
          </w:tcPr>
          <w:p>
            <w:pPr>
              <w:spacing w:after="20"/>
              <w:jc w:val="right"/>
            </w:pPr>
            <w:r>
              <w:rPr>
                <w:color w:val="1C3A36"/>
                <w:sz w:val="17"/>
              </w:rPr>
              <w:t>13.35</w:t>
            </w:r>
          </w:p>
        </w:tc>
        <w:tc>
          <w:tcPr>
            <w:tcW w:type="dxa" w:w="3240"/>
          </w:tcPr>
          <w:p>
            <w:pPr>
              <w:spacing w:after="20"/>
              <w:jc w:val="right"/>
            </w:pPr>
            <w:r>
              <w:rPr>
                <w:color w:val="1C3A36"/>
                <w:sz w:val="17"/>
              </w:rPr>
              <w:t>13.03</w:t>
            </w:r>
          </w:p>
        </w:tc>
      </w:tr>
      <w:tr>
        <w:trPr>
          <w:cantSplit/>
        </w:trPr>
        <w:tc>
          <w:tcPr>
            <w:tcW w:type="dxa" w:w="3456"/>
          </w:tcPr>
          <w:p>
            <w:pPr>
              <w:spacing w:after="20"/>
            </w:pPr>
            <w:r>
              <w:rPr>
                <w:color w:val="1C3A36"/>
                <w:sz w:val="17"/>
              </w:rPr>
              <w:t>Percentile 50</w:t>
            </w:r>
          </w:p>
        </w:tc>
        <w:tc>
          <w:tcPr>
            <w:tcW w:type="dxa" w:w="3240"/>
          </w:tcPr>
          <w:p>
            <w:pPr>
              <w:spacing w:after="20"/>
              <w:jc w:val="right"/>
            </w:pPr>
            <w:r>
              <w:rPr>
                <w:color w:val="1C3A36"/>
                <w:sz w:val="17"/>
              </w:rPr>
              <w:t>14.19</w:t>
            </w:r>
          </w:p>
        </w:tc>
        <w:tc>
          <w:tcPr>
            <w:tcW w:type="dxa" w:w="3240"/>
          </w:tcPr>
          <w:p>
            <w:pPr>
              <w:spacing w:after="20"/>
              <w:jc w:val="right"/>
            </w:pPr>
            <w:r>
              <w:rPr>
                <w:color w:val="1C3A36"/>
                <w:sz w:val="17"/>
              </w:rPr>
              <w:t>14.64</w:t>
            </w:r>
          </w:p>
        </w:tc>
      </w:tr>
      <w:tr>
        <w:trPr>
          <w:cantSplit/>
        </w:trPr>
        <w:tc>
          <w:tcPr>
            <w:tcW w:type="dxa" w:w="3456"/>
          </w:tcPr>
          <w:p>
            <w:pPr>
              <w:spacing w:after="20"/>
            </w:pPr>
            <w:r>
              <w:rPr>
                <w:color w:val="1C3A36"/>
                <w:sz w:val="17"/>
              </w:rPr>
              <w:t>Percentile 75</w:t>
            </w:r>
          </w:p>
        </w:tc>
        <w:tc>
          <w:tcPr>
            <w:tcW w:type="dxa" w:w="3240"/>
          </w:tcPr>
          <w:p>
            <w:pPr>
              <w:spacing w:after="20"/>
              <w:jc w:val="right"/>
            </w:pPr>
            <w:r>
              <w:rPr>
                <w:color w:val="1C3A36"/>
                <w:sz w:val="17"/>
              </w:rPr>
              <w:t>15.09</w:t>
            </w:r>
          </w:p>
        </w:tc>
        <w:tc>
          <w:tcPr>
            <w:tcW w:type="dxa" w:w="3240"/>
          </w:tcPr>
          <w:p>
            <w:pPr>
              <w:spacing w:after="20"/>
              <w:jc w:val="right"/>
            </w:pPr>
            <w:r>
              <w:rPr>
                <w:color w:val="1C3A36"/>
                <w:sz w:val="17"/>
              </w:rPr>
              <w:t>16.43</w:t>
            </w:r>
          </w:p>
        </w:tc>
      </w:tr>
      <w:tr>
        <w:trPr>
          <w:cantSplit/>
        </w:trPr>
        <w:tc>
          <w:tcPr>
            <w:tcW w:type="dxa" w:w="3456"/>
          </w:tcPr>
          <w:p>
            <w:pPr>
              <w:spacing w:after="20"/>
            </w:pPr>
            <w:r>
              <w:rPr>
                <w:color w:val="1C3A36"/>
                <w:sz w:val="17"/>
              </w:rPr>
              <w:t>Percentile 95</w:t>
            </w:r>
          </w:p>
        </w:tc>
        <w:tc>
          <w:tcPr>
            <w:tcW w:type="dxa" w:w="3240"/>
          </w:tcPr>
          <w:p>
            <w:pPr>
              <w:spacing w:after="20"/>
              <w:jc w:val="right"/>
            </w:pPr>
            <w:r>
              <w:rPr>
                <w:color w:val="1C3A36"/>
                <w:sz w:val="17"/>
              </w:rPr>
              <w:t>16.73</w:t>
            </w:r>
          </w:p>
        </w:tc>
        <w:tc>
          <w:tcPr>
            <w:tcW w:type="dxa" w:w="3240"/>
          </w:tcPr>
          <w:p>
            <w:pPr>
              <w:spacing w:after="20"/>
              <w:jc w:val="right"/>
            </w:pPr>
            <w:r>
              <w:rPr>
                <w:color w:val="1C3A36"/>
                <w:sz w:val="17"/>
              </w:rPr>
              <w:t>20.04</w:t>
            </w:r>
          </w:p>
        </w:tc>
      </w:tr>
      <w:tr>
        <w:trPr>
          <w:cantSplit/>
        </w:trPr>
        <w:tc>
          <w:tcPr>
            <w:tcW w:type="dxa" w:w="3456"/>
            <w:shd w:val="clear" w:color="auto" w:fill="F6F1E6"/>
          </w:tcPr>
          <w:p>
            <w:pPr>
              <w:spacing w:after="20"/>
            </w:pPr>
            <w:r>
              <w:rPr>
                <w:b/>
                <w:color w:val="1C3A36"/>
                <w:sz w:val="17"/>
              </w:rPr>
              <w:t>Probability the price ends above today's</w:t>
            </w:r>
          </w:p>
        </w:tc>
        <w:tc>
          <w:tcPr>
            <w:tcW w:type="dxa" w:w="3240"/>
            <w:shd w:val="clear" w:color="auto" w:fill="F6F1E6"/>
          </w:tcPr>
          <w:p>
            <w:pPr>
              <w:spacing w:after="20"/>
              <w:jc w:val="right"/>
            </w:pPr>
            <w:r>
              <w:rPr>
                <w:b/>
                <w:color w:val="1C3A36"/>
                <w:sz w:val="17"/>
              </w:rPr>
              <w:t>56.7%</w:t>
            </w:r>
          </w:p>
        </w:tc>
        <w:tc>
          <w:tcPr>
            <w:tcW w:type="dxa" w:w="3240"/>
            <w:shd w:val="clear" w:color="auto" w:fill="F6F1E6"/>
          </w:tcPr>
          <w:p>
            <w:pPr>
              <w:spacing w:after="20"/>
              <w:jc w:val="right"/>
            </w:pPr>
            <w:r>
              <w:rPr>
                <w:b/>
                <w:color w:val="1C3A36"/>
                <w:sz w:val="17"/>
              </w:rPr>
              <w:t>60.7%</w:t>
            </w:r>
          </w:p>
        </w:tc>
      </w:tr>
    </w:tbl>
    <w:p>
      <w:pPr>
        <w:spacing w:after="40"/>
      </w:pPr>
    </w:p>
    <w:p>
      <w:pPr>
        <w:spacing w:after="200" w:before="0"/>
      </w:pPr>
      <w:r>
        <w:rPr>
          <w:b w:val="0"/>
          <w:i/>
          <w:color w:val="6E7B77"/>
          <w:sz w:val="17"/>
        </w:rPr>
        <w:t>Table 22.  The map says where the price may end. It is not a forecast of where it will end, and the probability in the last row is the share of paths finishing above the anchor, not a claim about direction.</w:t>
      </w:r>
    </w:p>
    <w:p>
      <w:pPr>
        <w:spacing w:after="40"/>
        <w:jc w:val="center"/>
      </w:pPr>
      <w:r>
        <w:drawing>
          <wp:inline xmlns:a="http://schemas.openxmlformats.org/drawingml/2006/main" xmlns:pic="http://schemas.openxmlformats.org/drawingml/2006/picture">
            <wp:extent cx="6035040" cy="2311292"/>
            <wp:docPr id="12" name="Picture 12"/>
            <wp:cNvGraphicFramePr>
              <a:graphicFrameLocks noChangeAspect="1"/>
            </wp:cNvGraphicFramePr>
            <a:graphic>
              <a:graphicData uri="http://schemas.openxmlformats.org/drawingml/2006/picture">
                <pic:pic>
                  <pic:nvPicPr>
                    <pic:cNvPr id="0" name="fig12_dist1m.png"/>
                    <pic:cNvPicPr/>
                  </pic:nvPicPr>
                  <pic:blipFill>
                    <a:blip r:embed="rId20"/>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12.  The shape of the distribution at one month, to 2026-09-06.</w:t>
      </w:r>
    </w:p>
    <w:p>
      <w:pPr>
        <w:spacing w:after="40"/>
        <w:jc w:val="center"/>
      </w:pPr>
      <w:r>
        <w:drawing>
          <wp:inline xmlns:a="http://schemas.openxmlformats.org/drawingml/2006/main" xmlns:pic="http://schemas.openxmlformats.org/drawingml/2006/picture">
            <wp:extent cx="6035040" cy="2311292"/>
            <wp:docPr id="13" name="Picture 13"/>
            <wp:cNvGraphicFramePr>
              <a:graphicFrameLocks noChangeAspect="1"/>
            </wp:cNvGraphicFramePr>
            <a:graphic>
              <a:graphicData uri="http://schemas.openxmlformats.org/drawingml/2006/picture">
                <pic:pic>
                  <pic:nvPicPr>
                    <pic:cNvPr id="0" name="fig13_dist3m.png"/>
                    <pic:cNvPicPr/>
                  </pic:nvPicPr>
                  <pic:blipFill>
                    <a:blip r:embed="rId21"/>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13.  And at three months, to 2026-11-08. The right tail is longer than the left because the price cannot fall below zero and can rise without a bound — which is why the median sits below the mean and why the ladder below, not the median, is the more useful line.</w:t>
      </w:r>
    </w:p>
    <w:p>
      <w:pPr>
        <w:keepNext/>
        <w:spacing w:after="80" w:before="200"/>
      </w:pPr>
      <w:r>
        <w:rPr>
          <w:b/>
          <w:i w:val="0"/>
          <w:color w:val="1C3A36"/>
          <w:sz w:val="24"/>
        </w:rPr>
        <w:t>Level-touch ladder</w:t>
      </w:r>
    </w:p>
    <w:p>
      <w:pPr>
        <w:spacing w:after="120" w:before="0"/>
      </w:pPr>
      <w:r>
        <w:rPr>
          <w:b w:val="0"/>
          <w:i w:val="0"/>
          <w:color w:val="1C3A36"/>
          <w:sz w:val="21"/>
        </w:rPr>
        <w:t>The percentile map says where the price may END. This ladder says how likely it is to TRADE THROUGH a level at any point before the check date, which is a different and usually larger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Level</w:t>
            </w:r>
          </w:p>
        </w:tc>
        <w:tc>
          <w:tcPr>
            <w:tcW w:type="dxa" w:w="3240"/>
            <w:shd w:val="clear" w:color="auto" w:fill="EAF0EE"/>
          </w:tcPr>
          <w:p>
            <w:pPr>
              <w:spacing w:after="20"/>
            </w:pPr>
            <w:r>
              <w:rPr>
                <w:b/>
                <w:color w:val="1C3A36"/>
                <w:sz w:val="17"/>
              </w:rPr>
              <w:t>One month</w:t>
            </w:r>
          </w:p>
        </w:tc>
        <w:tc>
          <w:tcPr>
            <w:tcW w:type="dxa" w:w="3240"/>
            <w:shd w:val="clear" w:color="auto" w:fill="EAF0EE"/>
          </w:tcPr>
          <w:p>
            <w:pPr>
              <w:spacing w:after="20"/>
            </w:pPr>
            <w:r>
              <w:rPr>
                <w:b/>
                <w:color w:val="1C3A36"/>
                <w:sz w:val="17"/>
              </w:rPr>
              <w:t>Three months</w:t>
            </w:r>
          </w:p>
        </w:tc>
      </w:tr>
      <w:tr>
        <w:trPr>
          <w:cantSplit/>
        </w:trPr>
        <w:tc>
          <w:tcPr>
            <w:tcW w:type="dxa" w:w="3456"/>
          </w:tcPr>
          <w:p>
            <w:pPr>
              <w:spacing w:after="20"/>
            </w:pPr>
            <w:r>
              <w:rPr>
                <w:color w:val="1C3A36"/>
                <w:sz w:val="17"/>
              </w:rPr>
              <w:t>Up 5%</w:t>
            </w:r>
          </w:p>
        </w:tc>
        <w:tc>
          <w:tcPr>
            <w:tcW w:type="dxa" w:w="3240"/>
          </w:tcPr>
          <w:p>
            <w:pPr>
              <w:spacing w:after="20"/>
              <w:jc w:val="right"/>
            </w:pPr>
            <w:r>
              <w:rPr>
                <w:color w:val="1C3A36"/>
                <w:sz w:val="17"/>
              </w:rPr>
              <w:t>56.1%</w:t>
            </w:r>
          </w:p>
        </w:tc>
        <w:tc>
          <w:tcPr>
            <w:tcW w:type="dxa" w:w="3240"/>
          </w:tcPr>
          <w:p>
            <w:pPr>
              <w:spacing w:after="20"/>
              <w:jc w:val="right"/>
            </w:pPr>
            <w:r>
              <w:rPr>
                <w:color w:val="1C3A36"/>
                <w:sz w:val="17"/>
              </w:rPr>
              <w:t>78.7%</w:t>
            </w:r>
          </w:p>
        </w:tc>
      </w:tr>
      <w:tr>
        <w:trPr>
          <w:cantSplit/>
        </w:trPr>
        <w:tc>
          <w:tcPr>
            <w:tcW w:type="dxa" w:w="3456"/>
          </w:tcPr>
          <w:p>
            <w:pPr>
              <w:spacing w:after="20"/>
            </w:pPr>
            <w:r>
              <w:rPr>
                <w:color w:val="1C3A36"/>
                <w:sz w:val="17"/>
              </w:rPr>
              <w:t>Up 10%</w:t>
            </w:r>
          </w:p>
        </w:tc>
        <w:tc>
          <w:tcPr>
            <w:tcW w:type="dxa" w:w="3240"/>
          </w:tcPr>
          <w:p>
            <w:pPr>
              <w:spacing w:after="20"/>
              <w:jc w:val="right"/>
            </w:pPr>
            <w:r>
              <w:rPr>
                <w:color w:val="1C3A36"/>
                <w:sz w:val="17"/>
              </w:rPr>
              <w:t>30.1%</w:t>
            </w:r>
          </w:p>
        </w:tc>
        <w:tc>
          <w:tcPr>
            <w:tcW w:type="dxa" w:w="3240"/>
          </w:tcPr>
          <w:p>
            <w:pPr>
              <w:spacing w:after="20"/>
              <w:jc w:val="right"/>
            </w:pPr>
            <w:r>
              <w:rPr>
                <w:color w:val="1C3A36"/>
                <w:sz w:val="17"/>
              </w:rPr>
              <w:t>61.7%</w:t>
            </w:r>
          </w:p>
        </w:tc>
      </w:tr>
      <w:tr>
        <w:trPr>
          <w:cantSplit/>
        </w:trPr>
        <w:tc>
          <w:tcPr>
            <w:tcW w:type="dxa" w:w="3456"/>
          </w:tcPr>
          <w:p>
            <w:pPr>
              <w:spacing w:after="20"/>
            </w:pPr>
            <w:r>
              <w:rPr>
                <w:color w:val="1C3A36"/>
                <w:sz w:val="17"/>
              </w:rPr>
              <w:t>Up 15%</w:t>
            </w:r>
          </w:p>
        </w:tc>
        <w:tc>
          <w:tcPr>
            <w:tcW w:type="dxa" w:w="3240"/>
          </w:tcPr>
          <w:p>
            <w:pPr>
              <w:spacing w:after="20"/>
              <w:jc w:val="right"/>
            </w:pPr>
            <w:r>
              <w:rPr>
                <w:color w:val="1C3A36"/>
                <w:sz w:val="17"/>
              </w:rPr>
              <w:t>14.8%</w:t>
            </w:r>
          </w:p>
        </w:tc>
        <w:tc>
          <w:tcPr>
            <w:tcW w:type="dxa" w:w="3240"/>
          </w:tcPr>
          <w:p>
            <w:pPr>
              <w:spacing w:after="20"/>
              <w:jc w:val="right"/>
            </w:pPr>
            <w:r>
              <w:rPr>
                <w:color w:val="1C3A36"/>
                <w:sz w:val="17"/>
              </w:rPr>
              <w:t>47.1%</w:t>
            </w:r>
          </w:p>
        </w:tc>
      </w:tr>
      <w:tr>
        <w:trPr>
          <w:cantSplit/>
        </w:trPr>
        <w:tc>
          <w:tcPr>
            <w:tcW w:type="dxa" w:w="3456"/>
          </w:tcPr>
          <w:p>
            <w:pPr>
              <w:spacing w:after="20"/>
            </w:pPr>
            <w:r>
              <w:rPr>
                <w:color w:val="1C3A36"/>
                <w:sz w:val="17"/>
              </w:rPr>
              <w:t>Up 20%</w:t>
            </w:r>
          </w:p>
        </w:tc>
        <w:tc>
          <w:tcPr>
            <w:tcW w:type="dxa" w:w="3240"/>
          </w:tcPr>
          <w:p>
            <w:pPr>
              <w:spacing w:after="20"/>
              <w:jc w:val="right"/>
            </w:pPr>
            <w:r>
              <w:rPr>
                <w:color w:val="1C3A36"/>
                <w:sz w:val="17"/>
              </w:rPr>
              <w:t>7.3%</w:t>
            </w:r>
          </w:p>
        </w:tc>
        <w:tc>
          <w:tcPr>
            <w:tcW w:type="dxa" w:w="3240"/>
          </w:tcPr>
          <w:p>
            <w:pPr>
              <w:spacing w:after="20"/>
              <w:jc w:val="right"/>
            </w:pPr>
            <w:r>
              <w:rPr>
                <w:color w:val="1C3A36"/>
                <w:sz w:val="17"/>
              </w:rPr>
              <w:t>34.7%</w:t>
            </w:r>
          </w:p>
        </w:tc>
      </w:tr>
      <w:tr>
        <w:trPr>
          <w:cantSplit/>
        </w:trPr>
        <w:tc>
          <w:tcPr>
            <w:tcW w:type="dxa" w:w="3456"/>
          </w:tcPr>
          <w:p>
            <w:pPr>
              <w:spacing w:after="20"/>
            </w:pPr>
            <w:r>
              <w:rPr>
                <w:color w:val="1C3A36"/>
                <w:sz w:val="17"/>
              </w:rPr>
              <w:t>Down 5%</w:t>
            </w:r>
          </w:p>
        </w:tc>
        <w:tc>
          <w:tcPr>
            <w:tcW w:type="dxa" w:w="3240"/>
          </w:tcPr>
          <w:p>
            <w:pPr>
              <w:spacing w:after="20"/>
              <w:jc w:val="right"/>
            </w:pPr>
            <w:r>
              <w:rPr>
                <w:color w:val="1C3A36"/>
                <w:sz w:val="17"/>
              </w:rPr>
              <w:t>43.6%</w:t>
            </w:r>
          </w:p>
        </w:tc>
        <w:tc>
          <w:tcPr>
            <w:tcW w:type="dxa" w:w="3240"/>
          </w:tcPr>
          <w:p>
            <w:pPr>
              <w:spacing w:after="20"/>
              <w:jc w:val="right"/>
            </w:pPr>
            <w:r>
              <w:rPr>
                <w:color w:val="1C3A36"/>
                <w:sz w:val="17"/>
              </w:rPr>
              <w:t>63.4%</w:t>
            </w:r>
          </w:p>
        </w:tc>
      </w:tr>
      <w:tr>
        <w:trPr>
          <w:cantSplit/>
        </w:trPr>
        <w:tc>
          <w:tcPr>
            <w:tcW w:type="dxa" w:w="3456"/>
          </w:tcPr>
          <w:p>
            <w:pPr>
              <w:spacing w:after="20"/>
            </w:pPr>
            <w:r>
              <w:rPr>
                <w:color w:val="1C3A36"/>
                <w:sz w:val="17"/>
              </w:rPr>
              <w:t>Down 10%</w:t>
            </w:r>
          </w:p>
        </w:tc>
        <w:tc>
          <w:tcPr>
            <w:tcW w:type="dxa" w:w="3240"/>
          </w:tcPr>
          <w:p>
            <w:pPr>
              <w:spacing w:after="20"/>
              <w:jc w:val="right"/>
            </w:pPr>
            <w:r>
              <w:rPr>
                <w:color w:val="1C3A36"/>
                <w:sz w:val="17"/>
              </w:rPr>
              <w:t>18.3%</w:t>
            </w:r>
          </w:p>
        </w:tc>
        <w:tc>
          <w:tcPr>
            <w:tcW w:type="dxa" w:w="3240"/>
          </w:tcPr>
          <w:p>
            <w:pPr>
              <w:spacing w:after="20"/>
              <w:jc w:val="right"/>
            </w:pPr>
            <w:r>
              <w:rPr>
                <w:color w:val="1C3A36"/>
                <w:sz w:val="17"/>
              </w:rPr>
              <w:t>40.8%</w:t>
            </w:r>
          </w:p>
        </w:tc>
      </w:tr>
      <w:tr>
        <w:trPr>
          <w:cantSplit/>
        </w:trPr>
        <w:tc>
          <w:tcPr>
            <w:tcW w:type="dxa" w:w="3456"/>
          </w:tcPr>
          <w:p>
            <w:pPr>
              <w:spacing w:after="20"/>
            </w:pPr>
            <w:r>
              <w:rPr>
                <w:color w:val="1C3A36"/>
                <w:sz w:val="17"/>
              </w:rPr>
              <w:t>Down 15%</w:t>
            </w:r>
          </w:p>
        </w:tc>
        <w:tc>
          <w:tcPr>
            <w:tcW w:type="dxa" w:w="3240"/>
          </w:tcPr>
          <w:p>
            <w:pPr>
              <w:spacing w:after="20"/>
              <w:jc w:val="right"/>
            </w:pPr>
            <w:r>
              <w:rPr>
                <w:color w:val="1C3A36"/>
                <w:sz w:val="17"/>
              </w:rPr>
              <w:t>6.9%</w:t>
            </w:r>
          </w:p>
        </w:tc>
        <w:tc>
          <w:tcPr>
            <w:tcW w:type="dxa" w:w="3240"/>
          </w:tcPr>
          <w:p>
            <w:pPr>
              <w:spacing w:after="20"/>
              <w:jc w:val="right"/>
            </w:pPr>
            <w:r>
              <w:rPr>
                <w:color w:val="1C3A36"/>
                <w:sz w:val="17"/>
              </w:rPr>
              <w:t>24.9%</w:t>
            </w:r>
          </w:p>
        </w:tc>
      </w:tr>
      <w:tr>
        <w:trPr>
          <w:cantSplit/>
        </w:trPr>
        <w:tc>
          <w:tcPr>
            <w:tcW w:type="dxa" w:w="3456"/>
          </w:tcPr>
          <w:p>
            <w:pPr>
              <w:spacing w:after="20"/>
            </w:pPr>
            <w:r>
              <w:rPr>
                <w:color w:val="1C3A36"/>
                <w:sz w:val="17"/>
              </w:rPr>
              <w:t>Down 20%</w:t>
            </w:r>
          </w:p>
        </w:tc>
        <w:tc>
          <w:tcPr>
            <w:tcW w:type="dxa" w:w="3240"/>
          </w:tcPr>
          <w:p>
            <w:pPr>
              <w:spacing w:after="20"/>
              <w:jc w:val="right"/>
            </w:pPr>
            <w:r>
              <w:rPr>
                <w:color w:val="1C3A36"/>
                <w:sz w:val="17"/>
              </w:rPr>
              <w:t>2.6%</w:t>
            </w:r>
          </w:p>
        </w:tc>
        <w:tc>
          <w:tcPr>
            <w:tcW w:type="dxa" w:w="3240"/>
          </w:tcPr>
          <w:p>
            <w:pPr>
              <w:spacing w:after="20"/>
              <w:jc w:val="right"/>
            </w:pPr>
            <w:r>
              <w:rPr>
                <w:color w:val="1C3A36"/>
                <w:sz w:val="17"/>
              </w:rPr>
              <w:t>14.5%</w:t>
            </w:r>
          </w:p>
        </w:tc>
      </w:tr>
    </w:tbl>
    <w:p>
      <w:pPr>
        <w:spacing w:after="40"/>
      </w:pPr>
    </w:p>
    <w:p>
      <w:pPr>
        <w:spacing w:after="200" w:before="0"/>
      </w:pPr>
      <w:r>
        <w:rPr>
          <w:b w:val="0"/>
          <w:i/>
          <w:color w:val="6E7B77"/>
          <w:sz w:val="17"/>
        </w:rPr>
        <w:t>Table 23.  Probability of touching each level at any point before the check date.</w:t>
      </w:r>
    </w:p>
    <w:p>
      <w:pPr>
        <w:spacing w:after="120" w:before="0"/>
      </w:pPr>
      <w:r>
        <w:rPr>
          <w:b w:val="0"/>
          <w:i w:val="0"/>
          <w:color w:val="1C3A36"/>
          <w:sz w:val="21"/>
        </w:rPr>
        <w:t>How this has done, in plain terms. Over 57 resolved three-month forecasts on this share the price finished inside the ninety-per-cent band 94.7% of the time, inside the eighty-per-cent band 87.7% and inside the fifty-per-cent band 56.1% — against the ninety, eighty and fifty they promise. The record earns no flag either way. By the count ladder this house uses it is a long record, and the ninety-per-cent band ran 1.45 times the width of a naive band anchored on the carry alone — a width disclosed beside the record and never used as a threshold, because a wider band is not automatically a wrong one.</w:t>
      </w:r>
    </w:p>
    <w:p>
      <w:pPr>
        <w:spacing w:after="120" w:before="0"/>
      </w:pPr>
      <w:r>
        <w:rPr>
          <w:b w:val="0"/>
          <w:i w:val="0"/>
          <w:color w:val="1C3A36"/>
          <w:sz w:val="21"/>
        </w:rPr>
        <w:t>Two honest limits. The bands are wide because this share is volatile — an annualised 46.8% at the anchor date — and a wide band that is right is worth more than a narrow one that is wrong. And the map says nothing about value: a price can stay far above what a business is worth for a very long time, and on a stock with a six per cent free float it can do so on modest volume.</w:t>
      </w:r>
    </w:p>
    <w:p>
      <w:pPr>
        <w:keepNext/>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3456"/>
        <w:gridCol w:w="2952"/>
      </w:tblGrid>
      <w:tr>
        <w:trPr>
          <w:cantSplit/>
          <w:tblHeader/>
        </w:trPr>
        <w:tc>
          <w:tcPr>
            <w:tcW w:type="dxa" w:w="2448"/>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EGP/share</w:t>
            </w:r>
          </w:p>
        </w:tc>
        <w:tc>
          <w:tcPr>
            <w:tcW w:type="dxa" w:w="3456"/>
            <w:shd w:val="clear" w:color="auto" w:fill="EAF0EE"/>
          </w:tcPr>
          <w:p>
            <w:pPr>
              <w:spacing w:after="20"/>
            </w:pPr>
            <w:r>
              <w:rPr>
                <w:b/>
                <w:color w:val="1C3A36"/>
                <w:sz w:val="16"/>
              </w:rPr>
              <w:t>What it assumes that the others do not</w:t>
            </w:r>
          </w:p>
        </w:tc>
        <w:tc>
          <w:tcPr>
            <w:tcW w:type="dxa" w:w="2952"/>
            <w:shd w:val="clear" w:color="auto" w:fill="EAF0EE"/>
          </w:tcPr>
          <w:p>
            <w:pPr>
              <w:spacing w:after="20"/>
            </w:pPr>
            <w:r>
              <w:rPr>
                <w:b/>
                <w:color w:val="1C3A36"/>
                <w:sz w:val="16"/>
              </w:rPr>
              <w:t>Which assumption drives its gap to the cash-flow lens</w:t>
            </w:r>
          </w:p>
        </w:tc>
      </w:tr>
      <w:tr>
        <w:trPr>
          <w:cantSplit/>
        </w:trPr>
        <w:tc>
          <w:tcPr>
            <w:tcW w:type="dxa" w:w="2448"/>
          </w:tcPr>
          <w:p>
            <w:pPr>
              <w:spacing w:after="20"/>
            </w:pPr>
            <w:r>
              <w:rPr>
                <w:color w:val="1C3A36"/>
                <w:sz w:val="16"/>
              </w:rPr>
              <w:t>Cash flow — carried through</w:t>
            </w:r>
          </w:p>
        </w:tc>
        <w:tc>
          <w:tcPr>
            <w:tcW w:type="dxa" w:w="1224"/>
          </w:tcPr>
          <w:p>
            <w:pPr>
              <w:spacing w:after="20"/>
              <w:jc w:val="right"/>
            </w:pPr>
            <w:r>
              <w:rPr>
                <w:color w:val="1C3A36"/>
                <w:sz w:val="16"/>
              </w:rPr>
              <w:t>2.31</w:t>
            </w:r>
          </w:p>
        </w:tc>
        <w:tc>
          <w:tcPr>
            <w:tcW w:type="dxa" w:w="3456"/>
          </w:tcPr>
          <w:p>
            <w:pPr>
              <w:spacing w:after="20"/>
            </w:pPr>
            <w:r>
              <w:rPr>
                <w:color w:val="1C3A36"/>
                <w:sz w:val="16"/>
              </w:rPr>
              <w:t>That the capital programme is completed and earns at half its derived nameplate</w:t>
            </w:r>
          </w:p>
        </w:tc>
        <w:tc>
          <w:tcPr>
            <w:tcW w:type="dxa" w:w="2952"/>
          </w:tcPr>
          <w:p>
            <w:pPr>
              <w:spacing w:after="20"/>
            </w:pPr>
            <w:r>
              <w:rPr>
                <w:color w:val="1C3A36"/>
                <w:sz w:val="16"/>
              </w:rPr>
              <w:t>—</w:t>
            </w:r>
          </w:p>
        </w:tc>
      </w:tr>
      <w:tr>
        <w:trPr>
          <w:cantSplit/>
        </w:trPr>
        <w:tc>
          <w:tcPr>
            <w:tcW w:type="dxa" w:w="2448"/>
          </w:tcPr>
          <w:p>
            <w:pPr>
              <w:spacing w:after="20"/>
            </w:pPr>
            <w:r>
              <w:rPr>
                <w:color w:val="1C3A36"/>
                <w:sz w:val="16"/>
              </w:rPr>
              <w:t>Cash flow — stopped</w:t>
            </w:r>
          </w:p>
        </w:tc>
        <w:tc>
          <w:tcPr>
            <w:tcW w:type="dxa" w:w="1224"/>
          </w:tcPr>
          <w:p>
            <w:pPr>
              <w:spacing w:after="20"/>
              <w:jc w:val="right"/>
            </w:pPr>
            <w:r>
              <w:rPr>
                <w:color w:val="1C3A36"/>
                <w:sz w:val="16"/>
              </w:rPr>
              <w:t>6.26</w:t>
            </w:r>
          </w:p>
        </w:tc>
        <w:tc>
          <w:tcPr>
            <w:tcW w:type="dxa" w:w="3456"/>
          </w:tcPr>
          <w:p>
            <w:pPr>
              <w:spacing w:after="20"/>
            </w:pPr>
            <w:r>
              <w:rPr>
                <w:color w:val="1C3A36"/>
                <w:sz w:val="16"/>
              </w:rPr>
              <w:t>That the board stops after one further year and runs the plant it owns</w:t>
            </w:r>
          </w:p>
        </w:tc>
        <w:tc>
          <w:tcPr>
            <w:tcW w:type="dxa" w:w="2952"/>
          </w:tcPr>
          <w:p>
            <w:pPr>
              <w:spacing w:after="20"/>
            </w:pPr>
            <w:r>
              <w:rPr>
                <w:color w:val="1C3A36"/>
                <w:sz w:val="16"/>
              </w:rPr>
              <w:t>The programme alone: EGP 3.95</w:t>
            </w:r>
          </w:p>
        </w:tc>
      </w:tr>
      <w:tr>
        <w:trPr>
          <w:cantSplit/>
        </w:trPr>
        <w:tc>
          <w:tcPr>
            <w:tcW w:type="dxa" w:w="2448"/>
          </w:tcPr>
          <w:p>
            <w:pPr>
              <w:spacing w:after="20"/>
            </w:pPr>
            <w:r>
              <w:rPr>
                <w:color w:val="1C3A36"/>
                <w:sz w:val="16"/>
              </w:rPr>
              <w:t>Book value — the disclosed floor</w:t>
            </w:r>
          </w:p>
        </w:tc>
        <w:tc>
          <w:tcPr>
            <w:tcW w:type="dxa" w:w="1224"/>
          </w:tcPr>
          <w:p>
            <w:pPr>
              <w:spacing w:after="20"/>
              <w:jc w:val="right"/>
            </w:pPr>
            <w:r>
              <w:rPr>
                <w:color w:val="1C3A36"/>
                <w:sz w:val="16"/>
              </w:rPr>
              <w:t>8.16</w:t>
            </w:r>
          </w:p>
        </w:tc>
        <w:tc>
          <w:tcPr>
            <w:tcW w:type="dxa" w:w="3456"/>
          </w:tcPr>
          <w:p>
            <w:pPr>
              <w:spacing w:after="20"/>
            </w:pPr>
            <w:r>
              <w:rPr>
                <w:color w:val="1C3A36"/>
                <w:sz w:val="16"/>
              </w:rPr>
              <w:t>Shareholders' funds per share as filed. Not a valuation and never weighted into one</w:t>
            </w:r>
          </w:p>
        </w:tc>
        <w:tc>
          <w:tcPr>
            <w:tcW w:type="dxa" w:w="2952"/>
          </w:tcPr>
          <w:p>
            <w:pPr>
              <w:spacing w:after="20"/>
            </w:pPr>
            <w:r>
              <w:rPr>
                <w:color w:val="1C3A36"/>
                <w:sz w:val="16"/>
              </w:rPr>
              <w:t>On the return this book actually earns (6.9% against a cost of equity of 29.28%) the justified multiple of it is zero — the floor is what the assets are carried at, not what they earn</w:t>
            </w:r>
          </w:p>
        </w:tc>
      </w:tr>
      <w:tr>
        <w:trPr>
          <w:cantSplit/>
        </w:trPr>
        <w:tc>
          <w:tcPr>
            <w:tcW w:type="dxa" w:w="2448"/>
          </w:tcPr>
          <w:p>
            <w:pPr>
              <w:spacing w:after="20"/>
            </w:pPr>
            <w:r>
              <w:rPr>
                <w:color w:val="1C3A36"/>
                <w:sz w:val="16"/>
              </w:rPr>
              <w:t>Relative multiples</w:t>
            </w:r>
          </w:p>
        </w:tc>
        <w:tc>
          <w:tcPr>
            <w:tcW w:type="dxa" w:w="1224"/>
          </w:tcPr>
          <w:p>
            <w:pPr>
              <w:spacing w:after="20"/>
              <w:jc w:val="right"/>
            </w:pPr>
            <w:r>
              <w:rPr>
                <w:color w:val="1C3A36"/>
                <w:sz w:val="16"/>
              </w:rPr>
              <w:t>15.99</w:t>
            </w:r>
          </w:p>
        </w:tc>
        <w:tc>
          <w:tcPr>
            <w:tcW w:type="dxa" w:w="3456"/>
          </w:tcPr>
          <w:p>
            <w:pPr>
              <w:spacing w:after="20"/>
            </w:pPr>
            <w:r>
              <w:rPr>
                <w:color w:val="1C3A36"/>
                <w:sz w:val="16"/>
              </w:rPr>
              <w:t>That a peer multiple on forward operating profit captures the whole business</w:t>
            </w:r>
          </w:p>
        </w:tc>
        <w:tc>
          <w:tcPr>
            <w:tcW w:type="dxa" w:w="2952"/>
          </w:tcPr>
          <w:p>
            <w:pPr>
              <w:spacing w:after="20"/>
            </w:pPr>
            <w:r>
              <w:rPr>
                <w:color w:val="1C3A36"/>
                <w:sz w:val="16"/>
              </w:rPr>
              <w:t>It ignores capital expenditure entirely; that is the whole gap</w:t>
            </w:r>
          </w:p>
        </w:tc>
      </w:tr>
      <w:tr>
        <w:trPr>
          <w:cantSplit/>
        </w:trPr>
        <w:tc>
          <w:tcPr>
            <w:tcW w:type="dxa" w:w="2448"/>
          </w:tcPr>
          <w:p>
            <w:pPr>
              <w:spacing w:after="20"/>
            </w:pPr>
            <w:r>
              <w:rPr>
                <w:color w:val="1C3A36"/>
                <w:sz w:val="16"/>
              </w:rPr>
              <w:t>Normalised earnings power</w:t>
            </w:r>
          </w:p>
        </w:tc>
        <w:tc>
          <w:tcPr>
            <w:tcW w:type="dxa" w:w="1224"/>
          </w:tcPr>
          <w:p>
            <w:pPr>
              <w:spacing w:after="20"/>
              <w:jc w:val="right"/>
            </w:pPr>
            <w:r>
              <w:rPr>
                <w:color w:val="1C3A36"/>
                <w:sz w:val="16"/>
              </w:rPr>
              <w:t>4.29</w:t>
            </w:r>
          </w:p>
        </w:tc>
        <w:tc>
          <w:tcPr>
            <w:tcW w:type="dxa" w:w="3456"/>
          </w:tcPr>
          <w:p>
            <w:pPr>
              <w:spacing w:after="20"/>
            </w:pPr>
            <w:r>
              <w:rPr>
                <w:color w:val="1C3A36"/>
                <w:sz w:val="16"/>
              </w:rPr>
              <w:t>That an average year is the right year, and the balance sheet is stable</w:t>
            </w:r>
          </w:p>
        </w:tc>
        <w:tc>
          <w:tcPr>
            <w:tcW w:type="dxa" w:w="2952"/>
          </w:tcPr>
          <w:p>
            <w:pPr>
              <w:spacing w:after="20"/>
            </w:pPr>
            <w:r>
              <w:rPr>
                <w:color w:val="1C3A36"/>
                <w:sz w:val="16"/>
              </w:rPr>
              <w:t>Mid-cycle pricing plus the same blindness to the capital programme</w:t>
            </w:r>
          </w:p>
        </w:tc>
      </w:tr>
    </w:tbl>
    <w:p>
      <w:pPr>
        <w:spacing w:after="40"/>
      </w:pPr>
    </w:p>
    <w:p>
      <w:pPr>
        <w:spacing w:after="200" w:before="0"/>
      </w:pPr>
      <w:r>
        <w:rPr>
          <w:b w:val="0"/>
          <w:i/>
          <w:color w:val="6E7B77"/>
          <w:sz w:val="17"/>
        </w:rPr>
        <w:t>Table 24.  The divergence is structured, not random. Every lens that lands above the cash-flow reading does so by not asking what the capital programme costs.</w:t>
      </w:r>
    </w:p>
    <w:p>
      <w:pPr>
        <w:spacing w:after="120" w:before="0"/>
      </w:pPr>
      <w:r>
        <w:rPr>
          <w:b w:val="0"/>
          <w:i w:val="0"/>
          <w:color w:val="1C3A36"/>
          <w:sz w:val="21"/>
        </w:rPr>
        <w:t>The reading we take from this is not that four lenses agree — they do not, and a study that made them agree would have hidden the thing worth knowing. It is that they disagree in one direction and for one reason. The three lenses that land above the cash-flow reading all reach their answer by declining to charge the capital programme against the years in which it is actually spent: the multiple lens capitalises a forward operating profit that is struck before capital expenditure, the normalised lens values a steady state the company is not in, and the book lens values what has already been paid for. Each is a legitimate question. None of them is the question that decides this company.</w:t>
      </w:r>
    </w:p>
    <w:p>
      <w:pPr>
        <w:spacing w:after="120" w:before="0"/>
      </w:pPr>
      <w:r>
        <w:rPr>
          <w:b w:val="0"/>
          <w:i w:val="0"/>
          <w:color w:val="1C3A36"/>
          <w:sz w:val="21"/>
        </w:rPr>
        <w:t>Our own reading therefore sits at the conservative end of the field, and the field's upper bound of EGP 15.99 should be read as what the shares would be worth if the programme were free — which it is not. The multiple lens does reach EGP 14.41, and that is the whole point of it: at the multiple Egyptian fertilizer producers actually trade at, a reader who ignores the capital programme gets the market's answer. The cash-flow lens, which does not ignore it, does not. The gap is reported as the flat discount rate that would close it, about 11.5% against a sovereign ten-year yield of 23.0%, so that a reader who disagrees can see precisely what they are disagreeing with rather than being asked to accept a conclusion.</w:t>
      </w:r>
    </w:p>
    <w:p>
      <w:pPr>
        <w:spacing w:after="120" w:before="0"/>
      </w:pPr>
      <w:r>
        <w:rPr>
          <w:b w:val="0"/>
          <w:i/>
          <w:color w:val="1C3A36"/>
          <w:sz w:val="19"/>
        </w:rPr>
        <w:t>No rating and no price target is expressed here or anywhere else in this document. What is published is a field of fair values, the reasoning behind each, and the probability map around today's price.</w:t>
      </w:r>
    </w:p>
    <w:p>
      <w:pPr>
        <w:keepNext/>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320"/>
        <w:gridCol w:w="3024"/>
      </w:tblGrid>
      <w:tr>
        <w:trPr>
          <w:cantSplit/>
          <w:tblHeader/>
        </w:trPr>
        <w:tc>
          <w:tcPr>
            <w:tcW w:type="dxa" w:w="2736"/>
            <w:shd w:val="clear" w:color="auto" w:fill="EAF0EE"/>
          </w:tcPr>
          <w:p>
            <w:pPr>
              <w:spacing w:after="20"/>
            </w:pPr>
            <w:r>
              <w:rPr>
                <w:b/>
                <w:color w:val="1C3A36"/>
                <w:sz w:val="16"/>
              </w:rPr>
              <w:t>Catalyst</w:t>
            </w:r>
          </w:p>
        </w:tc>
        <w:tc>
          <w:tcPr>
            <w:tcW w:type="dxa" w:w="4320"/>
            <w:shd w:val="clear" w:color="auto" w:fill="EAF0EE"/>
          </w:tcPr>
          <w:p>
            <w:pPr>
              <w:spacing w:after="20"/>
            </w:pPr>
            <w:r>
              <w:rPr>
                <w:b/>
                <w:color w:val="1C3A36"/>
                <w:sz w:val="16"/>
              </w:rPr>
              <w:t>Why it matters</w:t>
            </w:r>
          </w:p>
        </w:tc>
        <w:tc>
          <w:tcPr>
            <w:tcW w:type="dxa" w:w="3024"/>
            <w:shd w:val="clear" w:color="auto" w:fill="EAF0EE"/>
          </w:tcPr>
          <w:p>
            <w:pPr>
              <w:spacing w:after="20"/>
            </w:pPr>
            <w:r>
              <w:rPr>
                <w:b/>
                <w:color w:val="1C3A36"/>
                <w:sz w:val="16"/>
              </w:rPr>
              <w:t>What to watch</w:t>
            </w:r>
          </w:p>
        </w:tc>
      </w:tr>
      <w:tr>
        <w:trPr>
          <w:cantSplit/>
        </w:trPr>
        <w:tc>
          <w:tcPr>
            <w:tcW w:type="dxa" w:w="2736"/>
          </w:tcPr>
          <w:p>
            <w:pPr>
              <w:spacing w:after="20"/>
            </w:pPr>
            <w:r>
              <w:rPr>
                <w:color w:val="1C3A36"/>
                <w:sz w:val="16"/>
              </w:rPr>
              <w:t>A dated capacity disclosure for the new complex</w:t>
            </w:r>
          </w:p>
        </w:tc>
        <w:tc>
          <w:tcPr>
            <w:tcW w:type="dxa" w:w="4320"/>
          </w:tcPr>
          <w:p>
            <w:pPr>
              <w:spacing w:after="20"/>
            </w:pPr>
            <w:r>
              <w:rPr>
                <w:color w:val="1C3A36"/>
                <w:sz w:val="16"/>
              </w:rPr>
              <w:t>The nameplate used in this study is derived from the ammonia design plate because no filing states it, and it is the input the terminal value is most sensitive to after the discount rate.</w:t>
            </w:r>
          </w:p>
        </w:tc>
        <w:tc>
          <w:tcPr>
            <w:tcW w:type="dxa" w:w="3024"/>
          </w:tcPr>
          <w:p>
            <w:pPr>
              <w:spacing w:after="20"/>
            </w:pPr>
            <w:r>
              <w:rPr>
                <w:color w:val="1C3A36"/>
                <w:sz w:val="16"/>
              </w:rPr>
              <w:t>The annual report's note on the project, or any prospectus for the facility drawn to build it</w:t>
            </w:r>
          </w:p>
        </w:tc>
      </w:tr>
      <w:tr>
        <w:trPr>
          <w:cantSplit/>
        </w:trPr>
        <w:tc>
          <w:tcPr>
            <w:tcW w:type="dxa" w:w="2736"/>
          </w:tcPr>
          <w:p>
            <w:pPr>
              <w:spacing w:after="20"/>
            </w:pPr>
            <w:r>
              <w:rPr>
                <w:color w:val="1C3A36"/>
                <w:sz w:val="16"/>
              </w:rPr>
              <w:t>Physical progress moving back toward plan</w:t>
            </w:r>
          </w:p>
        </w:tc>
        <w:tc>
          <w:tcPr>
            <w:tcW w:type="dxa" w:w="4320"/>
          </w:tcPr>
          <w:p>
            <w:pPr>
              <w:spacing w:after="20"/>
            </w:pPr>
            <w:r>
              <w:rPr>
                <w:color w:val="1C3A36"/>
                <w:sz w:val="16"/>
              </w:rPr>
              <w:t>Progress ran 12.9% against a 37.0% plan while more than a quarter of the money had been spent. Closing that gap shortens the construction window and brings the terminal contribution forward.</w:t>
            </w:r>
          </w:p>
        </w:tc>
        <w:tc>
          <w:tcPr>
            <w:tcW w:type="dxa" w:w="3024"/>
          </w:tcPr>
          <w:p>
            <w:pPr>
              <w:spacing w:after="20"/>
            </w:pPr>
            <w:r>
              <w:rPr>
                <w:color w:val="1C3A36"/>
                <w:sz w:val="16"/>
              </w:rPr>
              <w:t>The percentage-of-completion figure the auditor discloses each year, against construction in progress on the balance sheet</w:t>
            </w:r>
          </w:p>
        </w:tc>
      </w:tr>
      <w:tr>
        <w:trPr>
          <w:cantSplit/>
        </w:trPr>
        <w:tc>
          <w:tcPr>
            <w:tcW w:type="dxa" w:w="2736"/>
          </w:tcPr>
          <w:p>
            <w:pPr>
              <w:spacing w:after="20"/>
            </w:pPr>
            <w:r>
              <w:rPr>
                <w:color w:val="1C3A36"/>
                <w:sz w:val="16"/>
              </w:rPr>
              <w:t>A structural fix to industrial gas supply</w:t>
            </w:r>
          </w:p>
        </w:tc>
        <w:tc>
          <w:tcPr>
            <w:tcW w:type="dxa" w:w="4320"/>
          </w:tcPr>
          <w:p>
            <w:pPr>
              <w:spacing w:after="20"/>
            </w:pPr>
            <w:r>
              <w:rPr>
                <w:color w:val="1C3A36"/>
                <w:sz w:val="16"/>
              </w:rPr>
              <w:t>Every tonne not made is fixed cost with no revenue against it. The stoppage cost was EGP 164.5m in the last audited year and EGP 152.7m the year before.</w:t>
            </w:r>
          </w:p>
        </w:tc>
        <w:tc>
          <w:tcPr>
            <w:tcW w:type="dxa" w:w="3024"/>
          </w:tcPr>
          <w:p>
            <w:pPr>
              <w:spacing w:after="20"/>
            </w:pPr>
            <w:r>
              <w:rPr>
                <w:color w:val="1C3A36"/>
                <w:sz w:val="16"/>
              </w:rPr>
              <w:t>The disclosed stoppage cost, and the summer curtailment months in the quarterly production numbers</w:t>
            </w:r>
          </w:p>
        </w:tc>
      </w:tr>
      <w:tr>
        <w:trPr>
          <w:cantSplit/>
        </w:trPr>
        <w:tc>
          <w:tcPr>
            <w:tcW w:type="dxa" w:w="2736"/>
          </w:tcPr>
          <w:p>
            <w:pPr>
              <w:spacing w:after="20"/>
            </w:pPr>
            <w:r>
              <w:rPr>
                <w:color w:val="1C3A36"/>
                <w:sz w:val="16"/>
              </w:rPr>
              <w:t>A price regime the market treats as permanent</w:t>
            </w:r>
          </w:p>
        </w:tc>
        <w:tc>
          <w:tcPr>
            <w:tcW w:type="dxa" w:w="4320"/>
          </w:tcPr>
          <w:p>
            <w:pPr>
              <w:spacing w:after="20"/>
            </w:pPr>
            <w:r>
              <w:rPr>
                <w:color w:val="1C3A36"/>
                <w:sz w:val="16"/>
              </w:rPr>
              <w:t>The study assumes mean reversion from a war-tightened level toward the cash cost of the marginal gas-based producer. A decade above today's spot is a different company.</w:t>
            </w:r>
          </w:p>
        </w:tc>
        <w:tc>
          <w:tcPr>
            <w:tcW w:type="dxa" w:w="3024"/>
          </w:tcPr>
          <w:p>
            <w:pPr>
              <w:spacing w:after="20"/>
            </w:pPr>
            <w:r>
              <w:rPr>
                <w:color w:val="1C3A36"/>
                <w:sz w:val="16"/>
              </w:rPr>
              <w:t>The Egyptian free-on-board quote against the model's path, and any change in the export duty that sits between the two</w:t>
            </w:r>
          </w:p>
        </w:tc>
      </w:tr>
      <w:tr>
        <w:trPr>
          <w:cantSplit/>
        </w:trPr>
        <w:tc>
          <w:tcPr>
            <w:tcW w:type="dxa" w:w="2736"/>
          </w:tcPr>
          <w:p>
            <w:pPr>
              <w:spacing w:after="20"/>
            </w:pPr>
            <w:r>
              <w:rPr>
                <w:color w:val="1C3A36"/>
                <w:sz w:val="16"/>
              </w:rPr>
              <w:t>The debt moving into the currency the company earns</w:t>
            </w:r>
          </w:p>
        </w:tc>
        <w:tc>
          <w:tcPr>
            <w:tcW w:type="dxa" w:w="4320"/>
          </w:tcPr>
          <w:p>
            <w:pPr>
              <w:spacing w:after="20"/>
            </w:pPr>
            <w:r>
              <w:rPr>
                <w:color w:val="1C3A36"/>
                <w:sz w:val="16"/>
              </w:rPr>
              <w:t>99.7% of the book is dollar-denominated against a revenue stream that is largely priced in dollars but settled in pounds. A single quarter's translation swing this year was larger than the whole nine-month profit.</w:t>
            </w:r>
          </w:p>
        </w:tc>
        <w:tc>
          <w:tcPr>
            <w:tcW w:type="dxa" w:w="3024"/>
          </w:tcPr>
          <w:p>
            <w:pPr>
              <w:spacing w:after="20"/>
            </w:pPr>
            <w:r>
              <w:rPr>
                <w:color w:val="1C3A36"/>
                <w:sz w:val="16"/>
              </w:rPr>
              <w:t>Any refinancing announcement, and the currency split in the borrowings note</w:t>
            </w:r>
          </w:p>
        </w:tc>
      </w:tr>
      <w:tr>
        <w:trPr>
          <w:cantSplit/>
        </w:trPr>
        <w:tc>
          <w:tcPr>
            <w:tcW w:type="dxa" w:w="2736"/>
          </w:tcPr>
          <w:p>
            <w:pPr>
              <w:spacing w:after="20"/>
            </w:pPr>
            <w:r>
              <w:rPr>
                <w:color w:val="1C3A36"/>
                <w:sz w:val="16"/>
              </w:rPr>
              <w:t>The first dividend</w:t>
            </w:r>
          </w:p>
        </w:tc>
        <w:tc>
          <w:tcPr>
            <w:tcW w:type="dxa" w:w="4320"/>
          </w:tcPr>
          <w:p>
            <w:pPr>
              <w:spacing w:after="20"/>
            </w:pPr>
            <w:r>
              <w:rPr>
                <w:color w:val="1C3A36"/>
                <w:sz w:val="16"/>
              </w:rPr>
              <w:t>Nothing was distributed in either of the last two years. A distribution would say the board considers the capital programme funded.</w:t>
            </w:r>
          </w:p>
        </w:tc>
        <w:tc>
          <w:tcPr>
            <w:tcW w:type="dxa" w:w="3024"/>
          </w:tcPr>
          <w:p>
            <w:pPr>
              <w:spacing w:after="20"/>
            </w:pPr>
            <w:r>
              <w:rPr>
                <w:color w:val="1C3A36"/>
                <w:sz w:val="16"/>
              </w:rPr>
              <w:t>The appropriation statement in the annual accounts</w:t>
            </w:r>
          </w:p>
        </w:tc>
      </w:tr>
      <w:tr>
        <w:trPr>
          <w:cantSplit/>
        </w:trPr>
        <w:tc>
          <w:tcPr>
            <w:tcW w:type="dxa" w:w="2736"/>
          </w:tcPr>
          <w:p>
            <w:pPr>
              <w:spacing w:after="20"/>
            </w:pPr>
            <w:r>
              <w:rPr>
                <w:color w:val="1C3A36"/>
                <w:sz w:val="16"/>
              </w:rPr>
              <w:t>The next disclosed quarter against this study's own forecast</w:t>
            </w:r>
          </w:p>
        </w:tc>
        <w:tc>
          <w:tcPr>
            <w:tcW w:type="dxa" w:w="4320"/>
          </w:tcPr>
          <w:p>
            <w:pPr>
              <w:spacing w:after="20"/>
            </w:pPr>
            <w:r>
              <w:rPr>
                <w:color w:val="1C3A36"/>
                <w:sz w:val="16"/>
              </w:rPr>
              <w:t>This study forecasts the year to June 2026 from nine reviewed months. The fourth quarter is a direct test of that construction.</w:t>
            </w:r>
          </w:p>
        </w:tc>
        <w:tc>
          <w:tcPr>
            <w:tcW w:type="dxa" w:w="3024"/>
          </w:tcPr>
          <w:p>
            <w:pPr>
              <w:spacing w:after="20"/>
            </w:pPr>
            <w:r>
              <w:rPr>
                <w:color w:val="1C3A36"/>
                <w:sz w:val="16"/>
              </w:rPr>
              <w:t>Revenue against EGP 10,379m and gross margin against 43.9% for the full year</w:t>
            </w:r>
          </w:p>
        </w:tc>
      </w:tr>
    </w:tbl>
    <w:p>
      <w:pPr>
        <w:spacing w:after="40"/>
      </w:pPr>
    </w:p>
    <w:p>
      <w:pPr>
        <w:spacing w:after="200" w:before="0"/>
      </w:pPr>
      <w:r>
        <w:rPr>
          <w:b w:val="0"/>
          <w:i/>
          <w:color w:val="6E7B77"/>
          <w:sz w:val="17"/>
        </w:rPr>
        <w:t>Table 25.  Each of these is observable from a disclosure the company already makes. None of them requires an estimate to detect.</w:t>
      </w:r>
    </w:p>
    <w:p>
      <w:pPr>
        <w:keepNext/>
        <w:spacing w:after="120" w:before="280"/>
      </w:pPr>
      <w:r>
        <w:rPr>
          <w:b/>
          <w:i w:val="0"/>
          <w:color w:val="1C3A36"/>
          <w:sz w:val="30"/>
        </w:rPr>
        <w:t>6  Reading the probability zones</w:t>
      </w:r>
    </w:p>
    <w:p>
      <w:pPr>
        <w:spacing w:after="120" w:before="0"/>
      </w:pPr>
      <w:r>
        <w:rPr>
          <w:b w:val="0"/>
          <w:i w:val="0"/>
          <w:color w:val="1C3A36"/>
          <w:sz w:val="21"/>
        </w:rPr>
        <w:t>Three zones, and what each would mean. The boundaries are the quartiles of the three-month distribution in section 3, not levels chosen for the purpose.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304"/>
        <w:gridCol w:w="5256"/>
      </w:tblGrid>
      <w:tr>
        <w:trPr>
          <w:cantSplit/>
          <w:tblHeader/>
        </w:trPr>
        <w:tc>
          <w:tcPr>
            <w:tcW w:type="dxa" w:w="2520"/>
            <w:shd w:val="clear" w:color="auto" w:fill="EAF0EE"/>
          </w:tcPr>
          <w:p>
            <w:pPr>
              <w:spacing w:after="20"/>
            </w:pPr>
            <w:r>
              <w:rPr>
                <w:b/>
                <w:color w:val="1C3A36"/>
                <w:sz w:val="16"/>
              </w:rPr>
              <w:t>Zone</w:t>
            </w:r>
          </w:p>
        </w:tc>
        <w:tc>
          <w:tcPr>
            <w:tcW w:type="dxa" w:w="2304"/>
            <w:shd w:val="clear" w:color="auto" w:fill="EAF0EE"/>
          </w:tcPr>
          <w:p>
            <w:pPr>
              <w:spacing w:after="20"/>
            </w:pPr>
            <w:r>
              <w:rPr>
                <w:b/>
                <w:color w:val="1C3A36"/>
                <w:sz w:val="16"/>
              </w:rPr>
              <w:t>Three-month range (EGP)</w:t>
            </w:r>
          </w:p>
        </w:tc>
        <w:tc>
          <w:tcPr>
            <w:tcW w:type="dxa" w:w="5256"/>
            <w:shd w:val="clear" w:color="auto" w:fill="EAF0EE"/>
          </w:tcPr>
          <w:p>
            <w:pPr>
              <w:spacing w:after="20"/>
            </w:pPr>
            <w:r>
              <w:rPr>
                <w:b/>
                <w:color w:val="1C3A36"/>
                <w:sz w:val="16"/>
              </w:rPr>
              <w:t>How to read it</w:t>
            </w:r>
          </w:p>
        </w:tc>
      </w:tr>
      <w:tr>
        <w:trPr>
          <w:cantSplit/>
        </w:trPr>
        <w:tc>
          <w:tcPr>
            <w:tcW w:type="dxa" w:w="2520"/>
          </w:tcPr>
          <w:p>
            <w:pPr>
              <w:spacing w:after="20"/>
            </w:pPr>
            <w:r>
              <w:rPr>
                <w:color w:val="1C3A36"/>
                <w:sz w:val="16"/>
              </w:rPr>
              <w:t>Below the lower quartile</w:t>
            </w:r>
          </w:p>
        </w:tc>
        <w:tc>
          <w:tcPr>
            <w:tcW w:type="dxa" w:w="2304"/>
          </w:tcPr>
          <w:p>
            <w:pPr>
              <w:spacing w:after="20"/>
              <w:jc w:val="right"/>
            </w:pPr>
            <w:r>
              <w:rPr>
                <w:color w:val="1C3A36"/>
                <w:sz w:val="16"/>
              </w:rPr>
              <w:t>under 13.03</w:t>
            </w:r>
          </w:p>
        </w:tc>
        <w:tc>
          <w:tcPr>
            <w:tcW w:type="dxa" w:w="5256"/>
          </w:tcPr>
          <w:p>
            <w:pPr>
              <w:spacing w:after="20"/>
            </w:pPr>
            <w:r>
              <w:rPr>
                <w:color w:val="1C3A36"/>
                <w:sz w:val="16"/>
              </w:rPr>
              <w:t>The price would be moving toward the upper end of what the four lenses support, and the gap this study reports would be closing from the price side rather than from the value side.</w:t>
            </w:r>
          </w:p>
        </w:tc>
      </w:tr>
      <w:tr>
        <w:trPr>
          <w:cantSplit/>
        </w:trPr>
        <w:tc>
          <w:tcPr>
            <w:tcW w:type="dxa" w:w="2520"/>
          </w:tcPr>
          <w:p>
            <w:pPr>
              <w:spacing w:after="20"/>
            </w:pPr>
            <w:r>
              <w:rPr>
                <w:color w:val="1C3A36"/>
                <w:sz w:val="16"/>
              </w:rPr>
              <w:t>The ordinary range</w:t>
            </w:r>
          </w:p>
        </w:tc>
        <w:tc>
          <w:tcPr>
            <w:tcW w:type="dxa" w:w="2304"/>
          </w:tcPr>
          <w:p>
            <w:pPr>
              <w:spacing w:after="20"/>
              <w:jc w:val="right"/>
            </w:pPr>
            <w:r>
              <w:rPr>
                <w:color w:val="1C3A36"/>
                <w:sz w:val="16"/>
              </w:rPr>
              <w:t>13.03 to 16.43</w:t>
            </w:r>
          </w:p>
        </w:tc>
        <w:tc>
          <w:tcPr>
            <w:tcW w:type="dxa" w:w="5256"/>
          </w:tcPr>
          <w:p>
            <w:pPr>
              <w:spacing w:after="20"/>
            </w:pPr>
            <w:r>
              <w:rPr>
                <w:color w:val="1C3A36"/>
                <w:sz w:val="16"/>
              </w:rPr>
              <w:t>Half the simulated paths end here. Nothing inside it would tell a reader anything about value, in either direction.</w:t>
            </w:r>
          </w:p>
        </w:tc>
      </w:tr>
      <w:tr>
        <w:trPr>
          <w:cantSplit/>
        </w:trPr>
        <w:tc>
          <w:tcPr>
            <w:tcW w:type="dxa" w:w="2520"/>
          </w:tcPr>
          <w:p>
            <w:pPr>
              <w:spacing w:after="20"/>
            </w:pPr>
            <w:r>
              <w:rPr>
                <w:color w:val="1C3A36"/>
                <w:sz w:val="16"/>
              </w:rPr>
              <w:t>Above the upper quartile</w:t>
            </w:r>
          </w:p>
        </w:tc>
        <w:tc>
          <w:tcPr>
            <w:tcW w:type="dxa" w:w="2304"/>
          </w:tcPr>
          <w:p>
            <w:pPr>
              <w:spacing w:after="20"/>
              <w:jc w:val="right"/>
            </w:pPr>
            <w:r>
              <w:rPr>
                <w:color w:val="1C3A36"/>
                <w:sz w:val="16"/>
              </w:rPr>
              <w:t>16.43 to 20.04</w:t>
            </w:r>
          </w:p>
        </w:tc>
        <w:tc>
          <w:tcPr>
            <w:tcW w:type="dxa" w:w="5256"/>
          </w:tcPr>
          <w:p>
            <w:pPr>
              <w:spacing w:after="20"/>
            </w:pPr>
            <w:r>
              <w:rPr>
                <w:color w:val="1C3A36"/>
                <w:sz w:val="16"/>
              </w:rPr>
              <w:t>The market would be paying more for a business whose sustainable return on equity is 6.9% against a cost of equity of 31.0%, with the capital programme still unfinished.</w:t>
            </w:r>
          </w:p>
        </w:tc>
      </w:tr>
      <w:tr>
        <w:trPr>
          <w:cantSplit/>
        </w:trPr>
        <w:tc>
          <w:tcPr>
            <w:tcW w:type="dxa" w:w="2520"/>
          </w:tcPr>
          <w:p>
            <w:pPr>
              <w:spacing w:after="20"/>
            </w:pPr>
            <w:r>
              <w:rPr>
                <w:color w:val="1C3A36"/>
                <w:sz w:val="16"/>
              </w:rPr>
              <w:t>Above the ninety-fifth percentile</w:t>
            </w:r>
          </w:p>
        </w:tc>
        <w:tc>
          <w:tcPr>
            <w:tcW w:type="dxa" w:w="2304"/>
          </w:tcPr>
          <w:p>
            <w:pPr>
              <w:spacing w:after="20"/>
              <w:jc w:val="right"/>
            </w:pPr>
            <w:r>
              <w:rPr>
                <w:color w:val="1C3A36"/>
                <w:sz w:val="16"/>
              </w:rPr>
              <w:t>over 20.04</w:t>
            </w:r>
          </w:p>
        </w:tc>
        <w:tc>
          <w:tcPr>
            <w:tcW w:type="dxa" w:w="5256"/>
          </w:tcPr>
          <w:p>
            <w:pPr>
              <w:spacing w:after="20"/>
            </w:pPr>
            <w:r>
              <w:rPr>
                <w:color w:val="1C3A36"/>
                <w:sz w:val="16"/>
              </w:rPr>
              <w:t>One path in twenty. On a free float of about six per cent this can happen on modest volume, which is a fact about the register rather than about the business.</w:t>
            </w:r>
          </w:p>
        </w:tc>
      </w:tr>
      <w:tr>
        <w:trPr>
          <w:cantSplit/>
        </w:trPr>
        <w:tc>
          <w:tcPr>
            <w:tcW w:type="dxa" w:w="2520"/>
            <w:shd w:val="clear" w:color="auto" w:fill="F6F1E6"/>
          </w:tcPr>
          <w:p>
            <w:pPr>
              <w:spacing w:after="20"/>
            </w:pPr>
            <w:r>
              <w:rPr>
                <w:b/>
                <w:color w:val="1C3A36"/>
                <w:sz w:val="16"/>
              </w:rPr>
              <w:t>What none of the zones says</w:t>
            </w:r>
          </w:p>
        </w:tc>
        <w:tc>
          <w:tcPr>
            <w:tcW w:type="dxa" w:w="2304"/>
            <w:shd w:val="clear" w:color="auto" w:fill="F6F1E6"/>
          </w:tcPr>
          <w:p>
            <w:pPr>
              <w:spacing w:after="20"/>
              <w:jc w:val="right"/>
            </w:pPr>
            <w:r>
              <w:rPr>
                <w:b/>
                <w:color w:val="1C3A36"/>
                <w:sz w:val="16"/>
              </w:rPr>
              <w:t>—</w:t>
            </w:r>
          </w:p>
        </w:tc>
        <w:tc>
          <w:tcPr>
            <w:tcW w:type="dxa" w:w="5256"/>
            <w:shd w:val="clear" w:color="auto" w:fill="F6F1E6"/>
          </w:tcPr>
          <w:p>
            <w:pPr>
              <w:spacing w:after="20"/>
            </w:pPr>
            <w:r>
              <w:rPr>
                <w:b/>
                <w:color w:val="1C3A36"/>
                <w:sz w:val="16"/>
              </w:rPr>
              <w:t>Where the price will go. The distribution is a map of dispersion around today's price and carries no view of value; the value work is sections 1 and 4.</w:t>
            </w:r>
          </w:p>
        </w:tc>
      </w:tr>
    </w:tbl>
    <w:p>
      <w:pPr>
        <w:spacing w:after="40"/>
      </w:pPr>
    </w:p>
    <w:p>
      <w:pPr>
        <w:spacing w:after="200" w:before="0"/>
      </w:pPr>
      <w:r>
        <w:rPr>
          <w:b w:val="0"/>
          <w:i/>
          <w:color w:val="6E7B77"/>
          <w:sz w:val="17"/>
        </w:rPr>
        <w:t>Table 26.  Zones, not targets.</w:t>
      </w:r>
    </w:p>
    <w:p>
      <w:pPr>
        <w:spacing w:after="120" w:before="0"/>
      </w:pPr>
      <w:r>
        <w:rPr>
          <w:b w:val="0"/>
          <w:i w:val="0"/>
          <w:color w:val="1C3A36"/>
          <w:sz w:val="21"/>
        </w:rPr>
        <w:t>The single most useful line in section 3 is the ladder rather than the map: there is a 14.5% chance of touching twenty per cent below today's price at some point in three months, against 34.7% of touching twenty per cent above. A reader who cares about the path, not just the destination, should read that pair together — and should note that the two are close to each other even though the median path drifts up, which is what a wide, right-skewed distribution looks like from the inside.</w:t>
      </w:r>
    </w:p>
    <w:p>
      <w:pPr>
        <w:keepNext/>
        <w:spacing w:after="120" w:before="280"/>
      </w:pPr>
      <w:r>
        <w:rPr>
          <w:b/>
          <w:i w:val="0"/>
          <w:color w:val="1C3A36"/>
          <w:sz w:val="30"/>
        </w:rPr>
        <w:t>7  Caveats and what would change our mind</w:t>
      </w:r>
    </w:p>
    <w:p>
      <w:pPr>
        <w:spacing w:after="120" w:before="0"/>
      </w:pPr>
      <w:r>
        <w:rPr>
          <w:b w:val="0"/>
          <w:i w:val="0"/>
          <w:color w:val="1C3A36"/>
          <w:sz w:val="21"/>
        </w:rPr>
        <w:t>The auditor's reports carry a formal basis for qualification in every year examined. They are not boilerplate and they are part of the evidence: fixed assets whose useful lives and residual values have not been reassessed as the standard requires; inventory whose slow-moving provision the auditor could not satisfy itself was sufficient; a shortfall of 1,648 tonnes of urea between warehouse records and the physical count at Damietta; supplier and customer balances unconfirmed; and, on the capital programme, a holding-company committee finding of severe deficiencies in the award process. A reader who discounts this study should discount the statements underneath it first.</w:t>
      </w:r>
    </w:p>
    <w:p>
      <w:pPr>
        <w:spacing w:after="120" w:before="0"/>
      </w:pPr>
      <w:r>
        <w:rPr>
          <w:b w:val="0"/>
          <w:i w:val="0"/>
          <w:color w:val="1C3A36"/>
          <w:sz w:val="21"/>
        </w:rPr>
        <w:t>The largest modelled allocation is the gas share of the cost stack. The statements give one materials line of EGP 4,399m and do not split gas from the rest. Gas is set at 75.0% of it, which implies 1,292 cubic metres a tonne of ammonia — inside the auditor's own disclosed 1,025 to 1,771 range, but a choice nonetheless. The alternative gas price is priced in section 1.8 and is worth EGP 2.06 a share.</w:t>
      </w:r>
    </w:p>
    <w:p>
      <w:pPr>
        <w:spacing w:after="120" w:before="0"/>
      </w:pPr>
      <w:r>
        <w:rPr>
          <w:b w:val="0"/>
          <w:i w:val="0"/>
          <w:color w:val="1C3A36"/>
          <w:sz w:val="21"/>
        </w:rPr>
        <w:t>Maintenance capital expenditure is the driver this study got wrong on its first issue and has since re-anchored. It was set at three per cent of revenue on the assertion that the company's own observed spending was abnormally low; the cash-flow statements show two pre-project years at 1.1% of revenue, and that is now the central. The correction is worth EGP 0.34 a share on its own. The replacement-rate framing at 6.1% is published beside it as the downside rather than averaged in.</w:t>
      </w:r>
    </w:p>
    <w:p>
      <w:pPr>
        <w:spacing w:after="120" w:before="0"/>
      </w:pPr>
      <w:r>
        <w:rPr>
          <w:b w:val="0"/>
          <w:i w:val="0"/>
          <w:color w:val="1C3A36"/>
          <w:sz w:val="21"/>
        </w:rPr>
        <w:t>The terminal reinvestment rate is now the largest unsourced input left in the model. It is set by terminal growth over an assumed 18.0% return on invested capital, which charges 38.9% of terminal operating profit after tax back into the business every year for ever — on a plant that has just been rebuilt and needs no further building. A thirty per cent return on capital, which is what a newly completed line earns while it is still filling, is worth EGP 0.93 a share. The conservative reading is kept and the alternative is priced.</w:t>
      </w:r>
    </w:p>
    <w:p>
      <w:pPr>
        <w:spacing w:after="120" w:before="0"/>
      </w:pPr>
      <w:r>
        <w:rPr>
          <w:b w:val="0"/>
          <w:i w:val="0"/>
          <w:color w:val="1C3A36"/>
          <w:sz w:val="21"/>
        </w:rPr>
        <w:t>The new plant's capacity is derived, not disclosed. No filing states it. It is built from the ammonia design plate less the draw of urea at its own plate, converted at the nitrate route's ammonia ratio. Every figure that depends on it is flagged as derived wherever it appears, and the utilisation applied to it is sensitised in both directions.</w:t>
      </w:r>
    </w:p>
    <w:p>
      <w:pPr>
        <w:spacing w:after="120" w:before="0"/>
      </w:pPr>
      <w:r>
        <w:rPr>
          <w:b w:val="0"/>
          <w:i w:val="0"/>
          <w:color w:val="1C3A36"/>
          <w:sz w:val="21"/>
        </w:rPr>
        <w:t>Terminal value is 65.4% of enterprise value on the carried-through case and 41.9% on the stopped case. The explicit years are a construction window: free cash flow to the firm is positive in 5 of the five years and negative in the other 0, and their present value is EGP 3,837 million against a terminal block of EGP 7,248 million. That is a real characteristic of an asset being rebuilt, not a modelling artefact — but it does mean the answer rests more heavily on one year than most studies do.</w:t>
      </w:r>
    </w:p>
    <w:p>
      <w:pPr>
        <w:spacing w:after="120" w:before="0"/>
      </w:pPr>
      <w:r>
        <w:rPr>
          <w:b w:val="0"/>
          <w:i w:val="0"/>
          <w:color w:val="1C3A36"/>
          <w:sz w:val="21"/>
        </w:rPr>
        <w:t>The forecast for the year to June 2026 rests on nine reviewed months and one run-rated quarter. The fourth quarter is run-rated on the third quarter's revenue with a 3.0% haircut for the summer gas curtailment, and the translation line is set to zero because a currency swing is not forecastable. That last choice matters: the nine-month translation loss was larger than the nine-month profit.</w:t>
      </w:r>
    </w:p>
    <w:p>
      <w:pPr>
        <w:spacing w:after="120" w:before="0"/>
      </w:pPr>
      <w:r>
        <w:rPr>
          <w:b w:val="0"/>
          <w:i w:val="0"/>
          <w:color w:val="1C3A36"/>
          <w:sz w:val="21"/>
        </w:rPr>
        <w:t>The currency of discounting is unresolved and is the largest single judgement after the capital programme. This is a company that sells most of its output in dollars, borrows almost entirely in dollars, and reports in pounds. The study discounts pound cash flows at a pound rate throughout and carries the dollar debt at local-equivalent cost using the same depreciation wedge that drives the revenue path, so the two cannot quietly disagree. A dollar valuation would be a different study, not a different number.</w:t>
      </w:r>
    </w:p>
    <w:p>
      <w:pPr>
        <w:spacing w:after="120" w:before="0"/>
      </w:pPr>
      <w:r>
        <w:rPr>
          <w:b w:val="0"/>
          <w:i w:val="0"/>
          <w:color w:val="1C3A36"/>
          <w:sz w:val="21"/>
        </w:rPr>
        <w:t>The concentration risks are plain and are not diversifiable inside this company: one product, one site, one feedstock, one regulator setting both the domestic price and the export duty, and a single offtake arrangement covering roughly two thirds of production. The state and its related institutions hold about 69.8% of the shares and the free float is about 6.2%, so the traded price is set in a thin market. That is worth remembering when comparing it with any valuation, including this one.</w:t>
      </w:r>
    </w:p>
    <w:p>
      <w:pPr>
        <w:spacing w:after="120" w:before="0"/>
      </w:pPr>
      <w:r>
        <w:rPr>
          <w:b w:val="0"/>
          <w:i w:val="0"/>
          <w:color w:val="1C3A36"/>
          <w:sz w:val="21"/>
        </w:rPr>
        <w:t>The subsidised quota is a legal obligation the company has not been able to meet. It delivered 147,000 tonnes of a 322,000-tonne requirement over fourteen months. The forecast does not assume that gap closes, but it also does not price a penalty for it, because none is disclosed.</w:t>
      </w:r>
    </w:p>
    <w:p>
      <w:pPr>
        <w:spacing w:after="120" w:before="0"/>
      </w:pPr>
      <w:r>
        <w:rPr>
          <w:b w:val="0"/>
          <w:i w:val="0"/>
          <w:color w:val="1C3A36"/>
          <w:sz w:val="21"/>
        </w:rPr>
        <w:t>The share count is taken from the capital note rather than from the exchange, whose page is behind an automated challenge. Two third-party sources carry figures inconsistent with the note and with each other; both are recorded in the bibliography as documented discrepancies and neither is used anywhere in the build.</w:t>
      </w:r>
    </w:p>
    <w:p>
      <w:pPr>
        <w:spacing w:after="120" w:before="0"/>
      </w:pPr>
      <w:r>
        <w:rPr>
          <w:b w:val="0"/>
          <w:i w:val="0"/>
          <w:color w:val="1C3A36"/>
          <w:sz w:val="21"/>
        </w:rPr>
        <w:t>The method itself has been tested on this company's own history before being trusted on its future. Rebuilt as it would have stood at each of 13 year-ends from June 2012 to June 2024 and projected one to five years ahead — 55 tested cases over eighteen fiscal years of the company's own audited statements — it forecast revenue and cost of sales better than simply assuming no change, and it did NOT forecast net profit better than assuming no change: on the profit line its average miss was 1.6 times the miss of carrying last year's figure forward, and it came in below the outturn in 73.9% of cases. Two lines account for most of that. The company capitalises the currency translation of its dollar project loans into the plant rather than charging it to profit, so a mechanical currency charge on the debt overstated the loss in every devaluation year; and a statutory-rate tax formula cannot see a company that has paid almost no current tax since the new complex started. No correction factor was adopted from that record: every one that passed its own test made the following year worse. What it changed in this edition is stated in the terminal-rate discussion above and in the currency path, and years three to five of the forecast are published in Appendix A as ranges built from the record's own error distribution rather than as points.</w:t>
      </w:r>
    </w:p>
    <w:p>
      <w:pPr>
        <w:spacing w:after="120" w:before="0"/>
      </w:pPr>
      <w:r>
        <w:rPr>
          <w:b w:val="0"/>
          <w:i w:val="0"/>
          <w:color w:val="1C3A36"/>
          <w:sz w:val="21"/>
        </w:rPr>
        <w:t>What would change our mind, specifically. Upward: a disclosed capacity for the new complex that earns above the cost of capital on the approved cost; the programme completing near that cost rather than above it; a sustained export price regime above the top of the tested grid; a refinancing that moves the debt into pounds; or evidence that Egyptian equity risk is genuinely priced below its own sovereign — which would revalue every Egyptian equity, not only this one. Downward: the contract gas price replacing the realised price; a further slip in physical progress against money spent; or a translation loss on the scale of this year's repeating.</w:t>
      </w:r>
    </w:p>
    <w:p>
      <w:pPr>
        <w:keepNext/>
        <w:spacing w:after="120" w:before="280"/>
      </w:pPr>
      <w:r>
        <w:rPr>
          <w:b/>
          <w:i w:val="0"/>
          <w:color w:val="1C3A36"/>
          <w:sz w:val="30"/>
        </w:rPr>
        <w:t>Appendix A  Financial statements</w:t>
      </w:r>
    </w:p>
    <w:p>
      <w:pPr>
        <w:keepNext/>
        <w:spacing w:after="80" w:before="200"/>
      </w:pPr>
      <w:r>
        <w:rPr>
          <w:b/>
          <w:i w:val="0"/>
          <w:color w:val="1C3A36"/>
          <w:sz w:val="24"/>
        </w:rPr>
        <w:t>A.1  Income statement — three years historical and five years forecast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893"/>
        <w:gridCol w:w="893"/>
        <w:gridCol w:w="893"/>
        <w:gridCol w:w="893"/>
        <w:gridCol w:w="893"/>
        <w:gridCol w:w="893"/>
        <w:gridCol w:w="893"/>
        <w:gridCol w:w="893"/>
        <w:gridCol w:w="893"/>
      </w:tblGrid>
      <w:tr>
        <w:trPr>
          <w:cantSplit/>
          <w:tblHeader/>
        </w:trPr>
        <w:tc>
          <w:tcPr>
            <w:tcW w:type="dxa" w:w="2045"/>
            <w:shd w:val="clear" w:color="auto" w:fill="EAF0EE"/>
          </w:tcPr>
          <w:p>
            <w:pPr>
              <w:spacing w:after="20"/>
            </w:pPr>
            <w:r>
              <w:rPr>
                <w:b/>
                <w:color w:val="1C3A36"/>
                <w:sz w:val="14"/>
              </w:rPr>
              <w:t>EGP million</w:t>
            </w:r>
          </w:p>
        </w:tc>
        <w:tc>
          <w:tcPr>
            <w:tcW w:type="dxa" w:w="893"/>
            <w:shd w:val="clear" w:color="auto" w:fill="EAF0EE"/>
          </w:tcPr>
          <w:p>
            <w:pPr>
              <w:spacing w:after="20"/>
            </w:pPr>
            <w:r>
              <w:rPr>
                <w:b/>
                <w:color w:val="1C3A36"/>
                <w:sz w:val="14"/>
              </w:rPr>
              <w:t>FY2022/23</w:t>
            </w:r>
          </w:p>
        </w:tc>
        <w:tc>
          <w:tcPr>
            <w:tcW w:type="dxa" w:w="893"/>
            <w:shd w:val="clear" w:color="auto" w:fill="EAF0EE"/>
          </w:tcPr>
          <w:p>
            <w:pPr>
              <w:spacing w:after="20"/>
            </w:pPr>
            <w:r>
              <w:rPr>
                <w:b/>
                <w:color w:val="1C3A36"/>
                <w:sz w:val="14"/>
              </w:rPr>
              <w:t>FY2023/24</w:t>
            </w:r>
          </w:p>
        </w:tc>
        <w:tc>
          <w:tcPr>
            <w:tcW w:type="dxa" w:w="893"/>
            <w:shd w:val="clear" w:color="auto" w:fill="EAF0EE"/>
          </w:tcPr>
          <w:p>
            <w:pPr>
              <w:spacing w:after="20"/>
            </w:pPr>
            <w:r>
              <w:rPr>
                <w:b/>
                <w:color w:val="1C3A36"/>
                <w:sz w:val="14"/>
              </w:rPr>
              <w:t>FY2024/25</w:t>
            </w:r>
          </w:p>
        </w:tc>
        <w:tc>
          <w:tcPr>
            <w:tcW w:type="dxa" w:w="893"/>
            <w:shd w:val="clear" w:color="auto" w:fill="EAF0EE"/>
          </w:tcPr>
          <w:p>
            <w:pPr>
              <w:spacing w:after="20"/>
            </w:pPr>
            <w:r>
              <w:rPr>
                <w:b/>
                <w:color w:val="1C3A36"/>
                <w:sz w:val="14"/>
              </w:rPr>
              <w:t>FY2025/26E</w:t>
            </w:r>
          </w:p>
        </w:tc>
        <w:tc>
          <w:tcPr>
            <w:tcW w:type="dxa" w:w="893"/>
            <w:shd w:val="clear" w:color="auto" w:fill="EAF0EE"/>
          </w:tcPr>
          <w:p>
            <w:pPr>
              <w:spacing w:after="20"/>
            </w:pPr>
            <w:r>
              <w:rPr>
                <w:b/>
                <w:color w:val="1C3A36"/>
                <w:sz w:val="14"/>
              </w:rPr>
              <w:t>FY2026/27</w:t>
            </w:r>
          </w:p>
        </w:tc>
        <w:tc>
          <w:tcPr>
            <w:tcW w:type="dxa" w:w="893"/>
            <w:shd w:val="clear" w:color="auto" w:fill="EAF0EE"/>
          </w:tcPr>
          <w:p>
            <w:pPr>
              <w:spacing w:after="20"/>
            </w:pPr>
            <w:r>
              <w:rPr>
                <w:b/>
                <w:color w:val="1C3A36"/>
                <w:sz w:val="14"/>
              </w:rPr>
              <w:t>FY2027/28</w:t>
            </w:r>
          </w:p>
        </w:tc>
        <w:tc>
          <w:tcPr>
            <w:tcW w:type="dxa" w:w="893"/>
            <w:shd w:val="clear" w:color="auto" w:fill="EAF0EE"/>
          </w:tcPr>
          <w:p>
            <w:pPr>
              <w:spacing w:after="20"/>
            </w:pPr>
            <w:r>
              <w:rPr>
                <w:b/>
                <w:color w:val="1C3A36"/>
                <w:sz w:val="14"/>
              </w:rPr>
              <w:t>FY2028/29</w:t>
            </w:r>
          </w:p>
        </w:tc>
        <w:tc>
          <w:tcPr>
            <w:tcW w:type="dxa" w:w="893"/>
            <w:shd w:val="clear" w:color="auto" w:fill="EAF0EE"/>
          </w:tcPr>
          <w:p>
            <w:pPr>
              <w:spacing w:after="20"/>
            </w:pPr>
            <w:r>
              <w:rPr>
                <w:b/>
                <w:color w:val="1C3A36"/>
                <w:sz w:val="14"/>
              </w:rPr>
              <w:t>FY2029/30</w:t>
            </w:r>
          </w:p>
        </w:tc>
        <w:tc>
          <w:tcPr>
            <w:tcW w:type="dxa" w:w="893"/>
            <w:shd w:val="clear" w:color="auto" w:fill="EAF0EE"/>
          </w:tcPr>
          <w:p>
            <w:pPr>
              <w:spacing w:after="20"/>
            </w:pPr>
            <w:r>
              <w:rPr>
                <w:b/>
                <w:color w:val="1C3A36"/>
                <w:sz w:val="14"/>
              </w:rPr>
              <w:t>FY2030/31</w:t>
            </w:r>
          </w:p>
        </w:tc>
      </w:tr>
      <w:tr>
        <w:trPr>
          <w:cantSplit/>
        </w:trPr>
        <w:tc>
          <w:tcPr>
            <w:tcW w:type="dxa" w:w="2045"/>
          </w:tcPr>
          <w:p>
            <w:pPr>
              <w:spacing w:after="20"/>
            </w:pPr>
            <w:r>
              <w:rPr>
                <w:color w:val="1C3A36"/>
                <w:sz w:val="14"/>
              </w:rPr>
              <w:t>Revenue</w:t>
            </w:r>
          </w:p>
        </w:tc>
        <w:tc>
          <w:tcPr>
            <w:tcW w:type="dxa" w:w="893"/>
          </w:tcPr>
          <w:p>
            <w:pPr>
              <w:spacing w:after="20"/>
              <w:jc w:val="right"/>
            </w:pPr>
            <w:r>
              <w:rPr>
                <w:color w:val="1C3A36"/>
                <w:sz w:val="14"/>
              </w:rPr>
              <w:t>6,612</w:t>
            </w:r>
          </w:p>
        </w:tc>
        <w:tc>
          <w:tcPr>
            <w:tcW w:type="dxa" w:w="893"/>
          </w:tcPr>
          <w:p>
            <w:pPr>
              <w:spacing w:after="20"/>
              <w:jc w:val="right"/>
            </w:pPr>
            <w:r>
              <w:rPr>
                <w:color w:val="1C3A36"/>
                <w:sz w:val="14"/>
              </w:rPr>
              <w:t>6,532</w:t>
            </w:r>
          </w:p>
        </w:tc>
        <w:tc>
          <w:tcPr>
            <w:tcW w:type="dxa" w:w="893"/>
          </w:tcPr>
          <w:p>
            <w:pPr>
              <w:spacing w:after="20"/>
              <w:jc w:val="right"/>
            </w:pPr>
            <w:r>
              <w:rPr>
                <w:color w:val="1C3A36"/>
                <w:sz w:val="14"/>
              </w:rPr>
              <w:t>8,603</w:t>
            </w:r>
          </w:p>
        </w:tc>
        <w:tc>
          <w:tcPr>
            <w:tcW w:type="dxa" w:w="893"/>
          </w:tcPr>
          <w:p>
            <w:pPr>
              <w:spacing w:after="20"/>
              <w:jc w:val="right"/>
            </w:pPr>
            <w:r>
              <w:rPr>
                <w:color w:val="1C3A36"/>
                <w:sz w:val="14"/>
              </w:rPr>
              <w:t>10,379</w:t>
            </w:r>
          </w:p>
        </w:tc>
        <w:tc>
          <w:tcPr>
            <w:tcW w:type="dxa" w:w="893"/>
          </w:tcPr>
          <w:p>
            <w:pPr>
              <w:spacing w:after="20"/>
              <w:jc w:val="right"/>
            </w:pPr>
            <w:r>
              <w:rPr>
                <w:color w:val="1C3A36"/>
                <w:sz w:val="14"/>
              </w:rPr>
              <w:t>11,674</w:t>
            </w:r>
          </w:p>
        </w:tc>
        <w:tc>
          <w:tcPr>
            <w:tcW w:type="dxa" w:w="893"/>
          </w:tcPr>
          <w:p>
            <w:pPr>
              <w:spacing w:after="20"/>
              <w:jc w:val="right"/>
            </w:pPr>
            <w:r>
              <w:rPr>
                <w:color w:val="1C3A36"/>
                <w:sz w:val="14"/>
              </w:rPr>
              <w:t>12,693</w:t>
            </w:r>
          </w:p>
        </w:tc>
        <w:tc>
          <w:tcPr>
            <w:tcW w:type="dxa" w:w="893"/>
          </w:tcPr>
          <w:p>
            <w:pPr>
              <w:spacing w:after="20"/>
              <w:jc w:val="right"/>
            </w:pPr>
            <w:r>
              <w:rPr>
                <w:color w:val="1C3A36"/>
                <w:sz w:val="14"/>
              </w:rPr>
              <w:t>13,513</w:t>
            </w:r>
          </w:p>
        </w:tc>
        <w:tc>
          <w:tcPr>
            <w:tcW w:type="dxa" w:w="893"/>
          </w:tcPr>
          <w:p>
            <w:pPr>
              <w:spacing w:after="20"/>
              <w:jc w:val="right"/>
            </w:pPr>
            <w:r>
              <w:rPr>
                <w:color w:val="1C3A36"/>
                <w:sz w:val="14"/>
              </w:rPr>
              <w:t>14,277</w:t>
            </w:r>
          </w:p>
        </w:tc>
        <w:tc>
          <w:tcPr>
            <w:tcW w:type="dxa" w:w="893"/>
          </w:tcPr>
          <w:p>
            <w:pPr>
              <w:spacing w:after="20"/>
              <w:jc w:val="right"/>
            </w:pPr>
            <w:r>
              <w:rPr>
                <w:color w:val="1C3A36"/>
                <w:sz w:val="14"/>
              </w:rPr>
              <w:t>15,043</w:t>
            </w:r>
          </w:p>
        </w:tc>
      </w:tr>
      <w:tr>
        <w:trPr>
          <w:cantSplit/>
        </w:trPr>
        <w:tc>
          <w:tcPr>
            <w:tcW w:type="dxa" w:w="2045"/>
          </w:tcPr>
          <w:p>
            <w:pPr>
              <w:spacing w:after="20"/>
            </w:pPr>
            <w:r>
              <w:rPr>
                <w:color w:val="1C3A36"/>
                <w:sz w:val="14"/>
              </w:rPr>
              <w:t>Cost of sales</w:t>
            </w:r>
          </w:p>
        </w:tc>
        <w:tc>
          <w:tcPr>
            <w:tcW w:type="dxa" w:w="893"/>
          </w:tcPr>
          <w:p>
            <w:pPr>
              <w:spacing w:after="20"/>
              <w:jc w:val="right"/>
            </w:pPr>
            <w:r>
              <w:rPr>
                <w:color w:val="1C3A36"/>
                <w:sz w:val="14"/>
              </w:rPr>
              <w:t>3,574</w:t>
            </w:r>
          </w:p>
        </w:tc>
        <w:tc>
          <w:tcPr>
            <w:tcW w:type="dxa" w:w="893"/>
          </w:tcPr>
          <w:p>
            <w:pPr>
              <w:spacing w:after="20"/>
              <w:jc w:val="right"/>
            </w:pPr>
            <w:r>
              <w:rPr>
                <w:color w:val="1C3A36"/>
                <w:sz w:val="14"/>
              </w:rPr>
              <w:t>4,396</w:t>
            </w:r>
          </w:p>
        </w:tc>
        <w:tc>
          <w:tcPr>
            <w:tcW w:type="dxa" w:w="893"/>
          </w:tcPr>
          <w:p>
            <w:pPr>
              <w:spacing w:after="20"/>
              <w:jc w:val="right"/>
            </w:pPr>
            <w:r>
              <w:rPr>
                <w:color w:val="1C3A36"/>
                <w:sz w:val="14"/>
              </w:rPr>
              <w:t>5,300</w:t>
            </w:r>
          </w:p>
        </w:tc>
        <w:tc>
          <w:tcPr>
            <w:tcW w:type="dxa" w:w="893"/>
          </w:tcPr>
          <w:p>
            <w:pPr>
              <w:spacing w:after="20"/>
              <w:jc w:val="right"/>
            </w:pPr>
            <w:r>
              <w:rPr>
                <w:color w:val="1C3A36"/>
                <w:sz w:val="14"/>
              </w:rPr>
              <w:t>5,825</w:t>
            </w:r>
          </w:p>
        </w:tc>
        <w:tc>
          <w:tcPr>
            <w:tcW w:type="dxa" w:w="893"/>
          </w:tcPr>
          <w:p>
            <w:pPr>
              <w:spacing w:after="20"/>
              <w:jc w:val="right"/>
            </w:pPr>
            <w:r>
              <w:rPr>
                <w:color w:val="1C3A36"/>
                <w:sz w:val="14"/>
              </w:rPr>
              <w:t>6,337</w:t>
            </w:r>
          </w:p>
        </w:tc>
        <w:tc>
          <w:tcPr>
            <w:tcW w:type="dxa" w:w="893"/>
          </w:tcPr>
          <w:p>
            <w:pPr>
              <w:spacing w:after="20"/>
              <w:jc w:val="right"/>
            </w:pPr>
            <w:r>
              <w:rPr>
                <w:color w:val="1C3A36"/>
                <w:sz w:val="14"/>
              </w:rPr>
              <w:t>6,982</w:t>
            </w:r>
          </w:p>
        </w:tc>
        <w:tc>
          <w:tcPr>
            <w:tcW w:type="dxa" w:w="893"/>
          </w:tcPr>
          <w:p>
            <w:pPr>
              <w:spacing w:after="20"/>
              <w:jc w:val="right"/>
            </w:pPr>
            <w:r>
              <w:rPr>
                <w:color w:val="1C3A36"/>
                <w:sz w:val="14"/>
              </w:rPr>
              <w:t>7,558</w:t>
            </w:r>
          </w:p>
        </w:tc>
        <w:tc>
          <w:tcPr>
            <w:tcW w:type="dxa" w:w="893"/>
          </w:tcPr>
          <w:p>
            <w:pPr>
              <w:spacing w:after="20"/>
              <w:jc w:val="right"/>
            </w:pPr>
            <w:r>
              <w:rPr>
                <w:color w:val="1C3A36"/>
                <w:sz w:val="14"/>
              </w:rPr>
              <w:t>8,118</w:t>
            </w:r>
          </w:p>
        </w:tc>
        <w:tc>
          <w:tcPr>
            <w:tcW w:type="dxa" w:w="893"/>
          </w:tcPr>
          <w:p>
            <w:pPr>
              <w:spacing w:after="20"/>
              <w:jc w:val="right"/>
            </w:pPr>
            <w:r>
              <w:rPr>
                <w:color w:val="1C3A36"/>
                <w:sz w:val="14"/>
              </w:rPr>
              <w:t>8,683</w:t>
            </w:r>
          </w:p>
        </w:tc>
      </w:tr>
      <w:tr>
        <w:trPr>
          <w:cantSplit/>
        </w:trPr>
        <w:tc>
          <w:tcPr>
            <w:tcW w:type="dxa" w:w="2045"/>
            <w:shd w:val="clear" w:color="auto" w:fill="F6F1E6"/>
          </w:tcPr>
          <w:p>
            <w:pPr>
              <w:spacing w:after="20"/>
            </w:pPr>
            <w:r>
              <w:rPr>
                <w:b/>
                <w:color w:val="1C3A36"/>
                <w:sz w:val="14"/>
              </w:rPr>
              <w:t>Gross profit</w:t>
            </w:r>
          </w:p>
        </w:tc>
        <w:tc>
          <w:tcPr>
            <w:tcW w:type="dxa" w:w="893"/>
            <w:shd w:val="clear" w:color="auto" w:fill="F6F1E6"/>
          </w:tcPr>
          <w:p>
            <w:pPr>
              <w:spacing w:after="20"/>
              <w:jc w:val="right"/>
            </w:pPr>
            <w:r>
              <w:rPr>
                <w:b/>
                <w:color w:val="1C3A36"/>
                <w:sz w:val="14"/>
              </w:rPr>
              <w:t>3,038</w:t>
            </w:r>
          </w:p>
        </w:tc>
        <w:tc>
          <w:tcPr>
            <w:tcW w:type="dxa" w:w="893"/>
            <w:shd w:val="clear" w:color="auto" w:fill="F6F1E6"/>
          </w:tcPr>
          <w:p>
            <w:pPr>
              <w:spacing w:after="20"/>
              <w:jc w:val="right"/>
            </w:pPr>
            <w:r>
              <w:rPr>
                <w:b/>
                <w:color w:val="1C3A36"/>
                <w:sz w:val="14"/>
              </w:rPr>
              <w:t>2,136</w:t>
            </w:r>
          </w:p>
        </w:tc>
        <w:tc>
          <w:tcPr>
            <w:tcW w:type="dxa" w:w="893"/>
            <w:shd w:val="clear" w:color="auto" w:fill="F6F1E6"/>
          </w:tcPr>
          <w:p>
            <w:pPr>
              <w:spacing w:after="20"/>
              <w:jc w:val="right"/>
            </w:pPr>
            <w:r>
              <w:rPr>
                <w:b/>
                <w:color w:val="1C3A36"/>
                <w:sz w:val="14"/>
              </w:rPr>
              <w:t>3,302</w:t>
            </w:r>
          </w:p>
        </w:tc>
        <w:tc>
          <w:tcPr>
            <w:tcW w:type="dxa" w:w="893"/>
            <w:shd w:val="clear" w:color="auto" w:fill="F6F1E6"/>
          </w:tcPr>
          <w:p>
            <w:pPr>
              <w:spacing w:after="20"/>
              <w:jc w:val="right"/>
            </w:pPr>
            <w:r>
              <w:rPr>
                <w:b/>
                <w:color w:val="1C3A36"/>
                <w:sz w:val="14"/>
              </w:rPr>
              <w:t>4,554</w:t>
            </w:r>
          </w:p>
        </w:tc>
        <w:tc>
          <w:tcPr>
            <w:tcW w:type="dxa" w:w="893"/>
            <w:shd w:val="clear" w:color="auto" w:fill="F6F1E6"/>
          </w:tcPr>
          <w:p>
            <w:pPr>
              <w:spacing w:after="20"/>
              <w:jc w:val="right"/>
            </w:pPr>
            <w:r>
              <w:rPr>
                <w:b/>
                <w:color w:val="1C3A36"/>
                <w:sz w:val="14"/>
              </w:rPr>
              <w:t>5,337</w:t>
            </w:r>
          </w:p>
        </w:tc>
        <w:tc>
          <w:tcPr>
            <w:tcW w:type="dxa" w:w="893"/>
            <w:shd w:val="clear" w:color="auto" w:fill="F6F1E6"/>
          </w:tcPr>
          <w:p>
            <w:pPr>
              <w:spacing w:after="20"/>
              <w:jc w:val="right"/>
            </w:pPr>
            <w:r>
              <w:rPr>
                <w:b/>
                <w:color w:val="1C3A36"/>
                <w:sz w:val="14"/>
              </w:rPr>
              <w:t>5,711</w:t>
            </w:r>
          </w:p>
        </w:tc>
        <w:tc>
          <w:tcPr>
            <w:tcW w:type="dxa" w:w="893"/>
            <w:shd w:val="clear" w:color="auto" w:fill="F6F1E6"/>
          </w:tcPr>
          <w:p>
            <w:pPr>
              <w:spacing w:after="20"/>
              <w:jc w:val="right"/>
            </w:pPr>
            <w:r>
              <w:rPr>
                <w:b/>
                <w:color w:val="1C3A36"/>
                <w:sz w:val="14"/>
              </w:rPr>
              <w:t>5,955</w:t>
            </w:r>
          </w:p>
        </w:tc>
        <w:tc>
          <w:tcPr>
            <w:tcW w:type="dxa" w:w="893"/>
            <w:shd w:val="clear" w:color="auto" w:fill="F6F1E6"/>
          </w:tcPr>
          <w:p>
            <w:pPr>
              <w:spacing w:after="20"/>
              <w:jc w:val="right"/>
            </w:pPr>
            <w:r>
              <w:rPr>
                <w:b/>
                <w:color w:val="1C3A36"/>
                <w:sz w:val="14"/>
              </w:rPr>
              <w:t>6,160</w:t>
            </w:r>
          </w:p>
        </w:tc>
        <w:tc>
          <w:tcPr>
            <w:tcW w:type="dxa" w:w="893"/>
            <w:shd w:val="clear" w:color="auto" w:fill="F6F1E6"/>
          </w:tcPr>
          <w:p>
            <w:pPr>
              <w:spacing w:after="20"/>
              <w:jc w:val="right"/>
            </w:pPr>
            <w:r>
              <w:rPr>
                <w:b/>
                <w:color w:val="1C3A36"/>
                <w:sz w:val="14"/>
              </w:rPr>
              <w:t>6,360</w:t>
            </w:r>
          </w:p>
        </w:tc>
      </w:tr>
      <w:tr>
        <w:trPr>
          <w:cantSplit/>
        </w:trPr>
        <w:tc>
          <w:tcPr>
            <w:tcW w:type="dxa" w:w="2045"/>
          </w:tcPr>
          <w:p>
            <w:pPr>
              <w:spacing w:after="20"/>
            </w:pPr>
            <w:r>
              <w:rPr>
                <w:color w:val="1C3A36"/>
                <w:sz w:val="14"/>
              </w:rPr>
              <w:t>Selling and distribution</w:t>
            </w:r>
          </w:p>
        </w:tc>
        <w:tc>
          <w:tcPr>
            <w:tcW w:type="dxa" w:w="893"/>
          </w:tcPr>
          <w:p>
            <w:pPr>
              <w:spacing w:after="20"/>
              <w:jc w:val="right"/>
            </w:pPr>
            <w:r>
              <w:rPr>
                <w:color w:val="1C3A36"/>
                <w:sz w:val="14"/>
              </w:rPr>
              <w:t>474</w:t>
            </w:r>
          </w:p>
        </w:tc>
        <w:tc>
          <w:tcPr>
            <w:tcW w:type="dxa" w:w="893"/>
          </w:tcPr>
          <w:p>
            <w:pPr>
              <w:spacing w:after="20"/>
              <w:jc w:val="right"/>
            </w:pPr>
            <w:r>
              <w:rPr>
                <w:color w:val="1C3A36"/>
                <w:sz w:val="14"/>
              </w:rPr>
              <w:t>563</w:t>
            </w:r>
          </w:p>
        </w:tc>
        <w:tc>
          <w:tcPr>
            <w:tcW w:type="dxa" w:w="893"/>
          </w:tcPr>
          <w:p>
            <w:pPr>
              <w:spacing w:after="20"/>
              <w:jc w:val="right"/>
            </w:pPr>
            <w:r>
              <w:rPr>
                <w:color w:val="1C3A36"/>
                <w:sz w:val="14"/>
              </w:rPr>
              <w:t>786</w:t>
            </w:r>
          </w:p>
        </w:tc>
        <w:tc>
          <w:tcPr>
            <w:tcW w:type="dxa" w:w="893"/>
          </w:tcPr>
          <w:p>
            <w:pPr>
              <w:spacing w:after="20"/>
              <w:jc w:val="right"/>
            </w:pPr>
            <w:r>
              <w:rPr>
                <w:color w:val="1C3A36"/>
                <w:sz w:val="14"/>
              </w:rPr>
              <w:t>980</w:t>
            </w:r>
          </w:p>
        </w:tc>
        <w:tc>
          <w:tcPr>
            <w:tcW w:type="dxa" w:w="893"/>
          </w:tcPr>
          <w:p>
            <w:pPr>
              <w:spacing w:after="20"/>
              <w:jc w:val="right"/>
            </w:pPr>
            <w:r>
              <w:rPr>
                <w:color w:val="1C3A36"/>
                <w:sz w:val="14"/>
              </w:rPr>
              <w:t>856</w:t>
            </w:r>
          </w:p>
        </w:tc>
        <w:tc>
          <w:tcPr>
            <w:tcW w:type="dxa" w:w="893"/>
          </w:tcPr>
          <w:p>
            <w:pPr>
              <w:spacing w:after="20"/>
              <w:jc w:val="right"/>
            </w:pPr>
            <w:r>
              <w:rPr>
                <w:color w:val="1C3A36"/>
                <w:sz w:val="14"/>
              </w:rPr>
              <w:t>944</w:t>
            </w:r>
          </w:p>
        </w:tc>
        <w:tc>
          <w:tcPr>
            <w:tcW w:type="dxa" w:w="893"/>
          </w:tcPr>
          <w:p>
            <w:pPr>
              <w:spacing w:after="20"/>
              <w:jc w:val="right"/>
            </w:pPr>
            <w:r>
              <w:rPr>
                <w:color w:val="1C3A36"/>
                <w:sz w:val="14"/>
              </w:rPr>
              <w:t>1,019</w:t>
            </w:r>
          </w:p>
        </w:tc>
        <w:tc>
          <w:tcPr>
            <w:tcW w:type="dxa" w:w="893"/>
          </w:tcPr>
          <w:p>
            <w:pPr>
              <w:spacing w:after="20"/>
              <w:jc w:val="right"/>
            </w:pPr>
            <w:r>
              <w:rPr>
                <w:color w:val="1C3A36"/>
                <w:sz w:val="14"/>
              </w:rPr>
              <w:t>1,090</w:t>
            </w:r>
          </w:p>
        </w:tc>
        <w:tc>
          <w:tcPr>
            <w:tcW w:type="dxa" w:w="893"/>
          </w:tcPr>
          <w:p>
            <w:pPr>
              <w:spacing w:after="20"/>
              <w:jc w:val="right"/>
            </w:pPr>
            <w:r>
              <w:rPr>
                <w:color w:val="1C3A36"/>
                <w:sz w:val="14"/>
              </w:rPr>
              <w:t>1,164</w:t>
            </w:r>
          </w:p>
        </w:tc>
      </w:tr>
      <w:tr>
        <w:trPr>
          <w:cantSplit/>
        </w:trPr>
        <w:tc>
          <w:tcPr>
            <w:tcW w:type="dxa" w:w="2045"/>
          </w:tcPr>
          <w:p>
            <w:pPr>
              <w:spacing w:after="20"/>
            </w:pPr>
            <w:r>
              <w:rPr>
                <w:color w:val="1C3A36"/>
                <w:sz w:val="14"/>
              </w:rPr>
              <w:t>Administrative</w:t>
            </w:r>
          </w:p>
        </w:tc>
        <w:tc>
          <w:tcPr>
            <w:tcW w:type="dxa" w:w="893"/>
          </w:tcPr>
          <w:p>
            <w:pPr>
              <w:spacing w:after="20"/>
              <w:jc w:val="right"/>
            </w:pPr>
            <w:r>
              <w:rPr>
                <w:color w:val="1C3A36"/>
                <w:sz w:val="14"/>
              </w:rPr>
              <w:t>189</w:t>
            </w:r>
          </w:p>
        </w:tc>
        <w:tc>
          <w:tcPr>
            <w:tcW w:type="dxa" w:w="893"/>
          </w:tcPr>
          <w:p>
            <w:pPr>
              <w:spacing w:after="20"/>
              <w:jc w:val="right"/>
            </w:pPr>
            <w:r>
              <w:rPr>
                <w:color w:val="1C3A36"/>
                <w:sz w:val="14"/>
              </w:rPr>
              <w:t>298</w:t>
            </w:r>
          </w:p>
        </w:tc>
        <w:tc>
          <w:tcPr>
            <w:tcW w:type="dxa" w:w="893"/>
          </w:tcPr>
          <w:p>
            <w:pPr>
              <w:spacing w:after="20"/>
              <w:jc w:val="right"/>
            </w:pPr>
            <w:r>
              <w:rPr>
                <w:color w:val="1C3A36"/>
                <w:sz w:val="14"/>
              </w:rPr>
              <w:t>360</w:t>
            </w:r>
          </w:p>
        </w:tc>
        <w:tc>
          <w:tcPr>
            <w:tcW w:type="dxa" w:w="893"/>
          </w:tcPr>
          <w:p>
            <w:pPr>
              <w:spacing w:after="20"/>
              <w:jc w:val="right"/>
            </w:pPr>
            <w:r>
              <w:rPr>
                <w:color w:val="1C3A36"/>
                <w:sz w:val="14"/>
              </w:rPr>
              <w:t>365</w:t>
            </w:r>
          </w:p>
        </w:tc>
        <w:tc>
          <w:tcPr>
            <w:tcW w:type="dxa" w:w="893"/>
          </w:tcPr>
          <w:p>
            <w:pPr>
              <w:spacing w:after="20"/>
              <w:jc w:val="right"/>
            </w:pPr>
            <w:r>
              <w:rPr>
                <w:color w:val="1C3A36"/>
                <w:sz w:val="14"/>
              </w:rPr>
              <w:t>410</w:t>
            </w:r>
          </w:p>
        </w:tc>
        <w:tc>
          <w:tcPr>
            <w:tcW w:type="dxa" w:w="893"/>
          </w:tcPr>
          <w:p>
            <w:pPr>
              <w:spacing w:after="20"/>
              <w:jc w:val="right"/>
            </w:pPr>
            <w:r>
              <w:rPr>
                <w:color w:val="1C3A36"/>
                <w:sz w:val="14"/>
              </w:rPr>
              <w:t>453</w:t>
            </w:r>
          </w:p>
        </w:tc>
        <w:tc>
          <w:tcPr>
            <w:tcW w:type="dxa" w:w="893"/>
          </w:tcPr>
          <w:p>
            <w:pPr>
              <w:spacing w:after="20"/>
              <w:jc w:val="right"/>
            </w:pPr>
            <w:r>
              <w:rPr>
                <w:color w:val="1C3A36"/>
                <w:sz w:val="14"/>
              </w:rPr>
              <w:t>490</w:t>
            </w:r>
          </w:p>
        </w:tc>
        <w:tc>
          <w:tcPr>
            <w:tcW w:type="dxa" w:w="893"/>
          </w:tcPr>
          <w:p>
            <w:pPr>
              <w:spacing w:after="20"/>
              <w:jc w:val="right"/>
            </w:pPr>
            <w:r>
              <w:rPr>
                <w:color w:val="1C3A36"/>
                <w:sz w:val="14"/>
              </w:rPr>
              <w:t>526</w:t>
            </w:r>
          </w:p>
        </w:tc>
        <w:tc>
          <w:tcPr>
            <w:tcW w:type="dxa" w:w="893"/>
          </w:tcPr>
          <w:p>
            <w:pPr>
              <w:spacing w:after="20"/>
              <w:jc w:val="right"/>
            </w:pPr>
            <w:r>
              <w:rPr>
                <w:color w:val="1C3A36"/>
                <w:sz w:val="14"/>
              </w:rPr>
              <w:t>563</w:t>
            </w:r>
          </w:p>
        </w:tc>
      </w:tr>
      <w:tr>
        <w:trPr>
          <w:cantSplit/>
        </w:trPr>
        <w:tc>
          <w:tcPr>
            <w:tcW w:type="dxa" w:w="2045"/>
            <w:shd w:val="clear" w:color="auto" w:fill="F6F1E6"/>
          </w:tcPr>
          <w:p>
            <w:pPr>
              <w:spacing w:after="20"/>
            </w:pPr>
            <w:r>
              <w:rPr>
                <w:b/>
                <w:color w:val="1C3A36"/>
                <w:sz w:val="14"/>
              </w:rPr>
              <w:t>EBIT before other items</w:t>
            </w:r>
          </w:p>
        </w:tc>
        <w:tc>
          <w:tcPr>
            <w:tcW w:type="dxa" w:w="893"/>
            <w:shd w:val="clear" w:color="auto" w:fill="F6F1E6"/>
          </w:tcPr>
          <w:p>
            <w:pPr>
              <w:spacing w:after="20"/>
              <w:jc w:val="right"/>
            </w:pPr>
            <w:r>
              <w:rPr>
                <w:b/>
                <w:color w:val="1C3A36"/>
                <w:sz w:val="14"/>
              </w:rPr>
              <w:t>2,375</w:t>
            </w:r>
          </w:p>
        </w:tc>
        <w:tc>
          <w:tcPr>
            <w:tcW w:type="dxa" w:w="893"/>
            <w:shd w:val="clear" w:color="auto" w:fill="F6F1E6"/>
          </w:tcPr>
          <w:p>
            <w:pPr>
              <w:spacing w:after="20"/>
              <w:jc w:val="right"/>
            </w:pPr>
            <w:r>
              <w:rPr>
                <w:b/>
                <w:color w:val="1C3A36"/>
                <w:sz w:val="14"/>
              </w:rPr>
              <w:t>1,276</w:t>
            </w:r>
          </w:p>
        </w:tc>
        <w:tc>
          <w:tcPr>
            <w:tcW w:type="dxa" w:w="893"/>
            <w:shd w:val="clear" w:color="auto" w:fill="F6F1E6"/>
          </w:tcPr>
          <w:p>
            <w:pPr>
              <w:spacing w:after="20"/>
              <w:jc w:val="right"/>
            </w:pPr>
            <w:r>
              <w:rPr>
                <w:b/>
                <w:color w:val="1C3A36"/>
                <w:sz w:val="14"/>
              </w:rPr>
              <w:t>2,156</w:t>
            </w:r>
          </w:p>
        </w:tc>
        <w:tc>
          <w:tcPr>
            <w:tcW w:type="dxa" w:w="893"/>
            <w:shd w:val="clear" w:color="auto" w:fill="F6F1E6"/>
          </w:tcPr>
          <w:p>
            <w:pPr>
              <w:spacing w:after="20"/>
              <w:jc w:val="right"/>
            </w:pPr>
            <w:r>
              <w:rPr>
                <w:b/>
                <w:color w:val="1C3A36"/>
                <w:sz w:val="14"/>
              </w:rPr>
              <w:t>3,209</w:t>
            </w:r>
          </w:p>
        </w:tc>
        <w:tc>
          <w:tcPr>
            <w:tcW w:type="dxa" w:w="893"/>
            <w:shd w:val="clear" w:color="auto" w:fill="F6F1E6"/>
          </w:tcPr>
          <w:p>
            <w:pPr>
              <w:spacing w:after="20"/>
              <w:jc w:val="right"/>
            </w:pPr>
            <w:r>
              <w:rPr>
                <w:b/>
                <w:color w:val="1C3A36"/>
                <w:sz w:val="14"/>
              </w:rPr>
              <w:t>3,921</w:t>
            </w:r>
          </w:p>
        </w:tc>
        <w:tc>
          <w:tcPr>
            <w:tcW w:type="dxa" w:w="893"/>
            <w:shd w:val="clear" w:color="auto" w:fill="F6F1E6"/>
          </w:tcPr>
          <w:p>
            <w:pPr>
              <w:spacing w:after="20"/>
              <w:jc w:val="right"/>
            </w:pPr>
            <w:r>
              <w:rPr>
                <w:b/>
                <w:color w:val="1C3A36"/>
                <w:sz w:val="14"/>
              </w:rPr>
              <w:t>4,194</w:t>
            </w:r>
          </w:p>
        </w:tc>
        <w:tc>
          <w:tcPr>
            <w:tcW w:type="dxa" w:w="893"/>
            <w:shd w:val="clear" w:color="auto" w:fill="F6F1E6"/>
          </w:tcPr>
          <w:p>
            <w:pPr>
              <w:spacing w:after="20"/>
              <w:jc w:val="right"/>
            </w:pPr>
            <w:r>
              <w:rPr>
                <w:b/>
                <w:color w:val="1C3A36"/>
                <w:sz w:val="14"/>
              </w:rPr>
              <w:t>4,346</w:t>
            </w:r>
          </w:p>
        </w:tc>
        <w:tc>
          <w:tcPr>
            <w:tcW w:type="dxa" w:w="893"/>
            <w:shd w:val="clear" w:color="auto" w:fill="F6F1E6"/>
          </w:tcPr>
          <w:p>
            <w:pPr>
              <w:spacing w:after="20"/>
              <w:jc w:val="right"/>
            </w:pPr>
            <w:r>
              <w:rPr>
                <w:b/>
                <w:color w:val="1C3A36"/>
                <w:sz w:val="14"/>
              </w:rPr>
              <w:t>4,453</w:t>
            </w:r>
          </w:p>
        </w:tc>
        <w:tc>
          <w:tcPr>
            <w:tcW w:type="dxa" w:w="893"/>
            <w:shd w:val="clear" w:color="auto" w:fill="F6F1E6"/>
          </w:tcPr>
          <w:p>
            <w:pPr>
              <w:spacing w:after="20"/>
              <w:jc w:val="right"/>
            </w:pPr>
            <w:r>
              <w:rPr>
                <w:b/>
                <w:color w:val="1C3A36"/>
                <w:sz w:val="14"/>
              </w:rPr>
              <w:t>4,553</w:t>
            </w:r>
          </w:p>
        </w:tc>
      </w:tr>
      <w:tr>
        <w:trPr>
          <w:cantSplit/>
        </w:trPr>
        <w:tc>
          <w:tcPr>
            <w:tcW w:type="dxa" w:w="2045"/>
          </w:tcPr>
          <w:p>
            <w:pPr>
              <w:spacing w:after="20"/>
            </w:pPr>
            <w:r>
              <w:rPr>
                <w:color w:val="1C3A36"/>
                <w:sz w:val="14"/>
              </w:rPr>
              <w:t>Depreciation and amortisation</w:t>
            </w:r>
          </w:p>
        </w:tc>
        <w:tc>
          <w:tcPr>
            <w:tcW w:type="dxa" w:w="893"/>
          </w:tcPr>
          <w:p>
            <w:pPr>
              <w:spacing w:after="20"/>
              <w:jc w:val="right"/>
            </w:pPr>
            <w:r>
              <w:rPr>
                <w:color w:val="1C3A36"/>
                <w:sz w:val="14"/>
              </w:rPr>
              <w:t>719</w:t>
            </w:r>
          </w:p>
        </w:tc>
        <w:tc>
          <w:tcPr>
            <w:tcW w:type="dxa" w:w="893"/>
          </w:tcPr>
          <w:p>
            <w:pPr>
              <w:spacing w:after="20"/>
              <w:jc w:val="right"/>
            </w:pPr>
            <w:r>
              <w:rPr>
                <w:color w:val="1C3A36"/>
                <w:sz w:val="14"/>
              </w:rPr>
              <w:t>773</w:t>
            </w:r>
          </w:p>
        </w:tc>
        <w:tc>
          <w:tcPr>
            <w:tcW w:type="dxa" w:w="893"/>
          </w:tcPr>
          <w:p>
            <w:pPr>
              <w:spacing w:after="20"/>
              <w:jc w:val="right"/>
            </w:pPr>
            <w:r>
              <w:rPr>
                <w:color w:val="1C3A36"/>
                <w:sz w:val="14"/>
              </w:rPr>
              <w:t>896</w:t>
            </w:r>
          </w:p>
        </w:tc>
        <w:tc>
          <w:tcPr>
            <w:tcW w:type="dxa" w:w="893"/>
          </w:tcPr>
          <w:p>
            <w:pPr>
              <w:spacing w:after="20"/>
              <w:jc w:val="right"/>
            </w:pPr>
            <w:r>
              <w:rPr>
                <w:color w:val="1C3A36"/>
                <w:sz w:val="14"/>
              </w:rPr>
              <w:t>891</w:t>
            </w:r>
          </w:p>
        </w:tc>
        <w:tc>
          <w:tcPr>
            <w:tcW w:type="dxa" w:w="893"/>
          </w:tcPr>
          <w:p>
            <w:pPr>
              <w:spacing w:after="20"/>
              <w:jc w:val="right"/>
            </w:pPr>
            <w:r>
              <w:rPr>
                <w:color w:val="1C3A36"/>
                <w:sz w:val="14"/>
              </w:rPr>
              <w:t>891</w:t>
            </w:r>
          </w:p>
        </w:tc>
        <w:tc>
          <w:tcPr>
            <w:tcW w:type="dxa" w:w="893"/>
          </w:tcPr>
          <w:p>
            <w:pPr>
              <w:spacing w:after="20"/>
              <w:jc w:val="right"/>
            </w:pPr>
            <w:r>
              <w:rPr>
                <w:color w:val="1C3A36"/>
                <w:sz w:val="14"/>
              </w:rPr>
              <w:t>1,009</w:t>
            </w:r>
          </w:p>
        </w:tc>
        <w:tc>
          <w:tcPr>
            <w:tcW w:type="dxa" w:w="893"/>
          </w:tcPr>
          <w:p>
            <w:pPr>
              <w:spacing w:after="20"/>
              <w:jc w:val="right"/>
            </w:pPr>
            <w:r>
              <w:rPr>
                <w:color w:val="1C3A36"/>
                <w:sz w:val="14"/>
              </w:rPr>
              <w:t>1,147</w:t>
            </w:r>
          </w:p>
        </w:tc>
        <w:tc>
          <w:tcPr>
            <w:tcW w:type="dxa" w:w="893"/>
          </w:tcPr>
          <w:p>
            <w:pPr>
              <w:spacing w:after="20"/>
              <w:jc w:val="right"/>
            </w:pPr>
            <w:r>
              <w:rPr>
                <w:color w:val="1C3A36"/>
                <w:sz w:val="14"/>
              </w:rPr>
              <w:t>1,292</w:t>
            </w:r>
          </w:p>
        </w:tc>
        <w:tc>
          <w:tcPr>
            <w:tcW w:type="dxa" w:w="893"/>
          </w:tcPr>
          <w:p>
            <w:pPr>
              <w:spacing w:after="20"/>
              <w:jc w:val="right"/>
            </w:pPr>
            <w:r>
              <w:rPr>
                <w:color w:val="1C3A36"/>
                <w:sz w:val="14"/>
              </w:rPr>
              <w:t>1,434</w:t>
            </w:r>
          </w:p>
        </w:tc>
      </w:tr>
      <w:tr>
        <w:trPr>
          <w:cantSplit/>
        </w:trPr>
        <w:tc>
          <w:tcPr>
            <w:tcW w:type="dxa" w:w="2045"/>
            <w:shd w:val="clear" w:color="auto" w:fill="F6F1E6"/>
          </w:tcPr>
          <w:p>
            <w:pPr>
              <w:spacing w:after="20"/>
            </w:pPr>
            <w:r>
              <w:rPr>
                <w:b/>
                <w:color w:val="1C3A36"/>
                <w:sz w:val="14"/>
              </w:rPr>
              <w:t>EBITDA</w:t>
            </w:r>
          </w:p>
        </w:tc>
        <w:tc>
          <w:tcPr>
            <w:tcW w:type="dxa" w:w="893"/>
            <w:shd w:val="clear" w:color="auto" w:fill="F6F1E6"/>
          </w:tcPr>
          <w:p>
            <w:pPr>
              <w:spacing w:after="20"/>
              <w:jc w:val="right"/>
            </w:pPr>
            <w:r>
              <w:rPr>
                <w:b/>
                <w:color w:val="1C3A36"/>
                <w:sz w:val="14"/>
              </w:rPr>
              <w:t>3,094</w:t>
            </w:r>
          </w:p>
        </w:tc>
        <w:tc>
          <w:tcPr>
            <w:tcW w:type="dxa" w:w="893"/>
            <w:shd w:val="clear" w:color="auto" w:fill="F6F1E6"/>
          </w:tcPr>
          <w:p>
            <w:pPr>
              <w:spacing w:after="20"/>
              <w:jc w:val="right"/>
            </w:pPr>
            <w:r>
              <w:rPr>
                <w:b/>
                <w:color w:val="1C3A36"/>
                <w:sz w:val="14"/>
              </w:rPr>
              <w:t>2,049</w:t>
            </w:r>
          </w:p>
        </w:tc>
        <w:tc>
          <w:tcPr>
            <w:tcW w:type="dxa" w:w="893"/>
            <w:shd w:val="clear" w:color="auto" w:fill="F6F1E6"/>
          </w:tcPr>
          <w:p>
            <w:pPr>
              <w:spacing w:after="20"/>
              <w:jc w:val="right"/>
            </w:pPr>
            <w:r>
              <w:rPr>
                <w:b/>
                <w:color w:val="1C3A36"/>
                <w:sz w:val="14"/>
              </w:rPr>
              <w:t>3,052</w:t>
            </w:r>
          </w:p>
        </w:tc>
        <w:tc>
          <w:tcPr>
            <w:tcW w:type="dxa" w:w="893"/>
            <w:shd w:val="clear" w:color="auto" w:fill="F6F1E6"/>
          </w:tcPr>
          <w:p>
            <w:pPr>
              <w:spacing w:after="20"/>
              <w:jc w:val="right"/>
            </w:pPr>
            <w:r>
              <w:rPr>
                <w:b/>
                <w:color w:val="1C3A36"/>
                <w:sz w:val="14"/>
              </w:rPr>
              <w:t>4,099</w:t>
            </w:r>
          </w:p>
        </w:tc>
        <w:tc>
          <w:tcPr>
            <w:tcW w:type="dxa" w:w="893"/>
            <w:shd w:val="clear" w:color="auto" w:fill="F6F1E6"/>
          </w:tcPr>
          <w:p>
            <w:pPr>
              <w:spacing w:after="20"/>
              <w:jc w:val="right"/>
            </w:pPr>
            <w:r>
              <w:rPr>
                <w:b/>
                <w:color w:val="1C3A36"/>
                <w:sz w:val="14"/>
              </w:rPr>
              <w:t>4,812</w:t>
            </w:r>
          </w:p>
        </w:tc>
        <w:tc>
          <w:tcPr>
            <w:tcW w:type="dxa" w:w="893"/>
            <w:shd w:val="clear" w:color="auto" w:fill="F6F1E6"/>
          </w:tcPr>
          <w:p>
            <w:pPr>
              <w:spacing w:after="20"/>
              <w:jc w:val="right"/>
            </w:pPr>
            <w:r>
              <w:rPr>
                <w:b/>
                <w:color w:val="1C3A36"/>
                <w:sz w:val="14"/>
              </w:rPr>
              <w:t>5,203</w:t>
            </w:r>
          </w:p>
        </w:tc>
        <w:tc>
          <w:tcPr>
            <w:tcW w:type="dxa" w:w="893"/>
            <w:shd w:val="clear" w:color="auto" w:fill="F6F1E6"/>
          </w:tcPr>
          <w:p>
            <w:pPr>
              <w:spacing w:after="20"/>
              <w:jc w:val="right"/>
            </w:pPr>
            <w:r>
              <w:rPr>
                <w:b/>
                <w:color w:val="1C3A36"/>
                <w:sz w:val="14"/>
              </w:rPr>
              <w:t>5,492</w:t>
            </w:r>
          </w:p>
        </w:tc>
        <w:tc>
          <w:tcPr>
            <w:tcW w:type="dxa" w:w="893"/>
            <w:shd w:val="clear" w:color="auto" w:fill="F6F1E6"/>
          </w:tcPr>
          <w:p>
            <w:pPr>
              <w:spacing w:after="20"/>
              <w:jc w:val="right"/>
            </w:pPr>
            <w:r>
              <w:rPr>
                <w:b/>
                <w:color w:val="1C3A36"/>
                <w:sz w:val="14"/>
              </w:rPr>
              <w:t>5,746</w:t>
            </w:r>
          </w:p>
        </w:tc>
        <w:tc>
          <w:tcPr>
            <w:tcW w:type="dxa" w:w="893"/>
            <w:shd w:val="clear" w:color="auto" w:fill="F6F1E6"/>
          </w:tcPr>
          <w:p>
            <w:pPr>
              <w:spacing w:after="20"/>
              <w:jc w:val="right"/>
            </w:pPr>
            <w:r>
              <w:rPr>
                <w:b/>
                <w:color w:val="1C3A36"/>
                <w:sz w:val="14"/>
              </w:rPr>
              <w:t>5,987</w:t>
            </w:r>
          </w:p>
        </w:tc>
      </w:tr>
      <w:tr>
        <w:trPr>
          <w:cantSplit/>
        </w:trPr>
        <w:tc>
          <w:tcPr>
            <w:tcW w:type="dxa" w:w="2045"/>
          </w:tcPr>
          <w:p>
            <w:pPr>
              <w:spacing w:after="20"/>
            </w:pPr>
            <w:r>
              <w:rPr>
                <w:color w:val="1C3A36"/>
                <w:sz w:val="14"/>
              </w:rPr>
              <w:t>Gross margin</w:t>
            </w:r>
          </w:p>
        </w:tc>
        <w:tc>
          <w:tcPr>
            <w:tcW w:type="dxa" w:w="893"/>
          </w:tcPr>
          <w:p>
            <w:pPr>
              <w:spacing w:after="20"/>
              <w:jc w:val="right"/>
            </w:pPr>
            <w:r>
              <w:rPr>
                <w:color w:val="1C3A36"/>
                <w:sz w:val="14"/>
              </w:rPr>
              <w:t>45.9%</w:t>
            </w:r>
          </w:p>
        </w:tc>
        <w:tc>
          <w:tcPr>
            <w:tcW w:type="dxa" w:w="893"/>
          </w:tcPr>
          <w:p>
            <w:pPr>
              <w:spacing w:after="20"/>
              <w:jc w:val="right"/>
            </w:pPr>
            <w:r>
              <w:rPr>
                <w:color w:val="1C3A36"/>
                <w:sz w:val="14"/>
              </w:rPr>
              <w:t>32.7%</w:t>
            </w:r>
          </w:p>
        </w:tc>
        <w:tc>
          <w:tcPr>
            <w:tcW w:type="dxa" w:w="893"/>
          </w:tcPr>
          <w:p>
            <w:pPr>
              <w:spacing w:after="20"/>
              <w:jc w:val="right"/>
            </w:pPr>
            <w:r>
              <w:rPr>
                <w:color w:val="1C3A36"/>
                <w:sz w:val="14"/>
              </w:rPr>
              <w:t>38.4%</w:t>
            </w:r>
          </w:p>
        </w:tc>
        <w:tc>
          <w:tcPr>
            <w:tcW w:type="dxa" w:w="893"/>
          </w:tcPr>
          <w:p>
            <w:pPr>
              <w:spacing w:after="20"/>
              <w:jc w:val="right"/>
            </w:pPr>
            <w:r>
              <w:rPr>
                <w:color w:val="1C3A36"/>
                <w:sz w:val="14"/>
              </w:rPr>
              <w:t>43.9%</w:t>
            </w:r>
          </w:p>
        </w:tc>
        <w:tc>
          <w:tcPr>
            <w:tcW w:type="dxa" w:w="893"/>
          </w:tcPr>
          <w:p>
            <w:pPr>
              <w:spacing w:after="20"/>
              <w:jc w:val="right"/>
            </w:pPr>
            <w:r>
              <w:rPr>
                <w:color w:val="1C3A36"/>
                <w:sz w:val="14"/>
              </w:rPr>
              <w:t>45.7%</w:t>
            </w:r>
          </w:p>
        </w:tc>
        <w:tc>
          <w:tcPr>
            <w:tcW w:type="dxa" w:w="893"/>
          </w:tcPr>
          <w:p>
            <w:pPr>
              <w:spacing w:after="20"/>
              <w:jc w:val="right"/>
            </w:pPr>
            <w:r>
              <w:rPr>
                <w:color w:val="1C3A36"/>
                <w:sz w:val="14"/>
              </w:rPr>
              <w:t>45.0%</w:t>
            </w:r>
          </w:p>
        </w:tc>
        <w:tc>
          <w:tcPr>
            <w:tcW w:type="dxa" w:w="893"/>
          </w:tcPr>
          <w:p>
            <w:pPr>
              <w:spacing w:after="20"/>
              <w:jc w:val="right"/>
            </w:pPr>
            <w:r>
              <w:rPr>
                <w:color w:val="1C3A36"/>
                <w:sz w:val="14"/>
              </w:rPr>
              <w:t>44.1%</w:t>
            </w:r>
          </w:p>
        </w:tc>
        <w:tc>
          <w:tcPr>
            <w:tcW w:type="dxa" w:w="893"/>
          </w:tcPr>
          <w:p>
            <w:pPr>
              <w:spacing w:after="20"/>
              <w:jc w:val="right"/>
            </w:pPr>
            <w:r>
              <w:rPr>
                <w:color w:val="1C3A36"/>
                <w:sz w:val="14"/>
              </w:rPr>
              <w:t>43.1%</w:t>
            </w:r>
          </w:p>
        </w:tc>
        <w:tc>
          <w:tcPr>
            <w:tcW w:type="dxa" w:w="893"/>
          </w:tcPr>
          <w:p>
            <w:pPr>
              <w:spacing w:after="20"/>
              <w:jc w:val="right"/>
            </w:pPr>
            <w:r>
              <w:rPr>
                <w:color w:val="1C3A36"/>
                <w:sz w:val="14"/>
              </w:rPr>
              <w:t>42.3%</w:t>
            </w:r>
          </w:p>
        </w:tc>
      </w:tr>
      <w:tr>
        <w:trPr>
          <w:cantSplit/>
        </w:trPr>
        <w:tc>
          <w:tcPr>
            <w:tcW w:type="dxa" w:w="2045"/>
          </w:tcPr>
          <w:p>
            <w:pPr>
              <w:spacing w:after="20"/>
            </w:pPr>
            <w:r>
              <w:rPr>
                <w:color w:val="1C3A36"/>
                <w:sz w:val="14"/>
              </w:rPr>
              <w:t>EBITDA margin</w:t>
            </w:r>
          </w:p>
        </w:tc>
        <w:tc>
          <w:tcPr>
            <w:tcW w:type="dxa" w:w="893"/>
          </w:tcPr>
          <w:p>
            <w:pPr>
              <w:spacing w:after="20"/>
              <w:jc w:val="right"/>
            </w:pPr>
            <w:r>
              <w:rPr>
                <w:color w:val="1C3A36"/>
                <w:sz w:val="14"/>
              </w:rPr>
              <w:t>46.8%</w:t>
            </w:r>
          </w:p>
        </w:tc>
        <w:tc>
          <w:tcPr>
            <w:tcW w:type="dxa" w:w="893"/>
          </w:tcPr>
          <w:p>
            <w:pPr>
              <w:spacing w:after="20"/>
              <w:jc w:val="right"/>
            </w:pPr>
            <w:r>
              <w:rPr>
                <w:color w:val="1C3A36"/>
                <w:sz w:val="14"/>
              </w:rPr>
              <w:t>31.4%</w:t>
            </w:r>
          </w:p>
        </w:tc>
        <w:tc>
          <w:tcPr>
            <w:tcW w:type="dxa" w:w="893"/>
          </w:tcPr>
          <w:p>
            <w:pPr>
              <w:spacing w:after="20"/>
              <w:jc w:val="right"/>
            </w:pPr>
            <w:r>
              <w:rPr>
                <w:color w:val="1C3A36"/>
                <w:sz w:val="14"/>
              </w:rPr>
              <w:t>35.5%</w:t>
            </w:r>
          </w:p>
        </w:tc>
        <w:tc>
          <w:tcPr>
            <w:tcW w:type="dxa" w:w="893"/>
          </w:tcPr>
          <w:p>
            <w:pPr>
              <w:spacing w:after="20"/>
              <w:jc w:val="right"/>
            </w:pPr>
            <w:r>
              <w:rPr>
                <w:color w:val="1C3A36"/>
                <w:sz w:val="14"/>
              </w:rPr>
              <w:t>39.5%</w:t>
            </w:r>
          </w:p>
        </w:tc>
        <w:tc>
          <w:tcPr>
            <w:tcW w:type="dxa" w:w="893"/>
          </w:tcPr>
          <w:p>
            <w:pPr>
              <w:spacing w:after="20"/>
              <w:jc w:val="right"/>
            </w:pPr>
            <w:r>
              <w:rPr>
                <w:color w:val="1C3A36"/>
                <w:sz w:val="14"/>
              </w:rPr>
              <w:t>41.2%</w:t>
            </w:r>
          </w:p>
        </w:tc>
        <w:tc>
          <w:tcPr>
            <w:tcW w:type="dxa" w:w="893"/>
          </w:tcPr>
          <w:p>
            <w:pPr>
              <w:spacing w:after="20"/>
              <w:jc w:val="right"/>
            </w:pPr>
            <w:r>
              <w:rPr>
                <w:color w:val="1C3A36"/>
                <w:sz w:val="14"/>
              </w:rPr>
              <w:t>41.0%</w:t>
            </w:r>
          </w:p>
        </w:tc>
        <w:tc>
          <w:tcPr>
            <w:tcW w:type="dxa" w:w="893"/>
          </w:tcPr>
          <w:p>
            <w:pPr>
              <w:spacing w:after="20"/>
              <w:jc w:val="right"/>
            </w:pPr>
            <w:r>
              <w:rPr>
                <w:color w:val="1C3A36"/>
                <w:sz w:val="14"/>
              </w:rPr>
              <w:t>40.6%</w:t>
            </w:r>
          </w:p>
        </w:tc>
        <w:tc>
          <w:tcPr>
            <w:tcW w:type="dxa" w:w="893"/>
          </w:tcPr>
          <w:p>
            <w:pPr>
              <w:spacing w:after="20"/>
              <w:jc w:val="right"/>
            </w:pPr>
            <w:r>
              <w:rPr>
                <w:color w:val="1C3A36"/>
                <w:sz w:val="14"/>
              </w:rPr>
              <w:t>40.2%</w:t>
            </w:r>
          </w:p>
        </w:tc>
        <w:tc>
          <w:tcPr>
            <w:tcW w:type="dxa" w:w="893"/>
          </w:tcPr>
          <w:p>
            <w:pPr>
              <w:spacing w:after="20"/>
              <w:jc w:val="right"/>
            </w:pPr>
            <w:r>
              <w:rPr>
                <w:color w:val="1C3A36"/>
                <w:sz w:val="14"/>
              </w:rPr>
              <w:t>39.8%</w:t>
            </w:r>
          </w:p>
        </w:tc>
      </w:tr>
      <w:tr>
        <w:trPr>
          <w:cantSplit/>
        </w:trPr>
        <w:tc>
          <w:tcPr>
            <w:tcW w:type="dxa" w:w="2045"/>
          </w:tcPr>
          <w:p>
            <w:pPr>
              <w:spacing w:after="20"/>
            </w:pPr>
            <w:r>
              <w:rPr>
                <w:color w:val="1C3A36"/>
                <w:sz w:val="14"/>
              </w:rPr>
              <w:t>Net profit as reported</w:t>
            </w:r>
          </w:p>
        </w:tc>
        <w:tc>
          <w:tcPr>
            <w:tcW w:type="dxa" w:w="893"/>
          </w:tcPr>
          <w:p>
            <w:pPr>
              <w:spacing w:after="20"/>
              <w:jc w:val="right"/>
            </w:pPr>
            <w:r>
              <w:rPr>
                <w:color w:val="1C3A36"/>
                <w:sz w:val="14"/>
              </w:rPr>
              <w:t>1,151</w:t>
            </w:r>
          </w:p>
        </w:tc>
        <w:tc>
          <w:tcPr>
            <w:tcW w:type="dxa" w:w="893"/>
          </w:tcPr>
          <w:p>
            <w:pPr>
              <w:spacing w:after="20"/>
              <w:jc w:val="right"/>
            </w:pPr>
            <w:r>
              <w:rPr>
                <w:color w:val="1C3A36"/>
                <w:sz w:val="14"/>
              </w:rPr>
              <w:t>2,538</w:t>
            </w:r>
          </w:p>
        </w:tc>
        <w:tc>
          <w:tcPr>
            <w:tcW w:type="dxa" w:w="893"/>
          </w:tcPr>
          <w:p>
            <w:pPr>
              <w:spacing w:after="20"/>
              <w:jc w:val="right"/>
            </w:pPr>
            <w:r>
              <w:rPr>
                <w:color w:val="1C3A36"/>
                <w:sz w:val="14"/>
              </w:rPr>
              <w:t>987</w:t>
            </w:r>
          </w:p>
        </w:tc>
        <w:tc>
          <w:tcPr>
            <w:tcW w:type="dxa" w:w="893"/>
          </w:tcPr>
          <w:p>
            <w:pPr>
              <w:spacing w:after="20"/>
              <w:jc w:val="right"/>
            </w:pPr>
            <w:r>
              <w:rPr>
                <w:color w:val="1C3A36"/>
                <w:sz w:val="14"/>
              </w:rPr>
              <w:t>531</w:t>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r>
    </w:tbl>
    <w:p>
      <w:pPr>
        <w:spacing w:after="40"/>
      </w:pPr>
    </w:p>
    <w:p>
      <w:pPr>
        <w:spacing w:after="200" w:before="0"/>
      </w:pPr>
      <w:r>
        <w:rPr>
          <w:b w:val="0"/>
          <w:i/>
          <w:color w:val="6E7B77"/>
          <w:sz w:val="17"/>
        </w:rPr>
        <w:t>Table 27.  The EBIT line is struck before provisions, currency translation and other income and expense, so it measures trading rather than the statements' own operating result which mixes all three. The FY2023/24 reported profit includes EGP 2,035 million of one-off investment-property revaluation gain; the underlying figure is about EGP 503 million, and every margin and return in this study uses the underlying number. Depreciation for FY2024/25 is the disclosed charge plus disclosed amortisation; for the two earlier years only the depreciation inside cost of sales is separately disclosed, so the amortisation element there is a modelled estimate and is flagged rather than presented as reported. FY2025/26 is nine months reviewed plus a fourth quarter run-rated on the third quarter, with the translation line set to zero.</w:t>
      </w:r>
    </w:p>
    <w:p>
      <w:pPr>
        <w:keepNext/>
        <w:spacing w:after="80" w:before="200"/>
      </w:pPr>
      <w:r>
        <w:rPr>
          <w:b/>
          <w:i w:val="0"/>
          <w:color w:val="1C3A36"/>
          <w:sz w:val="24"/>
        </w:rPr>
        <w:t>A.2  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rPr>
          <w:cantSplit/>
          <w:tblHeader/>
        </w:trPr>
        <w:tc>
          <w:tcPr>
            <w:tcW w:type="dxa" w:w="3744"/>
            <w:shd w:val="clear" w:color="auto" w:fill="EAF0EE"/>
          </w:tcPr>
          <w:p>
            <w:pPr>
              <w:spacing w:after="20"/>
            </w:pPr>
            <w:r>
              <w:rPr>
                <w:b/>
                <w:color w:val="1C3A36"/>
                <w:sz w:val="16"/>
              </w:rPr>
              <w:t>EGP million</w:t>
            </w:r>
          </w:p>
        </w:tc>
        <w:tc>
          <w:tcPr>
            <w:tcW w:type="dxa" w:w="1584"/>
            <w:shd w:val="clear" w:color="auto" w:fill="EAF0EE"/>
          </w:tcPr>
          <w:p>
            <w:pPr>
              <w:spacing w:after="20"/>
            </w:pPr>
            <w:r>
              <w:rPr>
                <w:b/>
                <w:color w:val="1C3A36"/>
                <w:sz w:val="16"/>
              </w:rPr>
              <w:t>30 Jun 2023</w:t>
            </w:r>
          </w:p>
        </w:tc>
        <w:tc>
          <w:tcPr>
            <w:tcW w:type="dxa" w:w="1584"/>
            <w:shd w:val="clear" w:color="auto" w:fill="EAF0EE"/>
          </w:tcPr>
          <w:p>
            <w:pPr>
              <w:spacing w:after="20"/>
            </w:pPr>
            <w:r>
              <w:rPr>
                <w:b/>
                <w:color w:val="1C3A36"/>
                <w:sz w:val="16"/>
              </w:rPr>
              <w:t>30 Jun 2024</w:t>
            </w:r>
          </w:p>
        </w:tc>
        <w:tc>
          <w:tcPr>
            <w:tcW w:type="dxa" w:w="1584"/>
            <w:shd w:val="clear" w:color="auto" w:fill="EAF0EE"/>
          </w:tcPr>
          <w:p>
            <w:pPr>
              <w:spacing w:after="20"/>
            </w:pPr>
            <w:r>
              <w:rPr>
                <w:b/>
                <w:color w:val="1C3A36"/>
                <w:sz w:val="16"/>
              </w:rPr>
              <w:t>30 Jun 2025</w:t>
            </w:r>
          </w:p>
        </w:tc>
        <w:tc>
          <w:tcPr>
            <w:tcW w:type="dxa" w:w="1584"/>
            <w:shd w:val="clear" w:color="auto" w:fill="EAF0EE"/>
          </w:tcPr>
          <w:p>
            <w:pPr>
              <w:spacing w:after="20"/>
            </w:pPr>
            <w:r>
              <w:rPr>
                <w:b/>
                <w:color w:val="1C3A36"/>
                <w:sz w:val="16"/>
              </w:rPr>
              <w:t>31 Mar 2026</w:t>
            </w:r>
          </w:p>
        </w:tc>
      </w:tr>
      <w:tr>
        <w:trPr>
          <w:cantSplit/>
        </w:trPr>
        <w:tc>
          <w:tcPr>
            <w:tcW w:type="dxa" w:w="3744"/>
          </w:tcPr>
          <w:p>
            <w:pPr>
              <w:spacing w:after="20"/>
            </w:pPr>
            <w:r>
              <w:rPr>
                <w:color w:val="1C3A36"/>
                <w:sz w:val="16"/>
              </w:rPr>
              <w:t>Net fixed assets</w:t>
            </w:r>
          </w:p>
        </w:tc>
        <w:tc>
          <w:tcPr>
            <w:tcW w:type="dxa" w:w="1584"/>
          </w:tcPr>
          <w:p>
            <w:pPr>
              <w:spacing w:after="20"/>
              <w:jc w:val="right"/>
            </w:pPr>
            <w:r>
              <w:rPr>
                <w:color w:val="1C3A36"/>
                <w:sz w:val="16"/>
              </w:rPr>
              <w:t>11,300</w:t>
            </w:r>
          </w:p>
        </w:tc>
        <w:tc>
          <w:tcPr>
            <w:tcW w:type="dxa" w:w="1584"/>
          </w:tcPr>
          <w:p>
            <w:pPr>
              <w:spacing w:after="20"/>
              <w:jc w:val="right"/>
            </w:pPr>
            <w:r>
              <w:rPr>
                <w:color w:val="1C3A36"/>
                <w:sz w:val="16"/>
              </w:rPr>
              <w:t>14,144</w:t>
            </w:r>
          </w:p>
        </w:tc>
        <w:tc>
          <w:tcPr>
            <w:tcW w:type="dxa" w:w="1584"/>
          </w:tcPr>
          <w:p>
            <w:pPr>
              <w:spacing w:after="20"/>
              <w:jc w:val="right"/>
            </w:pPr>
            <w:r>
              <w:rPr>
                <w:color w:val="1C3A36"/>
                <w:sz w:val="16"/>
              </w:rPr>
              <w:t>13,587</w:t>
            </w:r>
          </w:p>
        </w:tc>
        <w:tc>
          <w:tcPr>
            <w:tcW w:type="dxa" w:w="1584"/>
          </w:tcPr>
          <w:p>
            <w:pPr>
              <w:spacing w:after="20"/>
              <w:jc w:val="right"/>
            </w:pPr>
            <w:r>
              <w:rPr>
                <w:color w:val="1C3A36"/>
                <w:sz w:val="16"/>
              </w:rPr>
              <w:t>13,058</w:t>
            </w:r>
          </w:p>
        </w:tc>
      </w:tr>
      <w:tr>
        <w:trPr>
          <w:cantSplit/>
        </w:trPr>
        <w:tc>
          <w:tcPr>
            <w:tcW w:type="dxa" w:w="3744"/>
          </w:tcPr>
          <w:p>
            <w:pPr>
              <w:spacing w:after="20"/>
            </w:pPr>
            <w:r>
              <w:rPr>
                <w:color w:val="1C3A36"/>
                <w:sz w:val="16"/>
              </w:rPr>
              <w:t>Construction in progress</w:t>
            </w:r>
          </w:p>
        </w:tc>
        <w:tc>
          <w:tcPr>
            <w:tcW w:type="dxa" w:w="1584"/>
          </w:tcPr>
          <w:p>
            <w:pPr>
              <w:spacing w:after="20"/>
              <w:jc w:val="right"/>
            </w:pPr>
            <w:r>
              <w:rPr>
                <w:color w:val="1C3A36"/>
                <w:sz w:val="16"/>
              </w:rPr>
              <w:t>56</w:t>
            </w:r>
          </w:p>
        </w:tc>
        <w:tc>
          <w:tcPr>
            <w:tcW w:type="dxa" w:w="1584"/>
          </w:tcPr>
          <w:p>
            <w:pPr>
              <w:spacing w:after="20"/>
              <w:jc w:val="right"/>
            </w:pPr>
            <w:r>
              <w:rPr>
                <w:color w:val="1C3A36"/>
                <w:sz w:val="16"/>
              </w:rPr>
              <w:t>2,535</w:t>
            </w:r>
          </w:p>
        </w:tc>
        <w:tc>
          <w:tcPr>
            <w:tcW w:type="dxa" w:w="1584"/>
          </w:tcPr>
          <w:p>
            <w:pPr>
              <w:spacing w:after="20"/>
              <w:jc w:val="right"/>
            </w:pPr>
            <w:r>
              <w:rPr>
                <w:color w:val="1C3A36"/>
                <w:sz w:val="16"/>
              </w:rPr>
              <w:t>3,790</w:t>
            </w:r>
          </w:p>
        </w:tc>
        <w:tc>
          <w:tcPr>
            <w:tcW w:type="dxa" w:w="1584"/>
          </w:tcPr>
          <w:p>
            <w:pPr>
              <w:spacing w:after="20"/>
              <w:jc w:val="right"/>
            </w:pPr>
            <w:r>
              <w:rPr>
                <w:color w:val="1C3A36"/>
                <w:sz w:val="16"/>
              </w:rPr>
              <w:t>5,654</w:t>
            </w:r>
          </w:p>
        </w:tc>
      </w:tr>
      <w:tr>
        <w:trPr>
          <w:cantSplit/>
        </w:trPr>
        <w:tc>
          <w:tcPr>
            <w:tcW w:type="dxa" w:w="3744"/>
          </w:tcPr>
          <w:p>
            <w:pPr>
              <w:spacing w:after="20"/>
            </w:pPr>
            <w:r>
              <w:rPr>
                <w:color w:val="1C3A36"/>
                <w:sz w:val="16"/>
              </w:rPr>
              <w:t>Investment property</w:t>
            </w:r>
          </w:p>
        </w:tc>
        <w:tc>
          <w:tcPr>
            <w:tcW w:type="dxa" w:w="1584"/>
          </w:tcPr>
          <w:p>
            <w:pPr>
              <w:spacing w:after="20"/>
              <w:jc w:val="right"/>
            </w:pPr>
            <w:r>
              <w:rPr>
                <w:color w:val="1C3A36"/>
                <w:sz w:val="16"/>
              </w:rPr>
              <w:t>0</w:t>
            </w:r>
          </w:p>
        </w:tc>
        <w:tc>
          <w:tcPr>
            <w:tcW w:type="dxa" w:w="1584"/>
          </w:tcPr>
          <w:p>
            <w:pPr>
              <w:spacing w:after="20"/>
              <w:jc w:val="right"/>
            </w:pPr>
            <w:r>
              <w:rPr>
                <w:color w:val="1C3A36"/>
                <w:sz w:val="16"/>
              </w:rPr>
              <w:t>2,035</w:t>
            </w:r>
          </w:p>
        </w:tc>
        <w:tc>
          <w:tcPr>
            <w:tcW w:type="dxa" w:w="1584"/>
          </w:tcPr>
          <w:p>
            <w:pPr>
              <w:spacing w:after="20"/>
              <w:jc w:val="right"/>
            </w:pPr>
            <w:r>
              <w:rPr>
                <w:color w:val="1C3A36"/>
                <w:sz w:val="16"/>
              </w:rPr>
              <w:t>2,161</w:t>
            </w:r>
          </w:p>
        </w:tc>
        <w:tc>
          <w:tcPr>
            <w:tcW w:type="dxa" w:w="1584"/>
          </w:tcPr>
          <w:p>
            <w:pPr>
              <w:spacing w:after="20"/>
              <w:jc w:val="right"/>
            </w:pPr>
            <w:r>
              <w:rPr>
                <w:color w:val="1C3A36"/>
                <w:sz w:val="16"/>
              </w:rPr>
              <w:t>2,155</w:t>
            </w:r>
          </w:p>
        </w:tc>
      </w:tr>
      <w:tr>
        <w:trPr>
          <w:cantSplit/>
        </w:trPr>
        <w:tc>
          <w:tcPr>
            <w:tcW w:type="dxa" w:w="3744"/>
          </w:tcPr>
          <w:p>
            <w:pPr>
              <w:spacing w:after="20"/>
            </w:pPr>
            <w:r>
              <w:rPr>
                <w:color w:val="1C3A36"/>
                <w:sz w:val="16"/>
              </w:rPr>
              <w:t>Investments at fair value</w:t>
            </w:r>
          </w:p>
        </w:tc>
        <w:tc>
          <w:tcPr>
            <w:tcW w:type="dxa" w:w="1584"/>
          </w:tcPr>
          <w:p>
            <w:pPr>
              <w:spacing w:after="20"/>
              <w:jc w:val="right"/>
            </w:pPr>
            <w:r>
              <w:rPr>
                <w:color w:val="1C3A36"/>
                <w:sz w:val="16"/>
              </w:rPr>
              <w:t>1,855</w:t>
            </w:r>
          </w:p>
        </w:tc>
        <w:tc>
          <w:tcPr>
            <w:tcW w:type="dxa" w:w="1584"/>
          </w:tcPr>
          <w:p>
            <w:pPr>
              <w:spacing w:after="20"/>
              <w:jc w:val="right"/>
            </w:pPr>
            <w:r>
              <w:rPr>
                <w:color w:val="1C3A36"/>
                <w:sz w:val="16"/>
              </w:rPr>
              <w:t>2,491</w:t>
            </w:r>
          </w:p>
        </w:tc>
        <w:tc>
          <w:tcPr>
            <w:tcW w:type="dxa" w:w="1584"/>
          </w:tcPr>
          <w:p>
            <w:pPr>
              <w:spacing w:after="20"/>
              <w:jc w:val="right"/>
            </w:pPr>
            <w:r>
              <w:rPr>
                <w:color w:val="1C3A36"/>
                <w:sz w:val="16"/>
              </w:rPr>
              <w:t>2,163</w:t>
            </w:r>
          </w:p>
        </w:tc>
        <w:tc>
          <w:tcPr>
            <w:tcW w:type="dxa" w:w="1584"/>
          </w:tcPr>
          <w:p>
            <w:pPr>
              <w:spacing w:after="20"/>
              <w:jc w:val="right"/>
            </w:pPr>
            <w:r>
              <w:rPr>
                <w:color w:val="1C3A36"/>
                <w:sz w:val="16"/>
              </w:rPr>
              <w:t>1,383</w:t>
            </w:r>
          </w:p>
        </w:tc>
      </w:tr>
      <w:tr>
        <w:trPr>
          <w:cantSplit/>
        </w:trPr>
        <w:tc>
          <w:tcPr>
            <w:tcW w:type="dxa" w:w="3744"/>
          </w:tcPr>
          <w:p>
            <w:pPr>
              <w:spacing w:after="20"/>
            </w:pPr>
            <w:r>
              <w:rPr>
                <w:color w:val="1C3A36"/>
                <w:sz w:val="16"/>
              </w:rPr>
              <w:t>Intangible assets</w:t>
            </w:r>
          </w:p>
        </w:tc>
        <w:tc>
          <w:tcPr>
            <w:tcW w:type="dxa" w:w="1584"/>
          </w:tcPr>
          <w:p>
            <w:pPr>
              <w:spacing w:after="20"/>
              <w:jc w:val="right"/>
            </w:pPr>
            <w:r>
              <w:rPr>
                <w:color w:val="1C3A36"/>
                <w:sz w:val="16"/>
              </w:rPr>
              <w:t>1,909</w:t>
            </w:r>
          </w:p>
        </w:tc>
        <w:tc>
          <w:tcPr>
            <w:tcW w:type="dxa" w:w="1584"/>
          </w:tcPr>
          <w:p>
            <w:pPr>
              <w:spacing w:after="20"/>
              <w:jc w:val="right"/>
            </w:pPr>
            <w:r>
              <w:rPr>
                <w:color w:val="1C3A36"/>
                <w:sz w:val="16"/>
              </w:rPr>
              <w:t>2,376</w:t>
            </w:r>
          </w:p>
        </w:tc>
        <w:tc>
          <w:tcPr>
            <w:tcW w:type="dxa" w:w="1584"/>
          </w:tcPr>
          <w:p>
            <w:pPr>
              <w:spacing w:after="20"/>
              <w:jc w:val="right"/>
            </w:pPr>
            <w:r>
              <w:rPr>
                <w:color w:val="1C3A36"/>
                <w:sz w:val="16"/>
              </w:rPr>
              <w:t>2,257</w:t>
            </w:r>
          </w:p>
        </w:tc>
        <w:tc>
          <w:tcPr>
            <w:tcW w:type="dxa" w:w="1584"/>
          </w:tcPr>
          <w:p>
            <w:pPr>
              <w:spacing w:after="20"/>
              <w:jc w:val="right"/>
            </w:pPr>
            <w:r>
              <w:rPr>
                <w:color w:val="1C3A36"/>
                <w:sz w:val="16"/>
              </w:rPr>
              <w:t>2,170</w:t>
            </w:r>
          </w:p>
        </w:tc>
      </w:tr>
      <w:tr>
        <w:trPr>
          <w:cantSplit/>
        </w:trPr>
        <w:tc>
          <w:tcPr>
            <w:tcW w:type="dxa" w:w="3744"/>
          </w:tcPr>
          <w:p>
            <w:pPr>
              <w:spacing w:after="20"/>
            </w:pPr>
            <w:r>
              <w:rPr>
                <w:color w:val="1C3A36"/>
                <w:sz w:val="16"/>
              </w:rPr>
              <w:t>Inventory</w:t>
            </w:r>
          </w:p>
        </w:tc>
        <w:tc>
          <w:tcPr>
            <w:tcW w:type="dxa" w:w="1584"/>
          </w:tcPr>
          <w:p>
            <w:pPr>
              <w:spacing w:after="20"/>
              <w:jc w:val="right"/>
            </w:pPr>
            <w:r>
              <w:rPr>
                <w:color w:val="1C3A36"/>
                <w:sz w:val="16"/>
              </w:rPr>
              <w:t>1,392</w:t>
            </w:r>
          </w:p>
        </w:tc>
        <w:tc>
          <w:tcPr>
            <w:tcW w:type="dxa" w:w="1584"/>
          </w:tcPr>
          <w:p>
            <w:pPr>
              <w:spacing w:after="20"/>
              <w:jc w:val="right"/>
            </w:pPr>
            <w:r>
              <w:rPr>
                <w:color w:val="1C3A36"/>
                <w:sz w:val="16"/>
              </w:rPr>
              <w:t>1,615</w:t>
            </w:r>
          </w:p>
        </w:tc>
        <w:tc>
          <w:tcPr>
            <w:tcW w:type="dxa" w:w="1584"/>
          </w:tcPr>
          <w:p>
            <w:pPr>
              <w:spacing w:after="20"/>
              <w:jc w:val="right"/>
            </w:pPr>
            <w:r>
              <w:rPr>
                <w:color w:val="1C3A36"/>
                <w:sz w:val="16"/>
              </w:rPr>
              <w:t>2,400</w:t>
            </w:r>
          </w:p>
        </w:tc>
        <w:tc>
          <w:tcPr>
            <w:tcW w:type="dxa" w:w="1584"/>
          </w:tcPr>
          <w:p>
            <w:pPr>
              <w:spacing w:after="20"/>
              <w:jc w:val="right"/>
            </w:pPr>
            <w:r>
              <w:rPr>
                <w:color w:val="1C3A36"/>
                <w:sz w:val="16"/>
              </w:rPr>
              <w:t>3,378</w:t>
            </w:r>
          </w:p>
        </w:tc>
      </w:tr>
      <w:tr>
        <w:trPr>
          <w:cantSplit/>
        </w:trPr>
        <w:tc>
          <w:tcPr>
            <w:tcW w:type="dxa" w:w="3744"/>
          </w:tcPr>
          <w:p>
            <w:pPr>
              <w:spacing w:after="20"/>
            </w:pPr>
            <w:r>
              <w:rPr>
                <w:color w:val="1C3A36"/>
                <w:sz w:val="16"/>
              </w:rPr>
              <w:t>Receivables</w:t>
            </w:r>
          </w:p>
        </w:tc>
        <w:tc>
          <w:tcPr>
            <w:tcW w:type="dxa" w:w="1584"/>
          </w:tcPr>
          <w:p>
            <w:pPr>
              <w:spacing w:after="20"/>
              <w:jc w:val="right"/>
            </w:pPr>
            <w:r>
              <w:rPr>
                <w:color w:val="1C3A36"/>
                <w:sz w:val="16"/>
              </w:rPr>
              <w:t>799</w:t>
            </w:r>
          </w:p>
        </w:tc>
        <w:tc>
          <w:tcPr>
            <w:tcW w:type="dxa" w:w="1584"/>
          </w:tcPr>
          <w:p>
            <w:pPr>
              <w:spacing w:after="20"/>
              <w:jc w:val="right"/>
            </w:pPr>
            <w:r>
              <w:rPr>
                <w:color w:val="1C3A36"/>
                <w:sz w:val="16"/>
              </w:rPr>
              <w:t>858</w:t>
            </w:r>
          </w:p>
        </w:tc>
        <w:tc>
          <w:tcPr>
            <w:tcW w:type="dxa" w:w="1584"/>
          </w:tcPr>
          <w:p>
            <w:pPr>
              <w:spacing w:after="20"/>
              <w:jc w:val="right"/>
            </w:pPr>
            <w:r>
              <w:rPr>
                <w:color w:val="1C3A36"/>
                <w:sz w:val="16"/>
              </w:rPr>
              <w:t>631</w:t>
            </w:r>
          </w:p>
        </w:tc>
        <w:tc>
          <w:tcPr>
            <w:tcW w:type="dxa" w:w="1584"/>
          </w:tcPr>
          <w:p>
            <w:pPr>
              <w:spacing w:after="20"/>
              <w:jc w:val="right"/>
            </w:pPr>
            <w:r>
              <w:rPr>
                <w:color w:val="1C3A36"/>
                <w:sz w:val="16"/>
              </w:rPr>
              <w:t>1,230</w:t>
            </w:r>
          </w:p>
        </w:tc>
      </w:tr>
      <w:tr>
        <w:trPr>
          <w:cantSplit/>
        </w:trPr>
        <w:tc>
          <w:tcPr>
            <w:tcW w:type="dxa" w:w="3744"/>
          </w:tcPr>
          <w:p>
            <w:pPr>
              <w:spacing w:after="20"/>
            </w:pPr>
            <w:r>
              <w:rPr>
                <w:color w:val="1C3A36"/>
                <w:sz w:val="16"/>
              </w:rPr>
              <w:t>Cash and equivalents</w:t>
            </w:r>
          </w:p>
        </w:tc>
        <w:tc>
          <w:tcPr>
            <w:tcW w:type="dxa" w:w="1584"/>
          </w:tcPr>
          <w:p>
            <w:pPr>
              <w:spacing w:after="20"/>
              <w:jc w:val="right"/>
            </w:pPr>
            <w:r>
              <w:rPr>
                <w:color w:val="1C3A36"/>
                <w:sz w:val="16"/>
              </w:rPr>
              <w:t>1,416</w:t>
            </w:r>
          </w:p>
        </w:tc>
        <w:tc>
          <w:tcPr>
            <w:tcW w:type="dxa" w:w="1584"/>
          </w:tcPr>
          <w:p>
            <w:pPr>
              <w:spacing w:after="20"/>
              <w:jc w:val="right"/>
            </w:pPr>
            <w:r>
              <w:rPr>
                <w:color w:val="1C3A36"/>
                <w:sz w:val="16"/>
              </w:rPr>
              <w:t>3,103</w:t>
            </w:r>
          </w:p>
        </w:tc>
        <w:tc>
          <w:tcPr>
            <w:tcW w:type="dxa" w:w="1584"/>
          </w:tcPr>
          <w:p>
            <w:pPr>
              <w:spacing w:after="20"/>
              <w:jc w:val="right"/>
            </w:pPr>
            <w:r>
              <w:rPr>
                <w:color w:val="1C3A36"/>
                <w:sz w:val="16"/>
              </w:rPr>
              <w:t>3,057</w:t>
            </w:r>
          </w:p>
        </w:tc>
        <w:tc>
          <w:tcPr>
            <w:tcW w:type="dxa" w:w="1584"/>
          </w:tcPr>
          <w:p>
            <w:pPr>
              <w:spacing w:after="20"/>
              <w:jc w:val="right"/>
            </w:pPr>
            <w:r>
              <w:rPr>
                <w:color w:val="1C3A36"/>
                <w:sz w:val="16"/>
              </w:rPr>
              <w:t>4,607</w:t>
            </w:r>
          </w:p>
        </w:tc>
      </w:tr>
      <w:tr>
        <w:trPr>
          <w:cantSplit/>
        </w:trPr>
        <w:tc>
          <w:tcPr>
            <w:tcW w:type="dxa" w:w="3744"/>
            <w:shd w:val="clear" w:color="auto" w:fill="F6F1E6"/>
          </w:tcPr>
          <w:p>
            <w:pPr>
              <w:spacing w:after="20"/>
            </w:pPr>
            <w:r>
              <w:rPr>
                <w:b/>
                <w:color w:val="1C3A36"/>
                <w:sz w:val="16"/>
              </w:rPr>
              <w:t>Total assets</w:t>
            </w:r>
          </w:p>
        </w:tc>
        <w:tc>
          <w:tcPr>
            <w:tcW w:type="dxa" w:w="1584"/>
            <w:shd w:val="clear" w:color="auto" w:fill="F6F1E6"/>
          </w:tcPr>
          <w:p>
            <w:pPr>
              <w:spacing w:after="20"/>
              <w:jc w:val="right"/>
            </w:pPr>
            <w:r>
              <w:rPr>
                <w:b/>
                <w:color w:val="1C3A36"/>
                <w:sz w:val="16"/>
              </w:rPr>
              <w:t>18,728</w:t>
            </w:r>
          </w:p>
        </w:tc>
        <w:tc>
          <w:tcPr>
            <w:tcW w:type="dxa" w:w="1584"/>
            <w:shd w:val="clear" w:color="auto" w:fill="F6F1E6"/>
          </w:tcPr>
          <w:p>
            <w:pPr>
              <w:spacing w:after="20"/>
              <w:jc w:val="right"/>
            </w:pPr>
            <w:r>
              <w:rPr>
                <w:b/>
                <w:color w:val="1C3A36"/>
                <w:sz w:val="16"/>
              </w:rPr>
              <w:t>29,158</w:t>
            </w:r>
          </w:p>
        </w:tc>
        <w:tc>
          <w:tcPr>
            <w:tcW w:type="dxa" w:w="1584"/>
            <w:shd w:val="clear" w:color="auto" w:fill="F6F1E6"/>
          </w:tcPr>
          <w:p>
            <w:pPr>
              <w:spacing w:after="20"/>
              <w:jc w:val="right"/>
            </w:pPr>
            <w:r>
              <w:rPr>
                <w:b/>
                <w:color w:val="1C3A36"/>
                <w:sz w:val="16"/>
              </w:rPr>
              <w:t>30,046</w:t>
            </w:r>
          </w:p>
        </w:tc>
        <w:tc>
          <w:tcPr>
            <w:tcW w:type="dxa" w:w="1584"/>
            <w:shd w:val="clear" w:color="auto" w:fill="F6F1E6"/>
          </w:tcPr>
          <w:p>
            <w:pPr>
              <w:spacing w:after="20"/>
              <w:jc w:val="right"/>
            </w:pPr>
            <w:r>
              <w:rPr>
                <w:b/>
                <w:color w:val="1C3A36"/>
                <w:sz w:val="16"/>
              </w:rPr>
              <w:t>33,634</w:t>
            </w:r>
          </w:p>
        </w:tc>
      </w:tr>
      <w:tr>
        <w:trPr>
          <w:cantSplit/>
        </w:trPr>
        <w:tc>
          <w:tcPr>
            <w:tcW w:type="dxa" w:w="3744"/>
          </w:tcPr>
          <w:p>
            <w:pPr>
              <w:spacing w:after="20"/>
            </w:pPr>
            <w:r>
              <w:rPr>
                <w:color w:val="1C3A36"/>
                <w:sz w:val="16"/>
              </w:rPr>
              <w:t>Paid-in capital</w:t>
            </w:r>
          </w:p>
        </w:tc>
        <w:tc>
          <w:tcPr>
            <w:tcW w:type="dxa" w:w="1584"/>
          </w:tcPr>
          <w:p>
            <w:pPr>
              <w:spacing w:after="20"/>
              <w:jc w:val="right"/>
            </w:pPr>
            <w:r>
              <w:rPr>
                <w:color w:val="1C3A36"/>
                <w:sz w:val="16"/>
              </w:rPr>
              <w:t>5,933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r>
      <w:tr>
        <w:trPr>
          <w:cantSplit/>
        </w:trPr>
        <w:tc>
          <w:tcPr>
            <w:tcW w:type="dxa" w:w="3744"/>
          </w:tcPr>
          <w:p>
            <w:pPr>
              <w:spacing w:after="20"/>
            </w:pPr>
            <w:r>
              <w:rPr>
                <w:color w:val="1C3A36"/>
                <w:sz w:val="16"/>
              </w:rPr>
              <w:t>Reserves and retained earnings</w:t>
            </w:r>
          </w:p>
        </w:tc>
        <w:tc>
          <w:tcPr>
            <w:tcW w:type="dxa" w:w="1584"/>
          </w:tcPr>
          <w:p>
            <w:pPr>
              <w:spacing w:after="20"/>
              <w:jc w:val="right"/>
            </w:pPr>
            <w:r>
              <w:rPr>
                <w:color w:val="1C3A36"/>
                <w:sz w:val="16"/>
              </w:rPr>
              <w:t>1,317</w:t>
            </w:r>
          </w:p>
        </w:tc>
        <w:tc>
          <w:tcPr>
            <w:tcW w:type="dxa" w:w="1584"/>
          </w:tcPr>
          <w:p>
            <w:pPr>
              <w:spacing w:after="20"/>
              <w:jc w:val="right"/>
            </w:pPr>
            <w:r>
              <w:rPr>
                <w:color w:val="1C3A36"/>
                <w:sz w:val="16"/>
              </w:rPr>
              <w:t>4,627</w:t>
            </w:r>
          </w:p>
        </w:tc>
        <w:tc>
          <w:tcPr>
            <w:tcW w:type="dxa" w:w="1584"/>
          </w:tcPr>
          <w:p>
            <w:pPr>
              <w:spacing w:after="20"/>
              <w:jc w:val="right"/>
            </w:pPr>
            <w:r>
              <w:rPr>
                <w:color w:val="1C3A36"/>
                <w:sz w:val="16"/>
              </w:rPr>
              <w:t>5,430</w:t>
            </w:r>
          </w:p>
        </w:tc>
        <w:tc>
          <w:tcPr>
            <w:tcW w:type="dxa" w:w="1584"/>
          </w:tcPr>
          <w:p>
            <w:pPr>
              <w:spacing w:after="20"/>
              <w:jc w:val="right"/>
            </w:pPr>
            <w:r>
              <w:rPr>
                <w:color w:val="1C3A36"/>
                <w:sz w:val="16"/>
              </w:rPr>
              <w:t>6,273</w:t>
            </w:r>
          </w:p>
        </w:tc>
      </w:tr>
      <w:tr>
        <w:trPr>
          <w:cantSplit/>
        </w:trPr>
        <w:tc>
          <w:tcPr>
            <w:tcW w:type="dxa" w:w="3744"/>
          </w:tcPr>
          <w:p>
            <w:pPr>
              <w:spacing w:after="20"/>
            </w:pPr>
            <w:r>
              <w:rPr>
                <w:color w:val="1C3A36"/>
                <w:sz w:val="16"/>
              </w:rPr>
              <w:t>Long-term bank loans</w:t>
            </w:r>
          </w:p>
        </w:tc>
        <w:tc>
          <w:tcPr>
            <w:tcW w:type="dxa" w:w="1584"/>
          </w:tcPr>
          <w:p>
            <w:pPr>
              <w:spacing w:after="20"/>
              <w:jc w:val="right"/>
            </w:pPr>
            <w:r>
              <w:rPr>
                <w:color w:val="1C3A36"/>
                <w:sz w:val="16"/>
              </w:rPr>
              <w:t>8,425</w:t>
            </w:r>
          </w:p>
        </w:tc>
        <w:tc>
          <w:tcPr>
            <w:tcW w:type="dxa" w:w="1584"/>
          </w:tcPr>
          <w:p>
            <w:pPr>
              <w:spacing w:after="20"/>
              <w:jc w:val="right"/>
            </w:pPr>
            <w:r>
              <w:rPr>
                <w:color w:val="1C3A36"/>
                <w:sz w:val="16"/>
              </w:rPr>
              <w:t>11,226</w:t>
            </w:r>
          </w:p>
        </w:tc>
        <w:tc>
          <w:tcPr>
            <w:tcW w:type="dxa" w:w="1584"/>
          </w:tcPr>
          <w:p>
            <w:pPr>
              <w:spacing w:after="20"/>
              <w:jc w:val="right"/>
            </w:pPr>
            <w:r>
              <w:rPr>
                <w:color w:val="1C3A36"/>
                <w:sz w:val="16"/>
              </w:rPr>
              <w:t>11,183</w:t>
            </w:r>
          </w:p>
        </w:tc>
        <w:tc>
          <w:tcPr>
            <w:tcW w:type="dxa" w:w="1584"/>
          </w:tcPr>
          <w:p>
            <w:pPr>
              <w:spacing w:after="20"/>
              <w:jc w:val="right"/>
            </w:pPr>
            <w:r>
              <w:rPr>
                <w:color w:val="1C3A36"/>
                <w:sz w:val="16"/>
              </w:rPr>
              <w:t>14,386</w:t>
            </w:r>
          </w:p>
        </w:tc>
      </w:tr>
      <w:tr>
        <w:trPr>
          <w:cantSplit/>
        </w:trPr>
        <w:tc>
          <w:tcPr>
            <w:tcW w:type="dxa" w:w="3744"/>
          </w:tcPr>
          <w:p>
            <w:pPr>
              <w:spacing w:after="20"/>
            </w:pPr>
            <w:r>
              <w:rPr>
                <w:color w:val="1C3A36"/>
                <w:sz w:val="16"/>
              </w:rPr>
              <w:t>Holding-company loans</w:t>
            </w:r>
          </w:p>
        </w:tc>
        <w:tc>
          <w:tcPr>
            <w:tcW w:type="dxa" w:w="1584"/>
          </w:tcPr>
          <w:p>
            <w:pPr>
              <w:spacing w:after="20"/>
              <w:jc w:val="right"/>
            </w:pPr>
            <w:r>
              <w:rPr>
                <w:color w:val="1C3A36"/>
                <w:sz w:val="16"/>
              </w:rPr>
              <w:t>50</w:t>
            </w:r>
          </w:p>
        </w:tc>
        <w:tc>
          <w:tcPr>
            <w:tcW w:type="dxa" w:w="1584"/>
          </w:tcPr>
          <w:p>
            <w:pPr>
              <w:spacing w:after="20"/>
              <w:jc w:val="right"/>
            </w:pPr>
            <w:r>
              <w:rPr>
                <w:color w:val="1C3A36"/>
                <w:sz w:val="16"/>
              </w:rPr>
              <w:t>0</w:t>
            </w:r>
          </w:p>
        </w:tc>
        <w:tc>
          <w:tcPr>
            <w:tcW w:type="dxa" w:w="1584"/>
          </w:tcPr>
          <w:p>
            <w:pPr>
              <w:spacing w:after="20"/>
              <w:jc w:val="right"/>
            </w:pPr>
            <w:r>
              <w:rPr>
                <w:color w:val="1C3A36"/>
                <w:sz w:val="16"/>
              </w:rPr>
              <w:t>597</w:t>
            </w:r>
          </w:p>
        </w:tc>
        <w:tc>
          <w:tcPr>
            <w:tcW w:type="dxa" w:w="1584"/>
          </w:tcPr>
          <w:p>
            <w:pPr>
              <w:spacing w:after="20"/>
              <w:jc w:val="right"/>
            </w:pPr>
            <w:r>
              <w:rPr>
                <w:color w:val="1C3A36"/>
                <w:sz w:val="16"/>
              </w:rPr>
              <w:t>46</w:t>
            </w:r>
          </w:p>
        </w:tc>
      </w:tr>
      <w:tr>
        <w:trPr>
          <w:cantSplit/>
        </w:trPr>
        <w:tc>
          <w:tcPr>
            <w:tcW w:type="dxa" w:w="3744"/>
          </w:tcPr>
          <w:p>
            <w:pPr>
              <w:spacing w:after="20"/>
            </w:pPr>
            <w:r>
              <w:rPr>
                <w:color w:val="1C3A36"/>
                <w:sz w:val="16"/>
              </w:rPr>
              <w:t>Deferred tax liability</w:t>
            </w:r>
          </w:p>
        </w:tc>
        <w:tc>
          <w:tcPr>
            <w:tcW w:type="dxa" w:w="1584"/>
          </w:tcPr>
          <w:p>
            <w:pPr>
              <w:spacing w:after="20"/>
              <w:jc w:val="right"/>
            </w:pPr>
            <w:r>
              <w:rPr>
                <w:color w:val="1C3A36"/>
                <w:sz w:val="16"/>
              </w:rPr>
              <w:t>1,469</w:t>
            </w:r>
          </w:p>
        </w:tc>
        <w:tc>
          <w:tcPr>
            <w:tcW w:type="dxa" w:w="1584"/>
          </w:tcPr>
          <w:p>
            <w:pPr>
              <w:spacing w:after="20"/>
              <w:jc w:val="right"/>
            </w:pPr>
            <w:r>
              <w:rPr>
                <w:color w:val="1C3A36"/>
                <w:sz w:val="16"/>
              </w:rPr>
              <w:t>1,001</w:t>
            </w:r>
          </w:p>
        </w:tc>
        <w:tc>
          <w:tcPr>
            <w:tcW w:type="dxa" w:w="1584"/>
          </w:tcPr>
          <w:p>
            <w:pPr>
              <w:spacing w:after="20"/>
              <w:jc w:val="right"/>
            </w:pPr>
            <w:r>
              <w:rPr>
                <w:color w:val="1C3A36"/>
                <w:sz w:val="16"/>
              </w:rPr>
              <w:t>991</w:t>
            </w:r>
          </w:p>
        </w:tc>
        <w:tc>
          <w:tcPr>
            <w:tcW w:type="dxa" w:w="1584"/>
          </w:tcPr>
          <w:p>
            <w:pPr>
              <w:spacing w:after="20"/>
              <w:jc w:val="right"/>
            </w:pPr>
            <w:r>
              <w:rPr>
                <w:color w:val="1C3A36"/>
                <w:sz w:val="16"/>
              </w:rPr>
              <w:t>961</w:t>
            </w:r>
          </w:p>
        </w:tc>
      </w:tr>
      <w:tr>
        <w:trPr>
          <w:cantSplit/>
        </w:trPr>
        <w:tc>
          <w:tcPr>
            <w:tcW w:type="dxa" w:w="3744"/>
          </w:tcPr>
          <w:p>
            <w:pPr>
              <w:spacing w:after="20"/>
            </w:pPr>
            <w:r>
              <w:rPr>
                <w:color w:val="1C3A36"/>
                <w:sz w:val="16"/>
              </w:rPr>
              <w:t>Provisions</w:t>
            </w:r>
          </w:p>
        </w:tc>
        <w:tc>
          <w:tcPr>
            <w:tcW w:type="dxa" w:w="1584"/>
          </w:tcPr>
          <w:p>
            <w:pPr>
              <w:spacing w:after="20"/>
              <w:jc w:val="right"/>
            </w:pPr>
            <w:r>
              <w:rPr>
                <w:color w:val="1C3A36"/>
                <w:sz w:val="16"/>
              </w:rPr>
              <w:t>144</w:t>
            </w:r>
          </w:p>
        </w:tc>
        <w:tc>
          <w:tcPr>
            <w:tcW w:type="dxa" w:w="1584"/>
          </w:tcPr>
          <w:p>
            <w:pPr>
              <w:spacing w:after="20"/>
              <w:jc w:val="right"/>
            </w:pPr>
            <w:r>
              <w:rPr>
                <w:color w:val="1C3A36"/>
                <w:sz w:val="16"/>
              </w:rPr>
              <w:t>432</w:t>
            </w:r>
          </w:p>
        </w:tc>
        <w:tc>
          <w:tcPr>
            <w:tcW w:type="dxa" w:w="1584"/>
          </w:tcPr>
          <w:p>
            <w:pPr>
              <w:spacing w:after="20"/>
              <w:jc w:val="right"/>
            </w:pPr>
            <w:r>
              <w:rPr>
                <w:color w:val="1C3A36"/>
                <w:sz w:val="16"/>
              </w:rPr>
              <w:t>309</w:t>
            </w:r>
          </w:p>
        </w:tc>
        <w:tc>
          <w:tcPr>
            <w:tcW w:type="dxa" w:w="1584"/>
          </w:tcPr>
          <w:p>
            <w:pPr>
              <w:spacing w:after="20"/>
              <w:jc w:val="right"/>
            </w:pPr>
            <w:r>
              <w:rPr>
                <w:color w:val="1C3A36"/>
                <w:sz w:val="16"/>
              </w:rPr>
              <w:t>292</w:t>
            </w:r>
          </w:p>
        </w:tc>
      </w:tr>
      <w:tr>
        <w:trPr>
          <w:cantSplit/>
        </w:trPr>
        <w:tc>
          <w:tcPr>
            <w:tcW w:type="dxa" w:w="3744"/>
          </w:tcPr>
          <w:p>
            <w:pPr>
              <w:spacing w:after="20"/>
            </w:pPr>
            <w:r>
              <w:rPr>
                <w:color w:val="1C3A36"/>
                <w:sz w:val="16"/>
              </w:rPr>
              <w:t>Payables and other</w:t>
            </w:r>
          </w:p>
        </w:tc>
        <w:tc>
          <w:tcPr>
            <w:tcW w:type="dxa" w:w="1584"/>
          </w:tcPr>
          <w:p>
            <w:pPr>
              <w:spacing w:after="20"/>
              <w:jc w:val="right"/>
            </w:pPr>
            <w:r>
              <w:rPr>
                <w:color w:val="1C3A36"/>
                <w:sz w:val="16"/>
              </w:rPr>
              <w:t>1,368</w:t>
            </w:r>
          </w:p>
        </w:tc>
        <w:tc>
          <w:tcPr>
            <w:tcW w:type="dxa" w:w="1584"/>
          </w:tcPr>
          <w:p>
            <w:pPr>
              <w:spacing w:after="20"/>
              <w:jc w:val="right"/>
            </w:pPr>
            <w:r>
              <w:rPr>
                <w:color w:val="1C3A36"/>
                <w:sz w:val="16"/>
              </w:rPr>
              <w:t>1,587</w:t>
            </w:r>
          </w:p>
        </w:tc>
        <w:tc>
          <w:tcPr>
            <w:tcW w:type="dxa" w:w="1584"/>
          </w:tcPr>
          <w:p>
            <w:pPr>
              <w:spacing w:after="20"/>
              <w:jc w:val="right"/>
            </w:pPr>
            <w:r>
              <w:rPr>
                <w:color w:val="1C3A36"/>
                <w:sz w:val="16"/>
              </w:rPr>
              <w:t>1,208</w:t>
            </w:r>
          </w:p>
        </w:tc>
        <w:tc>
          <w:tcPr>
            <w:tcW w:type="dxa" w:w="1584"/>
          </w:tcPr>
          <w:p>
            <w:pPr>
              <w:spacing w:after="20"/>
              <w:jc w:val="right"/>
            </w:pPr>
            <w:r>
              <w:rPr>
                <w:color w:val="1C3A36"/>
                <w:sz w:val="16"/>
              </w:rPr>
              <w:t>1,539</w:t>
            </w:r>
          </w:p>
        </w:tc>
      </w:tr>
      <w:tr>
        <w:trPr>
          <w:cantSplit/>
        </w:trPr>
        <w:tc>
          <w:tcPr>
            <w:tcW w:type="dxa" w:w="3744"/>
          </w:tcPr>
          <w:p>
            <w:pPr>
              <w:spacing w:after="20"/>
            </w:pPr>
            <w:r>
              <w:rPr>
                <w:color w:val="1C3A36"/>
                <w:sz w:val="16"/>
              </w:rPr>
              <w:t>Current portion of long-term debt</w:t>
            </w:r>
          </w:p>
        </w:tc>
        <w:tc>
          <w:tcPr>
            <w:tcW w:type="dxa" w:w="1584"/>
          </w:tcPr>
          <w:p>
            <w:pPr>
              <w:spacing w:after="20"/>
              <w:jc w:val="right"/>
            </w:pPr>
            <w:r>
              <w:rPr>
                <w:color w:val="1C3A36"/>
                <w:sz w:val="16"/>
              </w:rPr>
              <w:t>21</w:t>
            </w:r>
          </w:p>
        </w:tc>
        <w:tc>
          <w:tcPr>
            <w:tcW w:type="dxa" w:w="1584"/>
          </w:tcPr>
          <w:p>
            <w:pPr>
              <w:spacing w:after="20"/>
              <w:jc w:val="right"/>
            </w:pPr>
            <w:r>
              <w:rPr>
                <w:color w:val="1C3A36"/>
                <w:sz w:val="16"/>
              </w:rPr>
              <w:t>354</w:t>
            </w:r>
          </w:p>
        </w:tc>
        <w:tc>
          <w:tcPr>
            <w:tcW w:type="dxa" w:w="1584"/>
          </w:tcPr>
          <w:p>
            <w:pPr>
              <w:spacing w:after="20"/>
              <w:jc w:val="right"/>
            </w:pPr>
            <w:r>
              <w:rPr>
                <w:color w:val="1C3A36"/>
                <w:sz w:val="16"/>
              </w:rPr>
              <w:t>397</w:t>
            </w:r>
          </w:p>
        </w:tc>
        <w:tc>
          <w:tcPr>
            <w:tcW w:type="dxa" w:w="1584"/>
          </w:tcPr>
          <w:p>
            <w:pPr>
              <w:spacing w:after="20"/>
              <w:jc w:val="right"/>
            </w:pPr>
            <w:r>
              <w:rPr>
                <w:color w:val="1C3A36"/>
                <w:sz w:val="16"/>
              </w:rPr>
              <w:t>207</w:t>
            </w:r>
          </w:p>
        </w:tc>
      </w:tr>
      <w:tr>
        <w:trPr>
          <w:cantSplit/>
        </w:trPr>
        <w:tc>
          <w:tcPr>
            <w:tcW w:type="dxa" w:w="3744"/>
            <w:shd w:val="clear" w:color="auto" w:fill="F6F1E6"/>
          </w:tcPr>
          <w:p>
            <w:pPr>
              <w:spacing w:after="20"/>
            </w:pPr>
            <w:r>
              <w:rPr>
                <w:b/>
                <w:color w:val="1C3A36"/>
                <w:sz w:val="16"/>
              </w:rPr>
              <w:t>Gross interest-bearing debt</w:t>
            </w:r>
          </w:p>
        </w:tc>
        <w:tc>
          <w:tcPr>
            <w:tcW w:type="dxa" w:w="1584"/>
            <w:shd w:val="clear" w:color="auto" w:fill="F6F1E6"/>
          </w:tcPr>
          <w:p>
            <w:pPr>
              <w:spacing w:after="20"/>
              <w:jc w:val="right"/>
            </w:pPr>
            <w:r>
              <w:rPr>
                <w:b/>
                <w:color w:val="1C3A36"/>
                <w:sz w:val="16"/>
              </w:rPr>
              <w:t>8,497</w:t>
            </w:r>
          </w:p>
        </w:tc>
        <w:tc>
          <w:tcPr>
            <w:tcW w:type="dxa" w:w="1584"/>
            <w:shd w:val="clear" w:color="auto" w:fill="F6F1E6"/>
          </w:tcPr>
          <w:p>
            <w:pPr>
              <w:spacing w:after="20"/>
              <w:jc w:val="right"/>
            </w:pPr>
            <w:r>
              <w:rPr>
                <w:b/>
                <w:color w:val="1C3A36"/>
                <w:sz w:val="16"/>
              </w:rPr>
              <w:t>11,580</w:t>
            </w:r>
          </w:p>
        </w:tc>
        <w:tc>
          <w:tcPr>
            <w:tcW w:type="dxa" w:w="1584"/>
            <w:shd w:val="clear" w:color="auto" w:fill="F6F1E6"/>
          </w:tcPr>
          <w:p>
            <w:pPr>
              <w:spacing w:after="20"/>
              <w:jc w:val="right"/>
            </w:pPr>
            <w:r>
              <w:rPr>
                <w:b/>
                <w:color w:val="1C3A36"/>
                <w:sz w:val="16"/>
              </w:rPr>
              <w:t>12,178</w:t>
            </w:r>
          </w:p>
        </w:tc>
        <w:tc>
          <w:tcPr>
            <w:tcW w:type="dxa" w:w="1584"/>
            <w:shd w:val="clear" w:color="auto" w:fill="F6F1E6"/>
          </w:tcPr>
          <w:p>
            <w:pPr>
              <w:spacing w:after="20"/>
              <w:jc w:val="right"/>
            </w:pPr>
            <w:r>
              <w:rPr>
                <w:b/>
                <w:color w:val="1C3A36"/>
                <w:sz w:val="16"/>
              </w:rPr>
              <w:t>14,639</w:t>
            </w:r>
          </w:p>
        </w:tc>
      </w:tr>
      <w:tr>
        <w:trPr>
          <w:cantSplit/>
        </w:trPr>
        <w:tc>
          <w:tcPr>
            <w:tcW w:type="dxa" w:w="3744"/>
            <w:shd w:val="clear" w:color="auto" w:fill="F6F1E6"/>
          </w:tcPr>
          <w:p>
            <w:pPr>
              <w:spacing w:after="20"/>
            </w:pPr>
            <w:r>
              <w:rPr>
                <w:b/>
                <w:color w:val="1C3A36"/>
                <w:sz w:val="16"/>
              </w:rPr>
              <w:t>Net debt</w:t>
            </w:r>
          </w:p>
        </w:tc>
        <w:tc>
          <w:tcPr>
            <w:tcW w:type="dxa" w:w="1584"/>
            <w:shd w:val="clear" w:color="auto" w:fill="F6F1E6"/>
          </w:tcPr>
          <w:p>
            <w:pPr>
              <w:spacing w:after="20"/>
              <w:jc w:val="right"/>
            </w:pPr>
            <w:r>
              <w:rPr>
                <w:b/>
                <w:color w:val="1C3A36"/>
                <w:sz w:val="16"/>
              </w:rPr>
              <w:t>7,080</w:t>
            </w:r>
          </w:p>
        </w:tc>
        <w:tc>
          <w:tcPr>
            <w:tcW w:type="dxa" w:w="1584"/>
            <w:shd w:val="clear" w:color="auto" w:fill="F6F1E6"/>
          </w:tcPr>
          <w:p>
            <w:pPr>
              <w:spacing w:after="20"/>
              <w:jc w:val="right"/>
            </w:pPr>
            <w:r>
              <w:rPr>
                <w:b/>
                <w:color w:val="1C3A36"/>
                <w:sz w:val="16"/>
              </w:rPr>
              <w:t>8,477</w:t>
            </w:r>
          </w:p>
        </w:tc>
        <w:tc>
          <w:tcPr>
            <w:tcW w:type="dxa" w:w="1584"/>
            <w:shd w:val="clear" w:color="auto" w:fill="F6F1E6"/>
          </w:tcPr>
          <w:p>
            <w:pPr>
              <w:spacing w:after="20"/>
              <w:jc w:val="right"/>
            </w:pPr>
            <w:r>
              <w:rPr>
                <w:b/>
                <w:color w:val="1C3A36"/>
                <w:sz w:val="16"/>
              </w:rPr>
              <w:t>9,120</w:t>
            </w:r>
          </w:p>
        </w:tc>
        <w:tc>
          <w:tcPr>
            <w:tcW w:type="dxa" w:w="1584"/>
            <w:shd w:val="clear" w:color="auto" w:fill="F6F1E6"/>
          </w:tcPr>
          <w:p>
            <w:pPr>
              <w:spacing w:after="20"/>
              <w:jc w:val="right"/>
            </w:pPr>
            <w:r>
              <w:rPr>
                <w:b/>
                <w:color w:val="1C3A36"/>
                <w:sz w:val="16"/>
              </w:rPr>
              <w:t>10,032</w:t>
            </w:r>
          </w:p>
        </w:tc>
      </w:tr>
    </w:tbl>
    <w:p>
      <w:pPr>
        <w:spacing w:after="40"/>
      </w:pPr>
    </w:p>
    <w:p>
      <w:pPr>
        <w:keepNext/>
        <w:spacing w:after="80" w:before="200"/>
      </w:pPr>
      <w:r>
        <w:rPr>
          <w:b/>
          <w:i w:val="0"/>
          <w:color w:val="1C3A36"/>
          <w:sz w:val="24"/>
        </w:rPr>
        <w:t>A.3  Forecast balance sheet and cash-flow markers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Capital expenditure</w:t>
            </w:r>
          </w:p>
        </w:tc>
        <w:tc>
          <w:tcPr>
            <w:tcW w:type="dxa" w:w="1426"/>
          </w:tcPr>
          <w:p>
            <w:pPr>
              <w:spacing w:after="20"/>
              <w:jc w:val="right"/>
            </w:pPr>
            <w:r>
              <w:rPr>
                <w:color w:val="1C3A36"/>
                <w:sz w:val="16"/>
              </w:rPr>
              <w:t>2,729</w:t>
            </w:r>
          </w:p>
        </w:tc>
        <w:tc>
          <w:tcPr>
            <w:tcW w:type="dxa" w:w="1426"/>
          </w:tcPr>
          <w:p>
            <w:pPr>
              <w:spacing w:after="20"/>
              <w:jc w:val="right"/>
            </w:pPr>
            <w:r>
              <w:rPr>
                <w:color w:val="1C3A36"/>
                <w:sz w:val="16"/>
              </w:rPr>
              <w:t>3,242</w:t>
            </w:r>
          </w:p>
        </w:tc>
        <w:tc>
          <w:tcPr>
            <w:tcW w:type="dxa" w:w="1426"/>
          </w:tcPr>
          <w:p>
            <w:pPr>
              <w:spacing w:after="20"/>
              <w:jc w:val="right"/>
            </w:pPr>
            <w:r>
              <w:rPr>
                <w:color w:val="1C3A36"/>
                <w:sz w:val="16"/>
              </w:rPr>
              <w:t>3,451</w:t>
            </w:r>
          </w:p>
        </w:tc>
        <w:tc>
          <w:tcPr>
            <w:tcW w:type="dxa" w:w="1426"/>
          </w:tcPr>
          <w:p>
            <w:pPr>
              <w:spacing w:after="20"/>
              <w:jc w:val="right"/>
            </w:pPr>
            <w:r>
              <w:rPr>
                <w:color w:val="1C3A36"/>
                <w:sz w:val="16"/>
              </w:rPr>
              <w:t>3,359</w:t>
            </w:r>
          </w:p>
        </w:tc>
        <w:tc>
          <w:tcPr>
            <w:tcW w:type="dxa" w:w="1426"/>
          </w:tcPr>
          <w:p>
            <w:pPr>
              <w:spacing w:after="20"/>
              <w:jc w:val="right"/>
            </w:pPr>
            <w:r>
              <w:rPr>
                <w:color w:val="1C3A36"/>
                <w:sz w:val="16"/>
              </w:rPr>
              <w:t>2,657</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Receivables</w:t>
            </w:r>
          </w:p>
        </w:tc>
        <w:tc>
          <w:tcPr>
            <w:tcW w:type="dxa" w:w="1426"/>
          </w:tcPr>
          <w:p>
            <w:pPr>
              <w:spacing w:after="20"/>
              <w:jc w:val="right"/>
            </w:pPr>
            <w:r>
              <w:rPr>
                <w:color w:val="1C3A36"/>
                <w:sz w:val="16"/>
              </w:rPr>
              <w:t>856</w:t>
            </w:r>
          </w:p>
        </w:tc>
        <w:tc>
          <w:tcPr>
            <w:tcW w:type="dxa" w:w="1426"/>
          </w:tcPr>
          <w:p>
            <w:pPr>
              <w:spacing w:after="20"/>
              <w:jc w:val="right"/>
            </w:pPr>
            <w:r>
              <w:rPr>
                <w:color w:val="1C3A36"/>
                <w:sz w:val="16"/>
              </w:rPr>
              <w:t>931</w:t>
            </w:r>
          </w:p>
        </w:tc>
        <w:tc>
          <w:tcPr>
            <w:tcW w:type="dxa" w:w="1426"/>
          </w:tcPr>
          <w:p>
            <w:pPr>
              <w:spacing w:after="20"/>
              <w:jc w:val="right"/>
            </w:pPr>
            <w:r>
              <w:rPr>
                <w:color w:val="1C3A36"/>
                <w:sz w:val="16"/>
              </w:rPr>
              <w:t>991</w:t>
            </w:r>
          </w:p>
        </w:tc>
        <w:tc>
          <w:tcPr>
            <w:tcW w:type="dxa" w:w="1426"/>
          </w:tcPr>
          <w:p>
            <w:pPr>
              <w:spacing w:after="20"/>
              <w:jc w:val="right"/>
            </w:pPr>
            <w:r>
              <w:rPr>
                <w:color w:val="1C3A36"/>
                <w:sz w:val="16"/>
              </w:rPr>
              <w:t>1,047</w:t>
            </w:r>
          </w:p>
        </w:tc>
        <w:tc>
          <w:tcPr>
            <w:tcW w:type="dxa" w:w="1426"/>
          </w:tcPr>
          <w:p>
            <w:pPr>
              <w:spacing w:after="20"/>
              <w:jc w:val="right"/>
            </w:pPr>
            <w:r>
              <w:rPr>
                <w:color w:val="1C3A36"/>
                <w:sz w:val="16"/>
              </w:rPr>
              <w:t>1,104</w:t>
            </w:r>
          </w:p>
        </w:tc>
      </w:tr>
      <w:tr>
        <w:trPr>
          <w:cantSplit/>
        </w:trPr>
        <w:tc>
          <w:tcPr>
            <w:tcW w:type="dxa" w:w="2952"/>
          </w:tcPr>
          <w:p>
            <w:pPr>
              <w:spacing w:after="20"/>
            </w:pPr>
            <w:r>
              <w:rPr>
                <w:color w:val="1C3A36"/>
                <w:sz w:val="16"/>
              </w:rPr>
              <w:t>Inventory</w:t>
            </w:r>
          </w:p>
        </w:tc>
        <w:tc>
          <w:tcPr>
            <w:tcW w:type="dxa" w:w="1426"/>
          </w:tcPr>
          <w:p>
            <w:pPr>
              <w:spacing w:after="20"/>
              <w:jc w:val="right"/>
            </w:pPr>
            <w:r>
              <w:rPr>
                <w:color w:val="1C3A36"/>
                <w:sz w:val="16"/>
              </w:rPr>
              <w:t>2,869</w:t>
            </w:r>
          </w:p>
        </w:tc>
        <w:tc>
          <w:tcPr>
            <w:tcW w:type="dxa" w:w="1426"/>
          </w:tcPr>
          <w:p>
            <w:pPr>
              <w:spacing w:after="20"/>
              <w:jc w:val="right"/>
            </w:pPr>
            <w:r>
              <w:rPr>
                <w:color w:val="1C3A36"/>
                <w:sz w:val="16"/>
              </w:rPr>
              <w:t>3,161</w:t>
            </w:r>
          </w:p>
        </w:tc>
        <w:tc>
          <w:tcPr>
            <w:tcW w:type="dxa" w:w="1426"/>
          </w:tcPr>
          <w:p>
            <w:pPr>
              <w:spacing w:after="20"/>
              <w:jc w:val="right"/>
            </w:pPr>
            <w:r>
              <w:rPr>
                <w:color w:val="1C3A36"/>
                <w:sz w:val="16"/>
              </w:rPr>
              <w:t>3,422</w:t>
            </w:r>
          </w:p>
        </w:tc>
        <w:tc>
          <w:tcPr>
            <w:tcW w:type="dxa" w:w="1426"/>
          </w:tcPr>
          <w:p>
            <w:pPr>
              <w:spacing w:after="20"/>
              <w:jc w:val="right"/>
            </w:pPr>
            <w:r>
              <w:rPr>
                <w:color w:val="1C3A36"/>
                <w:sz w:val="16"/>
              </w:rPr>
              <w:t>3,675</w:t>
            </w:r>
          </w:p>
        </w:tc>
        <w:tc>
          <w:tcPr>
            <w:tcW w:type="dxa" w:w="1426"/>
          </w:tcPr>
          <w:p>
            <w:pPr>
              <w:spacing w:after="20"/>
              <w:jc w:val="right"/>
            </w:pPr>
            <w:r>
              <w:rPr>
                <w:color w:val="1C3A36"/>
                <w:sz w:val="16"/>
              </w:rPr>
              <w:t>3,931</w:t>
            </w:r>
          </w:p>
        </w:tc>
      </w:tr>
      <w:tr>
        <w:trPr>
          <w:cantSplit/>
        </w:trPr>
        <w:tc>
          <w:tcPr>
            <w:tcW w:type="dxa" w:w="2952"/>
          </w:tcPr>
          <w:p>
            <w:pPr>
              <w:spacing w:after="20"/>
            </w:pPr>
            <w:r>
              <w:rPr>
                <w:color w:val="1C3A36"/>
                <w:sz w:val="16"/>
              </w:rPr>
              <w:t>Payables</w:t>
            </w:r>
          </w:p>
        </w:tc>
        <w:tc>
          <w:tcPr>
            <w:tcW w:type="dxa" w:w="1426"/>
          </w:tcPr>
          <w:p>
            <w:pPr>
              <w:spacing w:after="20"/>
              <w:jc w:val="right"/>
            </w:pPr>
            <w:r>
              <w:rPr>
                <w:color w:val="1C3A36"/>
                <w:sz w:val="16"/>
              </w:rPr>
              <w:t>1,444</w:t>
            </w:r>
          </w:p>
        </w:tc>
        <w:tc>
          <w:tcPr>
            <w:tcW w:type="dxa" w:w="1426"/>
          </w:tcPr>
          <w:p>
            <w:pPr>
              <w:spacing w:after="20"/>
              <w:jc w:val="right"/>
            </w:pPr>
            <w:r>
              <w:rPr>
                <w:color w:val="1C3A36"/>
                <w:sz w:val="16"/>
              </w:rPr>
              <w:t>1,591</w:t>
            </w:r>
          </w:p>
        </w:tc>
        <w:tc>
          <w:tcPr>
            <w:tcW w:type="dxa" w:w="1426"/>
          </w:tcPr>
          <w:p>
            <w:pPr>
              <w:spacing w:after="20"/>
              <w:jc w:val="right"/>
            </w:pPr>
            <w:r>
              <w:rPr>
                <w:color w:val="1C3A36"/>
                <w:sz w:val="16"/>
              </w:rPr>
              <w:t>1,722</w:t>
            </w:r>
          </w:p>
        </w:tc>
        <w:tc>
          <w:tcPr>
            <w:tcW w:type="dxa" w:w="1426"/>
          </w:tcPr>
          <w:p>
            <w:pPr>
              <w:spacing w:after="20"/>
              <w:jc w:val="right"/>
            </w:pPr>
            <w:r>
              <w:rPr>
                <w:color w:val="1C3A36"/>
                <w:sz w:val="16"/>
              </w:rPr>
              <w:t>1,850</w:t>
            </w:r>
          </w:p>
        </w:tc>
        <w:tc>
          <w:tcPr>
            <w:tcW w:type="dxa" w:w="1426"/>
          </w:tcPr>
          <w:p>
            <w:pPr>
              <w:spacing w:after="20"/>
              <w:jc w:val="right"/>
            </w:pPr>
            <w:r>
              <w:rPr>
                <w:color w:val="1C3A36"/>
                <w:sz w:val="16"/>
              </w:rPr>
              <w:t>1,979</w:t>
            </w:r>
          </w:p>
        </w:tc>
      </w:tr>
      <w:tr>
        <w:trPr>
          <w:cantSplit/>
        </w:trPr>
        <w:tc>
          <w:tcPr>
            <w:tcW w:type="dxa" w:w="2952"/>
          </w:tcPr>
          <w:p>
            <w:pPr>
              <w:spacing w:after="20"/>
            </w:pPr>
            <w:r>
              <w:rPr>
                <w:color w:val="1C3A36"/>
                <w:sz w:val="16"/>
              </w:rPr>
              <w:t>Net working capital</w:t>
            </w:r>
          </w:p>
        </w:tc>
        <w:tc>
          <w:tcPr>
            <w:tcW w:type="dxa" w:w="1426"/>
          </w:tcPr>
          <w:p>
            <w:pPr>
              <w:spacing w:after="20"/>
              <w:jc w:val="right"/>
            </w:pPr>
            <w:r>
              <w:rPr>
                <w:color w:val="1C3A36"/>
                <w:sz w:val="16"/>
              </w:rPr>
              <w:t>2,281</w:t>
            </w:r>
          </w:p>
        </w:tc>
        <w:tc>
          <w:tcPr>
            <w:tcW w:type="dxa" w:w="1426"/>
          </w:tcPr>
          <w:p>
            <w:pPr>
              <w:spacing w:after="20"/>
              <w:jc w:val="right"/>
            </w:pPr>
            <w:r>
              <w:rPr>
                <w:color w:val="1C3A36"/>
                <w:sz w:val="16"/>
              </w:rPr>
              <w:t>2,501</w:t>
            </w:r>
          </w:p>
        </w:tc>
        <w:tc>
          <w:tcPr>
            <w:tcW w:type="dxa" w:w="1426"/>
          </w:tcPr>
          <w:p>
            <w:pPr>
              <w:spacing w:after="20"/>
              <w:jc w:val="right"/>
            </w:pPr>
            <w:r>
              <w:rPr>
                <w:color w:val="1C3A36"/>
                <w:sz w:val="16"/>
              </w:rPr>
              <w:t>2,691</w:t>
            </w:r>
          </w:p>
        </w:tc>
        <w:tc>
          <w:tcPr>
            <w:tcW w:type="dxa" w:w="1426"/>
          </w:tcPr>
          <w:p>
            <w:pPr>
              <w:spacing w:after="20"/>
              <w:jc w:val="right"/>
            </w:pPr>
            <w:r>
              <w:rPr>
                <w:color w:val="1C3A36"/>
                <w:sz w:val="16"/>
              </w:rPr>
              <w:t>2,873</w:t>
            </w:r>
          </w:p>
        </w:tc>
        <w:tc>
          <w:tcPr>
            <w:tcW w:type="dxa" w:w="1426"/>
          </w:tcPr>
          <w:p>
            <w:pPr>
              <w:spacing w:after="20"/>
              <w:jc w:val="right"/>
            </w:pPr>
            <w:r>
              <w:rPr>
                <w:color w:val="1C3A36"/>
                <w:sz w:val="16"/>
              </w:rPr>
              <w:t>3,056</w:t>
            </w:r>
          </w:p>
        </w:tc>
      </w:tr>
      <w:tr>
        <w:trPr>
          <w:cantSplit/>
        </w:trPr>
        <w:tc>
          <w:tcPr>
            <w:tcW w:type="dxa" w:w="2952"/>
          </w:tcPr>
          <w:p>
            <w:pPr>
              <w:spacing w:after="20"/>
            </w:pPr>
            <w:r>
              <w:rPr>
                <w:color w:val="1C3A36"/>
                <w:sz w:val="16"/>
              </w:rPr>
              <w:t>Change in net working capital</w:t>
            </w:r>
          </w:p>
        </w:tc>
        <w:tc>
          <w:tcPr>
            <w:tcW w:type="dxa" w:w="1426"/>
          </w:tcPr>
          <w:p>
            <w:pPr>
              <w:spacing w:after="20"/>
              <w:jc w:val="right"/>
            </w:pPr>
            <w:r>
              <w:rPr>
                <w:color w:val="1C3A36"/>
                <w:sz w:val="16"/>
              </w:rPr>
              <w:t>-788</w:t>
            </w:r>
          </w:p>
        </w:tc>
        <w:tc>
          <w:tcPr>
            <w:tcW w:type="dxa" w:w="1426"/>
          </w:tcPr>
          <w:p>
            <w:pPr>
              <w:spacing w:after="20"/>
              <w:jc w:val="right"/>
            </w:pPr>
            <w:r>
              <w:rPr>
                <w:color w:val="1C3A36"/>
                <w:sz w:val="16"/>
              </w:rPr>
              <w:t>220</w:t>
            </w:r>
          </w:p>
        </w:tc>
        <w:tc>
          <w:tcPr>
            <w:tcW w:type="dxa" w:w="1426"/>
          </w:tcPr>
          <w:p>
            <w:pPr>
              <w:spacing w:after="20"/>
              <w:jc w:val="right"/>
            </w:pPr>
            <w:r>
              <w:rPr>
                <w:color w:val="1C3A36"/>
                <w:sz w:val="16"/>
              </w:rPr>
              <w:t>190</w:t>
            </w:r>
          </w:p>
        </w:tc>
        <w:tc>
          <w:tcPr>
            <w:tcW w:type="dxa" w:w="1426"/>
          </w:tcPr>
          <w:p>
            <w:pPr>
              <w:spacing w:after="20"/>
              <w:jc w:val="right"/>
            </w:pPr>
            <w:r>
              <w:rPr>
                <w:color w:val="1C3A36"/>
                <w:sz w:val="16"/>
              </w:rPr>
              <w:t>182</w:t>
            </w:r>
          </w:p>
        </w:tc>
        <w:tc>
          <w:tcPr>
            <w:tcW w:type="dxa" w:w="1426"/>
          </w:tcPr>
          <w:p>
            <w:pPr>
              <w:spacing w:after="20"/>
              <w:jc w:val="right"/>
            </w:pPr>
            <w:r>
              <w:rPr>
                <w:color w:val="1C3A36"/>
                <w:sz w:val="16"/>
              </w:rPr>
              <w:t>183</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1,989</w:t>
            </w:r>
          </w:p>
        </w:tc>
        <w:tc>
          <w:tcPr>
            <w:tcW w:type="dxa" w:w="1426"/>
            <w:shd w:val="clear" w:color="auto" w:fill="F6F1E6"/>
          </w:tcPr>
          <w:p>
            <w:pPr>
              <w:spacing w:after="20"/>
              <w:jc w:val="right"/>
            </w:pPr>
            <w:r>
              <w:rPr>
                <w:b/>
                <w:color w:val="1C3A36"/>
                <w:sz w:val="16"/>
              </w:rPr>
              <w:t>798</w:t>
            </w:r>
          </w:p>
        </w:tc>
        <w:tc>
          <w:tcPr>
            <w:tcW w:type="dxa" w:w="1426"/>
            <w:shd w:val="clear" w:color="auto" w:fill="F6F1E6"/>
          </w:tcPr>
          <w:p>
            <w:pPr>
              <w:spacing w:after="20"/>
              <w:jc w:val="right"/>
            </w:pPr>
            <w:r>
              <w:rPr>
                <w:b/>
                <w:color w:val="1C3A36"/>
                <w:sz w:val="16"/>
              </w:rPr>
              <w:t>874</w:t>
            </w:r>
          </w:p>
        </w:tc>
        <w:tc>
          <w:tcPr>
            <w:tcW w:type="dxa" w:w="1426"/>
            <w:shd w:val="clear" w:color="auto" w:fill="F6F1E6"/>
          </w:tcPr>
          <w:p>
            <w:pPr>
              <w:spacing w:after="20"/>
              <w:jc w:val="right"/>
            </w:pPr>
            <w:r>
              <w:rPr>
                <w:b/>
                <w:color w:val="1C3A36"/>
                <w:sz w:val="16"/>
              </w:rPr>
              <w:t>1,202</w:t>
            </w:r>
          </w:p>
        </w:tc>
        <w:tc>
          <w:tcPr>
            <w:tcW w:type="dxa" w:w="1426"/>
            <w:shd w:val="clear" w:color="auto" w:fill="F6F1E6"/>
          </w:tcPr>
          <w:p>
            <w:pPr>
              <w:spacing w:after="20"/>
              <w:jc w:val="right"/>
            </w:pPr>
            <w:r>
              <w:rPr>
                <w:b/>
                <w:color w:val="1C3A36"/>
                <w:sz w:val="16"/>
              </w:rPr>
              <w:t>2,122</w:t>
            </w:r>
          </w:p>
        </w:tc>
      </w:tr>
    </w:tbl>
    <w:p>
      <w:pPr>
        <w:spacing w:after="40"/>
      </w:pPr>
    </w:p>
    <w:p>
      <w:pPr>
        <w:spacing w:after="200" w:before="0"/>
      </w:pPr>
      <w:r>
        <w:rPr>
          <w:b w:val="0"/>
          <w:i/>
          <w:color w:val="6E7B77"/>
          <w:sz w:val="17"/>
        </w:rPr>
        <w:t>Table 28.  Working capital is projected from the day counts the audited statements themselves imply — 26.8 days of receivables, 165.2 of inventory and 83.2 of payables — rather than plugged.</w:t>
      </w:r>
    </w:p>
    <w:p>
      <w:pPr>
        <w:keepNext/>
        <w:spacing w:after="80" w:before="200"/>
      </w:pPr>
      <w:r>
        <w:rPr>
          <w:b/>
          <w:i w:val="0"/>
          <w:color w:val="1C3A36"/>
          <w:sz w:val="24"/>
        </w:rPr>
        <w:t>A.4  Years three to five as ranges — the method's own tested error, applied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016"/>
        <w:gridCol w:w="2016"/>
        <w:gridCol w:w="2016"/>
      </w:tblGrid>
      <w:tr>
        <w:trPr>
          <w:cantSplit/>
          <w:tblHeader/>
        </w:trPr>
        <w:tc>
          <w:tcPr>
            <w:tcW w:type="dxa" w:w="3744"/>
            <w:shd w:val="clear" w:color="auto" w:fill="EAF0EE"/>
          </w:tcPr>
          <w:p>
            <w:pPr>
              <w:spacing w:after="20"/>
            </w:pPr>
            <w:r>
              <w:rPr>
                <w:b/>
                <w:color w:val="1C3A36"/>
                <w:sz w:val="16"/>
              </w:rPr>
              <w:t>EGP million</w:t>
            </w:r>
          </w:p>
        </w:tc>
        <w:tc>
          <w:tcPr>
            <w:tcW w:type="dxa" w:w="2016"/>
            <w:shd w:val="clear" w:color="auto" w:fill="EAF0EE"/>
          </w:tcPr>
          <w:p>
            <w:pPr>
              <w:spacing w:after="20"/>
            </w:pPr>
            <w:r>
              <w:rPr>
                <w:b/>
                <w:color w:val="1C3A36"/>
                <w:sz w:val="16"/>
              </w:rPr>
              <w:t>FY2028/29</w:t>
            </w:r>
          </w:p>
        </w:tc>
        <w:tc>
          <w:tcPr>
            <w:tcW w:type="dxa" w:w="2016"/>
            <w:shd w:val="clear" w:color="auto" w:fill="EAF0EE"/>
          </w:tcPr>
          <w:p>
            <w:pPr>
              <w:spacing w:after="20"/>
            </w:pPr>
            <w:r>
              <w:rPr>
                <w:b/>
                <w:color w:val="1C3A36"/>
                <w:sz w:val="16"/>
              </w:rPr>
              <w:t>FY2029/30</w:t>
            </w:r>
          </w:p>
        </w:tc>
        <w:tc>
          <w:tcPr>
            <w:tcW w:type="dxa" w:w="2016"/>
            <w:shd w:val="clear" w:color="auto" w:fill="EAF0EE"/>
          </w:tcPr>
          <w:p>
            <w:pPr>
              <w:spacing w:after="20"/>
            </w:pPr>
            <w:r>
              <w:rPr>
                <w:b/>
                <w:color w:val="1C3A36"/>
                <w:sz w:val="16"/>
              </w:rPr>
              <w:t>FY2030/31</w:t>
            </w:r>
          </w:p>
        </w:tc>
      </w:tr>
      <w:tr>
        <w:trPr>
          <w:cantSplit/>
        </w:trPr>
        <w:tc>
          <w:tcPr>
            <w:tcW w:type="dxa" w:w="3744"/>
          </w:tcPr>
          <w:p>
            <w:pPr>
              <w:spacing w:after="20"/>
            </w:pPr>
            <w:r>
              <w:rPr>
                <w:color w:val="1C3A36"/>
                <w:sz w:val="16"/>
              </w:rPr>
              <w:t>Revenue — point</w:t>
            </w:r>
          </w:p>
        </w:tc>
        <w:tc>
          <w:tcPr>
            <w:tcW w:type="dxa" w:w="2016"/>
          </w:tcPr>
          <w:p>
            <w:pPr>
              <w:spacing w:after="20"/>
              <w:jc w:val="right"/>
            </w:pPr>
            <w:r>
              <w:rPr>
                <w:color w:val="1C3A36"/>
                <w:sz w:val="16"/>
              </w:rPr>
              <w:t>13,513</w:t>
            </w:r>
          </w:p>
        </w:tc>
        <w:tc>
          <w:tcPr>
            <w:tcW w:type="dxa" w:w="2016"/>
          </w:tcPr>
          <w:p>
            <w:pPr>
              <w:spacing w:after="20"/>
              <w:jc w:val="right"/>
            </w:pPr>
            <w:r>
              <w:rPr>
                <w:color w:val="1C3A36"/>
                <w:sz w:val="16"/>
              </w:rPr>
              <w:t>14,277</w:t>
            </w:r>
          </w:p>
        </w:tc>
        <w:tc>
          <w:tcPr>
            <w:tcW w:type="dxa" w:w="2016"/>
          </w:tcPr>
          <w:p>
            <w:pPr>
              <w:spacing w:after="20"/>
              <w:jc w:val="right"/>
            </w:pPr>
            <w:r>
              <w:rPr>
                <w:color w:val="1C3A36"/>
                <w:sz w:val="16"/>
              </w:rPr>
              <w:t>15,043</w:t>
            </w:r>
          </w:p>
        </w:tc>
      </w:tr>
      <w:tr>
        <w:trPr>
          <w:cantSplit/>
        </w:trPr>
        <w:tc>
          <w:tcPr>
            <w:tcW w:type="dxa" w:w="3744"/>
          </w:tcPr>
          <w:p>
            <w:pPr>
              <w:spacing w:after="20"/>
            </w:pPr>
            <w:r>
              <w:rPr>
                <w:color w:val="1C3A36"/>
                <w:sz w:val="16"/>
              </w:rPr>
              <w:t>Gross profit — point</w:t>
            </w:r>
          </w:p>
        </w:tc>
        <w:tc>
          <w:tcPr>
            <w:tcW w:type="dxa" w:w="2016"/>
          </w:tcPr>
          <w:p>
            <w:pPr>
              <w:spacing w:after="20"/>
              <w:jc w:val="right"/>
            </w:pPr>
            <w:r>
              <w:rPr>
                <w:color w:val="1C3A36"/>
                <w:sz w:val="16"/>
              </w:rPr>
              <w:t>5,955</w:t>
            </w:r>
          </w:p>
        </w:tc>
        <w:tc>
          <w:tcPr>
            <w:tcW w:type="dxa" w:w="2016"/>
          </w:tcPr>
          <w:p>
            <w:pPr>
              <w:spacing w:after="20"/>
              <w:jc w:val="right"/>
            </w:pPr>
            <w:r>
              <w:rPr>
                <w:color w:val="1C3A36"/>
                <w:sz w:val="16"/>
              </w:rPr>
              <w:t>6,160</w:t>
            </w:r>
          </w:p>
        </w:tc>
        <w:tc>
          <w:tcPr>
            <w:tcW w:type="dxa" w:w="2016"/>
          </w:tcPr>
          <w:p>
            <w:pPr>
              <w:spacing w:after="20"/>
              <w:jc w:val="right"/>
            </w:pPr>
            <w:r>
              <w:rPr>
                <w:color w:val="1C3A36"/>
                <w:sz w:val="16"/>
              </w:rPr>
              <w:t>6,360</w:t>
            </w:r>
          </w:p>
        </w:tc>
      </w:tr>
      <w:tr>
        <w:trPr>
          <w:cantSplit/>
        </w:trPr>
        <w:tc>
          <w:tcPr>
            <w:tcW w:type="dxa" w:w="3744"/>
            <w:shd w:val="clear" w:color="auto" w:fill="F6F1E6"/>
          </w:tcPr>
          <w:p>
            <w:pPr>
              <w:spacing w:after="20"/>
            </w:pPr>
            <w:r>
              <w:rPr>
                <w:b/>
                <w:color w:val="1C3A36"/>
                <w:sz w:val="16"/>
              </w:rPr>
              <w:t>Operating profit before depreciation — point</w:t>
            </w:r>
          </w:p>
        </w:tc>
        <w:tc>
          <w:tcPr>
            <w:tcW w:type="dxa" w:w="2016"/>
            <w:shd w:val="clear" w:color="auto" w:fill="F6F1E6"/>
          </w:tcPr>
          <w:p>
            <w:pPr>
              <w:spacing w:after="20"/>
              <w:jc w:val="right"/>
            </w:pPr>
            <w:r>
              <w:rPr>
                <w:b/>
                <w:color w:val="1C3A36"/>
                <w:sz w:val="16"/>
              </w:rPr>
              <w:t>5,492</w:t>
            </w:r>
          </w:p>
        </w:tc>
        <w:tc>
          <w:tcPr>
            <w:tcW w:type="dxa" w:w="2016"/>
            <w:shd w:val="clear" w:color="auto" w:fill="F6F1E6"/>
          </w:tcPr>
          <w:p>
            <w:pPr>
              <w:spacing w:after="20"/>
              <w:jc w:val="right"/>
            </w:pPr>
            <w:r>
              <w:rPr>
                <w:b/>
                <w:color w:val="1C3A36"/>
                <w:sz w:val="16"/>
              </w:rPr>
              <w:t>5,746</w:t>
            </w:r>
          </w:p>
        </w:tc>
        <w:tc>
          <w:tcPr>
            <w:tcW w:type="dxa" w:w="2016"/>
            <w:shd w:val="clear" w:color="auto" w:fill="F6F1E6"/>
          </w:tcPr>
          <w:p>
            <w:pPr>
              <w:spacing w:after="20"/>
              <w:jc w:val="right"/>
            </w:pPr>
            <w:r>
              <w:rPr>
                <w:b/>
                <w:color w:val="1C3A36"/>
                <w:sz w:val="16"/>
              </w:rPr>
              <w:t>5,987</w:t>
            </w:r>
          </w:p>
        </w:tc>
      </w:tr>
      <w:tr>
        <w:trPr>
          <w:cantSplit/>
        </w:trPr>
        <w:tc>
          <w:tcPr>
            <w:tcW w:type="dxa" w:w="3744"/>
          </w:tcPr>
          <w:p>
            <w:pPr>
              <w:spacing w:after="20"/>
            </w:pPr>
            <w:r>
              <w:rPr>
                <w:color w:val="1C3A36"/>
                <w:sz w:val="16"/>
              </w:rPr>
              <w:t>Revenue — low of the range</w:t>
            </w:r>
          </w:p>
        </w:tc>
        <w:tc>
          <w:tcPr>
            <w:tcW w:type="dxa" w:w="2016"/>
          </w:tcPr>
          <w:p>
            <w:pPr>
              <w:spacing w:after="20"/>
              <w:jc w:val="right"/>
            </w:pPr>
            <w:r>
              <w:rPr>
                <w:color w:val="1C3A36"/>
                <w:sz w:val="16"/>
              </w:rPr>
              <w:t>1,445</w:t>
            </w:r>
          </w:p>
        </w:tc>
        <w:tc>
          <w:tcPr>
            <w:tcW w:type="dxa" w:w="2016"/>
          </w:tcPr>
          <w:p>
            <w:pPr>
              <w:spacing w:after="20"/>
              <w:jc w:val="right"/>
            </w:pPr>
            <w:r>
              <w:rPr>
                <w:color w:val="1C3A36"/>
                <w:sz w:val="16"/>
              </w:rPr>
              <w:t>507</w:t>
            </w:r>
          </w:p>
        </w:tc>
        <w:tc>
          <w:tcPr>
            <w:tcW w:type="dxa" w:w="2016"/>
          </w:tcPr>
          <w:p>
            <w:pPr>
              <w:spacing w:after="20"/>
              <w:jc w:val="right"/>
            </w:pPr>
            <w:r>
              <w:rPr>
                <w:color w:val="1C3A36"/>
                <w:sz w:val="16"/>
              </w:rPr>
              <w:t>1,220</w:t>
            </w:r>
          </w:p>
        </w:tc>
      </w:tr>
      <w:tr>
        <w:trPr>
          <w:cantSplit/>
        </w:trPr>
        <w:tc>
          <w:tcPr>
            <w:tcW w:type="dxa" w:w="3744"/>
          </w:tcPr>
          <w:p>
            <w:pPr>
              <w:spacing w:after="20"/>
            </w:pPr>
            <w:r>
              <w:rPr>
                <w:color w:val="1C3A36"/>
                <w:sz w:val="16"/>
              </w:rPr>
              <w:t>Revenue — high of the range</w:t>
            </w:r>
          </w:p>
        </w:tc>
        <w:tc>
          <w:tcPr>
            <w:tcW w:type="dxa" w:w="2016"/>
          </w:tcPr>
          <w:p>
            <w:pPr>
              <w:spacing w:after="20"/>
              <w:jc w:val="right"/>
            </w:pPr>
            <w:r>
              <w:rPr>
                <w:color w:val="1C3A36"/>
                <w:sz w:val="16"/>
              </w:rPr>
              <w:t>15,881</w:t>
            </w:r>
          </w:p>
        </w:tc>
        <w:tc>
          <w:tcPr>
            <w:tcW w:type="dxa" w:w="2016"/>
          </w:tcPr>
          <w:p>
            <w:pPr>
              <w:spacing w:after="20"/>
              <w:jc w:val="right"/>
            </w:pPr>
            <w:r>
              <w:rPr>
                <w:color w:val="1C3A36"/>
                <w:sz w:val="16"/>
              </w:rPr>
              <w:t>17,139</w:t>
            </w:r>
          </w:p>
        </w:tc>
        <w:tc>
          <w:tcPr>
            <w:tcW w:type="dxa" w:w="2016"/>
          </w:tcPr>
          <w:p>
            <w:pPr>
              <w:spacing w:after="20"/>
              <w:jc w:val="right"/>
            </w:pPr>
            <w:r>
              <w:rPr>
                <w:color w:val="1C3A36"/>
                <w:sz w:val="16"/>
              </w:rPr>
              <w:t>19,995</w:t>
            </w:r>
          </w:p>
        </w:tc>
      </w:tr>
      <w:tr>
        <w:trPr>
          <w:cantSplit/>
        </w:trPr>
        <w:tc>
          <w:tcPr>
            <w:tcW w:type="dxa" w:w="3744"/>
          </w:tcPr>
          <w:p>
            <w:pPr>
              <w:spacing w:after="20"/>
            </w:pPr>
            <w:r>
              <w:rPr>
                <w:color w:val="1C3A36"/>
                <w:sz w:val="16"/>
              </w:rPr>
              <w:t>Gross profit — low of the range</w:t>
            </w:r>
          </w:p>
        </w:tc>
        <w:tc>
          <w:tcPr>
            <w:tcW w:type="dxa" w:w="2016"/>
          </w:tcPr>
          <w:p>
            <w:pPr>
              <w:spacing w:after="20"/>
              <w:jc w:val="right"/>
            </w:pPr>
            <w:r>
              <w:rPr>
                <w:color w:val="1C3A36"/>
                <w:sz w:val="16"/>
              </w:rPr>
              <w:t>1,557</w:t>
            </w:r>
          </w:p>
        </w:tc>
        <w:tc>
          <w:tcPr>
            <w:tcW w:type="dxa" w:w="2016"/>
          </w:tcPr>
          <w:p>
            <w:pPr>
              <w:spacing w:after="20"/>
              <w:jc w:val="right"/>
            </w:pPr>
            <w:r>
              <w:rPr>
                <w:color w:val="1C3A36"/>
                <w:sz w:val="16"/>
              </w:rPr>
              <w:t>1,387</w:t>
            </w:r>
          </w:p>
        </w:tc>
        <w:tc>
          <w:tcPr>
            <w:tcW w:type="dxa" w:w="2016"/>
          </w:tcPr>
          <w:p>
            <w:pPr>
              <w:spacing w:after="20"/>
              <w:jc w:val="right"/>
            </w:pPr>
            <w:r>
              <w:rPr>
                <w:color w:val="1C3A36"/>
                <w:sz w:val="16"/>
              </w:rPr>
              <w:t>538</w:t>
            </w:r>
          </w:p>
        </w:tc>
      </w:tr>
      <w:tr>
        <w:trPr>
          <w:cantSplit/>
        </w:trPr>
        <w:tc>
          <w:tcPr>
            <w:tcW w:type="dxa" w:w="3744"/>
            <w:shd w:val="clear" w:color="auto" w:fill="F6F1E6"/>
          </w:tcPr>
          <w:p>
            <w:pPr>
              <w:spacing w:after="20"/>
            </w:pPr>
            <w:r>
              <w:rPr>
                <w:b/>
                <w:color w:val="1C3A36"/>
                <w:sz w:val="16"/>
              </w:rPr>
              <w:t>Gross profit — high of the range</w:t>
            </w:r>
          </w:p>
        </w:tc>
        <w:tc>
          <w:tcPr>
            <w:tcW w:type="dxa" w:w="2016"/>
            <w:shd w:val="clear" w:color="auto" w:fill="F6F1E6"/>
          </w:tcPr>
          <w:p>
            <w:pPr>
              <w:spacing w:after="20"/>
              <w:jc w:val="right"/>
            </w:pPr>
            <w:r>
              <w:rPr>
                <w:b/>
                <w:color w:val="1C3A36"/>
                <w:sz w:val="16"/>
              </w:rPr>
              <w:t>11,914</w:t>
            </w:r>
          </w:p>
        </w:tc>
        <w:tc>
          <w:tcPr>
            <w:tcW w:type="dxa" w:w="2016"/>
            <w:shd w:val="clear" w:color="auto" w:fill="F6F1E6"/>
          </w:tcPr>
          <w:p>
            <w:pPr>
              <w:spacing w:after="20"/>
              <w:jc w:val="right"/>
            </w:pPr>
            <w:r>
              <w:rPr>
                <w:b/>
                <w:color w:val="1C3A36"/>
                <w:sz w:val="16"/>
              </w:rPr>
              <w:t>11,170</w:t>
            </w:r>
          </w:p>
        </w:tc>
        <w:tc>
          <w:tcPr>
            <w:tcW w:type="dxa" w:w="2016"/>
            <w:shd w:val="clear" w:color="auto" w:fill="F6F1E6"/>
          </w:tcPr>
          <w:p>
            <w:pPr>
              <w:spacing w:after="20"/>
              <w:jc w:val="right"/>
            </w:pPr>
            <w:r>
              <w:rPr>
                <w:b/>
                <w:color w:val="1C3A36"/>
                <w:sz w:val="16"/>
              </w:rPr>
              <w:t>8,565</w:t>
            </w:r>
          </w:p>
        </w:tc>
      </w:tr>
      <w:tr>
        <w:trPr>
          <w:cantSplit/>
        </w:trPr>
        <w:tc>
          <w:tcPr>
            <w:tcW w:type="dxa" w:w="3744"/>
          </w:tcPr>
          <w:p>
            <w:pPr>
              <w:spacing w:after="20"/>
            </w:pPr>
            <w:r>
              <w:rPr>
                <w:color w:val="1C3A36"/>
                <w:sz w:val="16"/>
              </w:rPr>
              <w:t>Tested cases behind the revenue band</w:t>
            </w:r>
          </w:p>
        </w:tc>
        <w:tc>
          <w:tcPr>
            <w:tcW w:type="dxa" w:w="2016"/>
          </w:tcPr>
          <w:p>
            <w:pPr>
              <w:spacing w:after="20"/>
              <w:jc w:val="right"/>
            </w:pPr>
            <w:r>
              <w:rPr>
                <w:color w:val="1C3A36"/>
                <w:sz w:val="16"/>
              </w:rPr>
              <w:t>11</w:t>
            </w:r>
          </w:p>
        </w:tc>
        <w:tc>
          <w:tcPr>
            <w:tcW w:type="dxa" w:w="2016"/>
          </w:tcPr>
          <w:p>
            <w:pPr>
              <w:spacing w:after="20"/>
              <w:jc w:val="right"/>
            </w:pPr>
            <w:r>
              <w:rPr>
                <w:color w:val="1C3A36"/>
                <w:sz w:val="16"/>
              </w:rPr>
              <w:t>10</w:t>
            </w:r>
          </w:p>
        </w:tc>
        <w:tc>
          <w:tcPr>
            <w:tcW w:type="dxa" w:w="2016"/>
          </w:tcPr>
          <w:p>
            <w:pPr>
              <w:spacing w:after="20"/>
              <w:jc w:val="right"/>
            </w:pPr>
            <w:r>
              <w:rPr>
                <w:color w:val="1C3A36"/>
                <w:sz w:val="16"/>
              </w:rPr>
              <w:t>9</w:t>
            </w:r>
          </w:p>
        </w:tc>
      </w:tr>
      <w:tr>
        <w:trPr>
          <w:cantSplit/>
        </w:trPr>
        <w:tc>
          <w:tcPr>
            <w:tcW w:type="dxa" w:w="3744"/>
          </w:tcPr>
          <w:p>
            <w:pPr>
              <w:spacing w:after="20"/>
            </w:pPr>
            <w:r>
              <w:rPr>
                <w:color w:val="1C3A36"/>
                <w:sz w:val="16"/>
              </w:rPr>
              <w:t>Tested cases behind the gross-profit band</w:t>
            </w:r>
          </w:p>
        </w:tc>
        <w:tc>
          <w:tcPr>
            <w:tcW w:type="dxa" w:w="2016"/>
          </w:tcPr>
          <w:p>
            <w:pPr>
              <w:spacing w:after="20"/>
              <w:jc w:val="right"/>
            </w:pPr>
            <w:r>
              <w:rPr>
                <w:color w:val="1C3A36"/>
                <w:sz w:val="16"/>
              </w:rPr>
              <w:t>6</w:t>
            </w:r>
          </w:p>
        </w:tc>
        <w:tc>
          <w:tcPr>
            <w:tcW w:type="dxa" w:w="2016"/>
          </w:tcPr>
          <w:p>
            <w:pPr>
              <w:spacing w:after="20"/>
              <w:jc w:val="right"/>
            </w:pPr>
            <w:r>
              <w:rPr>
                <w:color w:val="1C3A36"/>
                <w:sz w:val="16"/>
              </w:rPr>
              <w:t>5</w:t>
            </w:r>
          </w:p>
        </w:tc>
        <w:tc>
          <w:tcPr>
            <w:tcW w:type="dxa" w:w="2016"/>
          </w:tcPr>
          <w:p>
            <w:pPr>
              <w:spacing w:after="20"/>
              <w:jc w:val="right"/>
            </w:pPr>
            <w:r>
              <w:rPr>
                <w:color w:val="1C3A36"/>
                <w:sz w:val="16"/>
              </w:rPr>
              <w:t>5</w:t>
            </w:r>
          </w:p>
        </w:tc>
      </w:tr>
    </w:tbl>
    <w:p>
      <w:pPr>
        <w:spacing w:after="40"/>
      </w:pPr>
    </w:p>
    <w:p>
      <w:pPr>
        <w:spacing w:after="200" w:before="0"/>
      </w:pPr>
      <w:r>
        <w:rPr>
          <w:b w:val="0"/>
          <w:i/>
          <w:color w:val="6E7B77"/>
          <w:sz w:val="17"/>
        </w:rPr>
        <w:t>Table 29.  The multipliers come from projecting this company's own past, year-end by year-end, with the same rules and scoring each projection against what was later reported. A range that runs from a tenth of the point to above it is not a forecast of collapse; it is a measurement of how little a mechanical method knew, three years out, about a company that replaced its plant, floated its currency and tripled its output inside the tested window. The far years of any projection of this company support a range and never a point, and the fair-value field in the summary already spans that width.</w:t>
      </w:r>
    </w:p>
    <w:p>
      <w:pPr>
        <w:keepNext/>
        <w:spacing w:after="120" w:before="280"/>
      </w:pPr>
      <w:r>
        <w:rPr>
          <w:b/>
          <w:i w:val="0"/>
          <w:color w:val="1C3A36"/>
          <w:sz w:val="30"/>
        </w:rPr>
        <w:t>Appendix B  Peer frame, risk register and the research register</w:t>
      </w:r>
    </w:p>
    <w:p>
      <w:pPr>
        <w:keepNext/>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96"/>
        <w:gridCol w:w="1800"/>
        <w:gridCol w:w="4176"/>
      </w:tblGrid>
      <w:tr>
        <w:trPr>
          <w:cantSplit/>
          <w:tblHeader/>
        </w:trPr>
        <w:tc>
          <w:tcPr>
            <w:tcW w:type="dxa" w:w="2664"/>
            <w:shd w:val="clear" w:color="auto" w:fill="EAF0EE"/>
          </w:tcPr>
          <w:p>
            <w:pPr>
              <w:spacing w:after="20"/>
            </w:pPr>
            <w:r>
              <w:rPr>
                <w:b/>
                <w:color w:val="1C3A36"/>
                <w:sz w:val="16"/>
              </w:rPr>
              <w:t>Company</w:t>
            </w:r>
          </w:p>
        </w:tc>
        <w:tc>
          <w:tcPr>
            <w:tcW w:type="dxa" w:w="1296"/>
            <w:shd w:val="clear" w:color="auto" w:fill="EAF0EE"/>
          </w:tcPr>
          <w:p>
            <w:pPr>
              <w:spacing w:after="20"/>
            </w:pPr>
            <w:r>
              <w:rPr>
                <w:b/>
                <w:color w:val="1C3A36"/>
                <w:sz w:val="16"/>
              </w:rPr>
              <w:t>Market</w:t>
            </w:r>
          </w:p>
        </w:tc>
        <w:tc>
          <w:tcPr>
            <w:tcW w:type="dxa" w:w="1800"/>
            <w:shd w:val="clear" w:color="auto" w:fill="EAF0EE"/>
          </w:tcPr>
          <w:p>
            <w:pPr>
              <w:spacing w:after="20"/>
            </w:pPr>
            <w:r>
              <w:rPr>
                <w:b/>
                <w:color w:val="1C3A36"/>
                <w:sz w:val="16"/>
              </w:rPr>
              <w:t>Urea capacity (kt/yr)</w:t>
            </w:r>
          </w:p>
        </w:tc>
        <w:tc>
          <w:tcPr>
            <w:tcW w:type="dxa" w:w="4176"/>
            <w:shd w:val="clear" w:color="auto" w:fill="EAF0EE"/>
          </w:tcPr>
          <w:p>
            <w:pPr>
              <w:spacing w:after="20"/>
            </w:pPr>
            <w:r>
              <w:rPr>
                <w:b/>
                <w:color w:val="1C3A36"/>
                <w:sz w:val="16"/>
              </w:rPr>
              <w:t>Why it matters here</w:t>
            </w:r>
          </w:p>
        </w:tc>
      </w:tr>
      <w:tr>
        <w:trPr>
          <w:cantSplit/>
        </w:trPr>
        <w:tc>
          <w:tcPr>
            <w:tcW w:type="dxa" w:w="2664"/>
          </w:tcPr>
          <w:p>
            <w:pPr>
              <w:spacing w:after="20"/>
            </w:pPr>
            <w:r>
              <w:rPr>
                <w:color w:val="1C3A36"/>
                <w:sz w:val="16"/>
              </w:rPr>
              <w:t>Egyptian Chemical Industries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575</w:t>
            </w:r>
          </w:p>
        </w:tc>
        <w:tc>
          <w:tcPr>
            <w:tcW w:type="dxa" w:w="4176"/>
          </w:tcPr>
          <w:p>
            <w:pPr>
              <w:spacing w:after="20"/>
            </w:pPr>
            <w:r>
              <w:rPr>
                <w:color w:val="1C3A36"/>
                <w:sz w:val="16"/>
              </w:rPr>
              <w:t>The subject. The only Egyptian nitrogen producer off the coast, which is why freight to port is its own disclosed cost line.</w:t>
            </w:r>
          </w:p>
        </w:tc>
      </w:tr>
      <w:tr>
        <w:trPr>
          <w:cantSplit/>
        </w:trPr>
        <w:tc>
          <w:tcPr>
            <w:tcW w:type="dxa" w:w="2664"/>
          </w:tcPr>
          <w:p>
            <w:pPr>
              <w:spacing w:after="20"/>
            </w:pPr>
            <w:r>
              <w:rPr>
                <w:color w:val="1C3A36"/>
                <w:sz w:val="16"/>
              </w:rPr>
              <w:t>Abu Qir Fertilizers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2,000</w:t>
            </w:r>
          </w:p>
        </w:tc>
        <w:tc>
          <w:tcPr>
            <w:tcW w:type="dxa" w:w="4176"/>
          </w:tcPr>
          <w:p>
            <w:pPr>
              <w:spacing w:after="20"/>
            </w:pPr>
            <w:r>
              <w:rPr>
                <w:color w:val="1C3A36"/>
                <w:sz w:val="16"/>
              </w:rPr>
              <w:t>The listed comparator, and the marketer of the subject's ammonia exports for a fee of 12% of the export price. The subject held 2.7% of it and began selling down.</w:t>
            </w:r>
          </w:p>
        </w:tc>
      </w:tr>
      <w:tr>
        <w:trPr>
          <w:cantSplit/>
        </w:trPr>
        <w:tc>
          <w:tcPr>
            <w:tcW w:type="dxa" w:w="2664"/>
          </w:tcPr>
          <w:p>
            <w:pPr>
              <w:spacing w:after="20"/>
            </w:pPr>
            <w:r>
              <w:rPr>
                <w:color w:val="1C3A36"/>
                <w:sz w:val="16"/>
              </w:rPr>
              <w:t>MOPCO</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1,800</w:t>
            </w:r>
          </w:p>
        </w:tc>
        <w:tc>
          <w:tcPr>
            <w:tcW w:type="dxa" w:w="4176"/>
          </w:tcPr>
          <w:p>
            <w:pPr>
              <w:spacing w:after="20"/>
            </w:pPr>
            <w:r>
              <w:rPr>
                <w:color w:val="1C3A36"/>
                <w:sz w:val="16"/>
              </w:rPr>
              <w:t>Curtailed alongside the rest of the industry in the 2026 gas squeeze; the subject's own urea is warehoused at Damietta for export.</w:t>
            </w:r>
          </w:p>
        </w:tc>
      </w:tr>
      <w:tr>
        <w:trPr>
          <w:cantSplit/>
        </w:trPr>
        <w:tc>
          <w:tcPr>
            <w:tcW w:type="dxa" w:w="2664"/>
          </w:tcPr>
          <w:p>
            <w:pPr>
              <w:spacing w:after="20"/>
            </w:pPr>
            <w:r>
              <w:rPr>
                <w:color w:val="1C3A36"/>
                <w:sz w:val="16"/>
              </w:rPr>
              <w:t>Helwan Fertilizers and NCIC</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1,300</w:t>
            </w:r>
          </w:p>
        </w:tc>
        <w:tc>
          <w:tcPr>
            <w:tcW w:type="dxa" w:w="4176"/>
          </w:tcPr>
          <w:p>
            <w:pPr>
              <w:spacing w:after="20"/>
            </w:pPr>
            <w:r>
              <w:rPr>
                <w:color w:val="1C3A36"/>
                <w:sz w:val="16"/>
              </w:rPr>
              <w:t>Completes the supply picture against which the export share is allocated.</w:t>
            </w:r>
          </w:p>
        </w:tc>
      </w:tr>
    </w:tbl>
    <w:p>
      <w:pPr>
        <w:spacing w:after="40"/>
      </w:pPr>
    </w:p>
    <w:p>
      <w:pPr>
        <w:keepNext/>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752"/>
        <w:gridCol w:w="3168"/>
      </w:tblGrid>
      <w:tr>
        <w:trPr>
          <w:cantSplit/>
          <w:tblHeader/>
        </w:trPr>
        <w:tc>
          <w:tcPr>
            <w:tcW w:type="dxa" w:w="2160"/>
            <w:shd w:val="clear" w:color="auto" w:fill="EAF0EE"/>
          </w:tcPr>
          <w:p>
            <w:pPr>
              <w:spacing w:after="20"/>
            </w:pPr>
            <w:r>
              <w:rPr>
                <w:b/>
                <w:color w:val="1C3A36"/>
                <w:sz w:val="16"/>
              </w:rPr>
              <w:t>Risk</w:t>
            </w:r>
          </w:p>
        </w:tc>
        <w:tc>
          <w:tcPr>
            <w:tcW w:type="dxa" w:w="4752"/>
            <w:shd w:val="clear" w:color="auto" w:fill="EAF0EE"/>
          </w:tcPr>
          <w:p>
            <w:pPr>
              <w:spacing w:after="20"/>
            </w:pPr>
            <w:r>
              <w:rPr>
                <w:b/>
                <w:color w:val="1C3A36"/>
                <w:sz w:val="16"/>
              </w:rPr>
              <w:t>How it shows up in the numbers</w:t>
            </w:r>
          </w:p>
        </w:tc>
        <w:tc>
          <w:tcPr>
            <w:tcW w:type="dxa" w:w="3168"/>
            <w:shd w:val="clear" w:color="auto" w:fill="EAF0EE"/>
          </w:tcPr>
          <w:p>
            <w:pPr>
              <w:spacing w:after="20"/>
            </w:pPr>
            <w:r>
              <w:rPr>
                <w:b/>
                <w:color w:val="1C3A36"/>
                <w:sz w:val="16"/>
              </w:rPr>
              <w:t>Where it is carried</w:t>
            </w:r>
          </w:p>
        </w:tc>
      </w:tr>
      <w:tr>
        <w:trPr>
          <w:cantSplit/>
        </w:trPr>
        <w:tc>
          <w:tcPr>
            <w:tcW w:type="dxa" w:w="2160"/>
          </w:tcPr>
          <w:p>
            <w:pPr>
              <w:spacing w:after="20"/>
            </w:pPr>
            <w:r>
              <w:rPr>
                <w:color w:val="1C3A36"/>
                <w:sz w:val="16"/>
              </w:rPr>
              <w:t>Gas curtailment</w:t>
            </w:r>
          </w:p>
        </w:tc>
        <w:tc>
          <w:tcPr>
            <w:tcW w:type="dxa" w:w="4752"/>
          </w:tcPr>
          <w:p>
            <w:pPr>
              <w:spacing w:after="20"/>
            </w:pPr>
            <w:r>
              <w:rPr>
                <w:color w:val="1C3A36"/>
                <w:sz w:val="16"/>
              </w:rPr>
              <w:t>EGP 164.5 million of stoppage cost in FY2024/25 and about EGP 781 million of abnormal gas loss cumulatively since July 2022</w:t>
            </w:r>
          </w:p>
        </w:tc>
        <w:tc>
          <w:tcPr>
            <w:tcW w:type="dxa" w:w="3168"/>
          </w:tcPr>
          <w:p>
            <w:pPr>
              <w:spacing w:after="20"/>
            </w:pPr>
            <w:r>
              <w:rPr>
                <w:color w:val="1C3A36"/>
                <w:sz w:val="16"/>
              </w:rPr>
              <w:t>Utilisation path and a standing stoppage line</w:t>
            </w:r>
          </w:p>
        </w:tc>
      </w:tr>
      <w:tr>
        <w:trPr>
          <w:cantSplit/>
        </w:trPr>
        <w:tc>
          <w:tcPr>
            <w:tcW w:type="dxa" w:w="2160"/>
          </w:tcPr>
          <w:p>
            <w:pPr>
              <w:spacing w:after="20"/>
            </w:pPr>
            <w:r>
              <w:rPr>
                <w:color w:val="1C3A36"/>
                <w:sz w:val="16"/>
              </w:rPr>
              <w:t>Currency</w:t>
            </w:r>
          </w:p>
        </w:tc>
        <w:tc>
          <w:tcPr>
            <w:tcW w:type="dxa" w:w="4752"/>
          </w:tcPr>
          <w:p>
            <w:pPr>
              <w:spacing w:after="20"/>
            </w:pPr>
            <w:r>
              <w:rPr>
                <w:color w:val="1C3A36"/>
                <w:sz w:val="16"/>
              </w:rPr>
              <w:t>A EGP 1,072 million translation loss in nine months on an almost entirely dollar debt book</w:t>
            </w:r>
          </w:p>
        </w:tc>
        <w:tc>
          <w:tcPr>
            <w:tcW w:type="dxa" w:w="3168"/>
          </w:tcPr>
          <w:p>
            <w:pPr>
              <w:spacing w:after="20"/>
            </w:pPr>
            <w:r>
              <w:rPr>
                <w:color w:val="1C3A36"/>
                <w:sz w:val="16"/>
              </w:rPr>
              <w:t>The cost of debt and the currency path</w:t>
            </w:r>
          </w:p>
        </w:tc>
      </w:tr>
      <w:tr>
        <w:trPr>
          <w:cantSplit/>
        </w:trPr>
        <w:tc>
          <w:tcPr>
            <w:tcW w:type="dxa" w:w="2160"/>
          </w:tcPr>
          <w:p>
            <w:pPr>
              <w:spacing w:after="20"/>
            </w:pPr>
            <w:r>
              <w:rPr>
                <w:color w:val="1C3A36"/>
                <w:sz w:val="16"/>
              </w:rPr>
              <w:t>The capital programme</w:t>
            </w:r>
          </w:p>
        </w:tc>
        <w:tc>
          <w:tcPr>
            <w:tcW w:type="dxa" w:w="4752"/>
          </w:tcPr>
          <w:p>
            <w:pPr>
              <w:spacing w:after="20"/>
            </w:pPr>
            <w:r>
              <w:rPr>
                <w:color w:val="1C3A36"/>
                <w:sz w:val="16"/>
              </w:rPr>
              <w:t>Approved cost about three quarters of market value, 12.9% built against a 37% plan</w:t>
            </w:r>
          </w:p>
        </w:tc>
        <w:tc>
          <w:tcPr>
            <w:tcW w:type="dxa" w:w="3168"/>
          </w:tcPr>
          <w:p>
            <w:pPr>
              <w:spacing w:after="20"/>
            </w:pPr>
            <w:r>
              <w:rPr>
                <w:color w:val="1C3A36"/>
                <w:sz w:val="16"/>
              </w:rPr>
              <w:t>The contested judgement, computed both ways</w:t>
            </w:r>
          </w:p>
        </w:tc>
      </w:tr>
      <w:tr>
        <w:trPr>
          <w:cantSplit/>
        </w:trPr>
        <w:tc>
          <w:tcPr>
            <w:tcW w:type="dxa" w:w="2160"/>
          </w:tcPr>
          <w:p>
            <w:pPr>
              <w:spacing w:after="20"/>
            </w:pPr>
            <w:r>
              <w:rPr>
                <w:color w:val="1C3A36"/>
                <w:sz w:val="16"/>
              </w:rPr>
              <w:t>Administered pricing</w:t>
            </w:r>
          </w:p>
        </w:tc>
        <w:tc>
          <w:tcPr>
            <w:tcW w:type="dxa" w:w="4752"/>
          </w:tcPr>
          <w:p>
            <w:pPr>
              <w:spacing w:after="20"/>
            </w:pPr>
            <w:r>
              <w:rPr>
                <w:color w:val="1C3A36"/>
                <w:sz w:val="16"/>
              </w:rPr>
              <w:t>An export levy of EGP 438 million charged on the quota shortfall in one year</w:t>
            </w:r>
          </w:p>
        </w:tc>
        <w:tc>
          <w:tcPr>
            <w:tcW w:type="dxa" w:w="3168"/>
          </w:tcPr>
          <w:p>
            <w:pPr>
              <w:spacing w:after="20"/>
            </w:pPr>
            <w:r>
              <w:rPr>
                <w:color w:val="1C3A36"/>
                <w:sz w:val="16"/>
              </w:rPr>
              <w:t>Channel mix and the duty</w:t>
            </w:r>
          </w:p>
        </w:tc>
      </w:tr>
      <w:tr>
        <w:trPr>
          <w:cantSplit/>
        </w:trPr>
        <w:tc>
          <w:tcPr>
            <w:tcW w:type="dxa" w:w="2160"/>
          </w:tcPr>
          <w:p>
            <w:pPr>
              <w:spacing w:after="20"/>
            </w:pPr>
            <w:r>
              <w:rPr>
                <w:color w:val="1C3A36"/>
                <w:sz w:val="16"/>
              </w:rPr>
              <w:t>Governance</w:t>
            </w:r>
          </w:p>
        </w:tc>
        <w:tc>
          <w:tcPr>
            <w:tcW w:type="dxa" w:w="4752"/>
          </w:tcPr>
          <w:p>
            <w:pPr>
              <w:spacing w:after="20"/>
            </w:pPr>
            <w:r>
              <w:rPr>
                <w:color w:val="1C3A36"/>
                <w:sz w:val="16"/>
              </w:rPr>
              <w:t>A holding-company committee finding severe deficiencies in the project award process</w:t>
            </w:r>
          </w:p>
        </w:tc>
        <w:tc>
          <w:tcPr>
            <w:tcW w:type="dxa" w:w="3168"/>
          </w:tcPr>
          <w:p>
            <w:pPr>
              <w:spacing w:after="20"/>
            </w:pPr>
            <w:r>
              <w:rPr>
                <w:color w:val="1C3A36"/>
                <w:sz w:val="16"/>
              </w:rPr>
              <w:t>The haircut in the asset-based expert's range</w:t>
            </w:r>
          </w:p>
        </w:tc>
      </w:tr>
      <w:tr>
        <w:trPr>
          <w:cantSplit/>
        </w:trPr>
        <w:tc>
          <w:tcPr>
            <w:tcW w:type="dxa" w:w="2160"/>
          </w:tcPr>
          <w:p>
            <w:pPr>
              <w:spacing w:after="20"/>
            </w:pPr>
            <w:r>
              <w:rPr>
                <w:color w:val="1C3A36"/>
                <w:sz w:val="16"/>
              </w:rPr>
              <w:t>Concentration</w:t>
            </w:r>
          </w:p>
        </w:tc>
        <w:tc>
          <w:tcPr>
            <w:tcW w:type="dxa" w:w="4752"/>
          </w:tcPr>
          <w:p>
            <w:pPr>
              <w:spacing w:after="20"/>
            </w:pPr>
            <w:r>
              <w:rPr>
                <w:color w:val="1C3A36"/>
                <w:sz w:val="16"/>
              </w:rPr>
              <w:t>One product, one site, one feedstock, one offtake counterparty for about two thirds of production</w:t>
            </w:r>
          </w:p>
        </w:tc>
        <w:tc>
          <w:tcPr>
            <w:tcW w:type="dxa" w:w="3168"/>
          </w:tcPr>
          <w:p>
            <w:pPr>
              <w:spacing w:after="20"/>
            </w:pPr>
            <w:r>
              <w:rPr>
                <w:color w:val="1C3A36"/>
                <w:sz w:val="16"/>
              </w:rPr>
              <w:t>Not diversifiable — stated, not modelled</w:t>
            </w:r>
          </w:p>
        </w:tc>
      </w:tr>
      <w:tr>
        <w:trPr>
          <w:cantSplit/>
        </w:trPr>
        <w:tc>
          <w:tcPr>
            <w:tcW w:type="dxa" w:w="2160"/>
          </w:tcPr>
          <w:p>
            <w:pPr>
              <w:spacing w:after="20"/>
            </w:pPr>
            <w:r>
              <w:rPr>
                <w:color w:val="1C3A36"/>
                <w:sz w:val="16"/>
              </w:rPr>
              <w:t>Liquidity</w:t>
            </w:r>
          </w:p>
        </w:tc>
        <w:tc>
          <w:tcPr>
            <w:tcW w:type="dxa" w:w="4752"/>
          </w:tcPr>
          <w:p>
            <w:pPr>
              <w:spacing w:after="20"/>
            </w:pPr>
            <w:r>
              <w:rPr>
                <w:color w:val="1C3A36"/>
                <w:sz w:val="16"/>
              </w:rPr>
              <w:t>A free float of 6.2%</w:t>
            </w:r>
          </w:p>
        </w:tc>
        <w:tc>
          <w:tcPr>
            <w:tcW w:type="dxa" w:w="3168"/>
          </w:tcPr>
          <w:p>
            <w:pPr>
              <w:spacing w:after="20"/>
            </w:pPr>
            <w:r>
              <w:rPr>
                <w:color w:val="1C3A36"/>
                <w:sz w:val="16"/>
              </w:rPr>
              <w:t>Stated; no model adjustment</w:t>
            </w:r>
          </w:p>
        </w:tc>
      </w:tr>
    </w:tbl>
    <w:p>
      <w:pPr>
        <w:spacing w:after="40"/>
      </w:pPr>
    </w:p>
    <w:p>
      <w:pPr>
        <w:keepNext/>
        <w:spacing w:after="80" w:before="200"/>
      </w:pPr>
      <w:r>
        <w:rPr>
          <w:b/>
          <w:i w:val="0"/>
          <w:color w:val="1C3A36"/>
          <w:sz w:val="24"/>
        </w:rPr>
        <w:t>B.3  The research register — layers, dated, negative results included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152"/>
        <w:gridCol w:w="6624"/>
        <w:gridCol w:w="2304"/>
      </w:tblGrid>
      <w:tr>
        <w:trPr>
          <w:cantSplit/>
          <w:tblHeader/>
        </w:trPr>
        <w:tc>
          <w:tcPr>
            <w:tcW w:type="dxa" w:w="1152"/>
            <w:shd w:val="clear" w:color="auto" w:fill="EAF0EE"/>
          </w:tcPr>
          <w:p>
            <w:pPr>
              <w:spacing w:after="20"/>
            </w:pPr>
            <w:r>
              <w:rPr>
                <w:b/>
                <w:color w:val="1C3A36"/>
                <w:sz w:val="17"/>
              </w:rPr>
              <w:t>Layer</w:t>
            </w:r>
          </w:p>
        </w:tc>
        <w:tc>
          <w:tcPr>
            <w:tcW w:type="dxa" w:w="6624"/>
            <w:shd w:val="clear" w:color="auto" w:fill="EAF0EE"/>
          </w:tcPr>
          <w:p>
            <w:pPr>
              <w:spacing w:after="20"/>
            </w:pPr>
            <w:r>
              <w:rPr>
                <w:b/>
                <w:color w:val="1C3A36"/>
                <w:sz w:val="17"/>
              </w:rPr>
              <w:t>What it covers</w:t>
            </w:r>
          </w:p>
        </w:tc>
        <w:tc>
          <w:tcPr>
            <w:tcW w:type="dxa" w:w="2304"/>
            <w:shd w:val="clear" w:color="auto" w:fill="EAF0EE"/>
          </w:tcPr>
          <w:p>
            <w:pPr>
              <w:spacing w:after="20"/>
            </w:pPr>
            <w:r>
              <w:rPr>
                <w:b/>
                <w:color w:val="1C3A36"/>
                <w:sz w:val="17"/>
              </w:rPr>
              <w:t>Inputs</w:t>
            </w:r>
          </w:p>
        </w:tc>
      </w:tr>
      <w:tr>
        <w:trPr>
          <w:cantSplit/>
        </w:trPr>
        <w:tc>
          <w:tcPr>
            <w:tcW w:type="dxa" w:w="1152"/>
          </w:tcPr>
          <w:p>
            <w:pPr>
              <w:spacing w:after="20"/>
            </w:pPr>
            <w:r>
              <w:rPr>
                <w:color w:val="1C3A36"/>
                <w:sz w:val="17"/>
              </w:rPr>
              <w:t>L1</w:t>
            </w:r>
          </w:p>
        </w:tc>
        <w:tc>
          <w:tcPr>
            <w:tcW w:type="dxa" w:w="6624"/>
          </w:tcPr>
          <w:p>
            <w:pPr>
              <w:spacing w:after="20"/>
            </w:pPr>
            <w:r>
              <w:rPr>
                <w:color w:val="1C3A36"/>
                <w:sz w:val="17"/>
              </w:rPr>
              <w:t>Primary filing — the company's own statements</w:t>
            </w:r>
          </w:p>
        </w:tc>
        <w:tc>
          <w:tcPr>
            <w:tcW w:type="dxa" w:w="2304"/>
          </w:tcPr>
          <w:p>
            <w:pPr>
              <w:spacing w:after="20"/>
              <w:jc w:val="right"/>
            </w:pPr>
            <w:r>
              <w:rPr>
                <w:color w:val="1C3A36"/>
                <w:sz w:val="17"/>
              </w:rPr>
              <w:t>188</w:t>
            </w:r>
          </w:p>
        </w:tc>
      </w:tr>
      <w:tr>
        <w:trPr>
          <w:cantSplit/>
        </w:trPr>
        <w:tc>
          <w:tcPr>
            <w:tcW w:type="dxa" w:w="1152"/>
          </w:tcPr>
          <w:p>
            <w:pPr>
              <w:spacing w:after="20"/>
            </w:pPr>
            <w:r>
              <w:rPr>
                <w:color w:val="1C3A36"/>
                <w:sz w:val="17"/>
              </w:rPr>
              <w:t>L2</w:t>
            </w:r>
          </w:p>
        </w:tc>
        <w:tc>
          <w:tcPr>
            <w:tcW w:type="dxa" w:w="6624"/>
          </w:tcPr>
          <w:p>
            <w:pPr>
              <w:spacing w:after="20"/>
            </w:pPr>
            <w:r>
              <w:rPr>
                <w:color w:val="1C3A36"/>
                <w:sz w:val="17"/>
              </w:rPr>
              <w:t>Primary market data</w:t>
            </w:r>
          </w:p>
        </w:tc>
        <w:tc>
          <w:tcPr>
            <w:tcW w:type="dxa" w:w="2304"/>
          </w:tcPr>
          <w:p>
            <w:pPr>
              <w:spacing w:after="20"/>
              <w:jc w:val="right"/>
            </w:pPr>
            <w:r>
              <w:rPr>
                <w:color w:val="1C3A36"/>
                <w:sz w:val="17"/>
              </w:rPr>
              <w:t>14</w:t>
            </w:r>
          </w:p>
        </w:tc>
      </w:tr>
      <w:tr>
        <w:trPr>
          <w:cantSplit/>
        </w:trPr>
        <w:tc>
          <w:tcPr>
            <w:tcW w:type="dxa" w:w="1152"/>
          </w:tcPr>
          <w:p>
            <w:pPr>
              <w:spacing w:after="20"/>
            </w:pPr>
            <w:r>
              <w:rPr>
                <w:color w:val="1C3A36"/>
                <w:sz w:val="17"/>
              </w:rPr>
              <w:t>L3</w:t>
            </w:r>
          </w:p>
        </w:tc>
        <w:tc>
          <w:tcPr>
            <w:tcW w:type="dxa" w:w="6624"/>
          </w:tcPr>
          <w:p>
            <w:pPr>
              <w:spacing w:after="20"/>
            </w:pPr>
            <w:r>
              <w:rPr>
                <w:color w:val="1C3A36"/>
                <w:sz w:val="17"/>
              </w:rPr>
              <w:t>Official external (regulator, central bank, government)</w:t>
            </w:r>
          </w:p>
        </w:tc>
        <w:tc>
          <w:tcPr>
            <w:tcW w:type="dxa" w:w="2304"/>
          </w:tcPr>
          <w:p>
            <w:pPr>
              <w:spacing w:after="20"/>
              <w:jc w:val="right"/>
            </w:pPr>
            <w:r>
              <w:rPr>
                <w:color w:val="1C3A36"/>
                <w:sz w:val="17"/>
              </w:rPr>
              <w:t>12</w:t>
            </w:r>
          </w:p>
        </w:tc>
      </w:tr>
      <w:tr>
        <w:trPr>
          <w:cantSplit/>
        </w:trPr>
        <w:tc>
          <w:tcPr>
            <w:tcW w:type="dxa" w:w="1152"/>
          </w:tcPr>
          <w:p>
            <w:pPr>
              <w:spacing w:after="20"/>
            </w:pPr>
            <w:r>
              <w:rPr>
                <w:color w:val="1C3A36"/>
                <w:sz w:val="17"/>
              </w:rPr>
              <w:t>L4</w:t>
            </w:r>
          </w:p>
        </w:tc>
        <w:tc>
          <w:tcPr>
            <w:tcW w:type="dxa" w:w="6624"/>
          </w:tcPr>
          <w:p>
            <w:pPr>
              <w:spacing w:after="20"/>
            </w:pPr>
            <w:r>
              <w:rPr>
                <w:color w:val="1C3A36"/>
                <w:sz w:val="17"/>
              </w:rPr>
              <w:t>Industry and sector context</w:t>
            </w:r>
          </w:p>
        </w:tc>
        <w:tc>
          <w:tcPr>
            <w:tcW w:type="dxa" w:w="2304"/>
          </w:tcPr>
          <w:p>
            <w:pPr>
              <w:spacing w:after="20"/>
              <w:jc w:val="right"/>
            </w:pPr>
            <w:r>
              <w:rPr>
                <w:color w:val="1C3A36"/>
                <w:sz w:val="17"/>
              </w:rPr>
              <w:t>21</w:t>
            </w:r>
          </w:p>
        </w:tc>
      </w:tr>
      <w:tr>
        <w:trPr>
          <w:cantSplit/>
        </w:trPr>
        <w:tc>
          <w:tcPr>
            <w:tcW w:type="dxa" w:w="1152"/>
          </w:tcPr>
          <w:p>
            <w:pPr>
              <w:spacing w:after="20"/>
            </w:pPr>
            <w:r>
              <w:rPr>
                <w:color w:val="1C3A36"/>
                <w:sz w:val="17"/>
              </w:rPr>
              <w:t>L5</w:t>
            </w:r>
          </w:p>
        </w:tc>
        <w:tc>
          <w:tcPr>
            <w:tcW w:type="dxa" w:w="6624"/>
          </w:tcPr>
          <w:p>
            <w:pPr>
              <w:spacing w:after="20"/>
            </w:pPr>
            <w:r>
              <w:rPr>
                <w:color w:val="1C3A36"/>
                <w:sz w:val="17"/>
              </w:rPr>
              <w:t>Constructed in this study</w:t>
            </w:r>
          </w:p>
        </w:tc>
        <w:tc>
          <w:tcPr>
            <w:tcW w:type="dxa" w:w="2304"/>
          </w:tcPr>
          <w:p>
            <w:pPr>
              <w:spacing w:after="20"/>
              <w:jc w:val="right"/>
            </w:pPr>
            <w:r>
              <w:rPr>
                <w:color w:val="1C3A36"/>
                <w:sz w:val="17"/>
              </w:rPr>
              <w:t>63</w:t>
            </w:r>
          </w:p>
        </w:tc>
      </w:tr>
      <w:tr>
        <w:trPr>
          <w:cantSplit/>
        </w:trPr>
        <w:tc>
          <w:tcPr>
            <w:tcW w:type="dxa" w:w="1152"/>
            <w:shd w:val="clear" w:color="auto" w:fill="F6F1E6"/>
          </w:tcPr>
          <w:p>
            <w:pPr>
              <w:spacing w:after="20"/>
            </w:pPr>
            <w:r>
              <w:rPr>
                <w:b/>
                <w:color w:val="1C3A36"/>
                <w:sz w:val="17"/>
              </w:rPr>
              <w:t>Total</w:t>
            </w:r>
          </w:p>
        </w:tc>
        <w:tc>
          <w:tcPr>
            <w:tcW w:type="dxa" w:w="6624"/>
            <w:shd w:val="clear" w:color="auto" w:fill="F6F1E6"/>
          </w:tcPr>
          <w:p>
            <w:pPr>
              <w:spacing w:after="20"/>
            </w:pPr>
            <w:r>
              <w:rPr>
                <w:b/>
                <w:color w:val="1C3A36"/>
                <w:sz w:val="17"/>
              </w:rPr>
              <w:t>Every input carries a value, a source, a date and a layer</w:t>
            </w:r>
          </w:p>
        </w:tc>
        <w:tc>
          <w:tcPr>
            <w:tcW w:type="dxa" w:w="2304"/>
            <w:shd w:val="clear" w:color="auto" w:fill="F6F1E6"/>
          </w:tcPr>
          <w:p>
            <w:pPr>
              <w:spacing w:after="20"/>
              <w:jc w:val="right"/>
            </w:pPr>
            <w:r>
              <w:rPr>
                <w:b/>
                <w:color w:val="1C3A36"/>
                <w:sz w:val="17"/>
              </w:rPr>
              <w:t>298</w:t>
            </w:r>
          </w:p>
        </w:tc>
      </w:tr>
    </w:tbl>
    <w:p>
      <w:pPr>
        <w:spacing w:after="40"/>
      </w:pPr>
    </w:p>
    <w:p>
      <w:pPr>
        <w:spacing w:after="200" w:before="0"/>
      </w:pPr>
      <w:r>
        <w:rPr>
          <w:b w:val="0"/>
          <w:i/>
          <w:color w:val="6E7B77"/>
          <w:sz w:val="17"/>
        </w:rPr>
        <w:t>Table 30.  The full register — every input with its value, date and source-and-construction — is printed in the separate bibliography document, together with the judgements table, the negative results and the notes on where a widely quoted third-party figure disagreed with the filings.</w:t>
      </w:r>
    </w:p>
    <w:p>
      <w:pPr>
        <w:keepNext/>
        <w:spacing w:after="120" w:before="280"/>
      </w:pPr>
      <w:r>
        <w:rPr>
          <w:b/>
          <w:i w:val="0"/>
          <w:color w:val="1C3A36"/>
          <w:sz w:val="30"/>
        </w:rPr>
        <w:t>Appendix C  The expert valuation panel</w:t>
      </w:r>
    </w:p>
    <w:p>
      <w:pPr>
        <w:spacing w:after="120" w:before="0"/>
      </w:pPr>
      <w:r>
        <w:rPr>
          <w:b w:val="0"/>
          <w:i w:val="0"/>
          <w:color w:val="1C3A36"/>
          <w:sz w:val="21"/>
        </w:rPr>
        <w:t>Three practitioners were put the same question by genuinely different methods. Each states a worldview, when the method works and when it fails, shows every intermediate line of the arithmetic, names the sensitivity that moves the answer, and commits in advance to what would prove them wrong.</w:t>
      </w:r>
    </w:p>
    <w:p>
      <w:pPr>
        <w:keepNext/>
        <w:spacing w:after="80" w:before="200"/>
      </w:pPr>
      <w:r>
        <w:rPr>
          <w:b/>
          <w:i w:val="0"/>
          <w:color w:val="1C3A36"/>
          <w:sz w:val="24"/>
        </w:rPr>
        <w:t>C.1  Expert 1 — Replacement cost and asset backing</w:t>
      </w:r>
    </w:p>
    <w:p>
      <w:pPr>
        <w:spacing w:after="120" w:before="0"/>
      </w:pPr>
      <w:r>
        <w:rPr>
          <w:b w:val="0"/>
          <w:i w:val="0"/>
          <w:color w:val="1C3A36"/>
          <w:sz w:val="21"/>
        </w:rPr>
        <w:t>Worldview.  A plant is worth what it would cost to build again, less what is owed against it. Cash flows are a claim on the asset; the asset is the thing.</w:t>
      </w:r>
    </w:p>
    <w:p>
      <w:pPr>
        <w:spacing w:after="120" w:before="0"/>
      </w:pPr>
      <w:r>
        <w:rPr>
          <w:b w:val="0"/>
          <w:i w:val="0"/>
          <w:color w:val="1C3A36"/>
          <w:sz w:val="19"/>
        </w:rPr>
        <w:t>When it works.  When an asset is scarce, hard to permit and expensive to replicate — which a gas-connected nitrogen complex in Egypt certainly is.</w:t>
      </w:r>
    </w:p>
    <w:p>
      <w:pPr>
        <w:spacing w:after="120" w:before="0"/>
      </w:pPr>
      <w:r>
        <w:rPr>
          <w:b w:val="0"/>
          <w:i w:val="0"/>
          <w:color w:val="1C3A36"/>
          <w:sz w:val="19"/>
        </w:rPr>
        <w:t>When it fails.  When the asset cannot earn its keep. Replacement cost sets a ceiling on what a rational buyer pays and says nothing about what an owner receives.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Gross fixed assets at cost</w:t>
            </w:r>
          </w:p>
        </w:tc>
        <w:tc>
          <w:tcPr>
            <w:tcW w:type="dxa" w:w="1944"/>
          </w:tcPr>
          <w:p>
            <w:pPr>
              <w:spacing w:after="20"/>
              <w:jc w:val="right"/>
            </w:pPr>
            <w:r>
              <w:rPr>
                <w:color w:val="1C3A36"/>
                <w:sz w:val="16"/>
              </w:rPr>
              <w:t>17,022</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Less accumulated depreciation</w:t>
            </w:r>
          </w:p>
        </w:tc>
        <w:tc>
          <w:tcPr>
            <w:tcW w:type="dxa" w:w="1944"/>
          </w:tcPr>
          <w:p>
            <w:pPr>
              <w:spacing w:after="20"/>
              <w:jc w:val="right"/>
            </w:pPr>
            <w:r>
              <w:rPr>
                <w:color w:val="1C3A36"/>
                <w:sz w:val="16"/>
              </w:rPr>
              <w:t>-3,435</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Net book value of the operating plant</w:t>
            </w:r>
          </w:p>
        </w:tc>
        <w:tc>
          <w:tcPr>
            <w:tcW w:type="dxa" w:w="1944"/>
          </w:tcPr>
          <w:p>
            <w:pPr>
              <w:spacing w:after="20"/>
              <w:jc w:val="right"/>
            </w:pPr>
            <w:r>
              <w:rPr>
                <w:color w:val="1C3A36"/>
                <w:sz w:val="16"/>
              </w:rPr>
              <w:t>13,587</w:t>
            </w:r>
          </w:p>
        </w:tc>
        <w:tc>
          <w:tcPr>
            <w:tcW w:type="dxa" w:w="3672"/>
          </w:tcPr>
          <w:p>
            <w:pPr>
              <w:spacing w:after="20"/>
            </w:pPr>
            <w:r>
              <w:rPr>
                <w:color w:val="1C3A36"/>
                <w:sz w:val="16"/>
              </w:rPr>
              <w:t>as reported</w:t>
            </w:r>
          </w:p>
        </w:tc>
      </w:tr>
      <w:tr>
        <w:trPr>
          <w:cantSplit/>
        </w:trPr>
        <w:tc>
          <w:tcPr>
            <w:tcW w:type="dxa" w:w="4320"/>
          </w:tcPr>
          <w:p>
            <w:pPr>
              <w:spacing w:after="20"/>
            </w:pPr>
            <w:r>
              <w:rPr>
                <w:color w:val="1C3A36"/>
                <w:sz w:val="16"/>
              </w:rPr>
              <w:t>Urea plate (tonnes a year)</w:t>
            </w:r>
          </w:p>
        </w:tc>
        <w:tc>
          <w:tcPr>
            <w:tcW w:type="dxa" w:w="1944"/>
          </w:tcPr>
          <w:p>
            <w:pPr>
              <w:spacing w:after="20"/>
              <w:jc w:val="right"/>
            </w:pPr>
            <w:r>
              <w:rPr>
                <w:color w:val="1C3A36"/>
                <w:sz w:val="16"/>
              </w:rPr>
              <w:t>574,875</w:t>
            </w:r>
          </w:p>
        </w:tc>
        <w:tc>
          <w:tcPr>
            <w:tcW w:type="dxa" w:w="3672"/>
          </w:tcPr>
          <w:p>
            <w:pPr>
              <w:spacing w:after="20"/>
            </w:pPr>
            <w:r>
              <w:rPr>
                <w:color w:val="1C3A36"/>
                <w:sz w:val="16"/>
              </w:rPr>
              <w:t>1,575 t/day contractual plate</w:t>
            </w:r>
          </w:p>
        </w:tc>
      </w:tr>
      <w:tr>
        <w:trPr>
          <w:cantSplit/>
        </w:trPr>
        <w:tc>
          <w:tcPr>
            <w:tcW w:type="dxa" w:w="4320"/>
          </w:tcPr>
          <w:p>
            <w:pPr>
              <w:spacing w:after="20"/>
            </w:pPr>
            <w:r>
              <w:rPr>
                <w:color w:val="1C3A36"/>
                <w:sz w:val="16"/>
              </w:rPr>
              <w:t>Build cost, low (US$ per annual tonne)</w:t>
            </w:r>
          </w:p>
        </w:tc>
        <w:tc>
          <w:tcPr>
            <w:tcW w:type="dxa" w:w="1944"/>
          </w:tcPr>
          <w:p>
            <w:pPr>
              <w:spacing w:after="20"/>
              <w:jc w:val="right"/>
            </w:pPr>
            <w:r>
              <w:rPr>
                <w:color w:val="1C3A36"/>
                <w:sz w:val="16"/>
              </w:rPr>
              <w:t>550.00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Build cost, high (US$ per annual tonne)</w:t>
            </w:r>
          </w:p>
        </w:tc>
        <w:tc>
          <w:tcPr>
            <w:tcW w:type="dxa" w:w="1944"/>
          </w:tcPr>
          <w:p>
            <w:pPr>
              <w:spacing w:after="20"/>
              <w:jc w:val="right"/>
            </w:pPr>
            <w:r>
              <w:rPr>
                <w:color w:val="1C3A36"/>
                <w:sz w:val="16"/>
              </w:rPr>
              <w:t>700.00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Replacement cost at the low end (EGP m)</w:t>
            </w:r>
          </w:p>
        </w:tc>
        <w:tc>
          <w:tcPr>
            <w:tcW w:type="dxa" w:w="1944"/>
          </w:tcPr>
          <w:p>
            <w:pPr>
              <w:spacing w:after="20"/>
              <w:jc w:val="right"/>
            </w:pPr>
            <w:r>
              <w:rPr>
                <w:color w:val="1C3A36"/>
                <w:sz w:val="16"/>
              </w:rPr>
              <w:t>15,743</w:t>
            </w:r>
          </w:p>
        </w:tc>
        <w:tc>
          <w:tcPr>
            <w:tcW w:type="dxa" w:w="3672"/>
          </w:tcPr>
          <w:p>
            <w:pPr>
              <w:spacing w:after="20"/>
            </w:pPr>
            <w:r>
              <w:rPr>
                <w:color w:val="1C3A36"/>
                <w:sz w:val="16"/>
              </w:rPr>
              <w:t>plate x cost x the rate</w:t>
            </w:r>
          </w:p>
        </w:tc>
      </w:tr>
      <w:tr>
        <w:trPr>
          <w:cantSplit/>
        </w:trPr>
        <w:tc>
          <w:tcPr>
            <w:tcW w:type="dxa" w:w="4320"/>
          </w:tcPr>
          <w:p>
            <w:pPr>
              <w:spacing w:after="20"/>
            </w:pPr>
            <w:r>
              <w:rPr>
                <w:color w:val="1C3A36"/>
                <w:sz w:val="16"/>
              </w:rPr>
              <w:t>Replacement cost at the high end (EGP m)</w:t>
            </w:r>
          </w:p>
        </w:tc>
        <w:tc>
          <w:tcPr>
            <w:tcW w:type="dxa" w:w="1944"/>
          </w:tcPr>
          <w:p>
            <w:pPr>
              <w:spacing w:after="20"/>
              <w:jc w:val="right"/>
            </w:pPr>
            <w:r>
              <w:rPr>
                <w:color w:val="1C3A36"/>
                <w:sz w:val="16"/>
              </w:rPr>
              <w:t>20,036</w:t>
            </w:r>
          </w:p>
        </w:tc>
        <w:tc>
          <w:tcPr>
            <w:tcW w:type="dxa" w:w="3672"/>
          </w:tcPr>
          <w:p>
            <w:pPr>
              <w:spacing w:after="20"/>
            </w:pPr>
            <w:r>
              <w:rPr>
                <w:color w:val="1C3A36"/>
                <w:sz w:val="16"/>
              </w:rPr>
            </w:r>
          </w:p>
        </w:tc>
      </w:tr>
      <w:tr>
        <w:trPr>
          <w:cantSplit/>
        </w:trPr>
        <w:tc>
          <w:tcPr>
            <w:tcW w:type="dxa" w:w="4320"/>
          </w:tcPr>
          <w:p>
            <w:pPr>
              <w:spacing w:after="20"/>
            </w:pPr>
            <w:r>
              <w:rPr>
                <w:color w:val="1C3A36"/>
                <w:sz w:val="16"/>
              </w:rPr>
              <w:t>Replacement cost, mid-point (EGP m)</w:t>
            </w:r>
          </w:p>
        </w:tc>
        <w:tc>
          <w:tcPr>
            <w:tcW w:type="dxa" w:w="1944"/>
          </w:tcPr>
          <w:p>
            <w:pPr>
              <w:spacing w:after="20"/>
              <w:jc w:val="right"/>
            </w:pPr>
            <w:r>
              <w:rPr>
                <w:color w:val="1C3A36"/>
                <w:sz w:val="16"/>
              </w:rPr>
              <w:t>17,889</w:t>
            </w:r>
          </w:p>
        </w:tc>
        <w:tc>
          <w:tcPr>
            <w:tcW w:type="dxa" w:w="3672"/>
          </w:tcPr>
          <w:p>
            <w:pPr>
              <w:spacing w:after="20"/>
            </w:pPr>
            <w:r>
              <w:rPr>
                <w:color w:val="1C3A36"/>
                <w:sz w:val="16"/>
              </w:rPr>
            </w:r>
          </w:p>
        </w:tc>
      </w:tr>
      <w:tr>
        <w:trPr>
          <w:cantSplit/>
        </w:trPr>
        <w:tc>
          <w:tcPr>
            <w:tcW w:type="dxa" w:w="4320"/>
          </w:tcPr>
          <w:p>
            <w:pPr>
              <w:spacing w:after="20"/>
            </w:pPr>
            <w:r>
              <w:rPr>
                <w:color w:val="1C3A36"/>
                <w:sz w:val="16"/>
              </w:rPr>
              <w:t>Construction in progress at cost (EGP m)</w:t>
            </w:r>
          </w:p>
        </w:tc>
        <w:tc>
          <w:tcPr>
            <w:tcW w:type="dxa" w:w="1944"/>
          </w:tcPr>
          <w:p>
            <w:pPr>
              <w:spacing w:after="20"/>
              <w:jc w:val="right"/>
            </w:pPr>
            <w:r>
              <w:rPr>
                <w:color w:val="1C3A36"/>
                <w:sz w:val="16"/>
              </w:rPr>
              <w:t>5,654</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Haircut for delay and the governance findings</w:t>
            </w:r>
          </w:p>
        </w:tc>
        <w:tc>
          <w:tcPr>
            <w:tcW w:type="dxa" w:w="1944"/>
          </w:tcPr>
          <w:p>
            <w:pPr>
              <w:spacing w:after="20"/>
              <w:jc w:val="right"/>
            </w:pPr>
            <w:r>
              <w:rPr>
                <w:color w:val="1C3A36"/>
                <w:sz w:val="16"/>
              </w:rPr>
              <w:t>-2,261</w:t>
            </w:r>
          </w:p>
        </w:tc>
        <w:tc>
          <w:tcPr>
            <w:tcW w:type="dxa" w:w="3672"/>
          </w:tcPr>
          <w:p>
            <w:pPr>
              <w:spacing w:after="20"/>
            </w:pPr>
            <w:r>
              <w:rPr>
                <w:color w:val="1C3A36"/>
                <w:sz w:val="16"/>
              </w:rPr>
              <w:t>40%</w:t>
            </w:r>
          </w:p>
        </w:tc>
      </w:tr>
      <w:tr>
        <w:trPr>
          <w:cantSplit/>
        </w:trPr>
        <w:tc>
          <w:tcPr>
            <w:tcW w:type="dxa" w:w="4320"/>
          </w:tcPr>
          <w:p>
            <w:pPr>
              <w:spacing w:after="20"/>
            </w:pPr>
            <w:r>
              <w:rPr>
                <w:color w:val="1C3A36"/>
                <w:sz w:val="16"/>
              </w:rPr>
              <w:t>Construction in progress, valued (EGP m)</w:t>
            </w:r>
          </w:p>
        </w:tc>
        <w:tc>
          <w:tcPr>
            <w:tcW w:type="dxa" w:w="1944"/>
          </w:tcPr>
          <w:p>
            <w:pPr>
              <w:spacing w:after="20"/>
              <w:jc w:val="right"/>
            </w:pPr>
            <w:r>
              <w:rPr>
                <w:color w:val="1C3A36"/>
                <w:sz w:val="16"/>
              </w:rPr>
              <w:t>3,392</w:t>
            </w:r>
          </w:p>
        </w:tc>
        <w:tc>
          <w:tcPr>
            <w:tcW w:type="dxa" w:w="3672"/>
          </w:tcPr>
          <w:p>
            <w:pPr>
              <w:spacing w:after="20"/>
            </w:pPr>
            <w:r>
              <w:rPr>
                <w:color w:val="1C3A36"/>
                <w:sz w:val="16"/>
              </w:rPr>
            </w:r>
          </w:p>
        </w:tc>
      </w:tr>
      <w:tr>
        <w:trPr>
          <w:cantSplit/>
        </w:trPr>
        <w:tc>
          <w:tcPr>
            <w:tcW w:type="dxa" w:w="4320"/>
          </w:tcPr>
          <w:p>
            <w:pPr>
              <w:spacing w:after="20"/>
            </w:pPr>
            <w:r>
              <w:rPr>
                <w:color w:val="1C3A36"/>
                <w:sz w:val="16"/>
              </w:rPr>
              <w:t>Listed equity stakes at market (EGP m)</w:t>
            </w:r>
          </w:p>
        </w:tc>
        <w:tc>
          <w:tcPr>
            <w:tcW w:type="dxa" w:w="1944"/>
          </w:tcPr>
          <w:p>
            <w:pPr>
              <w:spacing w:after="20"/>
              <w:jc w:val="right"/>
            </w:pPr>
            <w:r>
              <w:rPr>
                <w:color w:val="1C3A36"/>
                <w:sz w:val="16"/>
              </w:rPr>
              <w:t>1,383</w:t>
            </w:r>
          </w:p>
        </w:tc>
        <w:tc>
          <w:tcPr>
            <w:tcW w:type="dxa" w:w="3672"/>
          </w:tcPr>
          <w:p>
            <w:pPr>
              <w:spacing w:after="20"/>
            </w:pPr>
            <w:r>
              <w:rPr>
                <w:color w:val="1C3A36"/>
                <w:sz w:val="16"/>
              </w:rPr>
            </w:r>
          </w:p>
        </w:tc>
      </w:tr>
      <w:tr>
        <w:trPr>
          <w:cantSplit/>
        </w:trPr>
        <w:tc>
          <w:tcPr>
            <w:tcW w:type="dxa" w:w="4320"/>
          </w:tcPr>
          <w:p>
            <w:pPr>
              <w:spacing w:after="20"/>
            </w:pPr>
            <w:r>
              <w:rPr>
                <w:color w:val="1C3A36"/>
                <w:sz w:val="16"/>
              </w:rPr>
              <w:t>Investment property (EGP m)</w:t>
            </w:r>
          </w:p>
        </w:tc>
        <w:tc>
          <w:tcPr>
            <w:tcW w:type="dxa" w:w="1944"/>
          </w:tcPr>
          <w:p>
            <w:pPr>
              <w:spacing w:after="20"/>
              <w:jc w:val="right"/>
            </w:pPr>
            <w:r>
              <w:rPr>
                <w:color w:val="1C3A36"/>
                <w:sz w:val="16"/>
              </w:rPr>
              <w:t>2,155</w:t>
            </w:r>
          </w:p>
        </w:tc>
        <w:tc>
          <w:tcPr>
            <w:tcW w:type="dxa" w:w="3672"/>
          </w:tcPr>
          <w:p>
            <w:pPr>
              <w:spacing w:after="20"/>
            </w:pPr>
            <w:r>
              <w:rPr>
                <w:color w:val="1C3A36"/>
                <w:sz w:val="16"/>
              </w:rPr>
            </w:r>
          </w:p>
        </w:tc>
      </w:tr>
      <w:tr>
        <w:trPr>
          <w:cantSplit/>
        </w:trPr>
        <w:tc>
          <w:tcPr>
            <w:tcW w:type="dxa" w:w="4320"/>
          </w:tcPr>
          <w:p>
            <w:pPr>
              <w:spacing w:after="20"/>
            </w:pPr>
            <w:r>
              <w:rPr>
                <w:color w:val="1C3A36"/>
                <w:sz w:val="16"/>
              </w:rPr>
              <w:t>Gross asset value (EGP m)</w:t>
            </w:r>
          </w:p>
        </w:tc>
        <w:tc>
          <w:tcPr>
            <w:tcW w:type="dxa" w:w="1944"/>
          </w:tcPr>
          <w:p>
            <w:pPr>
              <w:spacing w:after="20"/>
              <w:jc w:val="right"/>
            </w:pPr>
            <w:r>
              <w:rPr>
                <w:color w:val="1C3A36"/>
                <w:sz w:val="16"/>
              </w:rPr>
              <w:t>24,819</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Equity before any control discount (EGP m)</w:t>
            </w:r>
          </w:p>
        </w:tc>
        <w:tc>
          <w:tcPr>
            <w:tcW w:type="dxa" w:w="1944"/>
          </w:tcPr>
          <w:p>
            <w:pPr>
              <w:spacing w:after="20"/>
              <w:jc w:val="right"/>
            </w:pPr>
            <w:r>
              <w:rPr>
                <w:color w:val="1C3A36"/>
                <w:sz w:val="16"/>
              </w:rPr>
              <w:t>14,787</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before the discount (EGP)</w:t>
            </w:r>
          </w:p>
        </w:tc>
        <w:tc>
          <w:tcPr>
            <w:tcW w:type="dxa" w:w="1944"/>
          </w:tcPr>
          <w:p>
            <w:pPr>
              <w:spacing w:after="20"/>
              <w:jc w:val="right"/>
            </w:pPr>
            <w:r>
              <w:rPr>
                <w:color w:val="1C3A36"/>
                <w:sz w:val="16"/>
              </w:rPr>
              <w:t>7.44</w:t>
            </w:r>
          </w:p>
        </w:tc>
        <w:tc>
          <w:tcPr>
            <w:tcW w:type="dxa" w:w="3672"/>
          </w:tcPr>
          <w:p>
            <w:pPr>
              <w:spacing w:after="20"/>
            </w:pPr>
            <w:r>
              <w:rPr>
                <w:color w:val="1C3A36"/>
                <w:sz w:val="16"/>
              </w:rPr>
            </w:r>
          </w:p>
        </w:tc>
      </w:tr>
      <w:tr>
        <w:trPr>
          <w:cantSplit/>
        </w:trPr>
        <w:tc>
          <w:tcPr>
            <w:tcW w:type="dxa" w:w="4320"/>
          </w:tcPr>
          <w:p>
            <w:pPr>
              <w:spacing w:after="20"/>
            </w:pPr>
            <w:r>
              <w:rPr>
                <w:color w:val="1C3A36"/>
                <w:sz w:val="16"/>
              </w:rPr>
              <w:t>Control discount on a state-held listed industrial</w:t>
            </w:r>
          </w:p>
        </w:tc>
        <w:tc>
          <w:tcPr>
            <w:tcW w:type="dxa" w:w="1944"/>
          </w:tcPr>
          <w:p>
            <w:pPr>
              <w:spacing w:after="20"/>
              <w:jc w:val="right"/>
            </w:pPr>
            <w:r>
              <w:rPr>
                <w:color w:val="1C3A36"/>
                <w:sz w:val="16"/>
              </w:rPr>
              <w:t>-40.0%</w:t>
            </w:r>
          </w:p>
        </w:tc>
        <w:tc>
          <w:tcPr>
            <w:tcW w:type="dxa" w:w="3672"/>
          </w:tcPr>
          <w:p>
            <w:pPr>
              <w:spacing w:after="20"/>
            </w:pPr>
            <w:r>
              <w:rPr>
                <w:color w:val="1C3A36"/>
                <w:sz w:val="16"/>
              </w:rPr>
              <w:t>observed</w:t>
            </w:r>
          </w:p>
        </w:tc>
      </w:tr>
      <w:tr>
        <w:trPr>
          <w:cantSplit/>
        </w:trPr>
        <w:tc>
          <w:tcPr>
            <w:tcW w:type="dxa" w:w="4320"/>
          </w:tcPr>
          <w:p>
            <w:pPr>
              <w:spacing w:after="20"/>
            </w:pPr>
            <w:r>
              <w:rPr>
                <w:color w:val="1C3A36"/>
                <w:sz w:val="16"/>
              </w:rPr>
              <w:t>Equity after the discount (EGP m)</w:t>
            </w:r>
          </w:p>
        </w:tc>
        <w:tc>
          <w:tcPr>
            <w:tcW w:type="dxa" w:w="1944"/>
          </w:tcPr>
          <w:p>
            <w:pPr>
              <w:spacing w:after="20"/>
              <w:jc w:val="right"/>
            </w:pPr>
            <w:r>
              <w:rPr>
                <w:color w:val="1C3A36"/>
                <w:sz w:val="16"/>
              </w:rPr>
              <w:t>8,872</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4.47</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31.  Expert 1's workings in full — every intermediate line, not a summary of them.</w:t>
      </w:r>
    </w:p>
    <w:p>
      <w:pPr>
        <w:spacing w:after="120" w:before="0"/>
      </w:pPr>
      <w:r>
        <w:rPr>
          <w:b/>
          <w:i w:val="0"/>
          <w:color w:val="1C3A36"/>
          <w:sz w:val="21"/>
        </w:rPr>
        <w:t>Range: EGP 3.82 to EGP 8.52 a share.</w:t>
      </w:r>
    </w:p>
    <w:p>
      <w:pPr>
        <w:spacing w:after="120" w:before="0"/>
      </w:pPr>
      <w:r>
        <w:rPr>
          <w:b w:val="0"/>
          <w:i w:val="0"/>
          <w:color w:val="1C3A36"/>
          <w:sz w:val="19"/>
        </w:rPr>
        <w:t>Reading it.  This is the highest of the three readings and it should be read as a ceiling rather than a centre. It values the plant at what a buyer would pay to avoid building one, and on a plate of 574,875 tonnes at the mid-point of the industry build range that is EGP 17,889m before anything is owed against it. What the method cannot see is that the plant has been running at about ninety per cent of that plate on rationed gas, and that the asset under construction — carried here at 60% of what has been spent on it — is exactly the asset whose return the cash-flow lens finds inadequate. The gap between this expert and the panel's lowest is not a disagreement about the plant. It is a disagreement about whether an asset that cannot earn its cost of capital is worth its replacement cost.</w:t>
      </w:r>
    </w:p>
    <w:p>
      <w:pPr>
        <w:spacing w:after="120" w:before="0"/>
      </w:pPr>
      <w:r>
        <w:rPr>
          <w:b w:val="0"/>
          <w:i w:val="0"/>
          <w:color w:val="1C3A36"/>
          <w:sz w:val="19"/>
        </w:rPr>
        <w:t>Named sensitivity.  The build cost and the control discount are the two swing factors, and the range is their product: at US$550 per annual tonne with the 40% discount the reading is EGP 3.82; at US$700 with no discount it is EGP 8.52. The mid-point build cost with the discount, the central reading, is EGP 4.47.</w:t>
      </w:r>
    </w:p>
    <w:p>
      <w:pPr>
        <w:spacing w:after="120" w:before="0"/>
      </w:pPr>
      <w:r>
        <w:rPr>
          <w:b w:val="0"/>
          <w:i/>
          <w:color w:val="1C3A36"/>
          <w:sz w:val="19"/>
        </w:rPr>
        <w:t>Falsifier, stated in advance.  A comparable Egyptian nitrogen asset transacting above US$700 per annual tonne, or a state-held listed subsidiary changing hands without a control discount. Either would show this method is set too low and the cash-flow lens should govern.</w:t>
      </w:r>
    </w:p>
    <w:p>
      <w:pPr>
        <w:keepNext/>
        <w:spacing w:after="80" w:before="200"/>
      </w:pPr>
      <w:r>
        <w:rPr>
          <w:b/>
          <w:i w:val="0"/>
          <w:color w:val="1C3A36"/>
          <w:sz w:val="24"/>
        </w:rPr>
        <w:t>C.2  Expert 2 — Normalised earnings power</w:t>
      </w:r>
    </w:p>
    <w:p>
      <w:pPr>
        <w:spacing w:after="120" w:before="0"/>
      </w:pPr>
      <w:r>
        <w:rPr>
          <w:b w:val="0"/>
          <w:i w:val="0"/>
          <w:color w:val="1C3A36"/>
          <w:sz w:val="21"/>
        </w:rPr>
        <w:t>Worldview.  Strip out the construction, the translation noise and the price cycle, and ask what this plant earns in an ordinary year. Value that.</w:t>
      </w:r>
    </w:p>
    <w:p>
      <w:pPr>
        <w:spacing w:after="120" w:before="0"/>
      </w:pPr>
      <w:r>
        <w:rPr>
          <w:b w:val="0"/>
          <w:i w:val="0"/>
          <w:color w:val="1C3A36"/>
          <w:sz w:val="19"/>
        </w:rPr>
        <w:t>When it works.  For a mature single-asset producer whose economics are stable once the cycle is averaged out.</w:t>
      </w:r>
    </w:p>
    <w:p>
      <w:pPr>
        <w:spacing w:after="120" w:before="0"/>
      </w:pPr>
      <w:r>
        <w:rPr>
          <w:b w:val="0"/>
          <w:i w:val="0"/>
          <w:color w:val="1C3A36"/>
          <w:sz w:val="19"/>
        </w:rPr>
        <w:t>When it fails.  When the capital structure or the asset base is changing underneath the earnings — which is exactly what is happening here, and why this expert's answer sits above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Mid-cycle urea output (tonnes)</w:t>
            </w:r>
          </w:p>
        </w:tc>
        <w:tc>
          <w:tcPr>
            <w:tcW w:type="dxa" w:w="1944"/>
          </w:tcPr>
          <w:p>
            <w:pPr>
              <w:spacing w:after="20"/>
              <w:jc w:val="right"/>
            </w:pPr>
            <w:r>
              <w:rPr>
                <w:color w:val="1C3A36"/>
                <w:sz w:val="16"/>
              </w:rPr>
              <w:t>540,542</w:t>
            </w:r>
          </w:p>
        </w:tc>
        <w:tc>
          <w:tcPr>
            <w:tcW w:type="dxa" w:w="3672"/>
          </w:tcPr>
          <w:p>
            <w:pPr>
              <w:spacing w:after="20"/>
            </w:pPr>
            <w:r>
              <w:rPr>
                <w:color w:val="1C3A36"/>
                <w:sz w:val="16"/>
              </w:rPr>
              <w:t>three-year average of audited output</w:t>
            </w:r>
          </w:p>
        </w:tc>
      </w:tr>
      <w:tr>
        <w:trPr>
          <w:cantSplit/>
        </w:trPr>
        <w:tc>
          <w:tcPr>
            <w:tcW w:type="dxa" w:w="4320"/>
          </w:tcPr>
          <w:p>
            <w:pPr>
              <w:spacing w:after="20"/>
            </w:pPr>
            <w:r>
              <w:rPr>
                <w:color w:val="1C3A36"/>
                <w:sz w:val="16"/>
              </w:rPr>
              <w:t>Less subsidised deliveries (tonnes)</w:t>
            </w:r>
          </w:p>
        </w:tc>
        <w:tc>
          <w:tcPr>
            <w:tcW w:type="dxa" w:w="1944"/>
          </w:tcPr>
          <w:p>
            <w:pPr>
              <w:spacing w:after="20"/>
              <w:jc w:val="right"/>
            </w:pPr>
            <w:r>
              <w:rPr>
                <w:color w:val="1C3A36"/>
                <w:sz w:val="16"/>
              </w:rPr>
              <w:t>-155,000</w:t>
            </w:r>
          </w:p>
        </w:tc>
        <w:tc>
          <w:tcPr>
            <w:tcW w:type="dxa" w:w="3672"/>
          </w:tcPr>
          <w:p>
            <w:pPr>
              <w:spacing w:after="20"/>
            </w:pPr>
            <w:r>
              <w:rPr>
                <w:color w:val="1C3A36"/>
                <w:sz w:val="16"/>
              </w:rPr>
              <w:t>obligation path</w:t>
            </w:r>
          </w:p>
        </w:tc>
      </w:tr>
      <w:tr>
        <w:trPr>
          <w:cantSplit/>
        </w:trPr>
        <w:tc>
          <w:tcPr>
            <w:tcW w:type="dxa" w:w="4320"/>
          </w:tcPr>
          <w:p>
            <w:pPr>
              <w:spacing w:after="20"/>
            </w:pPr>
            <w:r>
              <w:rPr>
                <w:color w:val="1C3A36"/>
                <w:sz w:val="16"/>
              </w:rPr>
              <w:t>Less local free-market (tonnes)</w:t>
            </w:r>
          </w:p>
        </w:tc>
        <w:tc>
          <w:tcPr>
            <w:tcW w:type="dxa" w:w="1944"/>
          </w:tcPr>
          <w:p>
            <w:pPr>
              <w:spacing w:after="20"/>
              <w:jc w:val="right"/>
            </w:pPr>
            <w:r>
              <w:rPr>
                <w:color w:val="1C3A36"/>
                <w:sz w:val="16"/>
              </w:rPr>
              <w:t>-40,000</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tonnes</w:t>
            </w:r>
          </w:p>
        </w:tc>
        <w:tc>
          <w:tcPr>
            <w:tcW w:type="dxa" w:w="1944"/>
          </w:tcPr>
          <w:p>
            <w:pPr>
              <w:spacing w:after="20"/>
              <w:jc w:val="right"/>
            </w:pPr>
            <w:r>
              <w:rPr>
                <w:color w:val="1C3A36"/>
                <w:sz w:val="16"/>
              </w:rPr>
              <w:t>345,542</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export price (US$/t)</w:t>
            </w:r>
          </w:p>
        </w:tc>
        <w:tc>
          <w:tcPr>
            <w:tcW w:type="dxa" w:w="1944"/>
          </w:tcPr>
          <w:p>
            <w:pPr>
              <w:spacing w:after="20"/>
              <w:jc w:val="right"/>
            </w:pPr>
            <w:r>
              <w:rPr>
                <w:color w:val="1C3A36"/>
                <w:sz w:val="16"/>
              </w:rPr>
              <w:t>400.00</w:t>
            </w:r>
          </w:p>
        </w:tc>
        <w:tc>
          <w:tcPr>
            <w:tcW w:type="dxa" w:w="3672"/>
          </w:tcPr>
          <w:p>
            <w:pPr>
              <w:spacing w:after="20"/>
            </w:pPr>
            <w:r>
              <w:rPr>
                <w:color w:val="1C3A36"/>
                <w:sz w:val="16"/>
              </w:rPr>
              <w:t>above the 2015-2020 average, below spot</w:t>
            </w:r>
          </w:p>
        </w:tc>
      </w:tr>
      <w:tr>
        <w:trPr>
          <w:cantSplit/>
        </w:trPr>
        <w:tc>
          <w:tcPr>
            <w:tcW w:type="dxa" w:w="4320"/>
          </w:tcPr>
          <w:p>
            <w:pPr>
              <w:spacing w:after="20"/>
            </w:pPr>
            <w:r>
              <w:rPr>
                <w:color w:val="1C3A36"/>
                <w:sz w:val="16"/>
              </w:rPr>
              <w:t>Exchange rate</w:t>
            </w:r>
          </w:p>
        </w:tc>
        <w:tc>
          <w:tcPr>
            <w:tcW w:type="dxa" w:w="1944"/>
          </w:tcPr>
          <w:p>
            <w:pPr>
              <w:spacing w:after="20"/>
              <w:jc w:val="right"/>
            </w:pPr>
            <w:r>
              <w:rPr>
                <w:color w:val="1C3A36"/>
                <w:sz w:val="16"/>
              </w:rPr>
              <w:t>56</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revenue (EGP m)</w:t>
            </w:r>
          </w:p>
        </w:tc>
        <w:tc>
          <w:tcPr>
            <w:tcW w:type="dxa" w:w="1944"/>
          </w:tcPr>
          <w:p>
            <w:pPr>
              <w:spacing w:after="20"/>
              <w:jc w:val="right"/>
            </w:pPr>
            <w:r>
              <w:rPr>
                <w:color w:val="1C3A36"/>
                <w:sz w:val="16"/>
              </w:rPr>
              <w:t>6,952</w:t>
            </w:r>
          </w:p>
        </w:tc>
        <w:tc>
          <w:tcPr>
            <w:tcW w:type="dxa" w:w="3672"/>
          </w:tcPr>
          <w:p>
            <w:pPr>
              <w:spacing w:after="20"/>
            </w:pPr>
            <w:r>
              <w:rPr>
                <w:color w:val="1C3A36"/>
                <w:sz w:val="16"/>
              </w:rPr>
              <w:t>net of the 10% duty</w:t>
            </w:r>
          </w:p>
        </w:tc>
      </w:tr>
      <w:tr>
        <w:trPr>
          <w:cantSplit/>
        </w:trPr>
        <w:tc>
          <w:tcPr>
            <w:tcW w:type="dxa" w:w="4320"/>
          </w:tcPr>
          <w:p>
            <w:pPr>
              <w:spacing w:after="20"/>
            </w:pPr>
            <w:r>
              <w:rPr>
                <w:color w:val="1C3A36"/>
                <w:sz w:val="16"/>
              </w:rPr>
              <w:t>Subsidised revenue (EGP m)</w:t>
            </w:r>
          </w:p>
        </w:tc>
        <w:tc>
          <w:tcPr>
            <w:tcW w:type="dxa" w:w="1944"/>
          </w:tcPr>
          <w:p>
            <w:pPr>
              <w:spacing w:after="20"/>
              <w:jc w:val="right"/>
            </w:pPr>
            <w:r>
              <w:rPr>
                <w:color w:val="1C3A36"/>
                <w:sz w:val="16"/>
              </w:rPr>
              <w:t>1,167</w:t>
            </w:r>
          </w:p>
        </w:tc>
        <w:tc>
          <w:tcPr>
            <w:tcW w:type="dxa" w:w="3672"/>
          </w:tcPr>
          <w:p>
            <w:pPr>
              <w:spacing w:after="20"/>
            </w:pPr>
            <w:r>
              <w:rPr>
                <w:color w:val="1C3A36"/>
                <w:sz w:val="16"/>
              </w:rPr>
            </w:r>
          </w:p>
        </w:tc>
      </w:tr>
      <w:tr>
        <w:trPr>
          <w:cantSplit/>
        </w:trPr>
        <w:tc>
          <w:tcPr>
            <w:tcW w:type="dxa" w:w="4320"/>
          </w:tcPr>
          <w:p>
            <w:pPr>
              <w:spacing w:after="20"/>
            </w:pPr>
            <w:r>
              <w:rPr>
                <w:color w:val="1C3A36"/>
                <w:sz w:val="16"/>
              </w:rPr>
              <w:t>Local free-market revenue (EGP m)</w:t>
            </w:r>
          </w:p>
        </w:tc>
        <w:tc>
          <w:tcPr>
            <w:tcW w:type="dxa" w:w="1944"/>
          </w:tcPr>
          <w:p>
            <w:pPr>
              <w:spacing w:after="20"/>
              <w:jc w:val="right"/>
            </w:pPr>
            <w:r>
              <w:rPr>
                <w:color w:val="1C3A36"/>
                <w:sz w:val="16"/>
              </w:rPr>
              <w:t>805</w:t>
            </w:r>
          </w:p>
        </w:tc>
        <w:tc>
          <w:tcPr>
            <w:tcW w:type="dxa" w:w="3672"/>
          </w:tcPr>
          <w:p>
            <w:pPr>
              <w:spacing w:after="20"/>
            </w:pPr>
            <w:r>
              <w:rPr>
                <w:color w:val="1C3A36"/>
                <w:sz w:val="16"/>
              </w:rPr>
            </w:r>
          </w:p>
        </w:tc>
      </w:tr>
      <w:tr>
        <w:trPr>
          <w:cantSplit/>
        </w:trPr>
        <w:tc>
          <w:tcPr>
            <w:tcW w:type="dxa" w:w="4320"/>
          </w:tcPr>
          <w:p>
            <w:pPr>
              <w:spacing w:after="20"/>
            </w:pPr>
            <w:r>
              <w:rPr>
                <w:color w:val="1C3A36"/>
                <w:sz w:val="16"/>
              </w:rPr>
              <w:t>Nitrate revenue (EGP m)</w:t>
            </w:r>
          </w:p>
        </w:tc>
        <w:tc>
          <w:tcPr>
            <w:tcW w:type="dxa" w:w="1944"/>
          </w:tcPr>
          <w:p>
            <w:pPr>
              <w:spacing w:after="20"/>
              <w:jc w:val="right"/>
            </w:pPr>
            <w:r>
              <w:rPr>
                <w:color w:val="1C3A36"/>
                <w:sz w:val="16"/>
              </w:rPr>
              <w:t>593</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revenue (EGP m)</w:t>
            </w:r>
          </w:p>
        </w:tc>
        <w:tc>
          <w:tcPr>
            <w:tcW w:type="dxa" w:w="1944"/>
          </w:tcPr>
          <w:p>
            <w:pPr>
              <w:spacing w:after="20"/>
              <w:jc w:val="right"/>
            </w:pPr>
            <w:r>
              <w:rPr>
                <w:color w:val="1C3A36"/>
                <w:sz w:val="16"/>
              </w:rPr>
              <w:t>140</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REVENUE (EGP m)</w:t>
            </w:r>
          </w:p>
        </w:tc>
        <w:tc>
          <w:tcPr>
            <w:tcW w:type="dxa" w:w="1944"/>
          </w:tcPr>
          <w:p>
            <w:pPr>
              <w:spacing w:after="20"/>
              <w:jc w:val="right"/>
            </w:pPr>
            <w:r>
              <w:rPr>
                <w:color w:val="1C3A36"/>
                <w:sz w:val="16"/>
              </w:rPr>
              <w:t>9,657</w:t>
            </w:r>
          </w:p>
        </w:tc>
        <w:tc>
          <w:tcPr>
            <w:tcW w:type="dxa" w:w="3672"/>
          </w:tcPr>
          <w:p>
            <w:pPr>
              <w:spacing w:after="20"/>
            </w:pPr>
            <w:r>
              <w:rPr>
                <w:color w:val="1C3A36"/>
                <w:sz w:val="16"/>
              </w:rPr>
            </w:r>
          </w:p>
        </w:tc>
      </w:tr>
      <w:tr>
        <w:trPr>
          <w:cantSplit/>
        </w:trPr>
        <w:tc>
          <w:tcPr>
            <w:tcW w:type="dxa" w:w="4320"/>
          </w:tcPr>
          <w:p>
            <w:pPr>
              <w:spacing w:after="20"/>
            </w:pPr>
            <w:r>
              <w:rPr>
                <w:color w:val="1C3A36"/>
                <w:sz w:val="16"/>
              </w:rPr>
              <w:t>Natural gas (EGP m)</w:t>
            </w:r>
          </w:p>
        </w:tc>
        <w:tc>
          <w:tcPr>
            <w:tcW w:type="dxa" w:w="1944"/>
          </w:tcPr>
          <w:p>
            <w:pPr>
              <w:spacing w:after="20"/>
              <w:jc w:val="right"/>
            </w:pPr>
            <w:r>
              <w:rPr>
                <w:color w:val="1C3A36"/>
                <w:sz w:val="16"/>
              </w:rPr>
              <w:t>-3,998</w:t>
            </w:r>
          </w:p>
        </w:tc>
        <w:tc>
          <w:tcPr>
            <w:tcW w:type="dxa" w:w="3672"/>
          </w:tcPr>
          <w:p>
            <w:pPr>
              <w:spacing w:after="20"/>
            </w:pPr>
            <w:r>
              <w:rPr>
                <w:color w:val="1C3A36"/>
                <w:sz w:val="16"/>
              </w:rPr>
              <w:t>consumption x price x the rate</w:t>
            </w:r>
          </w:p>
        </w:tc>
      </w:tr>
      <w:tr>
        <w:trPr>
          <w:cantSplit/>
        </w:trPr>
        <w:tc>
          <w:tcPr>
            <w:tcW w:type="dxa" w:w="4320"/>
          </w:tcPr>
          <w:p>
            <w:pPr>
              <w:spacing w:after="20"/>
            </w:pPr>
            <w:r>
              <w:rPr>
                <w:color w:val="1C3A36"/>
                <w:sz w:val="16"/>
              </w:rPr>
              <w:t>Other materials (EGP m)</w:t>
            </w:r>
          </w:p>
        </w:tc>
        <w:tc>
          <w:tcPr>
            <w:tcW w:type="dxa" w:w="1944"/>
          </w:tcPr>
          <w:p>
            <w:pPr>
              <w:spacing w:after="20"/>
              <w:jc w:val="right"/>
            </w:pPr>
            <w:r>
              <w:rPr>
                <w:color w:val="1C3A36"/>
                <w:sz w:val="16"/>
              </w:rPr>
              <w:t>-1,276</w:t>
            </w:r>
          </w:p>
        </w:tc>
        <w:tc>
          <w:tcPr>
            <w:tcW w:type="dxa" w:w="3672"/>
          </w:tcPr>
          <w:p>
            <w:pPr>
              <w:spacing w:after="20"/>
            </w:pPr>
            <w:r>
              <w:rPr>
                <w:color w:val="1C3A36"/>
                <w:sz w:val="16"/>
              </w:rPr>
            </w:r>
          </w:p>
        </w:tc>
      </w:tr>
      <w:tr>
        <w:trPr>
          <w:cantSplit/>
        </w:trPr>
        <w:tc>
          <w:tcPr>
            <w:tcW w:type="dxa" w:w="4320"/>
          </w:tcPr>
          <w:p>
            <w:pPr>
              <w:spacing w:after="20"/>
            </w:pPr>
            <w:r>
              <w:rPr>
                <w:color w:val="1C3A36"/>
                <w:sz w:val="16"/>
              </w:rPr>
              <w:t>Wages (EGP m)</w:t>
            </w:r>
          </w:p>
        </w:tc>
        <w:tc>
          <w:tcPr>
            <w:tcW w:type="dxa" w:w="1944"/>
          </w:tcPr>
          <w:p>
            <w:pPr>
              <w:spacing w:after="20"/>
              <w:jc w:val="right"/>
            </w:pPr>
            <w:r>
              <w:rPr>
                <w:color w:val="1C3A36"/>
                <w:sz w:val="16"/>
              </w:rPr>
              <w:t>-234</w:t>
            </w:r>
          </w:p>
        </w:tc>
        <w:tc>
          <w:tcPr>
            <w:tcW w:type="dxa" w:w="3672"/>
          </w:tcPr>
          <w:p>
            <w:pPr>
              <w:spacing w:after="20"/>
            </w:pPr>
            <w:r>
              <w:rPr>
                <w:color w:val="1C3A36"/>
                <w:sz w:val="16"/>
              </w:rPr>
            </w:r>
          </w:p>
        </w:tc>
      </w:tr>
      <w:tr>
        <w:trPr>
          <w:cantSplit/>
        </w:trPr>
        <w:tc>
          <w:tcPr>
            <w:tcW w:type="dxa" w:w="4320"/>
          </w:tcPr>
          <w:p>
            <w:pPr>
              <w:spacing w:after="20"/>
            </w:pPr>
            <w:r>
              <w:rPr>
                <w:color w:val="1C3A36"/>
                <w:sz w:val="16"/>
              </w:rPr>
              <w:t>Purchased services (EGP m)</w:t>
            </w:r>
          </w:p>
        </w:tc>
        <w:tc>
          <w:tcPr>
            <w:tcW w:type="dxa" w:w="1944"/>
          </w:tcPr>
          <w:p>
            <w:pPr>
              <w:spacing w:after="20"/>
              <w:jc w:val="right"/>
            </w:pPr>
            <w:r>
              <w:rPr>
                <w:color w:val="1C3A36"/>
                <w:sz w:val="16"/>
              </w:rPr>
              <w:t>-69</w:t>
            </w:r>
          </w:p>
        </w:tc>
        <w:tc>
          <w:tcPr>
            <w:tcW w:type="dxa" w:w="3672"/>
          </w:tcPr>
          <w:p>
            <w:pPr>
              <w:spacing w:after="20"/>
            </w:pPr>
            <w:r>
              <w:rPr>
                <w:color w:val="1C3A36"/>
                <w:sz w:val="16"/>
              </w:rPr>
            </w:r>
          </w:p>
        </w:tc>
      </w:tr>
      <w:tr>
        <w:trPr>
          <w:cantSplit/>
        </w:trPr>
        <w:tc>
          <w:tcPr>
            <w:tcW w:type="dxa" w:w="4320"/>
          </w:tcPr>
          <w:p>
            <w:pPr>
              <w:spacing w:after="20"/>
            </w:pPr>
            <w:r>
              <w:rPr>
                <w:color w:val="1C3A36"/>
                <w:sz w:val="16"/>
              </w:rPr>
              <w:t>Inland freight (EGP m)</w:t>
            </w:r>
          </w:p>
        </w:tc>
        <w:tc>
          <w:tcPr>
            <w:tcW w:type="dxa" w:w="1944"/>
          </w:tcPr>
          <w:p>
            <w:pPr>
              <w:spacing w:after="20"/>
              <w:jc w:val="right"/>
            </w:pPr>
            <w:r>
              <w:rPr>
                <w:color w:val="1C3A36"/>
                <w:sz w:val="16"/>
              </w:rPr>
              <w:t>-662</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selling (EGP m)</w:t>
            </w:r>
          </w:p>
        </w:tc>
        <w:tc>
          <w:tcPr>
            <w:tcW w:type="dxa" w:w="1944"/>
          </w:tcPr>
          <w:p>
            <w:pPr>
              <w:spacing w:after="20"/>
              <w:jc w:val="right"/>
            </w:pPr>
            <w:r>
              <w:rPr>
                <w:color w:val="1C3A36"/>
                <w:sz w:val="16"/>
              </w:rPr>
              <w:t>-194</w:t>
            </w:r>
          </w:p>
        </w:tc>
        <w:tc>
          <w:tcPr>
            <w:tcW w:type="dxa" w:w="3672"/>
          </w:tcPr>
          <w:p>
            <w:pPr>
              <w:spacing w:after="20"/>
            </w:pPr>
            <w:r>
              <w:rPr>
                <w:color w:val="1C3A36"/>
                <w:sz w:val="16"/>
              </w:rPr>
            </w:r>
          </w:p>
        </w:tc>
      </w:tr>
      <w:tr>
        <w:trPr>
          <w:cantSplit/>
        </w:trPr>
        <w:tc>
          <w:tcPr>
            <w:tcW w:type="dxa" w:w="4320"/>
          </w:tcPr>
          <w:p>
            <w:pPr>
              <w:spacing w:after="20"/>
            </w:pPr>
            <w:r>
              <w:rPr>
                <w:color w:val="1C3A36"/>
                <w:sz w:val="16"/>
              </w:rPr>
              <w:t>Administration (EGP m)</w:t>
            </w:r>
          </w:p>
        </w:tc>
        <w:tc>
          <w:tcPr>
            <w:tcW w:type="dxa" w:w="1944"/>
          </w:tcPr>
          <w:p>
            <w:pPr>
              <w:spacing w:after="20"/>
              <w:jc w:val="right"/>
            </w:pPr>
            <w:r>
              <w:rPr>
                <w:color w:val="1C3A36"/>
                <w:sz w:val="16"/>
              </w:rPr>
              <w:t>-396</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EBITDA (EGP m)</w:t>
            </w:r>
          </w:p>
        </w:tc>
        <w:tc>
          <w:tcPr>
            <w:tcW w:type="dxa" w:w="1944"/>
          </w:tcPr>
          <w:p>
            <w:pPr>
              <w:spacing w:after="20"/>
              <w:jc w:val="right"/>
            </w:pPr>
            <w:r>
              <w:rPr>
                <w:color w:val="1C3A36"/>
                <w:sz w:val="16"/>
              </w:rPr>
              <w:t>2,828</w:t>
            </w:r>
          </w:p>
        </w:tc>
        <w:tc>
          <w:tcPr>
            <w:tcW w:type="dxa" w:w="3672"/>
          </w:tcPr>
          <w:p>
            <w:pPr>
              <w:spacing w:after="20"/>
            </w:pPr>
            <w:r>
              <w:rPr>
                <w:color w:val="1C3A36"/>
                <w:sz w:val="16"/>
              </w:rPr>
            </w:r>
          </w:p>
        </w:tc>
      </w:tr>
      <w:tr>
        <w:trPr>
          <w:cantSplit/>
        </w:trPr>
        <w:tc>
          <w:tcPr>
            <w:tcW w:type="dxa" w:w="4320"/>
          </w:tcPr>
          <w:p>
            <w:pPr>
              <w:spacing w:after="20"/>
            </w:pPr>
            <w:r>
              <w:rPr>
                <w:color w:val="1C3A36"/>
                <w:sz w:val="16"/>
              </w:rPr>
              <w:t>Depreciation and amortisation (EGP m)</w:t>
            </w:r>
          </w:p>
        </w:tc>
        <w:tc>
          <w:tcPr>
            <w:tcW w:type="dxa" w:w="1944"/>
          </w:tcPr>
          <w:p>
            <w:pPr>
              <w:spacing w:after="20"/>
              <w:jc w:val="right"/>
            </w:pPr>
            <w:r>
              <w:rPr>
                <w:color w:val="1C3A36"/>
                <w:sz w:val="16"/>
              </w:rPr>
              <w:t>-891</w:t>
            </w:r>
          </w:p>
        </w:tc>
        <w:tc>
          <w:tcPr>
            <w:tcW w:type="dxa" w:w="3672"/>
          </w:tcPr>
          <w:p>
            <w:pPr>
              <w:spacing w:after="20"/>
            </w:pPr>
            <w:r>
              <w:rPr>
                <w:color w:val="1C3A36"/>
                <w:sz w:val="16"/>
              </w:rPr>
            </w:r>
          </w:p>
        </w:tc>
      </w:tr>
      <w:tr>
        <w:trPr>
          <w:cantSplit/>
        </w:trPr>
        <w:tc>
          <w:tcPr>
            <w:tcW w:type="dxa" w:w="4320"/>
          </w:tcPr>
          <w:p>
            <w:pPr>
              <w:spacing w:after="20"/>
            </w:pPr>
            <w:r>
              <w:rPr>
                <w:color w:val="1C3A36"/>
                <w:sz w:val="16"/>
              </w:rPr>
              <w:t>Tax at the statutory rate</w:t>
            </w:r>
          </w:p>
        </w:tc>
        <w:tc>
          <w:tcPr>
            <w:tcW w:type="dxa" w:w="1944"/>
          </w:tcPr>
          <w:p>
            <w:pPr>
              <w:spacing w:after="20"/>
              <w:jc w:val="right"/>
            </w:pPr>
            <w:r>
              <w:rPr>
                <w:color w:val="1C3A36"/>
                <w:sz w:val="16"/>
              </w:rPr>
              <w:t>-436</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OPERATING PROFIT AFTER TAX (EGP m)</w:t>
            </w:r>
          </w:p>
        </w:tc>
        <w:tc>
          <w:tcPr>
            <w:tcW w:type="dxa" w:w="1944"/>
          </w:tcPr>
          <w:p>
            <w:pPr>
              <w:spacing w:after="20"/>
              <w:jc w:val="right"/>
            </w:pPr>
            <w:r>
              <w:rPr>
                <w:color w:val="1C3A36"/>
                <w:sz w:val="16"/>
              </w:rPr>
              <w:t>1,502</w:t>
            </w:r>
          </w:p>
        </w:tc>
        <w:tc>
          <w:tcPr>
            <w:tcW w:type="dxa" w:w="3672"/>
          </w:tcPr>
          <w:p>
            <w:pPr>
              <w:spacing w:after="20"/>
            </w:pPr>
            <w:r>
              <w:rPr>
                <w:color w:val="1C3A36"/>
                <w:sz w:val="16"/>
              </w:rPr>
            </w:r>
          </w:p>
        </w:tc>
      </w:tr>
      <w:tr>
        <w:trPr>
          <w:cantSplit/>
        </w:trPr>
        <w:tc>
          <w:tcPr>
            <w:tcW w:type="dxa" w:w="4320"/>
          </w:tcPr>
          <w:p>
            <w:pPr>
              <w:spacing w:after="20"/>
            </w:pPr>
            <w:r>
              <w:rPr>
                <w:color w:val="1C3A36"/>
                <w:sz w:val="16"/>
              </w:rPr>
              <w:t>At ten times — enterprise value (EGP m)</w:t>
            </w:r>
          </w:p>
        </w:tc>
        <w:tc>
          <w:tcPr>
            <w:tcW w:type="dxa" w:w="1944"/>
          </w:tcPr>
          <w:p>
            <w:pPr>
              <w:spacing w:after="20"/>
              <w:jc w:val="right"/>
            </w:pPr>
            <w:r>
              <w:rPr>
                <w:color w:val="1C3A36"/>
                <w:sz w:val="16"/>
              </w:rPr>
              <w:t>15,016</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r>
          </w:p>
        </w:tc>
      </w:tr>
      <w:tr>
        <w:trPr>
          <w:cantSplit/>
        </w:trPr>
        <w:tc>
          <w:tcPr>
            <w:tcW w:type="dxa" w:w="4320"/>
          </w:tcPr>
          <w:p>
            <w:pPr>
              <w:spacing w:after="20"/>
            </w:pPr>
            <w:r>
              <w:rPr>
                <w:color w:val="1C3A36"/>
                <w:sz w:val="16"/>
              </w:rPr>
              <w:t>Plus non-operating assets (EGP m)</w:t>
            </w:r>
          </w:p>
        </w:tc>
        <w:tc>
          <w:tcPr>
            <w:tcW w:type="dxa" w:w="1944"/>
          </w:tcPr>
          <w:p>
            <w:pPr>
              <w:spacing w:after="20"/>
              <w:jc w:val="right"/>
            </w:pPr>
            <w:r>
              <w:rPr>
                <w:color w:val="1C3A36"/>
                <w:sz w:val="16"/>
              </w:rPr>
              <w:t>3,538</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4.29</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32.  Expert 2's workings in full — every intermediate line, not a summary of them.</w:t>
      </w:r>
    </w:p>
    <w:p>
      <w:pPr>
        <w:spacing w:after="120" w:before="0"/>
      </w:pPr>
      <w:r>
        <w:rPr>
          <w:b/>
          <w:i w:val="0"/>
          <w:color w:val="1C3A36"/>
          <w:sz w:val="21"/>
        </w:rPr>
        <w:t>Range: EGP 2.78 to EGP 5.80 a share.</w:t>
      </w:r>
    </w:p>
    <w:p>
      <w:pPr>
        <w:spacing w:after="120" w:before="0"/>
      </w:pPr>
      <w:r>
        <w:rPr>
          <w:b w:val="0"/>
          <w:i w:val="0"/>
          <w:color w:val="1C3A36"/>
          <w:sz w:val="19"/>
        </w:rPr>
        <w:t>Reading it.  The middle reading, and the one closest to a conventional analyst's answer. It credits an ordinary year — EGP 9,657m of revenue and EGP 2,828m of operating profit before depreciation — and capitalises the after-tax result at ten times. Its blind spot is stated in its own worldview: a normalised year is a steady state, and this company is not in one. The capital programme sits entirely outside this table. Read strictly, this expert is valuing the plant that exists, and the reader who wants the whole company should subtract the programme's cost separately — which is what the cash-flow lens does inside a single model.</w:t>
      </w:r>
    </w:p>
    <w:p>
      <w:pPr>
        <w:spacing w:after="120" w:before="0"/>
      </w:pPr>
      <w:r>
        <w:rPr>
          <w:b w:val="0"/>
          <w:i w:val="0"/>
          <w:color w:val="1C3A36"/>
          <w:sz w:val="19"/>
        </w:rPr>
        <w:t>Named sensitivity.  The multiple is the swing factor: eight times gives EGP 2.78, twelve times EGP 5.80. The mid-cycle price matters almost as much — every US$50 a tonne is worth roughly a pound a share.</w:t>
      </w:r>
    </w:p>
    <w:p>
      <w:pPr>
        <w:spacing w:after="120" w:before="0"/>
      </w:pPr>
      <w:r>
        <w:rPr>
          <w:b w:val="0"/>
          <w:i/>
          <w:color w:val="1C3A36"/>
          <w:sz w:val="19"/>
        </w:rPr>
        <w:t>Falsifier, stated in advance.  Two consecutive years of EBITDA above EGP 4 billion with the capital programme funded out of operating cash flow. That would show the normalisation is too harsh and the multiple too low.</w:t>
      </w:r>
    </w:p>
    <w:p>
      <w:pPr>
        <w:keepNext/>
        <w:spacing w:after="80" w:before="200"/>
      </w:pPr>
      <w:r>
        <w:rPr>
          <w:b/>
          <w:i w:val="0"/>
          <w:color w:val="1C3A36"/>
          <w:sz w:val="24"/>
        </w:rPr>
        <w:t>C.3  Expert 3 — The equity as a contingent claim</w:t>
      </w:r>
    </w:p>
    <w:p>
      <w:pPr>
        <w:spacing w:after="120" w:before="0"/>
      </w:pPr>
      <w:r>
        <w:rPr>
          <w:b w:val="0"/>
          <w:i w:val="0"/>
          <w:color w:val="1C3A36"/>
          <w:sz w:val="21"/>
        </w:rPr>
        <w:t>Worldview.  When the value of the firm sits below the face value of its debt, the equity is not a claim on cash flows. It is an option on the assets, and a discounted-cash-flow model understates it because it ignores the shareholder's right to walk away.</w:t>
      </w:r>
    </w:p>
    <w:p>
      <w:pPr>
        <w:spacing w:after="120" w:before="0"/>
      </w:pPr>
      <w:r>
        <w:rPr>
          <w:b w:val="0"/>
          <w:i w:val="0"/>
          <w:color w:val="1C3A36"/>
          <w:sz w:val="19"/>
        </w:rPr>
        <w:t>When it works.  For a leveraged, volatile business whose enterprise value is near or below its debt — precisely this situation.</w:t>
      </w:r>
    </w:p>
    <w:p>
      <w:pPr>
        <w:spacing w:after="120" w:before="0"/>
      </w:pPr>
      <w:r>
        <w:rPr>
          <w:b w:val="0"/>
          <w:i w:val="0"/>
          <w:color w:val="1C3A36"/>
          <w:sz w:val="19"/>
        </w:rPr>
        <w:t>When it fails.  When the option holder cannot choose when to exercise, when further capital calls dilute the position, or when the enterprise comfortably covers its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Enterprise value including non-operating assets (EGP m)</w:t>
            </w:r>
          </w:p>
        </w:tc>
        <w:tc>
          <w:tcPr>
            <w:tcW w:type="dxa" w:w="1944"/>
          </w:tcPr>
          <w:p>
            <w:pPr>
              <w:spacing w:after="20"/>
              <w:jc w:val="right"/>
            </w:pPr>
            <w:r>
              <w:rPr>
                <w:color w:val="1C3A36"/>
                <w:sz w:val="16"/>
              </w:rPr>
              <w:t>14,623</w:t>
            </w:r>
          </w:p>
        </w:tc>
        <w:tc>
          <w:tcPr>
            <w:tcW w:type="dxa" w:w="3672"/>
          </w:tcPr>
          <w:p>
            <w:pPr>
              <w:spacing w:after="20"/>
            </w:pPr>
            <w:r>
              <w:rPr>
                <w:color w:val="1C3A36"/>
                <w:sz w:val="16"/>
              </w:rPr>
              <w:t>the underlying</w:t>
            </w:r>
          </w:p>
        </w:tc>
      </w:tr>
      <w:tr>
        <w:trPr>
          <w:cantSplit/>
        </w:trPr>
        <w:tc>
          <w:tcPr>
            <w:tcW w:type="dxa" w:w="4320"/>
          </w:tcPr>
          <w:p>
            <w:pPr>
              <w:spacing w:after="20"/>
            </w:pPr>
            <w:r>
              <w:rPr>
                <w:color w:val="1C3A36"/>
                <w:sz w:val="16"/>
              </w:rPr>
              <w:t>Gross debt — the strike (EGP m)</w:t>
            </w:r>
          </w:p>
        </w:tc>
        <w:tc>
          <w:tcPr>
            <w:tcW w:type="dxa" w:w="1944"/>
          </w:tcPr>
          <w:p>
            <w:pPr>
              <w:spacing w:after="20"/>
              <w:jc w:val="right"/>
            </w:pPr>
            <w:r>
              <w:rPr>
                <w:color w:val="1C3A36"/>
                <w:sz w:val="16"/>
              </w:rPr>
              <w:t>14,639</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Time to the last dollar maturity (years)</w:t>
            </w:r>
          </w:p>
        </w:tc>
        <w:tc>
          <w:tcPr>
            <w:tcW w:type="dxa" w:w="1944"/>
          </w:tcPr>
          <w:p>
            <w:pPr>
              <w:spacing w:after="20"/>
              <w:jc w:val="right"/>
            </w:pPr>
            <w:r>
              <w:rPr>
                <w:color w:val="1C3A36"/>
                <w:sz w:val="16"/>
              </w:rPr>
              <w:t>5.00</w:t>
            </w:r>
          </w:p>
        </w:tc>
        <w:tc>
          <w:tcPr>
            <w:tcW w:type="dxa" w:w="3672"/>
          </w:tcPr>
          <w:p>
            <w:pPr>
              <w:spacing w:after="20"/>
            </w:pPr>
            <w:r>
              <w:rPr>
                <w:color w:val="1C3A36"/>
                <w:sz w:val="16"/>
              </w:rPr>
              <w:t>discounted from 2035</w:t>
            </w:r>
          </w:p>
        </w:tc>
      </w:tr>
      <w:tr>
        <w:trPr>
          <w:cantSplit/>
        </w:trPr>
        <w:tc>
          <w:tcPr>
            <w:tcW w:type="dxa" w:w="4320"/>
          </w:tcPr>
          <w:p>
            <w:pPr>
              <w:spacing w:after="20"/>
            </w:pPr>
            <w:r>
              <w:rPr>
                <w:color w:val="1C3A36"/>
                <w:sz w:val="16"/>
              </w:rPr>
              <w:t>Enterprise volatility a year</w:t>
            </w:r>
          </w:p>
        </w:tc>
        <w:tc>
          <w:tcPr>
            <w:tcW w:type="dxa" w:w="1944"/>
          </w:tcPr>
          <w:p>
            <w:pPr>
              <w:spacing w:after="20"/>
              <w:jc w:val="right"/>
            </w:pPr>
            <w:r>
              <w:rPr>
                <w:color w:val="1C3A36"/>
                <w:sz w:val="16"/>
              </w:rPr>
              <w:t>45.0%</w:t>
            </w:r>
          </w:p>
        </w:tc>
        <w:tc>
          <w:tcPr>
            <w:tcW w:type="dxa" w:w="3672"/>
          </w:tcPr>
          <w:p>
            <w:pPr>
              <w:spacing w:after="20"/>
            </w:pPr>
            <w:r>
              <w:rPr>
                <w:color w:val="1C3A36"/>
                <w:sz w:val="16"/>
              </w:rPr>
              <w:t>the export price alone moved between US$380 and US$730 inside eighteen months</w:t>
            </w:r>
          </w:p>
        </w:tc>
      </w:tr>
      <w:tr>
        <w:trPr>
          <w:cantSplit/>
        </w:trPr>
        <w:tc>
          <w:tcPr>
            <w:tcW w:type="dxa" w:w="4320"/>
          </w:tcPr>
          <w:p>
            <w:pPr>
              <w:spacing w:after="20"/>
            </w:pPr>
            <w:r>
              <w:rPr>
                <w:color w:val="1C3A36"/>
                <w:sz w:val="16"/>
              </w:rPr>
              <w:t>Risk-free rate in pounds</w:t>
            </w:r>
          </w:p>
        </w:tc>
        <w:tc>
          <w:tcPr>
            <w:tcW w:type="dxa" w:w="1944"/>
          </w:tcPr>
          <w:p>
            <w:pPr>
              <w:spacing w:after="20"/>
              <w:jc w:val="right"/>
            </w:pPr>
            <w:r>
              <w:rPr>
                <w:color w:val="1C3A36"/>
                <w:sz w:val="16"/>
              </w:rPr>
              <w:t>20.0%</w:t>
            </w:r>
          </w:p>
        </w:tc>
        <w:tc>
          <w:tcPr>
            <w:tcW w:type="dxa" w:w="3672"/>
          </w:tcPr>
          <w:p>
            <w:pPr>
              <w:spacing w:after="20"/>
            </w:pPr>
            <w:r>
              <w:rPr>
                <w:color w:val="1C3A36"/>
                <w:sz w:val="16"/>
              </w:rPr>
            </w:r>
          </w:p>
        </w:tc>
      </w:tr>
      <w:tr>
        <w:trPr>
          <w:cantSplit/>
        </w:trPr>
        <w:tc>
          <w:tcPr>
            <w:tcW w:type="dxa" w:w="4320"/>
          </w:tcPr>
          <w:p>
            <w:pPr>
              <w:spacing w:after="20"/>
            </w:pPr>
            <w:r>
              <w:rPr>
                <w:color w:val="1C3A36"/>
                <w:sz w:val="16"/>
              </w:rPr>
              <w:t>Call value on those parameters (EGP m)</w:t>
            </w:r>
          </w:p>
        </w:tc>
        <w:tc>
          <w:tcPr>
            <w:tcW w:type="dxa" w:w="1944"/>
          </w:tcPr>
          <w:p>
            <w:pPr>
              <w:spacing w:after="20"/>
              <w:jc w:val="right"/>
            </w:pPr>
            <w:r>
              <w:rPr>
                <w:color w:val="1C3A36"/>
                <w:sz w:val="16"/>
              </w:rPr>
              <w:t>9,934</w:t>
            </w:r>
          </w:p>
        </w:tc>
        <w:tc>
          <w:tcPr>
            <w:tcW w:type="dxa" w:w="3672"/>
          </w:tcPr>
          <w:p>
            <w:pPr>
              <w:spacing w:after="20"/>
            </w:pPr>
            <w:r>
              <w:rPr>
                <w:color w:val="1C3A36"/>
                <w:sz w:val="16"/>
              </w:rPr>
            </w:r>
          </w:p>
        </w:tc>
      </w:tr>
      <w:tr>
        <w:trPr>
          <w:cantSplit/>
        </w:trPr>
        <w:tc>
          <w:tcPr>
            <w:tcW w:type="dxa" w:w="4320"/>
          </w:tcPr>
          <w:p>
            <w:pPr>
              <w:spacing w:after="20"/>
            </w:pPr>
            <w:r>
              <w:rPr>
                <w:color w:val="1C3A36"/>
                <w:sz w:val="16"/>
              </w:rPr>
              <w:t>At 35% volatility (EGP m)</w:t>
            </w:r>
          </w:p>
        </w:tc>
        <w:tc>
          <w:tcPr>
            <w:tcW w:type="dxa" w:w="1944"/>
          </w:tcPr>
          <w:p>
            <w:pPr>
              <w:spacing w:after="20"/>
              <w:jc w:val="right"/>
            </w:pPr>
            <w:r>
              <w:rPr>
                <w:color w:val="1C3A36"/>
                <w:sz w:val="16"/>
              </w:rPr>
              <w:t>9,553</w:t>
            </w:r>
          </w:p>
        </w:tc>
        <w:tc>
          <w:tcPr>
            <w:tcW w:type="dxa" w:w="3672"/>
          </w:tcPr>
          <w:p>
            <w:pPr>
              <w:spacing w:after="20"/>
            </w:pPr>
            <w:r>
              <w:rPr>
                <w:color w:val="1C3A36"/>
                <w:sz w:val="16"/>
              </w:rPr>
            </w:r>
          </w:p>
        </w:tc>
      </w:tr>
      <w:tr>
        <w:trPr>
          <w:cantSplit/>
        </w:trPr>
        <w:tc>
          <w:tcPr>
            <w:tcW w:type="dxa" w:w="4320"/>
          </w:tcPr>
          <w:p>
            <w:pPr>
              <w:spacing w:after="20"/>
            </w:pPr>
            <w:r>
              <w:rPr>
                <w:color w:val="1C3A36"/>
                <w:sz w:val="16"/>
              </w:rPr>
              <w:t>At 55% volatility (EGP m)</w:t>
            </w:r>
          </w:p>
        </w:tc>
        <w:tc>
          <w:tcPr>
            <w:tcW w:type="dxa" w:w="1944"/>
          </w:tcPr>
          <w:p>
            <w:pPr>
              <w:spacing w:after="20"/>
              <w:jc w:val="right"/>
            </w:pPr>
            <w:r>
              <w:rPr>
                <w:color w:val="1C3A36"/>
                <w:sz w:val="16"/>
              </w:rPr>
              <w:t>10,387</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Adjustment for forced timing and dilution</w:t>
            </w:r>
          </w:p>
        </w:tc>
        <w:tc>
          <w:tcPr>
            <w:tcW w:type="dxa" w:w="1944"/>
          </w:tcPr>
          <w:p>
            <w:pPr>
              <w:spacing w:after="20"/>
              <w:jc w:val="right"/>
            </w:pPr>
            <w:r>
              <w:rPr>
                <w:color w:val="1C3A36"/>
                <w:sz w:val="16"/>
              </w:rPr>
              <w:t>-25.0%</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Adjusted call value (EGP m)</w:t>
            </w:r>
          </w:p>
        </w:tc>
        <w:tc>
          <w:tcPr>
            <w:tcW w:type="dxa" w:w="1944"/>
          </w:tcPr>
          <w:p>
            <w:pPr>
              <w:spacing w:after="20"/>
              <w:jc w:val="right"/>
            </w:pPr>
            <w:r>
              <w:rPr>
                <w:color w:val="1C3A36"/>
                <w:sz w:val="16"/>
              </w:rPr>
              <w:t>7,451</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3.75</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33.  Expert 3's workings in full — every intermediate line, not a summary of them.</w:t>
      </w:r>
    </w:p>
    <w:p>
      <w:pPr>
        <w:spacing w:after="120" w:before="0"/>
      </w:pPr>
      <w:r>
        <w:rPr>
          <w:b/>
          <w:i w:val="0"/>
          <w:color w:val="1C3A36"/>
          <w:sz w:val="21"/>
        </w:rPr>
        <w:t>Range: EGP 0.00 to EGP 3.92 a share.</w:t>
      </w:r>
    </w:p>
    <w:p>
      <w:pPr>
        <w:spacing w:after="120" w:before="0"/>
      </w:pPr>
      <w:r>
        <w:rPr>
          <w:b w:val="0"/>
          <w:i w:val="0"/>
          <w:color w:val="1C3A36"/>
          <w:sz w:val="19"/>
        </w:rPr>
        <w:t>On both sides of the contested judgement.  With the programme carried through the claim is worth EGP 3.75 a share (EGP 0.00 to 3.92 across the volatility range); with the programme stopped the enterprise value rises to EGP 22,467 million and the same claim is worth EGP 6.58 (EGP 6.49 to 6.72). The two are published side by side and never averaged.</w:t>
      </w:r>
    </w:p>
    <w:p>
      <w:pPr>
        <w:spacing w:after="120" w:before="0"/>
      </w:pPr>
      <w:r>
        <w:rPr>
          <w:b w:val="0"/>
          <w:i w:val="0"/>
          <w:color w:val="1C3A36"/>
          <w:sz w:val="19"/>
        </w:rPr>
        <w:t>Reading it.  The lowest and the widest of the three, and the only one that takes the debt seriously as a structural fact rather than as a subtraction. Enterprise value including the non-operating assets is EGP 14,623m against gross debt of EGP 14,639m, so the equity is out of the money on the model's own central case and its value is entirely time value. That is why the answer rises with volatility and with time, and why the grid below matters more than the point: at 30% volatility over three years the claim is worth EGP 2.62 a share, and at 60% over seven years EGP 4.53. A reader who finds it perverse that a worse business is worth more here has understood the method correctly: limited liability truncates the downside, so dispersion accrues to the holder. What the method cannot do is tell that holder when the option expires.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41"/>
        <w:gridCol w:w="1541"/>
        <w:gridCol w:w="1541"/>
        <w:gridCol w:w="1541"/>
        <w:gridCol w:w="1541"/>
      </w:tblGrid>
      <w:tr>
        <w:trPr>
          <w:cantSplit/>
          <w:tblHeader/>
        </w:trPr>
        <w:tc>
          <w:tcPr>
            <w:tcW w:type="dxa" w:w="2232"/>
            <w:shd w:val="clear" w:color="auto" w:fill="EAF0EE"/>
          </w:tcPr>
          <w:p>
            <w:pPr>
              <w:spacing w:after="20"/>
            </w:pPr>
            <w:r>
              <w:rPr>
                <w:b/>
                <w:color w:val="1C3A36"/>
                <w:sz w:val="17"/>
              </w:rPr>
              <w:t>Time to maturity</w:t>
            </w:r>
          </w:p>
        </w:tc>
        <w:tc>
          <w:tcPr>
            <w:tcW w:type="dxa" w:w="1541"/>
            <w:shd w:val="clear" w:color="auto" w:fill="EAF0EE"/>
          </w:tcPr>
          <w:p>
            <w:pPr>
              <w:spacing w:after="20"/>
            </w:pPr>
            <w:r>
              <w:rPr>
                <w:b/>
                <w:color w:val="1C3A36"/>
                <w:sz w:val="17"/>
              </w:rPr>
              <w:t>30% volatility</w:t>
            </w:r>
          </w:p>
        </w:tc>
        <w:tc>
          <w:tcPr>
            <w:tcW w:type="dxa" w:w="1541"/>
            <w:shd w:val="clear" w:color="auto" w:fill="EAF0EE"/>
          </w:tcPr>
          <w:p>
            <w:pPr>
              <w:spacing w:after="20"/>
            </w:pPr>
            <w:r>
              <w:rPr>
                <w:b/>
                <w:color w:val="1C3A36"/>
                <w:sz w:val="17"/>
              </w:rPr>
              <w:t>35% volatility</w:t>
            </w:r>
          </w:p>
        </w:tc>
        <w:tc>
          <w:tcPr>
            <w:tcW w:type="dxa" w:w="1541"/>
            <w:shd w:val="clear" w:color="auto" w:fill="EAF0EE"/>
          </w:tcPr>
          <w:p>
            <w:pPr>
              <w:spacing w:after="20"/>
            </w:pPr>
            <w:r>
              <w:rPr>
                <w:b/>
                <w:color w:val="1C3A36"/>
                <w:sz w:val="17"/>
              </w:rPr>
              <w:t>45% volatility</w:t>
            </w:r>
          </w:p>
        </w:tc>
        <w:tc>
          <w:tcPr>
            <w:tcW w:type="dxa" w:w="1541"/>
            <w:shd w:val="clear" w:color="auto" w:fill="EAF0EE"/>
          </w:tcPr>
          <w:p>
            <w:pPr>
              <w:spacing w:after="20"/>
            </w:pPr>
            <w:r>
              <w:rPr>
                <w:b/>
                <w:color w:val="1C3A36"/>
                <w:sz w:val="17"/>
              </w:rPr>
              <w:t>55% volatility</w:t>
            </w:r>
          </w:p>
        </w:tc>
        <w:tc>
          <w:tcPr>
            <w:tcW w:type="dxa" w:w="1541"/>
            <w:shd w:val="clear" w:color="auto" w:fill="EAF0EE"/>
          </w:tcPr>
          <w:p>
            <w:pPr>
              <w:spacing w:after="20"/>
            </w:pPr>
            <w:r>
              <w:rPr>
                <w:b/>
                <w:color w:val="1C3A36"/>
                <w:sz w:val="17"/>
              </w:rPr>
              <w:t>60% volatility</w:t>
            </w:r>
          </w:p>
        </w:tc>
      </w:tr>
      <w:tr>
        <w:trPr>
          <w:cantSplit/>
        </w:trPr>
        <w:tc>
          <w:tcPr>
            <w:tcW w:type="dxa" w:w="2232"/>
          </w:tcPr>
          <w:p>
            <w:pPr>
              <w:spacing w:after="20"/>
            </w:pPr>
            <w:r>
              <w:rPr>
                <w:color w:val="1C3A36"/>
                <w:sz w:val="17"/>
              </w:rPr>
              <w:t>3 years</w:t>
            </w:r>
          </w:p>
        </w:tc>
        <w:tc>
          <w:tcPr>
            <w:tcW w:type="dxa" w:w="1541"/>
          </w:tcPr>
          <w:p>
            <w:pPr>
              <w:spacing w:after="20"/>
              <w:jc w:val="right"/>
            </w:pPr>
            <w:r>
              <w:rPr>
                <w:color w:val="1C3A36"/>
                <w:sz w:val="17"/>
              </w:rPr>
              <w:t>2.62</w:t>
            </w:r>
          </w:p>
        </w:tc>
        <w:tc>
          <w:tcPr>
            <w:tcW w:type="dxa" w:w="1541"/>
          </w:tcPr>
          <w:p>
            <w:pPr>
              <w:spacing w:after="20"/>
              <w:jc w:val="right"/>
            </w:pPr>
            <w:r>
              <w:rPr>
                <w:color w:val="1C3A36"/>
                <w:sz w:val="17"/>
              </w:rPr>
              <w:t>2.69</w:t>
            </w:r>
          </w:p>
        </w:tc>
        <w:tc>
          <w:tcPr>
            <w:tcW w:type="dxa" w:w="1541"/>
          </w:tcPr>
          <w:p>
            <w:pPr>
              <w:spacing w:after="20"/>
              <w:jc w:val="right"/>
            </w:pPr>
            <w:r>
              <w:rPr>
                <w:color w:val="1C3A36"/>
                <w:sz w:val="17"/>
              </w:rPr>
              <w:t>2.88</w:t>
            </w:r>
          </w:p>
        </w:tc>
        <w:tc>
          <w:tcPr>
            <w:tcW w:type="dxa" w:w="1541"/>
          </w:tcPr>
          <w:p>
            <w:pPr>
              <w:spacing w:after="20"/>
              <w:jc w:val="right"/>
            </w:pPr>
            <w:r>
              <w:rPr>
                <w:color w:val="1C3A36"/>
                <w:sz w:val="17"/>
              </w:rPr>
              <w:t>3.08</w:t>
            </w:r>
          </w:p>
        </w:tc>
        <w:tc>
          <w:tcPr>
            <w:tcW w:type="dxa" w:w="1541"/>
          </w:tcPr>
          <w:p>
            <w:pPr>
              <w:spacing w:after="20"/>
              <w:jc w:val="right"/>
            </w:pPr>
            <w:r>
              <w:rPr>
                <w:color w:val="1C3A36"/>
                <w:sz w:val="17"/>
              </w:rPr>
              <w:t>3.18</w:t>
            </w:r>
          </w:p>
        </w:tc>
      </w:tr>
      <w:tr>
        <w:trPr>
          <w:cantSplit/>
        </w:trPr>
        <w:tc>
          <w:tcPr>
            <w:tcW w:type="dxa" w:w="2232"/>
          </w:tcPr>
          <w:p>
            <w:pPr>
              <w:spacing w:after="20"/>
            </w:pPr>
            <w:r>
              <w:rPr>
                <w:color w:val="1C3A36"/>
                <w:sz w:val="17"/>
              </w:rPr>
              <w:t>5 years</w:t>
            </w:r>
          </w:p>
        </w:tc>
        <w:tc>
          <w:tcPr>
            <w:tcW w:type="dxa" w:w="1541"/>
          </w:tcPr>
          <w:p>
            <w:pPr>
              <w:spacing w:after="20"/>
              <w:jc w:val="right"/>
            </w:pPr>
            <w:r>
              <w:rPr>
                <w:color w:val="1C3A36"/>
                <w:sz w:val="17"/>
              </w:rPr>
              <w:t>3.55</w:t>
            </w:r>
          </w:p>
        </w:tc>
        <w:tc>
          <w:tcPr>
            <w:tcW w:type="dxa" w:w="1541"/>
          </w:tcPr>
          <w:p>
            <w:pPr>
              <w:spacing w:after="20"/>
              <w:jc w:val="right"/>
            </w:pPr>
            <w:r>
              <w:rPr>
                <w:color w:val="1C3A36"/>
                <w:sz w:val="17"/>
              </w:rPr>
              <w:t>3.61</w:t>
            </w:r>
          </w:p>
        </w:tc>
        <w:tc>
          <w:tcPr>
            <w:tcW w:type="dxa" w:w="1541"/>
          </w:tcPr>
          <w:p>
            <w:pPr>
              <w:spacing w:after="20"/>
              <w:jc w:val="right"/>
            </w:pPr>
            <w:r>
              <w:rPr>
                <w:color w:val="1C3A36"/>
                <w:sz w:val="17"/>
              </w:rPr>
              <w:t>3.75</w:t>
            </w:r>
          </w:p>
        </w:tc>
        <w:tc>
          <w:tcPr>
            <w:tcW w:type="dxa" w:w="1541"/>
          </w:tcPr>
          <w:p>
            <w:pPr>
              <w:spacing w:after="20"/>
              <w:jc w:val="right"/>
            </w:pPr>
            <w:r>
              <w:rPr>
                <w:color w:val="1C3A36"/>
                <w:sz w:val="17"/>
              </w:rPr>
              <w:t>3.92</w:t>
            </w:r>
          </w:p>
        </w:tc>
        <w:tc>
          <w:tcPr>
            <w:tcW w:type="dxa" w:w="1541"/>
          </w:tcPr>
          <w:p>
            <w:pPr>
              <w:spacing w:after="20"/>
              <w:jc w:val="right"/>
            </w:pPr>
            <w:r>
              <w:rPr>
                <w:color w:val="1C3A36"/>
                <w:sz w:val="17"/>
              </w:rPr>
              <w:t>4.01</w:t>
            </w:r>
          </w:p>
        </w:tc>
      </w:tr>
      <w:tr>
        <w:trPr>
          <w:cantSplit/>
        </w:trPr>
        <w:tc>
          <w:tcPr>
            <w:tcW w:type="dxa" w:w="2232"/>
          </w:tcPr>
          <w:p>
            <w:pPr>
              <w:spacing w:after="20"/>
            </w:pPr>
            <w:r>
              <w:rPr>
                <w:color w:val="1C3A36"/>
                <w:sz w:val="17"/>
              </w:rPr>
              <w:t>7 years</w:t>
            </w:r>
          </w:p>
        </w:tc>
        <w:tc>
          <w:tcPr>
            <w:tcW w:type="dxa" w:w="1541"/>
          </w:tcPr>
          <w:p>
            <w:pPr>
              <w:spacing w:after="20"/>
              <w:jc w:val="right"/>
            </w:pPr>
            <w:r>
              <w:rPr>
                <w:color w:val="1C3A36"/>
                <w:sz w:val="17"/>
              </w:rPr>
              <w:t>4.19</w:t>
            </w:r>
          </w:p>
        </w:tc>
        <w:tc>
          <w:tcPr>
            <w:tcW w:type="dxa" w:w="1541"/>
          </w:tcPr>
          <w:p>
            <w:pPr>
              <w:spacing w:after="20"/>
              <w:jc w:val="right"/>
            </w:pPr>
            <w:r>
              <w:rPr>
                <w:color w:val="1C3A36"/>
                <w:sz w:val="17"/>
              </w:rPr>
              <w:t>4.23</w:t>
            </w:r>
          </w:p>
        </w:tc>
        <w:tc>
          <w:tcPr>
            <w:tcW w:type="dxa" w:w="1541"/>
          </w:tcPr>
          <w:p>
            <w:pPr>
              <w:spacing w:after="20"/>
              <w:jc w:val="right"/>
            </w:pPr>
            <w:r>
              <w:rPr>
                <w:color w:val="1C3A36"/>
                <w:sz w:val="17"/>
              </w:rPr>
              <w:t>4.33</w:t>
            </w:r>
          </w:p>
        </w:tc>
        <w:tc>
          <w:tcPr>
            <w:tcW w:type="dxa" w:w="1541"/>
          </w:tcPr>
          <w:p>
            <w:pPr>
              <w:spacing w:after="20"/>
              <w:jc w:val="right"/>
            </w:pPr>
            <w:r>
              <w:rPr>
                <w:color w:val="1C3A36"/>
                <w:sz w:val="17"/>
              </w:rPr>
              <w:t>4.46</w:t>
            </w:r>
          </w:p>
        </w:tc>
        <w:tc>
          <w:tcPr>
            <w:tcW w:type="dxa" w:w="1541"/>
          </w:tcPr>
          <w:p>
            <w:pPr>
              <w:spacing w:after="20"/>
              <w:jc w:val="right"/>
            </w:pPr>
            <w:r>
              <w:rPr>
                <w:color w:val="1C3A36"/>
                <w:sz w:val="17"/>
              </w:rPr>
              <w:t>4.53</w:t>
            </w:r>
          </w:p>
        </w:tc>
      </w:tr>
    </w:tbl>
    <w:p>
      <w:pPr>
        <w:spacing w:after="40"/>
      </w:pPr>
    </w:p>
    <w:p>
      <w:pPr>
        <w:spacing w:after="200" w:before="0"/>
      </w:pPr>
      <w:r>
        <w:rPr>
          <w:b w:val="0"/>
          <w:i/>
          <w:color w:val="6E7B77"/>
          <w:sz w:val="17"/>
        </w:rPr>
        <w:t>Table 34.  The claim in Egyptian pounds a share across the two parameters that decide it. The published figure is the five-year, forty-five per cent cell; every other cell is a full revaluation of the same option.</w:t>
      </w:r>
    </w:p>
    <w:p>
      <w:pPr>
        <w:spacing w:after="120" w:before="0"/>
      </w:pPr>
      <w:r>
        <w:rPr>
          <w:b w:val="0"/>
          <w:i w:val="0"/>
          <w:color w:val="1C3A36"/>
          <w:sz w:val="19"/>
        </w:rPr>
        <w:t>Named sensitivity.  Volatility is the swing factor: at 35% the claim is worth EGP 3.61 a share, at 55% EGP 3.92. Time to maturity matters almost as much, because it is time for the enterprise to recover above the debt.</w:t>
      </w:r>
    </w:p>
    <w:p>
      <w:pPr>
        <w:spacing w:after="120" w:before="0"/>
      </w:pPr>
      <w:r>
        <w:rPr>
          <w:b w:val="0"/>
          <w:i/>
          <w:color w:val="1C3A36"/>
          <w:sz w:val="19"/>
        </w:rPr>
        <w:t>Falsifier, stated in advance.  Enterprise value rising above the face value of the debt — which needs roughly a US$120 a tonne sustained improvement in the export price, or the capital programme being stopped. Either would retire the option framing and hand the question back to the cash-flow lens.</w:t>
      </w:r>
    </w:p>
    <w:p>
      <w:pPr>
        <w:keepNext/>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080"/>
        <w:gridCol w:w="1080"/>
        <w:gridCol w:w="4608"/>
      </w:tblGrid>
      <w:tr>
        <w:trPr>
          <w:cantSplit/>
          <w:tblHeader/>
        </w:trPr>
        <w:tc>
          <w:tcPr>
            <w:tcW w:type="dxa" w:w="3312"/>
            <w:shd w:val="clear" w:color="auto" w:fill="EAF0EE"/>
          </w:tcPr>
          <w:p>
            <w:pPr>
              <w:spacing w:after="20"/>
            </w:pPr>
            <w:r>
              <w:rPr>
                <w:b/>
                <w:color w:val="1C3A36"/>
                <w:sz w:val="16"/>
              </w:rPr>
              <w:t>Challenge</w:t>
            </w:r>
          </w:p>
        </w:tc>
        <w:tc>
          <w:tcPr>
            <w:tcW w:type="dxa" w:w="1080"/>
            <w:shd w:val="clear" w:color="auto" w:fill="EAF0EE"/>
          </w:tcPr>
          <w:p>
            <w:pPr>
              <w:spacing w:after="20"/>
            </w:pPr>
            <w:r>
              <w:rPr>
                <w:b/>
                <w:color w:val="1C3A36"/>
                <w:sz w:val="16"/>
              </w:rPr>
              <w:t>From</w:t>
            </w:r>
          </w:p>
        </w:tc>
        <w:tc>
          <w:tcPr>
            <w:tcW w:type="dxa" w:w="1080"/>
            <w:shd w:val="clear" w:color="auto" w:fill="EAF0EE"/>
          </w:tcPr>
          <w:p>
            <w:pPr>
              <w:spacing w:after="20"/>
            </w:pPr>
            <w:r>
              <w:rPr>
                <w:b/>
                <w:color w:val="1C3A36"/>
                <w:sz w:val="16"/>
              </w:rPr>
              <w:t>To</w:t>
            </w:r>
          </w:p>
        </w:tc>
        <w:tc>
          <w:tcPr>
            <w:tcW w:type="dxa" w:w="4608"/>
            <w:shd w:val="clear" w:color="auto" w:fill="EAF0EE"/>
          </w:tcPr>
          <w:p>
            <w:pPr>
              <w:spacing w:after="20"/>
            </w:pPr>
            <w:r>
              <w:rPr>
                <w:b/>
                <w:color w:val="1C3A36"/>
                <w:sz w:val="16"/>
              </w:rPr>
              <w:t>Conceded or rejected</w:t>
            </w:r>
          </w:p>
        </w:tc>
      </w:tr>
      <w:tr>
        <w:trPr>
          <w:cantSplit/>
        </w:trPr>
        <w:tc>
          <w:tcPr>
            <w:tcW w:type="dxa" w:w="3312"/>
          </w:tcPr>
          <w:p>
            <w:pPr>
              <w:spacing w:after="20"/>
            </w:pPr>
            <w:r>
              <w:rPr>
                <w:color w:val="1C3A36"/>
                <w:sz w:val="16"/>
              </w:rPr>
              <w:t>Replacement cost values a plant nobody would build today at these gas terms and this utilisation. You are pricing an asset by what it cost, not by what it does.</w:t>
            </w:r>
          </w:p>
        </w:tc>
        <w:tc>
          <w:tcPr>
            <w:tcW w:type="dxa" w:w="1080"/>
          </w:tcPr>
          <w:p>
            <w:pPr>
              <w:spacing w:after="20"/>
              <w:jc w:val="right"/>
            </w:pPr>
            <w:r>
              <w:rPr>
                <w:color w:val="1C3A36"/>
                <w:sz w:val="16"/>
              </w:rPr>
              <w:t>Expert 2</w:t>
            </w:r>
          </w:p>
        </w:tc>
        <w:tc>
          <w:tcPr>
            <w:tcW w:type="dxa" w:w="1080"/>
          </w:tcPr>
          <w:p>
            <w:pPr>
              <w:spacing w:after="20"/>
              <w:jc w:val="right"/>
            </w:pPr>
            <w:r>
              <w:rPr>
                <w:color w:val="1C3A36"/>
                <w:sz w:val="16"/>
              </w:rPr>
              <w:t>Expert 1</w:t>
            </w:r>
          </w:p>
        </w:tc>
        <w:tc>
          <w:tcPr>
            <w:tcW w:type="dxa" w:w="4608"/>
          </w:tcPr>
          <w:p>
            <w:pPr>
              <w:spacing w:after="20"/>
            </w:pPr>
            <w:r>
              <w:rPr>
                <w:color w:val="1C3A36"/>
                <w:sz w:val="16"/>
              </w:rPr>
              <w:t>CONCEDED in part. Expert 1 accepts the method sets a ceiling on what a rational buyer pays rather than a floor under what an owner receives, and that is why the control discount is applied rather than argued away. The range stands as the upper bound of the panel, not its centre.</w:t>
            </w:r>
          </w:p>
        </w:tc>
      </w:tr>
      <w:tr>
        <w:trPr>
          <w:cantSplit/>
        </w:trPr>
        <w:tc>
          <w:tcPr>
            <w:tcW w:type="dxa" w:w="3312"/>
          </w:tcPr>
          <w:p>
            <w:pPr>
              <w:spacing w:after="20"/>
            </w:pPr>
            <w:r>
              <w:rPr>
                <w:color w:val="1C3A36"/>
                <w:sz w:val="16"/>
              </w:rPr>
              <w:t>Your mid-cycle year quietly assumes the new complex never absorbs another pound. That is the same blindness you accuse the multiple lens of.</w:t>
            </w:r>
          </w:p>
        </w:tc>
        <w:tc>
          <w:tcPr>
            <w:tcW w:type="dxa" w:w="1080"/>
          </w:tcPr>
          <w:p>
            <w:pPr>
              <w:spacing w:after="20"/>
              <w:jc w:val="right"/>
            </w:pPr>
            <w:r>
              <w:rPr>
                <w:color w:val="1C3A36"/>
                <w:sz w:val="16"/>
              </w:rPr>
              <w:t>Expert 3</w:t>
            </w:r>
          </w:p>
        </w:tc>
        <w:tc>
          <w:tcPr>
            <w:tcW w:type="dxa" w:w="1080"/>
          </w:tcPr>
          <w:p>
            <w:pPr>
              <w:spacing w:after="20"/>
              <w:jc w:val="right"/>
            </w:pPr>
            <w:r>
              <w:rPr>
                <w:color w:val="1C3A36"/>
                <w:sz w:val="16"/>
              </w:rPr>
              <w:t>Expert 2</w:t>
            </w:r>
          </w:p>
        </w:tc>
        <w:tc>
          <w:tcPr>
            <w:tcW w:type="dxa" w:w="4608"/>
          </w:tcPr>
          <w:p>
            <w:pPr>
              <w:spacing w:after="20"/>
            </w:pPr>
            <w:r>
              <w:rPr>
                <w:color w:val="1C3A36"/>
                <w:sz w:val="16"/>
              </w:rPr>
              <w:t>CONCEDED. Expert 2 accepts that the normalised year is a steady-state construct and that the capital programme sits outside it entirely. The answer should be read as the value of the existing plant, with the programme's cost subtracted separately — which is what the cash-flow lens does.</w:t>
            </w:r>
          </w:p>
        </w:tc>
      </w:tr>
      <w:tr>
        <w:trPr>
          <w:cantSplit/>
        </w:trPr>
        <w:tc>
          <w:tcPr>
            <w:tcW w:type="dxa" w:w="3312"/>
          </w:tcPr>
          <w:p>
            <w:pPr>
              <w:spacing w:after="20"/>
            </w:pPr>
            <w:r>
              <w:rPr>
                <w:color w:val="1C3A36"/>
                <w:sz w:val="16"/>
              </w:rPr>
              <w:t>An option framing rewards volatility, so the worse the business gets the more you say the equity is worth. That cannot be right.</w:t>
            </w:r>
          </w:p>
        </w:tc>
        <w:tc>
          <w:tcPr>
            <w:tcW w:type="dxa" w:w="1080"/>
          </w:tcPr>
          <w:p>
            <w:pPr>
              <w:spacing w:after="20"/>
              <w:jc w:val="right"/>
            </w:pPr>
            <w:r>
              <w:rPr>
                <w:color w:val="1C3A36"/>
                <w:sz w:val="16"/>
              </w:rPr>
              <w:t>Expert 1</w:t>
            </w:r>
          </w:p>
        </w:tc>
        <w:tc>
          <w:tcPr>
            <w:tcW w:type="dxa" w:w="1080"/>
          </w:tcPr>
          <w:p>
            <w:pPr>
              <w:spacing w:after="20"/>
              <w:jc w:val="right"/>
            </w:pPr>
            <w:r>
              <w:rPr>
                <w:color w:val="1C3A36"/>
                <w:sz w:val="16"/>
              </w:rPr>
              <w:t>Expert 3</w:t>
            </w:r>
          </w:p>
        </w:tc>
        <w:tc>
          <w:tcPr>
            <w:tcW w:type="dxa" w:w="4608"/>
          </w:tcPr>
          <w:p>
            <w:pPr>
              <w:spacing w:after="20"/>
            </w:pPr>
            <w:r>
              <w:rPr>
                <w:color w:val="1C3A36"/>
                <w:sz w:val="16"/>
              </w:rPr>
              <w:t>REJECTED, with the mechanism given. The option value rises with volatility because a limited-liability holder cannot lose more than the shares cost; the downside is already truncated by the debt. What is conceded is that the holder cannot choose the exercise date and can be diluted by a rights issue, which is why a quarter is taken off the raw call value.</w:t>
            </w:r>
          </w:p>
        </w:tc>
      </w:tr>
      <w:tr>
        <w:trPr>
          <w:cantSplit/>
        </w:trPr>
        <w:tc>
          <w:tcPr>
            <w:tcW w:type="dxa" w:w="3312"/>
          </w:tcPr>
          <w:p>
            <w:pPr>
              <w:spacing w:after="20"/>
            </w:pPr>
            <w:r>
              <w:rPr>
                <w:color w:val="1C3A36"/>
                <w:sz w:val="16"/>
              </w:rPr>
              <w:t>You are all discounting at rates the market plainly does not use. If none of you can reach the traded price, perhaps the rate is wrong rather than the price.</w:t>
            </w:r>
          </w:p>
        </w:tc>
        <w:tc>
          <w:tcPr>
            <w:tcW w:type="dxa" w:w="1080"/>
          </w:tcPr>
          <w:p>
            <w:pPr>
              <w:spacing w:after="20"/>
              <w:jc w:val="right"/>
            </w:pPr>
            <w:r>
              <w:rPr>
                <w:color w:val="1C3A36"/>
                <w:sz w:val="16"/>
              </w:rPr>
              <w:t>The reader</w:t>
            </w:r>
          </w:p>
        </w:tc>
        <w:tc>
          <w:tcPr>
            <w:tcW w:type="dxa" w:w="1080"/>
          </w:tcPr>
          <w:p>
            <w:pPr>
              <w:spacing w:after="20"/>
              <w:jc w:val="right"/>
            </w:pPr>
            <w:r>
              <w:rPr>
                <w:color w:val="1C3A36"/>
                <w:sz w:val="16"/>
              </w:rPr>
              <w:t>The panel</w:t>
            </w:r>
          </w:p>
        </w:tc>
        <w:tc>
          <w:tcPr>
            <w:tcW w:type="dxa" w:w="4608"/>
          </w:tcPr>
          <w:p>
            <w:pPr>
              <w:spacing w:after="20"/>
            </w:pPr>
            <w:r>
              <w:rPr>
                <w:color w:val="1C3A36"/>
                <w:sz w:val="16"/>
              </w:rPr>
              <w:t>REJECTED as to method, CONCEDED as to consequence. The rate is built from the sovereign's own yield less its own default spread, which is the only construction that charges Egypt's risk once. But the panel accepts the practical point: the gap is reported as an implied discount rate precisely so a reader who disagrees can see exactly what they are disagreeing with.</w:t>
            </w:r>
          </w:p>
        </w:tc>
      </w:tr>
    </w:tbl>
    <w:p>
      <w:pPr>
        <w:spacing w:after="40"/>
      </w:pPr>
    </w:p>
    <w:p>
      <w:pPr>
        <w:keepNext/>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446487"/>
            <wp:docPr id="14" name="Picture 14"/>
            <wp:cNvGraphicFramePr>
              <a:graphicFrameLocks noChangeAspect="1"/>
            </wp:cNvGraphicFramePr>
            <a:graphic>
              <a:graphicData uri="http://schemas.openxmlformats.org/drawingml/2006/picture">
                <pic:pic>
                  <pic:nvPicPr>
                    <pic:cNvPr id="0" name="figD1_experts.png"/>
                    <pic:cNvPicPr/>
                  </pic:nvPicPr>
                  <pic:blipFill>
                    <a:blip r:embed="rId22"/>
                    <a:stretch>
                      <a:fillRect/>
                    </a:stretch>
                  </pic:blipFill>
                  <pic:spPr>
                    <a:xfrm>
                      <a:off x="0" y="0"/>
                      <a:ext cx="6309360" cy="2446487"/>
                    </a:xfrm>
                    <a:prstGeom prst="rect"/>
                  </pic:spPr>
                </pic:pic>
              </a:graphicData>
            </a:graphic>
          </wp:inline>
        </w:drawing>
      </w:r>
    </w:p>
    <w:p>
      <w:pPr>
        <w:spacing w:after="200" w:before="0"/>
      </w:pPr>
      <w:r>
        <w:rPr>
          <w:b w:val="0"/>
          <w:i/>
          <w:color w:val="6E7B77"/>
          <w:sz w:val="17"/>
        </w:rPr>
        <w:t>Figure 14.  Three methods, three ranges, and none of them reaches the traded price.</w:t>
      </w:r>
    </w:p>
    <w:p>
      <w:pPr>
        <w:spacing w:after="120" w:before="0"/>
      </w:pPr>
      <w:r>
        <w:rPr>
          <w:b w:val="0"/>
          <w:i w:val="0"/>
          <w:color w:val="1C3A36"/>
          <w:sz w:val="21"/>
        </w:rPr>
        <w:t>Put together, the panel spans EGP 0.00 to EGP 8.52. They agree on more than the spread suggests: all three price the same plant, the same debt and the same programme, and all three land below the traded price. Where they part is on what to do about a business whose asset base is being rebuilt while its earnings stand still.</w:t>
      </w:r>
    </w:p>
    <w:p>
      <w:pPr>
        <w:spacing w:after="120" w:before="0"/>
      </w:pPr>
      <w:r>
        <w:rPr>
          <w:b w:val="0"/>
          <w:i w:val="0"/>
          <w:color w:val="1C3A36"/>
          <w:sz w:val="21"/>
        </w:rPr>
        <w:t>The most useful thing the panel produces is not a number but an ordering. The asset lens is highest because it credits what has been built without asking what it earns. The earnings lens sits in the middle because it credits a normal year but not the new plant. The option lens is lowest and widest because it takes the leverage seriously. Each is right about the thing it looks at and blind to the thing it does not.</w:t>
      </w:r>
    </w:p>
    <w:p>
      <w:pPr>
        <w:keepNext/>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40"/>
        <w:gridCol w:w="5904"/>
      </w:tblGrid>
      <w:tr>
        <w:trPr>
          <w:cantSplit/>
          <w:tblHeader/>
        </w:trPr>
        <w:tc>
          <w:tcPr>
            <w:tcW w:type="dxa" w:w="2736"/>
            <w:shd w:val="clear" w:color="auto" w:fill="EAF0EE"/>
          </w:tcPr>
          <w:p>
            <w:pPr>
              <w:spacing w:after="20"/>
            </w:pPr>
            <w:r>
              <w:rPr>
                <w:b/>
                <w:color w:val="1C3A36"/>
                <w:sz w:val="16"/>
              </w:rPr>
              <w:t>Pair</w:t>
            </w:r>
          </w:p>
        </w:tc>
        <w:tc>
          <w:tcPr>
            <w:tcW w:type="dxa" w:w="1440"/>
            <w:shd w:val="clear" w:color="auto" w:fill="EAF0EE"/>
          </w:tcPr>
          <w:p>
            <w:pPr>
              <w:spacing w:after="20"/>
            </w:pPr>
            <w:r>
              <w:rPr>
                <w:b/>
                <w:color w:val="1C3A36"/>
                <w:sz w:val="16"/>
              </w:rPr>
              <w:t>Gap (EGP/share)</w:t>
            </w:r>
          </w:p>
        </w:tc>
        <w:tc>
          <w:tcPr>
            <w:tcW w:type="dxa" w:w="5904"/>
            <w:shd w:val="clear" w:color="auto" w:fill="EAF0EE"/>
          </w:tcPr>
          <w:p>
            <w:pPr>
              <w:spacing w:after="20"/>
            </w:pPr>
            <w:r>
              <w:rPr>
                <w:b/>
                <w:color w:val="1C3A36"/>
                <w:sz w:val="16"/>
              </w:rPr>
              <w:t>The single assumption that drives it</w:t>
            </w:r>
          </w:p>
        </w:tc>
      </w:tr>
      <w:tr>
        <w:trPr>
          <w:cantSplit/>
        </w:trPr>
        <w:tc>
          <w:tcPr>
            <w:tcW w:type="dxa" w:w="2736"/>
          </w:tcPr>
          <w:p>
            <w:pPr>
              <w:spacing w:after="20"/>
            </w:pPr>
            <w:r>
              <w:rPr>
                <w:color w:val="1C3A36"/>
                <w:sz w:val="16"/>
              </w:rPr>
              <w:t>Expert 1 against Expert 2</w:t>
            </w:r>
          </w:p>
        </w:tc>
        <w:tc>
          <w:tcPr>
            <w:tcW w:type="dxa" w:w="1440"/>
          </w:tcPr>
          <w:p>
            <w:pPr>
              <w:spacing w:after="20"/>
              <w:jc w:val="right"/>
            </w:pPr>
            <w:r>
              <w:rPr>
                <w:color w:val="1C3A36"/>
                <w:sz w:val="16"/>
              </w:rPr>
              <w:t>1.04</w:t>
            </w:r>
          </w:p>
        </w:tc>
        <w:tc>
          <w:tcPr>
            <w:tcW w:type="dxa" w:w="5904"/>
          </w:tcPr>
          <w:p>
            <w:pPr>
              <w:spacing w:after="20"/>
            </w:pPr>
            <w:r>
              <w:rPr>
                <w:color w:val="1C3A36"/>
                <w:sz w:val="16"/>
              </w:rPr>
              <w:t>Whether an asset is worth what it would cost to rebuild or what it earns in an ordinary year. On a plant running below plate on rationed gas, those are different numbers.</w:t>
            </w:r>
          </w:p>
        </w:tc>
      </w:tr>
      <w:tr>
        <w:trPr>
          <w:cantSplit/>
        </w:trPr>
        <w:tc>
          <w:tcPr>
            <w:tcW w:type="dxa" w:w="2736"/>
          </w:tcPr>
          <w:p>
            <w:pPr>
              <w:spacing w:after="20"/>
            </w:pPr>
            <w:r>
              <w:rPr>
                <w:color w:val="1C3A36"/>
                <w:sz w:val="16"/>
              </w:rPr>
              <w:t>Expert 2 against Expert 3</w:t>
            </w:r>
          </w:p>
        </w:tc>
        <w:tc>
          <w:tcPr>
            <w:tcW w:type="dxa" w:w="1440"/>
          </w:tcPr>
          <w:p>
            <w:pPr>
              <w:spacing w:after="20"/>
              <w:jc w:val="right"/>
            </w:pPr>
            <w:r>
              <w:rPr>
                <w:color w:val="1C3A36"/>
                <w:sz w:val="16"/>
              </w:rPr>
              <w:t>-1.14</w:t>
            </w:r>
          </w:p>
        </w:tc>
        <w:tc>
          <w:tcPr>
            <w:tcW w:type="dxa" w:w="5904"/>
          </w:tcPr>
          <w:p>
            <w:pPr>
              <w:spacing w:after="20"/>
            </w:pPr>
            <w:r>
              <w:rPr>
                <w:color w:val="1C3A36"/>
                <w:sz w:val="16"/>
              </w:rPr>
              <w:t>Whether the debt is a subtraction or a strike price. Above the debt it is a subtraction; below it, the equity is an option and the two methods stop agreeing.</w:t>
            </w:r>
          </w:p>
        </w:tc>
      </w:tr>
      <w:tr>
        <w:trPr>
          <w:cantSplit/>
        </w:trPr>
        <w:tc>
          <w:tcPr>
            <w:tcW w:type="dxa" w:w="2736"/>
          </w:tcPr>
          <w:p>
            <w:pPr>
              <w:spacing w:after="20"/>
            </w:pPr>
            <w:r>
              <w:rPr>
                <w:color w:val="1C3A36"/>
                <w:sz w:val="16"/>
              </w:rPr>
              <w:t>Expert 1 against Expert 3</w:t>
            </w:r>
          </w:p>
        </w:tc>
        <w:tc>
          <w:tcPr>
            <w:tcW w:type="dxa" w:w="1440"/>
          </w:tcPr>
          <w:p>
            <w:pPr>
              <w:spacing w:after="20"/>
              <w:jc w:val="right"/>
            </w:pPr>
            <w:r>
              <w:rPr>
                <w:color w:val="1C3A36"/>
                <w:sz w:val="16"/>
              </w:rPr>
              <w:t>-0.10</w:t>
            </w:r>
          </w:p>
        </w:tc>
        <w:tc>
          <w:tcPr>
            <w:tcW w:type="dxa" w:w="5904"/>
          </w:tcPr>
          <w:p>
            <w:pPr>
              <w:spacing w:after="20"/>
            </w:pPr>
            <w:r>
              <w:rPr>
                <w:color w:val="1C3A36"/>
                <w:sz w:val="16"/>
              </w:rPr>
              <w:t>Both of the above at once, which is why this is the widest pair.</w:t>
            </w:r>
          </w:p>
        </w:tc>
      </w:tr>
      <w:tr>
        <w:trPr>
          <w:cantSplit/>
        </w:trPr>
        <w:tc>
          <w:tcPr>
            <w:tcW w:type="dxa" w:w="2736"/>
          </w:tcPr>
          <w:p>
            <w:pPr>
              <w:spacing w:after="20"/>
            </w:pPr>
            <w:r>
              <w:rPr>
                <w:color w:val="1C3A36"/>
                <w:sz w:val="16"/>
              </w:rPr>
              <w:t>The panel against the cash-flow lens</w:t>
            </w:r>
          </w:p>
        </w:tc>
        <w:tc>
          <w:tcPr>
            <w:tcW w:type="dxa" w:w="1440"/>
          </w:tcPr>
          <w:p>
            <w:pPr>
              <w:spacing w:after="20"/>
              <w:jc w:val="right"/>
            </w:pPr>
            <w:r>
              <w:rPr>
                <w:color w:val="1C3A36"/>
                <w:sz w:val="16"/>
              </w:rPr>
              <w:t>-2.31</w:t>
            </w:r>
          </w:p>
        </w:tc>
        <w:tc>
          <w:tcPr>
            <w:tcW w:type="dxa" w:w="5904"/>
          </w:tcPr>
          <w:p>
            <w:pPr>
              <w:spacing w:after="20"/>
            </w:pPr>
            <w:r>
              <w:rPr>
                <w:color w:val="1C3A36"/>
                <w:sz w:val="16"/>
              </w:rPr>
              <w:t>The capital programme. Every expert method treats it more kindly than a year-by-year cash-flow model does, because none of them charges the full expenditure against the years in which it is actually spent.</w:t>
            </w:r>
          </w:p>
        </w:tc>
      </w:tr>
      <w:tr>
        <w:trPr>
          <w:cantSplit/>
        </w:trPr>
        <w:tc>
          <w:tcPr>
            <w:tcW w:type="dxa" w:w="2736"/>
          </w:tcPr>
          <w:p>
            <w:pPr>
              <w:spacing w:after="20"/>
            </w:pPr>
            <w:r>
              <w:rPr>
                <w:color w:val="1C3A36"/>
                <w:sz w:val="16"/>
              </w:rPr>
              <w:t>The cash-flow lens against the market</w:t>
            </w:r>
          </w:p>
        </w:tc>
        <w:tc>
          <w:tcPr>
            <w:tcW w:type="dxa" w:w="1440"/>
          </w:tcPr>
          <w:p>
            <w:pPr>
              <w:spacing w:after="20"/>
              <w:jc w:val="right"/>
            </w:pPr>
            <w:r>
              <w:rPr>
                <w:color w:val="1C3A36"/>
                <w:sz w:val="16"/>
              </w:rPr>
              <w:t>-12.10</w:t>
            </w:r>
          </w:p>
        </w:tc>
        <w:tc>
          <w:tcPr>
            <w:tcW w:type="dxa" w:w="5904"/>
          </w:tcPr>
          <w:p>
            <w:pPr>
              <w:spacing w:after="20"/>
            </w:pPr>
            <w:r>
              <w:rPr>
                <w:color w:val="1C3A36"/>
                <w:sz w:val="16"/>
              </w:rPr>
              <w:t>The discount rate, and only the discount rate. At about 11.5% the market's price is reproduced; at any rate anchored to Egypt's sovereign it is not.</w:t>
            </w:r>
          </w:p>
        </w:tc>
      </w:tr>
      <w:tr>
        <w:trPr>
          <w:cantSplit/>
        </w:trPr>
        <w:tc>
          <w:tcPr>
            <w:tcW w:type="dxa" w:w="2736"/>
          </w:tcPr>
          <w:p>
            <w:pPr>
              <w:spacing w:after="20"/>
            </w:pPr>
            <w:r>
              <w:rPr>
                <w:color w:val="1C3A36"/>
                <w:sz w:val="16"/>
              </w:rPr>
              <w:t>The top of the field against the market</w:t>
            </w:r>
          </w:p>
        </w:tc>
        <w:tc>
          <w:tcPr>
            <w:tcW w:type="dxa" w:w="1440"/>
          </w:tcPr>
          <w:p>
            <w:pPr>
              <w:spacing w:after="20"/>
              <w:jc w:val="right"/>
            </w:pPr>
            <w:r>
              <w:rPr>
                <w:color w:val="1C3A36"/>
                <w:sz w:val="16"/>
              </w:rPr>
              <w:t>1.58</w:t>
            </w:r>
          </w:p>
        </w:tc>
        <w:tc>
          <w:tcPr>
            <w:tcW w:type="dxa" w:w="5904"/>
          </w:tcPr>
          <w:p>
            <w:pPr>
              <w:spacing w:after="20"/>
            </w:pPr>
            <w:r>
              <w:rPr>
                <w:color w:val="1C3A36"/>
                <w:sz w:val="16"/>
              </w:rPr>
              <w:t>The relative lens, which never charges the capital programme, is the one reading that sits above the price.</w:t>
            </w:r>
          </w:p>
        </w:tc>
      </w:tr>
    </w:tbl>
    <w:p>
      <w:pPr>
        <w:spacing w:after="40"/>
      </w:pPr>
    </w:p>
    <w:p>
      <w:pPr>
        <w:spacing w:after="200" w:before="0"/>
      </w:pPr>
      <w:r>
        <w:rPr>
          <w:b w:val="0"/>
          <w:i/>
          <w:color w:val="6E7B77"/>
          <w:sz w:val="17"/>
        </w:rPr>
        <w:t>Table 35.  Each gap isolated to the one assumption that creates it.</w:t>
      </w:r>
    </w:p>
    <w:p>
      <w:pPr>
        <w:keepNext/>
        <w:spacing w:after="120" w:before="280"/>
      </w:pPr>
      <w:r>
        <w:rPr>
          <w:b/>
          <w:i w:val="0"/>
          <w:color w:val="1C3A36"/>
          <w:sz w:val="30"/>
        </w:rPr>
        <w:t>About</w:t>
      </w:r>
    </w:p>
    <w:p>
      <w:pPr>
        <w:spacing w:after="120" w:before="0"/>
      </w:pPr>
      <w:r>
        <w:rPr>
          <w:b w:val="0"/>
          <w:i w:val="0"/>
          <w:color w:val="1C3A36"/>
          <w:sz w:val="21"/>
        </w:rPr>
        <w:t>This study is one of a series of independent valuation studies produced to a fixed method: the historical statements are taken only from the company's own issued documents; the forecast is built from the ground up in physical units; the cost of capital is constructed from the sovereign's own data rather than assumed; and the workbook that accompanies the document calculates rather than stores, so that a reader who disagrees with an assumption can change it and watch the answer move.</w:t>
      </w:r>
    </w:p>
    <w:p>
      <w:pPr>
        <w:spacing w:after="120" w:before="0"/>
      </w:pPr>
      <w:r>
        <w:rPr>
          <w:b w:val="0"/>
          <w:i w:val="0"/>
          <w:color w:val="1C3A36"/>
          <w:sz w:val="21"/>
        </w:rPr>
        <w:t>Every input behind this study — 298 of them — carries a value, a source, a date and a research layer, and all of them are printed in the separate bibliography document. Where a number is constructed rather than reported, the construction is stated. Where a needed number could not be obtained, that is stated too.</w:t>
      </w:r>
    </w:p>
    <w:p>
      <w:pPr>
        <w:keepNext/>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Educational analysis.  </w:t>
            </w:r>
            <w:r>
              <w:rPr>
                <w:color w:val="1C3A36"/>
                <w:sz w:val="19"/>
              </w:rPr>
              <w:t>This document is an independent educational analysis. It is not investment advice, not a recommendation, and not an offer or solicitation.</w:t>
            </w:r>
          </w:p>
          <w:p>
            <w:pPr>
              <w:spacing w:after="100"/>
            </w:pPr>
            <w:r>
              <w:rPr>
                <w:b/>
                <w:color w:val="1C3A36"/>
                <w:sz w:val="19"/>
              </w:rPr>
              <w:t xml:space="preserve">No rating, no target.  </w:t>
            </w:r>
            <w:r>
              <w:rPr>
                <w:color w:val="1C3A36"/>
                <w:sz w:val="19"/>
              </w:rPr>
              <w:t>It contains no rating and no price target. It reports a range of fair values and the reasoning behind them.</w:t>
            </w:r>
          </w:p>
          <w:p>
            <w:pPr>
              <w:spacing w:after="100"/>
            </w:pPr>
            <w:r>
              <w:rPr>
                <w:b/>
                <w:color w:val="1C3A36"/>
                <w:sz w:val="19"/>
              </w:rPr>
              <w:t xml:space="preserve">Point in time.  </w:t>
            </w:r>
            <w:r>
              <w:rPr>
                <w:color w:val="1C3A36"/>
                <w:sz w:val="19"/>
              </w:rPr>
              <w:t>It reflects information available on 1 September 2026 and the closing price of 2026-08-06. It will age, and it is not updated.</w:t>
            </w:r>
          </w:p>
          <w:p>
            <w:pPr>
              <w:spacing w:after="100"/>
            </w:pPr>
            <w:r>
              <w:rPr>
                <w:b/>
                <w:color w:val="1C3A36"/>
                <w:sz w:val="19"/>
              </w:rPr>
              <w:t xml:space="preserve">Sources and their limits.  </w:t>
            </w:r>
            <w:r>
              <w:rPr>
                <w:color w:val="1C3A36"/>
                <w:sz w:val="19"/>
              </w:rPr>
              <w:t>Historical figures come from the company's own audited and reviewed statements. Those statements carry qualifications, set out in section 7; a reader should weigh them.</w:t>
            </w:r>
          </w:p>
          <w:p>
            <w:pPr>
              <w:spacing w:after="100"/>
            </w:pPr>
            <w:r>
              <w:rPr>
                <w:b/>
                <w:color w:val="1C3A36"/>
                <w:sz w:val="19"/>
              </w:rPr>
              <w:t xml:space="preserve">Model risk.  </w:t>
            </w:r>
            <w:r>
              <w:rPr>
                <w:color w:val="1C3A36"/>
                <w:sz w:val="19"/>
              </w:rPr>
              <w:t>The forecast depends on judgements that are stated and sensitised. Reasonable people will choose different inputs and reach different answers, which is why the contested judgement is published both ways rather than averaged.</w:t>
            </w:r>
          </w:p>
          <w:p>
            <w:pPr>
              <w:spacing w:after="100"/>
            </w:pPr>
            <w:r>
              <w:rPr>
                <w:b/>
                <w:color w:val="1C3A36"/>
                <w:sz w:val="19"/>
              </w:rPr>
              <w:t xml:space="preserve">No position.  </w:t>
            </w:r>
            <w:r>
              <w:rPr>
                <w:color w:val="1C3A36"/>
                <w:sz w:val="19"/>
              </w:rPr>
              <w:t>The author holds no position in the subject and receives no compensation from it or from any party with an interest in it.</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