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10-09-2026   ·   10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45.78 with MNT-Halan at the value GB Corp’s own reviewed balance sheet carries it at (+58%), and EGP 56.78 with MNT-Halan at the price of the June-2026 funding round (+96%).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33.5 bn and GB Capital at the value its own disclosed return supports — and they come to 106% of the entire traded market capitalisation before a single pound of associate value. What the price leaves for the associates is EGP -2.0 bn, against EGP 16.2 bn carried on the reviewed balance sheet. On GB Corp’s stated holding that values MNT-Halan as a whole at about US$-127 mn, against the US$1,400 mn its June-2026 round was struck at and the US$796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32.26% against this study’s 23.12% on the round-price branch — a stretch — but only 26.62%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45.78</w:t>
            </w:r>
          </w:p>
        </w:tc>
        <w:tc>
          <w:tcPr>
            <w:tcW w:type="dxa" w:w="1656"/>
          </w:tcPr>
          <w:p>
            <w:pPr>
              <w:spacing w:after="20"/>
              <w:jc w:val="right"/>
            </w:pPr>
            <w:r>
              <w:rPr>
                <w:color w:val="1C3A36"/>
                <w:sz w:val="17"/>
              </w:rPr>
              <w:t>+58%</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56.78</w:t>
            </w:r>
          </w:p>
        </w:tc>
        <w:tc>
          <w:tcPr>
            <w:tcW w:type="dxa" w:w="1656"/>
          </w:tcPr>
          <w:p>
            <w:pPr>
              <w:spacing w:after="20"/>
              <w:jc w:val="right"/>
            </w:pPr>
            <w:r>
              <w:rPr>
                <w:color w:val="1C3A36"/>
                <w:sz w:val="17"/>
              </w:rPr>
              <w:t>+96%</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6.35×, the median of GB Corp’s own trailing multiple at its last three year-end closes</w:t>
            </w:r>
          </w:p>
        </w:tc>
        <w:tc>
          <w:tcPr>
            <w:tcW w:type="dxa" w:w="2088"/>
          </w:tcPr>
          <w:p>
            <w:pPr>
              <w:spacing w:after="20"/>
              <w:jc w:val="right"/>
            </w:pPr>
            <w:r>
              <w:rPr>
                <w:color w:val="1C3A36"/>
                <w:sz w:val="17"/>
              </w:rPr>
              <w:t>EGP 19.29</w:t>
            </w:r>
          </w:p>
        </w:tc>
        <w:tc>
          <w:tcPr>
            <w:tcW w:type="dxa" w:w="1656"/>
          </w:tcPr>
          <w:p>
            <w:pPr>
              <w:spacing w:after="20"/>
              <w:jc w:val="right"/>
            </w:pPr>
            <w:r>
              <w:rPr>
                <w:color w:val="1C3A36"/>
                <w:sz w:val="17"/>
              </w:rPr>
              <w:t>-33%</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55.91</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9.22</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36.88</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9.22–55.91</w:t>
            </w:r>
          </w:p>
        </w:tc>
        <w:tc>
          <w:tcPr>
            <w:tcW w:type="dxa" w:w="1656"/>
          </w:tcPr>
          <w:p>
            <w:pPr>
              <w:spacing w:after="20"/>
              <w:jc w:val="right"/>
            </w:pPr>
            <w:r>
              <w:rPr>
                <w:color w:val="1C3A36"/>
                <w:sz w:val="17"/>
              </w:rPr>
              <w:t>Middle read EGP 36.88</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45.78 on one of GB Corp’s own disclosures about its associate and EGP 56.78 on the other, +58% and +96% against the price; the cross-checks sit either side of the price, the earnings multiple at EGP 19.29 and the disclosed book floor at EGP 30.82 — and the shares trade BELOW their own book. The three experts span EGP 9.22 to 55.91,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because that drift is what this stock's own history measures rather than what anybody hopes for. How often the bands built around it have actually held is published at the end of §3, with the count beside the percentage.</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Bedaya, Kaf</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14,623.7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10.10% against a terminal cost of equity of 17.04% that justifies 0.31× of the EGP 6,267 mn operating equity. The associates are the branch: MNT-Halan is carried at EGP 15,734 mn in the reviewed balance sheet at 30 June 2026 and marks at EGP 27,671 mn on GB Corp’s stated 41.61% of the US$1,400 mn June-2026 round at EGP/USD 47.5. Both are the company’s own numbers.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31,531</w:t>
            </w:r>
          </w:p>
        </w:tc>
        <w:tc>
          <w:tcPr>
            <w:tcW w:type="dxa" w:w="1656"/>
          </w:tcPr>
          <w:p>
            <w:pPr>
              <w:spacing w:after="20"/>
              <w:jc w:val="right"/>
            </w:pPr>
            <w:r>
              <w:rPr>
                <w:color w:val="1C3A36"/>
                <w:sz w:val="18"/>
              </w:rPr>
              <w:t>31,531</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1,936</w:t>
            </w:r>
          </w:p>
        </w:tc>
        <w:tc>
          <w:tcPr>
            <w:tcW w:type="dxa" w:w="1656"/>
          </w:tcPr>
          <w:p>
            <w:pPr>
              <w:spacing w:after="20"/>
              <w:jc w:val="right"/>
            </w:pPr>
            <w:r>
              <w:rPr>
                <w:color w:val="1C3A36"/>
                <w:sz w:val="18"/>
              </w:rPr>
              <w:t>1,936</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15,734</w:t>
            </w:r>
          </w:p>
        </w:tc>
        <w:tc>
          <w:tcPr>
            <w:tcW w:type="dxa" w:w="1656"/>
          </w:tcPr>
          <w:p>
            <w:pPr>
              <w:spacing w:after="20"/>
              <w:jc w:val="right"/>
            </w:pPr>
            <w:r>
              <w:rPr>
                <w:color w:val="1C3A36"/>
                <w:sz w:val="18"/>
              </w:rPr>
              <w:t>27,671</w:t>
            </w:r>
          </w:p>
        </w:tc>
      </w:tr>
      <w:tr>
        <w:tc>
          <w:tcPr>
            <w:tcW w:type="dxa" w:w="2880"/>
          </w:tcPr>
          <w:p>
            <w:pPr>
              <w:spacing w:after="20"/>
            </w:pPr>
            <w:r>
              <w:rPr>
                <w:b/>
                <w:color w:val="1C3A36"/>
                <w:sz w:val="18"/>
              </w:rPr>
              <w:t>Plus other associates (Bedaya,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497</w:t>
            </w:r>
          </w:p>
        </w:tc>
        <w:tc>
          <w:tcPr>
            <w:tcW w:type="dxa" w:w="1656"/>
          </w:tcPr>
          <w:p>
            <w:pPr>
              <w:spacing w:after="20"/>
              <w:jc w:val="right"/>
            </w:pPr>
            <w:r>
              <w:rPr>
                <w:color w:val="1C3A36"/>
                <w:sz w:val="18"/>
              </w:rPr>
              <w:t>497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49,697</w:t>
            </w:r>
          </w:p>
        </w:tc>
        <w:tc>
          <w:tcPr>
            <w:tcW w:type="dxa" w:w="1656"/>
            <w:shd w:val="clear" w:color="auto" w:fill="F6F1E6"/>
          </w:tcPr>
          <w:p>
            <w:pPr>
              <w:spacing w:after="20"/>
              <w:jc w:val="right"/>
            </w:pPr>
            <w:r>
              <w:rPr>
                <w:b/>
                <w:color w:val="1C3A36"/>
                <w:sz w:val="18"/>
              </w:rPr>
              <w:t>61,634</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45.78</w:t>
            </w:r>
          </w:p>
        </w:tc>
        <w:tc>
          <w:tcPr>
            <w:tcW w:type="dxa" w:w="1656"/>
            <w:shd w:val="clear" w:color="auto" w:fill="F6F1E6"/>
          </w:tcPr>
          <w:p>
            <w:pPr>
              <w:spacing w:after="20"/>
              <w:jc w:val="right"/>
            </w:pPr>
            <w:r>
              <w:rPr>
                <w:b/>
                <w:color w:val="1C3A36"/>
                <w:sz w:val="18"/>
              </w:rPr>
              <w:t>56.78</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+58%</w:t>
            </w:r>
          </w:p>
        </w:tc>
        <w:tc>
          <w:tcPr>
            <w:tcW w:type="dxa" w:w="1656"/>
          </w:tcPr>
          <w:p>
            <w:pPr>
              <w:spacing w:after="20"/>
              <w:jc w:val="right"/>
            </w:pPr>
            <w:r>
              <w:rPr>
                <w:color w:val="1C3A36"/>
                <w:sz w:val="18"/>
              </w:rPr>
              <w:t>+96%</w:t>
            </w:r>
          </w:p>
        </w:tc>
      </w:tr>
    </w:tbl>
    <w:p>
      <w:pPr>
        <w:spacing w:after="40"/>
      </w:pPr>
    </w:p>
    <w:p>
      <w:pPr>
        <w:spacing w:after="120" w:before="0"/>
      </w:pPr>
      <w:r>
        <w:rPr>
          <w:b/>
          <w:i w:val="0"/>
          <w:color w:val="1C3A36"/>
          <w:sz w:val="21"/>
        </w:rPr>
        <w:t>Two answers, EGP 45.78 and 56.78 per share</w:t>
      </w:r>
      <w:r>
        <w:rPr>
          <w:b w:val="0"/>
          <w:i w:val="0"/>
          <w:color w:val="1C3A36"/>
          <w:sz w:val="21"/>
        </w:rPr>
        <w:t>, and no number between them. The gap between the branches is EGP 11.9 bn, 19.4%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1.40%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15,734</w:t>
            </w:r>
          </w:p>
        </w:tc>
        <w:tc>
          <w:tcPr>
            <w:tcW w:type="dxa" w:w="2808"/>
          </w:tcPr>
          <w:p>
            <w:pPr>
              <w:spacing w:after="20"/>
              <w:jc w:val="right"/>
            </w:pPr>
            <w:r>
              <w:rPr>
                <w:color w:val="1C3A36"/>
                <w:sz w:val="18"/>
              </w:rPr>
              <w:t>27,671</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796</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25.49</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32%</w:t>
            </w:r>
          </w:p>
        </w:tc>
        <w:tc>
          <w:tcPr>
            <w:tcW w:type="dxa" w:w="2808"/>
          </w:tcPr>
          <w:p>
            <w:pPr>
              <w:spacing w:after="20"/>
              <w:jc w:val="right"/>
            </w:pPr>
            <w:r>
              <w:rPr>
                <w:color w:val="1C3A36"/>
                <w:sz w:val="18"/>
              </w:rPr>
              <w:t>45%</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88%</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-2,009</w:t>
            </w:r>
          </w:p>
        </w:tc>
        <w:tc>
          <w:tcPr>
            <w:tcW w:type="dxa" w:w="2808"/>
          </w:tcPr>
          <w:p>
            <w:pPr>
              <w:spacing w:after="20"/>
              <w:jc w:val="right"/>
            </w:pPr>
            <w:r>
              <w:rPr>
                <w:color w:val="1C3A36"/>
                <w:sz w:val="18"/>
              </w:rPr>
              <w:t>-2,009</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112.4%</w:t>
            </w:r>
          </w:p>
        </w:tc>
        <w:tc>
          <w:tcPr>
            <w:tcW w:type="dxa" w:w="2808"/>
          </w:tcPr>
          <w:p>
            <w:pPr>
              <w:spacing w:after="20"/>
              <w:jc w:val="right"/>
            </w:pPr>
            <w:r>
              <w:rPr>
                <w:color w:val="1C3A36"/>
                <w:sz w:val="18"/>
              </w:rPr>
              <w:t>107.1%</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-2,506</w:t>
            </w:r>
          </w:p>
        </w:tc>
        <w:tc>
          <w:tcPr>
            <w:tcW w:type="dxa" w:w="2808"/>
          </w:tcPr>
          <w:p>
            <w:pPr>
              <w:spacing w:after="20"/>
              <w:jc w:val="right"/>
            </w:pPr>
            <w:r>
              <w:rPr>
                <w:color w:val="1C3A36"/>
                <w:sz w:val="18"/>
              </w:rPr>
              <w:t>-2,506</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-2,506</w:t>
            </w:r>
          </w:p>
        </w:tc>
        <w:tc>
          <w:tcPr>
            <w:tcW w:type="dxa" w:w="2304"/>
          </w:tcPr>
          <w:p>
            <w:pPr>
              <w:spacing w:after="20"/>
              <w:jc w:val="right"/>
            </w:pPr>
            <w:r>
              <w:rPr>
                <w:color w:val="1C3A36"/>
                <w:sz w:val="17"/>
              </w:rPr>
              <w:t>-127</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6,918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37.66</w:t>
            </w:r>
          </w:p>
        </w:tc>
        <w:tc>
          <w:tcPr>
            <w:tcW w:type="dxa" w:w="3528"/>
          </w:tcPr>
          <w:p>
            <w:pPr>
              <w:spacing w:after="20"/>
              <w:jc w:val="right"/>
            </w:pPr>
            <w:r>
              <w:rPr>
                <w:color w:val="1C3A36"/>
                <w:sz w:val="17"/>
              </w:rPr>
            </w:r>
          </w:p>
        </w:tc>
      </w:tr>
      <w:tr>
        <w:tc>
          <w:tcPr>
            <w:tcW w:type="dxa" w:w="2232"/>
          </w:tcPr>
          <w:p>
            <w:pPr>
              <w:spacing w:after="20"/>
            </w:pPr>
            <w:r>
              <w:rPr>
                <w:b/>
                <w:color w:val="1C3A36"/>
                <w:sz w:val="17"/>
              </w:rPr>
              <w:t>13,835</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44.03</w:t>
            </w:r>
          </w:p>
        </w:tc>
        <w:tc>
          <w:tcPr>
            <w:tcW w:type="dxa" w:w="3528"/>
          </w:tcPr>
          <w:p>
            <w:pPr>
              <w:spacing w:after="20"/>
              <w:jc w:val="right"/>
            </w:pPr>
            <w:r>
              <w:rPr>
                <w:color w:val="1C3A36"/>
                <w:sz w:val="17"/>
              </w:rPr>
            </w:r>
          </w:p>
        </w:tc>
      </w:tr>
      <w:tr>
        <w:tc>
          <w:tcPr>
            <w:tcW w:type="dxa" w:w="2232"/>
          </w:tcPr>
          <w:p>
            <w:pPr>
              <w:spacing w:after="20"/>
            </w:pPr>
            <w:r>
              <w:rPr>
                <w:b/>
                <w:color w:val="1C3A36"/>
                <w:sz w:val="17"/>
              </w:rPr>
              <w:t>15,734</w:t>
            </w:r>
          </w:p>
        </w:tc>
        <w:tc>
          <w:tcPr>
            <w:tcW w:type="dxa" w:w="2304"/>
          </w:tcPr>
          <w:p>
            <w:pPr>
              <w:spacing w:after="20"/>
              <w:jc w:val="right"/>
            </w:pPr>
            <w:r>
              <w:rPr>
                <w:color w:val="1C3A36"/>
                <w:sz w:val="17"/>
              </w:rPr>
              <w:t>796</w:t>
            </w:r>
          </w:p>
        </w:tc>
        <w:tc>
          <w:tcPr>
            <w:tcW w:type="dxa" w:w="2160"/>
          </w:tcPr>
          <w:p>
            <w:pPr>
              <w:spacing w:after="20"/>
              <w:jc w:val="right"/>
            </w:pPr>
            <w:r>
              <w:rPr>
                <w:color w:val="1C3A36"/>
                <w:sz w:val="17"/>
              </w:rPr>
              <w:t>45.78</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20,753</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50.41</w:t>
            </w:r>
          </w:p>
        </w:tc>
        <w:tc>
          <w:tcPr>
            <w:tcW w:type="dxa" w:w="3528"/>
          </w:tcPr>
          <w:p>
            <w:pPr>
              <w:spacing w:after="20"/>
              <w:jc w:val="right"/>
            </w:pPr>
            <w:r>
              <w:rPr>
                <w:color w:val="1C3A36"/>
                <w:sz w:val="17"/>
              </w:rPr>
            </w:r>
          </w:p>
        </w:tc>
      </w:tr>
      <w:tr>
        <w:tc>
          <w:tcPr>
            <w:tcW w:type="dxa" w:w="2232"/>
          </w:tcPr>
          <w:p>
            <w:pPr>
              <w:spacing w:after="20"/>
            </w:pPr>
            <w:r>
              <w:rPr>
                <w:b/>
                <w:color w:val="1C3A36"/>
                <w:sz w:val="17"/>
              </w:rPr>
              <w:t>27,671</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56.78</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The event that would settle the branch — and why nothing moves on it yet</w:t>
      </w:r>
    </w:p>
    <w:p>
      <w:pPr>
        <w:spacing w:after="120" w:before="0"/>
      </w:pPr>
      <w:r>
        <w:rPr>
          <w:b w:val="0"/>
          <w:i w:val="0"/>
          <w:color w:val="1C3A36"/>
          <w:sz w:val="19"/>
        </w:rPr>
        <w:t>This study publishes two answers because the house cannot choose between a private round price and a qualified accounting carrying value. There is one event that would take the choice away from everybody, and it has started. On 2026-09-08 the Egyptian Exchange published an application by MNT Tech Holding for Financial Investments to list 1.6 billion ordinary shares on its main market, par value EGP 0.10, issued capital EGP 160 million. The announcement stands for five working days. A listing would put a quote on the asset this study values two ways, and one of the two branches would then be tested against it.</w:t>
      </w:r>
    </w:p>
    <w:p>
      <w:pPr>
        <w:spacing w:after="120" w:before="0"/>
      </w:pPr>
      <w:r>
        <w:rPr>
          <w:b w:val="0"/>
          <w:i w:val="0"/>
          <w:color w:val="1C3A36"/>
          <w:sz w:val="19"/>
        </w:rPr>
        <w:t>IT IS AN APPLICATION. The documents are still being assembled for the exchange’s listing committee; this is not approval and it is not the start of trading. So nothing in this study moves on it: both branches stand exactly where they stood, at EGP 45.78 and EGP 56.78. It is recorded because a reader deciding between the two bases should know that the question may not stay open, not because it changes an answer today.</w:t>
      </w:r>
    </w:p>
    <w:p>
      <w:pPr>
        <w:spacing w:after="120" w:before="0"/>
      </w:pPr>
      <w:r>
        <w:rPr>
          <w:b w:val="0"/>
          <w:i w:val="0"/>
          <w:color w:val="1C3A36"/>
          <w:sz w:val="19"/>
        </w:rPr>
        <w:t>TWO THINGS ABOUT IT ARE EASY TO GET WRONG, so this study states both. First, the US$0.9–1.0bn figure quoted alongside the filing is not a disclosure and is not a transaction: it traces to a press report of unnamed sources in June about a prospective offering. Second — and this is the one that matters — that range is BELOW the US$1.4bn June round this study prices the higher branch on, and it is tempting to read the lower number as the round marked down. It is a different perimeter. The reported listing covers the Egyptian operating activities; Turkey, Pakistan and the United Arab Emirates stay outside it, and the June round priced the group with them in. A smaller number on a smaller business is not a lower valuation of the same business.</w:t>
      </w:r>
    </w:p>
    <w:p>
      <w:pPr>
        <w:spacing w:after="120" w:before="0"/>
      </w:pPr>
      <w:r>
        <w:rPr>
          <w:b w:val="0"/>
          <w:i w:val="0"/>
          <w:color w:val="1C3A36"/>
          <w:sz w:val="19"/>
        </w:rPr>
        <w:t>GB Corp itself has said nothing about the filing. Its investor news room, read on 13 September 2026, carries no release later than the 9 June 2026 announcement of the round. So the company has not told its own shareholders what the listing does to its 41.61%, or whether it would sell into it. That silence is recorded here as a dated negative search rather than left as an absence a reader might mistake for a finding.</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follows the EGP 3,000 mn guided for the first year and then normalises; and the crux — net working capital — glides from 26.5% of revenue to 21.5% as the payables re-extension completes and the Sadat stock build unwinds. The cost of capital is not one crisis rate held for ever: it is a schedule, built through the house cost-of-capital module from a normalised risk-free rate of 19.59%, a regression beta of 0.8907 and an equity risk premium of 9.41%, gliding from 23.12% in the first forecast year to a norm-built terminal of 13.45%. Terminal growth is stored as a REAL rate of 0.0% on the house Egyptian inflation path and recomputes to 7.00% nominal; it is not a typed nominal figure. §1.8 carries the whole build.</w:t>
      </w:r>
    </w:p>
    <w:p>
      <w:pPr>
        <w:spacing w:after="120" w:before="0"/>
      </w:pPr>
      <w:r>
        <w:rPr>
          <w:b w:val="0"/>
          <w:i w:val="0"/>
          <w:color w:val="1C3A36"/>
          <w:sz w:val="19"/>
        </w:rPr>
        <w:t>CAN THE PLANT MAKE THEM? The passenger-car line above grows from a filed 56,548 units in FY2025 to 90,921 by FY2030E, and until this edition this study carried no capacity figure at all — the forecast could have run to any number and nothing here would have noticed. GB Corp publishes capacity for two of its plants and not for the third that matters: its bus facility at 5,000 bodies a year and its two- and three-wheeler plant at 80,000 units, while the Prima passenger-car complex is given an area and no output. The one number this forecast needs is the one the company does not publish.</w:t>
      </w:r>
    </w:p>
    <w:p>
      <w:pPr>
        <w:spacing w:after="120" w:before="0"/>
      </w:pPr>
      <w:r>
        <w:rPr>
          <w:b w:val="0"/>
          <w:i w:val="0"/>
          <w:color w:val="1C3A36"/>
          <w:sz w:val="19"/>
        </w:rPr>
        <w:t>Trade press and a government press office put Prima at 70,000–80,000 cars a year, the newer Sadat City plant at 50,000, and the group at about 110,000 vehicles. None of that is a filing and none of it is on the company’s own site, so it is not used as an input. Read against it for orientation only, the FY2030E peak is roughly three quarters of nameplate — but it passes the Prima complex on its own from FY2028E. SO FROM THE THIRD FORECAST YEAR THIS VALUATION DEPENDS ON SADAT CITY RUNNING. That dependency was carried silently before this edition. It is now stated, and it is stated rather than tested, because the disclosure that would test it does not exist.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95,736</w:t>
            </w:r>
          </w:p>
        </w:tc>
        <w:tc>
          <w:tcPr>
            <w:tcW w:type="dxa" w:w="1440"/>
          </w:tcPr>
          <w:p>
            <w:pPr>
              <w:spacing w:after="20"/>
              <w:jc w:val="right"/>
            </w:pPr>
            <w:r>
              <w:rPr>
                <w:color w:val="1C3A36"/>
                <w:sz w:val="17"/>
              </w:rPr>
              <w:t>112,459</w:t>
            </w:r>
          </w:p>
        </w:tc>
        <w:tc>
          <w:tcPr>
            <w:tcW w:type="dxa" w:w="1440"/>
          </w:tcPr>
          <w:p>
            <w:pPr>
              <w:spacing w:after="20"/>
              <w:jc w:val="right"/>
            </w:pPr>
            <w:r>
              <w:rPr>
                <w:color w:val="1C3A36"/>
                <w:sz w:val="17"/>
              </w:rPr>
              <w:t>128,714</w:t>
            </w:r>
          </w:p>
        </w:tc>
        <w:tc>
          <w:tcPr>
            <w:tcW w:type="dxa" w:w="1440"/>
          </w:tcPr>
          <w:p>
            <w:pPr>
              <w:spacing w:after="20"/>
              <w:jc w:val="right"/>
            </w:pPr>
            <w:r>
              <w:rPr>
                <w:color w:val="1C3A36"/>
                <w:sz w:val="17"/>
              </w:rPr>
              <w:t>144,761</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6,677</w:t>
            </w:r>
          </w:p>
        </w:tc>
        <w:tc>
          <w:tcPr>
            <w:tcW w:type="dxa" w:w="1440"/>
          </w:tcPr>
          <w:p>
            <w:pPr>
              <w:spacing w:after="20"/>
              <w:jc w:val="right"/>
            </w:pPr>
            <w:r>
              <w:rPr>
                <w:color w:val="1C3A36"/>
                <w:sz w:val="17"/>
              </w:rPr>
              <w:t>8,616</w:t>
            </w:r>
          </w:p>
        </w:tc>
        <w:tc>
          <w:tcPr>
            <w:tcW w:type="dxa" w:w="1440"/>
          </w:tcPr>
          <w:p>
            <w:pPr>
              <w:spacing w:after="20"/>
              <w:jc w:val="right"/>
            </w:pPr>
            <w:r>
              <w:rPr>
                <w:color w:val="1C3A36"/>
                <w:sz w:val="17"/>
              </w:rPr>
              <w:t>10,571</w:t>
            </w:r>
          </w:p>
        </w:tc>
        <w:tc>
          <w:tcPr>
            <w:tcW w:type="dxa" w:w="1440"/>
          </w:tcPr>
          <w:p>
            <w:pPr>
              <w:spacing w:after="20"/>
              <w:jc w:val="right"/>
            </w:pPr>
            <w:r>
              <w:rPr>
                <w:color w:val="1C3A36"/>
                <w:sz w:val="17"/>
              </w:rPr>
              <w:t>12,228</w:t>
            </w:r>
          </w:p>
        </w:tc>
        <w:tc>
          <w:tcPr>
            <w:tcW w:type="dxa" w:w="1440"/>
          </w:tcPr>
          <w:p>
            <w:pPr>
              <w:spacing w:after="20"/>
              <w:jc w:val="right"/>
            </w:pPr>
            <w:r>
              <w:rPr>
                <w:color w:val="1C3A36"/>
                <w:sz w:val="17"/>
              </w:rPr>
              <w:t>13,752</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5,813</w:t>
            </w:r>
          </w:p>
        </w:tc>
        <w:tc>
          <w:tcPr>
            <w:tcW w:type="dxa" w:w="1440"/>
          </w:tcPr>
          <w:p>
            <w:pPr>
              <w:spacing w:after="20"/>
              <w:jc w:val="right"/>
            </w:pPr>
            <w:r>
              <w:rPr>
                <w:color w:val="1C3A36"/>
                <w:sz w:val="17"/>
              </w:rPr>
              <w:t>7,563</w:t>
            </w:r>
          </w:p>
        </w:tc>
        <w:tc>
          <w:tcPr>
            <w:tcW w:type="dxa" w:w="1440"/>
          </w:tcPr>
          <w:p>
            <w:pPr>
              <w:spacing w:after="20"/>
              <w:jc w:val="right"/>
            </w:pPr>
            <w:r>
              <w:rPr>
                <w:color w:val="1C3A36"/>
                <w:sz w:val="17"/>
              </w:rPr>
              <w:t>9,334</w:t>
            </w:r>
          </w:p>
        </w:tc>
        <w:tc>
          <w:tcPr>
            <w:tcW w:type="dxa" w:w="1440"/>
          </w:tcPr>
          <w:p>
            <w:pPr>
              <w:spacing w:after="20"/>
              <w:jc w:val="right"/>
            </w:pPr>
            <w:r>
              <w:rPr>
                <w:color w:val="1C3A36"/>
                <w:sz w:val="17"/>
              </w:rPr>
              <w:t>10,812</w:t>
            </w:r>
          </w:p>
        </w:tc>
        <w:tc>
          <w:tcPr>
            <w:tcW w:type="dxa" w:w="1440"/>
          </w:tcPr>
          <w:p>
            <w:pPr>
              <w:spacing w:after="20"/>
              <w:jc w:val="right"/>
            </w:pPr>
            <w:r>
              <w:rPr>
                <w:color w:val="1C3A36"/>
                <w:sz w:val="17"/>
              </w:rPr>
              <w:t>12,160</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4,185</w:t>
            </w:r>
          </w:p>
        </w:tc>
        <w:tc>
          <w:tcPr>
            <w:tcW w:type="dxa" w:w="1440"/>
          </w:tcPr>
          <w:p>
            <w:pPr>
              <w:spacing w:after="20"/>
              <w:jc w:val="right"/>
            </w:pPr>
            <w:r>
              <w:rPr>
                <w:color w:val="1C3A36"/>
                <w:sz w:val="17"/>
              </w:rPr>
              <w:t>5,445</w:t>
            </w:r>
          </w:p>
        </w:tc>
        <w:tc>
          <w:tcPr>
            <w:tcW w:type="dxa" w:w="1440"/>
          </w:tcPr>
          <w:p>
            <w:pPr>
              <w:spacing w:after="20"/>
              <w:jc w:val="right"/>
            </w:pPr>
            <w:r>
              <w:rPr>
                <w:color w:val="1C3A36"/>
                <w:sz w:val="17"/>
              </w:rPr>
              <w:t>6,721</w:t>
            </w:r>
          </w:p>
        </w:tc>
        <w:tc>
          <w:tcPr>
            <w:tcW w:type="dxa" w:w="1440"/>
          </w:tcPr>
          <w:p>
            <w:pPr>
              <w:spacing w:after="20"/>
              <w:jc w:val="right"/>
            </w:pPr>
            <w:r>
              <w:rPr>
                <w:color w:val="1C3A36"/>
                <w:sz w:val="17"/>
              </w:rPr>
              <w:t>7,785</w:t>
            </w:r>
          </w:p>
        </w:tc>
        <w:tc>
          <w:tcPr>
            <w:tcW w:type="dxa" w:w="1440"/>
          </w:tcPr>
          <w:p>
            <w:pPr>
              <w:spacing w:after="20"/>
              <w:jc w:val="right"/>
            </w:pPr>
            <w:r>
              <w:rPr>
                <w:color w:val="1C3A36"/>
                <w:sz w:val="17"/>
              </w:rPr>
              <w:t>8,755</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864</w:t>
            </w:r>
          </w:p>
        </w:tc>
        <w:tc>
          <w:tcPr>
            <w:tcW w:type="dxa" w:w="1440"/>
          </w:tcPr>
          <w:p>
            <w:pPr>
              <w:spacing w:after="20"/>
              <w:jc w:val="right"/>
            </w:pPr>
            <w:r>
              <w:rPr>
                <w:color w:val="1C3A36"/>
                <w:sz w:val="17"/>
              </w:rPr>
              <w:t>1,053</w:t>
            </w:r>
          </w:p>
        </w:tc>
        <w:tc>
          <w:tcPr>
            <w:tcW w:type="dxa" w:w="1440"/>
          </w:tcPr>
          <w:p>
            <w:pPr>
              <w:spacing w:after="20"/>
              <w:jc w:val="right"/>
            </w:pPr>
            <w:r>
              <w:rPr>
                <w:color w:val="1C3A36"/>
                <w:sz w:val="17"/>
              </w:rPr>
              <w:t>1,237</w:t>
            </w:r>
          </w:p>
        </w:tc>
        <w:tc>
          <w:tcPr>
            <w:tcW w:type="dxa" w:w="1440"/>
          </w:tcPr>
          <w:p>
            <w:pPr>
              <w:spacing w:after="20"/>
              <w:jc w:val="right"/>
            </w:pPr>
            <w:r>
              <w:rPr>
                <w:color w:val="1C3A36"/>
                <w:sz w:val="17"/>
              </w:rPr>
              <w:t>1,416</w:t>
            </w:r>
          </w:p>
        </w:tc>
        <w:tc>
          <w:tcPr>
            <w:tcW w:type="dxa" w:w="1440"/>
          </w:tcPr>
          <w:p>
            <w:pPr>
              <w:spacing w:after="20"/>
              <w:jc w:val="right"/>
            </w:pPr>
            <w:r>
              <w:rPr>
                <w:color w:val="1C3A36"/>
                <w:sz w:val="17"/>
              </w:rPr>
              <w:t>1,592</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(2,400)</w:t>
            </w:r>
          </w:p>
        </w:tc>
        <w:tc>
          <w:tcPr>
            <w:tcW w:type="dxa" w:w="1440"/>
          </w:tcPr>
          <w:p>
            <w:pPr>
              <w:spacing w:after="20"/>
              <w:jc w:val="right"/>
            </w:pPr>
            <w:r>
              <w:rPr>
                <w:color w:val="1C3A36"/>
                <w:sz w:val="17"/>
              </w:rPr>
              <w:t>(2,500)</w:t>
            </w:r>
          </w:p>
        </w:tc>
        <w:tc>
          <w:tcPr>
            <w:tcW w:type="dxa" w:w="1440"/>
          </w:tcPr>
          <w:p>
            <w:pPr>
              <w:spacing w:after="20"/>
              <w:jc w:val="right"/>
            </w:pPr>
            <w:r>
              <w:rPr>
                <w:color w:val="1C3A36"/>
                <w:sz w:val="17"/>
              </w:rPr>
              <w:t>(2,600)</w:t>
            </w:r>
          </w:p>
        </w:tc>
        <w:tc>
          <w:tcPr>
            <w:tcW w:type="dxa" w:w="1440"/>
          </w:tcPr>
          <w:p>
            <w:pPr>
              <w:spacing w:after="20"/>
              <w:jc w:val="right"/>
            </w:pPr>
            <w:r>
              <w:rPr>
                <w:color w:val="1C3A36"/>
                <w:sz w:val="17"/>
              </w:rPr>
              <w:t>(2,800)</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(1,899)</w:t>
            </w:r>
          </w:p>
        </w:tc>
        <w:tc>
          <w:tcPr>
            <w:tcW w:type="dxa" w:w="1440"/>
          </w:tcPr>
          <w:p>
            <w:pPr>
              <w:spacing w:after="20"/>
              <w:jc w:val="right"/>
            </w:pPr>
            <w:r>
              <w:rPr>
                <w:color w:val="1C3A36"/>
                <w:sz w:val="17"/>
              </w:rPr>
              <w:t>(3,118)</w:t>
            </w:r>
          </w:p>
        </w:tc>
        <w:tc>
          <w:tcPr>
            <w:tcW w:type="dxa" w:w="1440"/>
          </w:tcPr>
          <w:p>
            <w:pPr>
              <w:spacing w:after="20"/>
              <w:jc w:val="right"/>
            </w:pPr>
            <w:r>
              <w:rPr>
                <w:color w:val="1C3A36"/>
                <w:sz w:val="17"/>
              </w:rPr>
              <w:t>(2,494)</w:t>
            </w:r>
          </w:p>
        </w:tc>
        <w:tc>
          <w:tcPr>
            <w:tcW w:type="dxa" w:w="1440"/>
          </w:tcPr>
          <w:p>
            <w:pPr>
              <w:spacing w:after="20"/>
              <w:jc w:val="right"/>
            </w:pPr>
            <w:r>
              <w:rPr>
                <w:color w:val="1C3A36"/>
                <w:sz w:val="17"/>
              </w:rPr>
              <w:t>(2,533)</w:t>
            </w:r>
          </w:p>
        </w:tc>
        <w:tc>
          <w:tcPr>
            <w:tcW w:type="dxa" w:w="1440"/>
          </w:tcPr>
          <w:p>
            <w:pPr>
              <w:spacing w:after="20"/>
              <w:jc w:val="right"/>
            </w:pPr>
            <w:r>
              <w:rPr>
                <w:color w:val="1C3A36"/>
                <w:sz w:val="17"/>
              </w:rPr>
              <w:t>(2,163)</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151</w:t>
            </w:r>
          </w:p>
        </w:tc>
        <w:tc>
          <w:tcPr>
            <w:tcW w:type="dxa" w:w="1440"/>
          </w:tcPr>
          <w:p>
            <w:pPr>
              <w:spacing w:after="20"/>
              <w:jc w:val="right"/>
            </w:pPr>
            <w:r>
              <w:rPr>
                <w:color w:val="1C3A36"/>
                <w:sz w:val="17"/>
              </w:rPr>
              <w:t>980</w:t>
            </w:r>
          </w:p>
        </w:tc>
        <w:tc>
          <w:tcPr>
            <w:tcW w:type="dxa" w:w="1440"/>
          </w:tcPr>
          <w:p>
            <w:pPr>
              <w:spacing w:after="20"/>
              <w:jc w:val="right"/>
            </w:pPr>
            <w:r>
              <w:rPr>
                <w:color w:val="1C3A36"/>
                <w:sz w:val="17"/>
              </w:rPr>
              <w:t>2,964</w:t>
            </w:r>
          </w:p>
        </w:tc>
        <w:tc>
          <w:tcPr>
            <w:tcW w:type="dxa" w:w="1440"/>
          </w:tcPr>
          <w:p>
            <w:pPr>
              <w:spacing w:after="20"/>
              <w:jc w:val="right"/>
            </w:pPr>
            <w:r>
              <w:rPr>
                <w:color w:val="1C3A36"/>
                <w:sz w:val="17"/>
              </w:rPr>
              <w:t>4,068</w:t>
            </w:r>
          </w:p>
        </w:tc>
        <w:tc>
          <w:tcPr>
            <w:tcW w:type="dxa" w:w="1440"/>
          </w:tcPr>
          <w:p>
            <w:pPr>
              <w:spacing w:after="20"/>
              <w:jc w:val="right"/>
            </w:pPr>
            <w:r>
              <w:rPr>
                <w:color w:val="1C3A36"/>
                <w:sz w:val="17"/>
              </w:rPr>
              <w:t>5,384</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0.812</w:t>
            </w:r>
          </w:p>
        </w:tc>
        <w:tc>
          <w:tcPr>
            <w:tcW w:type="dxa" w:w="1440"/>
          </w:tcPr>
          <w:p>
            <w:pPr>
              <w:spacing w:after="20"/>
              <w:jc w:val="right"/>
            </w:pPr>
            <w:r>
              <w:rPr>
                <w:color w:val="1C3A36"/>
                <w:sz w:val="17"/>
              </w:rPr>
              <w:t>0.679</w:t>
            </w:r>
          </w:p>
        </w:tc>
        <w:tc>
          <w:tcPr>
            <w:tcW w:type="dxa" w:w="1440"/>
          </w:tcPr>
          <w:p>
            <w:pPr>
              <w:spacing w:after="20"/>
              <w:jc w:val="right"/>
            </w:pPr>
            <w:r>
              <w:rPr>
                <w:color w:val="1C3A36"/>
                <w:sz w:val="17"/>
              </w:rPr>
              <w:t>0.581</w:t>
            </w:r>
          </w:p>
        </w:tc>
        <w:tc>
          <w:tcPr>
            <w:tcW w:type="dxa" w:w="1440"/>
          </w:tcPr>
          <w:p>
            <w:pPr>
              <w:spacing w:after="20"/>
              <w:jc w:val="right"/>
            </w:pPr>
            <w:r>
              <w:rPr>
                <w:color w:val="1C3A36"/>
                <w:sz w:val="17"/>
              </w:rPr>
              <w:t>0.506</w:t>
            </w:r>
          </w:p>
        </w:tc>
        <w:tc>
          <w:tcPr>
            <w:tcW w:type="dxa" w:w="1440"/>
          </w:tcPr>
          <w:p>
            <w:pPr>
              <w:spacing w:after="20"/>
              <w:jc w:val="right"/>
            </w:pPr>
            <w:r>
              <w:rPr>
                <w:color w:val="1C3A36"/>
                <w:sz w:val="17"/>
              </w:rPr>
              <w:t>0.446</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122</w:t>
            </w:r>
          </w:p>
        </w:tc>
        <w:tc>
          <w:tcPr>
            <w:tcW w:type="dxa" w:w="1440"/>
          </w:tcPr>
          <w:p>
            <w:pPr>
              <w:spacing w:after="20"/>
              <w:jc w:val="right"/>
            </w:pPr>
            <w:r>
              <w:rPr>
                <w:color w:val="1C3A36"/>
                <w:sz w:val="17"/>
              </w:rPr>
              <w:t>665</w:t>
            </w:r>
          </w:p>
        </w:tc>
        <w:tc>
          <w:tcPr>
            <w:tcW w:type="dxa" w:w="1440"/>
          </w:tcPr>
          <w:p>
            <w:pPr>
              <w:spacing w:after="20"/>
              <w:jc w:val="right"/>
            </w:pPr>
            <w:r>
              <w:rPr>
                <w:color w:val="1C3A36"/>
                <w:sz w:val="17"/>
              </w:rPr>
              <w:t>1,721</w:t>
            </w:r>
          </w:p>
        </w:tc>
        <w:tc>
          <w:tcPr>
            <w:tcW w:type="dxa" w:w="1440"/>
          </w:tcPr>
          <w:p>
            <w:pPr>
              <w:spacing w:after="20"/>
              <w:jc w:val="right"/>
            </w:pPr>
            <w:r>
              <w:rPr>
                <w:color w:val="1C3A36"/>
                <w:sz w:val="17"/>
              </w:rPr>
              <w:t>2,057</w:t>
            </w:r>
          </w:p>
        </w:tc>
        <w:tc>
          <w:tcPr>
            <w:tcW w:type="dxa" w:w="1440"/>
          </w:tcPr>
          <w:p>
            <w:pPr>
              <w:spacing w:after="20"/>
              <w:jc w:val="right"/>
            </w:pPr>
            <w:r>
              <w:rPr>
                <w:color w:val="1C3A36"/>
                <w:sz w:val="17"/>
              </w:rPr>
              <w:t>2,400</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6,965</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89,266</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39,781</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46,745</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85%</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(14,624)</w:t>
            </w:r>
          </w:p>
        </w:tc>
      </w:tr>
      <w:tr>
        <w:tc>
          <w:tcPr>
            <w:tcW w:type="dxa" w:w="5760"/>
          </w:tcPr>
          <w:p>
            <w:pPr>
              <w:spacing w:after="20"/>
            </w:pPr>
            <w:r>
              <w:rPr>
                <w:b/>
                <w:color w:val="1C3A36"/>
                <w:sz w:val="18"/>
              </w:rPr>
              <w:t>less: Auto non-controlling interests</w:t>
            </w:r>
          </w:p>
        </w:tc>
        <w:tc>
          <w:tcPr>
            <w:tcW w:type="dxa" w:w="2304"/>
          </w:tcPr>
          <w:p>
            <w:pPr>
              <w:spacing w:after="20"/>
              <w:jc w:val="right"/>
            </w:pPr>
            <w:r>
              <w:rPr>
                <w:color w:val="1C3A36"/>
                <w:sz w:val="18"/>
              </w:rPr>
              <w:t>(591)</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31,531</w:t>
            </w:r>
          </w:p>
        </w:tc>
      </w:tr>
    </w:tbl>
    <w:p>
      <w:pPr>
        <w:spacing w:after="40"/>
      </w:pPr>
    </w:p>
    <w:p>
      <w:pPr>
        <w:spacing w:after="120" w:before="0"/>
      </w:pPr>
      <w:r>
        <w:rPr>
          <w:b w:val="0"/>
          <w:i w:val="0"/>
          <w:color w:val="1C3A36"/>
          <w:sz w:val="21"/>
        </w:rPr>
        <w:t>Two honesty notes. First, 85% of the enterprise value sits in the terminal value — this is a growth-and-rates bet dressed as a five-year model, which is why §1.9 sensitises the discount-rate and terminal-growth grid rather than hiding it. Second, the explicit-period cash flow is thin in the first year (EGP 151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B’s research register carries that search among this study’s negative results.</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3,298 mn in the first forecast year, earnings per share of EGP 3.04 — GB Corp trades at 9.54×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4.54× · 6.35× · 10.18× — which is 6.35×.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3,298</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w:t>
            </w:r>
          </w:p>
        </w:tc>
        <w:tc>
          <w:tcPr>
            <w:tcW w:type="dxa" w:w="2592"/>
          </w:tcPr>
          <w:p>
            <w:pPr>
              <w:spacing w:after="20"/>
              <w:jc w:val="right"/>
            </w:pPr>
            <w:r>
              <w:rPr>
                <w:color w:val="1C3A36"/>
                <w:sz w:val="18"/>
              </w:rPr>
              <w:t>3.04</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6.35×</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19.29</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9.54×</w:t>
            </w:r>
          </w:p>
        </w:tc>
      </w:tr>
    </w:tbl>
    <w:p>
      <w:pPr>
        <w:spacing w:after="40"/>
      </w:pPr>
    </w:p>
    <w:p>
      <w:pPr>
        <w:spacing w:after="120" w:before="0"/>
      </w:pPr>
      <w:r>
        <w:rPr>
          <w:b/>
          <w:i w:val="0"/>
          <w:color w:val="1C3A36"/>
          <w:sz w:val="21"/>
        </w:rPr>
        <w:t>Relative cross-check EGP 19.29</w:t>
      </w:r>
      <w:r>
        <w:rPr>
          <w:b w:val="0"/>
          <w:i w:val="0"/>
          <w:color w:val="1C3A36"/>
          <w:sz w:val="21"/>
        </w:rPr>
        <w:t xml:space="preserve"> — -33%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45.78</w:t>
            </w:r>
          </w:p>
        </w:tc>
        <w:tc>
          <w:tcPr>
            <w:tcW w:type="dxa" w:w="1944"/>
          </w:tcPr>
          <w:p>
            <w:pPr>
              <w:spacing w:after="20"/>
              <w:jc w:val="right"/>
            </w:pPr>
            <w:r>
              <w:rPr>
                <w:color w:val="1C3A36"/>
                <w:sz w:val="18"/>
              </w:rPr>
              <w:t>+58%</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56.78</w:t>
            </w:r>
          </w:p>
        </w:tc>
        <w:tc>
          <w:tcPr>
            <w:tcW w:type="dxa" w:w="1944"/>
          </w:tcPr>
          <w:p>
            <w:pPr>
              <w:spacing w:after="20"/>
              <w:jc w:val="right"/>
            </w:pPr>
            <w:r>
              <w:rPr>
                <w:color w:val="1C3A36"/>
                <w:sz w:val="18"/>
              </w:rPr>
              <w:t>+96%</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19.29</w:t>
            </w:r>
          </w:p>
        </w:tc>
        <w:tc>
          <w:tcPr>
            <w:tcW w:type="dxa" w:w="1944"/>
          </w:tcPr>
          <w:p>
            <w:pPr>
              <w:spacing w:after="20"/>
              <w:jc w:val="right"/>
            </w:pPr>
            <w:r>
              <w:rPr>
                <w:color w:val="1C3A36"/>
                <w:sz w:val="18"/>
              </w:rPr>
              <w:t>-33%</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19.29 – 56.78</w:t>
            </w:r>
          </w:p>
        </w:tc>
        <w:tc>
          <w:tcPr>
            <w:tcW w:type="dxa" w:w="1944"/>
            <w:shd w:val="clear" w:color="auto" w:fill="F6F1E6"/>
          </w:tcPr>
          <w:p>
            <w:pPr>
              <w:spacing w:after="20"/>
              <w:jc w:val="right"/>
            </w:pPr>
            <w:r>
              <w:rPr>
                <w:b/>
                <w:color w:val="1C3A36"/>
                <w:sz w:val="18"/>
              </w:rPr>
              <w:t>-33% to +96%</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45.78 on one of the company’s disclosures and EGP 56.78 on the other</w:t>
      </w:r>
      <w:r>
        <w:rPr>
          <w:b w:val="0"/>
          <w:i w:val="0"/>
          <w:color w:val="1C3A36"/>
          <w:sz w:val="21"/>
        </w:rPr>
        <w:t>, +58% and +96% against the price. The width of this picture is not four independent methods converging or failing to converge. Two of the marks — the primary’s branches — differ only in the associate line, and the two cross-checks do not touch that line at all: the earnings multiple reads EGP 19.29 and the disclosed book floor EGP 30.82, both within 33%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10.10%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78,550</w:t>
            </w:r>
          </w:p>
        </w:tc>
        <w:tc>
          <w:tcPr>
            <w:tcW w:type="dxa" w:w="1440"/>
          </w:tcPr>
          <w:p>
            <w:pPr>
              <w:spacing w:after="20"/>
              <w:jc w:val="right"/>
            </w:pPr>
            <w:r>
              <w:rPr>
                <w:color w:val="1C3A36"/>
                <w:sz w:val="17"/>
              </w:rPr>
              <w:t>144,761</w:t>
            </w:r>
          </w:p>
        </w:tc>
      </w:tr>
    </w:tbl>
    <w:p>
      <w:pPr>
        <w:spacing w:after="40"/>
      </w:pPr>
    </w:p>
    <w:p>
      <w:pPr>
        <w:spacing w:after="200" w:before="0"/>
      </w:pPr>
      <w:r>
        <w:rPr>
          <w:b w:val="0"/>
          <w:i/>
          <w:color w:val="6E7B77"/>
          <w:sz w:val="17"/>
        </w:rPr>
        <w:t>Sources: the company’s own FY2023, FY2024 and FY2025 earnings releases, segment volume and revenue tables. A dash marks a line the study’s committed record does not carry for that year rather than a nil figure — the segment split is disclosed for the base year and this study does not reconstruct the earlier years it did not source. The forecast columns are the model’s own driver path.</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15,734 mn and EGP 27,671 mn, a difference of 19.4% of the higher answer, and this study does not choose between them. What the traded price implies for that line is EGP -2,009 mn for ALL the associates together — a discount of 112.4% to the reviewed carrying value and 107.1%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26.5% of revenue down to 21.5%, and because the auto leg’s free cash flow is a thin residual, that path moves it directly — §1.9 prices the grid rather than a single point estimate. Third, the Egyptian nominal-rate path: the schedule glides from 23.12% to 13.45% against terminal growth of 7.00%, a terminal real spread of 6.45%.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32.26% against this study’s 23.12% on the round-price branch — 9.1 points, a stretch on a leg worth less than half the sum of the parts — but only 26.62% on the carrying-value branch, 3.5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on a fixed-rate lending book, lowers the customer’s instalment, and compresses the discount rate this study applies.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28.54%</w:t>
            </w:r>
          </w:p>
        </w:tc>
        <w:tc>
          <w:tcPr>
            <w:tcW w:type="dxa" w:w="4320"/>
          </w:tcPr>
          <w:p>
            <w:pPr>
              <w:spacing w:after="20"/>
              <w:jc w:val="right"/>
            </w:pPr>
            <w:r>
              <w:rPr>
                <w:color w:val="1C3A36"/>
                <w:sz w:val="17"/>
              </w:rPr>
              <w:t>reproduces from the normalised rate plus beta times the premium; 30.10%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17.04%</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26.53%</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19.10%</w:t>
            </w:r>
          </w:p>
        </w:tc>
        <w:tc>
          <w:tcPr>
            <w:tcW w:type="dxa" w:w="4320"/>
          </w:tcPr>
          <w:p>
            <w:pPr>
              <w:spacing w:after="20"/>
              <w:jc w:val="right"/>
            </w:pPr>
            <w:r>
              <w:rPr>
                <w:color w:val="1C3A36"/>
                <w:sz w:val="17"/>
              </w:rPr>
              <w:t>debt is entirely local-currency on the disclosed facility note</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42.5% / 57.5%</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23.12%</w:t>
            </w:r>
          </w:p>
        </w:tc>
        <w:tc>
          <w:tcPr>
            <w:tcW w:type="dxa" w:w="4320"/>
          </w:tcPr>
          <w:p>
            <w:pPr>
              <w:spacing w:after="20"/>
              <w:jc w:val="right"/>
            </w:pPr>
            <w:r>
              <w:rPr>
                <w:color w:val="1C3A36"/>
                <w:sz w:val="17"/>
              </w:rPr>
              <w:t>23.78%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13.45%</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21.1%</w:t>
            </w:r>
          </w:p>
        </w:tc>
        <w:tc>
          <w:tcPr>
            <w:tcW w:type="dxa" w:w="1224"/>
            <w:shd w:val="clear" w:color="auto" w:fill="EAF0EE"/>
          </w:tcPr>
          <w:p>
            <w:pPr>
              <w:spacing w:after="20"/>
            </w:pPr>
            <w:r>
              <w:rPr>
                <w:b/>
                <w:color w:val="1C3A36"/>
                <w:sz w:val="17"/>
              </w:rPr>
              <w:t>22.1%</w:t>
            </w:r>
          </w:p>
        </w:tc>
        <w:tc>
          <w:tcPr>
            <w:tcW w:type="dxa" w:w="1224"/>
            <w:shd w:val="clear" w:color="auto" w:fill="EAF0EE"/>
          </w:tcPr>
          <w:p>
            <w:pPr>
              <w:spacing w:after="20"/>
            </w:pPr>
            <w:r>
              <w:rPr>
                <w:b/>
                <w:color w:val="1C3A36"/>
                <w:sz w:val="17"/>
              </w:rPr>
              <w:t>23.1%</w:t>
            </w:r>
          </w:p>
        </w:tc>
        <w:tc>
          <w:tcPr>
            <w:tcW w:type="dxa" w:w="1224"/>
            <w:shd w:val="clear" w:color="auto" w:fill="EAF0EE"/>
          </w:tcPr>
          <w:p>
            <w:pPr>
              <w:spacing w:after="20"/>
            </w:pPr>
            <w:r>
              <w:rPr>
                <w:b/>
                <w:color w:val="1C3A36"/>
                <w:sz w:val="17"/>
              </w:rPr>
              <w:t>24.1%</w:t>
            </w:r>
          </w:p>
        </w:tc>
        <w:tc>
          <w:tcPr>
            <w:tcW w:type="dxa" w:w="1224"/>
            <w:shd w:val="clear" w:color="auto" w:fill="EAF0EE"/>
          </w:tcPr>
          <w:p>
            <w:pPr>
              <w:spacing w:after="20"/>
            </w:pPr>
            <w:r>
              <w:rPr>
                <w:b/>
                <w:color w:val="1C3A36"/>
                <w:sz w:val="17"/>
              </w:rPr>
              <w:t>25.1%</w:t>
            </w:r>
          </w:p>
        </w:tc>
      </w:tr>
      <w:tr>
        <w:tc>
          <w:tcPr>
            <w:tcW w:type="dxa" w:w="3384"/>
          </w:tcPr>
          <w:p>
            <w:pPr>
              <w:spacing w:after="20"/>
            </w:pPr>
            <w:r>
              <w:rPr>
                <w:b/>
                <w:color w:val="1C3A36"/>
                <w:sz w:val="17"/>
              </w:rPr>
              <w:t>6,918</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46.5</w:t>
            </w:r>
          </w:p>
        </w:tc>
        <w:tc>
          <w:tcPr>
            <w:tcW w:type="dxa" w:w="1224"/>
          </w:tcPr>
          <w:p>
            <w:pPr>
              <w:spacing w:after="20"/>
              <w:jc w:val="right"/>
            </w:pPr>
            <w:r>
              <w:rPr>
                <w:color w:val="1C3A36"/>
                <w:sz w:val="17"/>
              </w:rPr>
              <w:t>37.7</w:t>
            </w:r>
          </w:p>
        </w:tc>
        <w:tc>
          <w:tcPr>
            <w:tcW w:type="dxa" w:w="1224"/>
          </w:tcPr>
          <w:p>
            <w:pPr>
              <w:spacing w:after="20"/>
              <w:jc w:val="right"/>
            </w:pPr>
            <w:r>
              <w:rPr>
                <w:color w:val="1C3A36"/>
                <w:sz w:val="17"/>
              </w:rPr>
              <w:t>31.2</w:t>
            </w:r>
          </w:p>
        </w:tc>
        <w:tc>
          <w:tcPr>
            <w:tcW w:type="dxa" w:w="1224"/>
          </w:tcPr>
          <w:p>
            <w:pPr>
              <w:spacing w:after="20"/>
              <w:jc w:val="right"/>
            </w:pPr>
            <w:r>
              <w:rPr>
                <w:color w:val="1C3A36"/>
                <w:sz w:val="17"/>
              </w:rPr>
              <w:t>26.3</w:t>
            </w:r>
          </w:p>
        </w:tc>
      </w:tr>
      <w:tr>
        <w:tc>
          <w:tcPr>
            <w:tcW w:type="dxa" w:w="3384"/>
          </w:tcPr>
          <w:p>
            <w:pPr>
              <w:spacing w:after="20"/>
            </w:pPr>
            <w:r>
              <w:rPr>
                <w:b/>
                <w:color w:val="1C3A36"/>
                <w:sz w:val="17"/>
              </w:rPr>
              <w:t>13,835</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52.9</w:t>
            </w:r>
          </w:p>
        </w:tc>
        <w:tc>
          <w:tcPr>
            <w:tcW w:type="dxa" w:w="1224"/>
          </w:tcPr>
          <w:p>
            <w:pPr>
              <w:spacing w:after="20"/>
              <w:jc w:val="right"/>
            </w:pPr>
            <w:r>
              <w:rPr>
                <w:color w:val="1C3A36"/>
                <w:sz w:val="17"/>
              </w:rPr>
              <w:t>44.0</w:t>
            </w:r>
          </w:p>
        </w:tc>
        <w:tc>
          <w:tcPr>
            <w:tcW w:type="dxa" w:w="1224"/>
          </w:tcPr>
          <w:p>
            <w:pPr>
              <w:spacing w:after="20"/>
              <w:jc w:val="right"/>
            </w:pPr>
            <w:r>
              <w:rPr>
                <w:color w:val="1C3A36"/>
                <w:sz w:val="17"/>
              </w:rPr>
              <w:t>37.6</w:t>
            </w:r>
          </w:p>
        </w:tc>
        <w:tc>
          <w:tcPr>
            <w:tcW w:type="dxa" w:w="1224"/>
          </w:tcPr>
          <w:p>
            <w:pPr>
              <w:spacing w:after="20"/>
              <w:jc w:val="right"/>
            </w:pPr>
            <w:r>
              <w:rPr>
                <w:color w:val="1C3A36"/>
                <w:sz w:val="17"/>
              </w:rPr>
              <w:t>32.7</w:t>
            </w:r>
          </w:p>
        </w:tc>
      </w:tr>
      <w:tr>
        <w:tc>
          <w:tcPr>
            <w:tcW w:type="dxa" w:w="3384"/>
          </w:tcPr>
          <w:p>
            <w:pPr>
              <w:spacing w:after="20"/>
            </w:pPr>
            <w:r>
              <w:rPr>
                <w:b/>
                <w:color w:val="1C3A36"/>
                <w:sz w:val="17"/>
              </w:rPr>
              <w:t>15,734  ‡</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54.6</w:t>
            </w:r>
          </w:p>
        </w:tc>
        <w:tc>
          <w:tcPr>
            <w:tcW w:type="dxa" w:w="1224"/>
          </w:tcPr>
          <w:p>
            <w:pPr>
              <w:spacing w:after="20"/>
              <w:jc w:val="right"/>
            </w:pPr>
            <w:r>
              <w:rPr>
                <w:color w:val="1C3A36"/>
                <w:sz w:val="17"/>
              </w:rPr>
              <w:t>45.8</w:t>
            </w:r>
          </w:p>
        </w:tc>
        <w:tc>
          <w:tcPr>
            <w:tcW w:type="dxa" w:w="1224"/>
          </w:tcPr>
          <w:p>
            <w:pPr>
              <w:spacing w:after="20"/>
              <w:jc w:val="right"/>
            </w:pPr>
            <w:r>
              <w:rPr>
                <w:color w:val="1C3A36"/>
                <w:sz w:val="17"/>
              </w:rPr>
              <w:t>39.3</w:t>
            </w:r>
          </w:p>
        </w:tc>
        <w:tc>
          <w:tcPr>
            <w:tcW w:type="dxa" w:w="1224"/>
          </w:tcPr>
          <w:p>
            <w:pPr>
              <w:spacing w:after="20"/>
              <w:jc w:val="right"/>
            </w:pPr>
            <w:r>
              <w:rPr>
                <w:color w:val="1C3A36"/>
                <w:sz w:val="17"/>
              </w:rPr>
              <w:t>34.4</w:t>
            </w:r>
          </w:p>
        </w:tc>
      </w:tr>
      <w:tr>
        <w:tc>
          <w:tcPr>
            <w:tcW w:type="dxa" w:w="3384"/>
          </w:tcPr>
          <w:p>
            <w:pPr>
              <w:spacing w:after="20"/>
            </w:pPr>
            <w:r>
              <w:rPr>
                <w:b/>
                <w:color w:val="1C3A36"/>
                <w:sz w:val="17"/>
              </w:rPr>
              <w:t>20,753</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59.2</w:t>
            </w:r>
          </w:p>
        </w:tc>
        <w:tc>
          <w:tcPr>
            <w:tcW w:type="dxa" w:w="1224"/>
          </w:tcPr>
          <w:p>
            <w:pPr>
              <w:spacing w:after="20"/>
              <w:jc w:val="right"/>
            </w:pPr>
            <w:r>
              <w:rPr>
                <w:color w:val="1C3A36"/>
                <w:sz w:val="17"/>
              </w:rPr>
              <w:t>50.4</w:t>
            </w:r>
          </w:p>
        </w:tc>
        <w:tc>
          <w:tcPr>
            <w:tcW w:type="dxa" w:w="1224"/>
          </w:tcPr>
          <w:p>
            <w:pPr>
              <w:spacing w:after="20"/>
              <w:jc w:val="right"/>
            </w:pPr>
            <w:r>
              <w:rPr>
                <w:color w:val="1C3A36"/>
                <w:sz w:val="17"/>
              </w:rPr>
              <w:t>44.0</w:t>
            </w:r>
          </w:p>
        </w:tc>
        <w:tc>
          <w:tcPr>
            <w:tcW w:type="dxa" w:w="1224"/>
          </w:tcPr>
          <w:p>
            <w:pPr>
              <w:spacing w:after="20"/>
              <w:jc w:val="right"/>
            </w:pPr>
            <w:r>
              <w:rPr>
                <w:color w:val="1C3A36"/>
                <w:sz w:val="17"/>
              </w:rPr>
              <w:t>39.1</w:t>
            </w:r>
          </w:p>
        </w:tc>
      </w:tr>
      <w:tr>
        <w:tc>
          <w:tcPr>
            <w:tcW w:type="dxa" w:w="3384"/>
          </w:tcPr>
          <w:p>
            <w:pPr>
              <w:spacing w:after="20"/>
            </w:pPr>
            <w:r>
              <w:rPr>
                <w:b/>
                <w:color w:val="1C3A36"/>
                <w:sz w:val="17"/>
              </w:rPr>
              <w:t>27,671  ‡</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56.8</w:t>
            </w:r>
          </w:p>
        </w:tc>
        <w:tc>
          <w:tcPr>
            <w:tcW w:type="dxa" w:w="1224"/>
          </w:tcPr>
          <w:p>
            <w:pPr>
              <w:spacing w:after="20"/>
              <w:jc w:val="right"/>
            </w:pPr>
            <w:r>
              <w:rPr>
                <w:color w:val="1C3A36"/>
                <w:sz w:val="17"/>
              </w:rPr>
              <w:t>50.3</w:t>
            </w:r>
          </w:p>
        </w:tc>
        <w:tc>
          <w:tcPr>
            <w:tcW w:type="dxa" w:w="1224"/>
          </w:tcPr>
          <w:p>
            <w:pPr>
              <w:spacing w:after="20"/>
              <w:jc w:val="right"/>
            </w:pPr>
            <w:r>
              <w:rPr>
                <w:color w:val="1C3A36"/>
                <w:sz w:val="17"/>
              </w:rPr>
              <w:t>45.4</w:t>
            </w:r>
          </w:p>
        </w:tc>
      </w:tr>
    </w:tbl>
    <w:p>
      <w:pPr>
        <w:spacing w:after="40"/>
      </w:pPr>
    </w:p>
    <w:p>
      <w:pPr>
        <w:spacing w:after="200" w:before="0"/>
      </w:pPr>
      <w:r>
        <w:rPr>
          <w:b w:val="0"/>
          <w:i/>
          <w:color w:val="6E7B77"/>
          <w:sz w:val="17"/>
        </w:rPr>
        <w:t>Sum-of-the-parts fair value, EGP per share, spanning EGP 26.3 to 65.6 across the grid. The two rows marked ‡ are the study’s two published branches; the centre column is the model’s own first-year cost of capital of 23.12%.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21.1%</w:t>
            </w:r>
          </w:p>
        </w:tc>
        <w:tc>
          <w:tcPr>
            <w:tcW w:type="dxa" w:w="1368"/>
          </w:tcPr>
          <w:p>
            <w:pPr>
              <w:spacing w:after="20"/>
              <w:jc w:val="right"/>
            </w:pPr>
            <w:r>
              <w:rPr>
                <w:color w:val="1C3A36"/>
                <w:sz w:val="18"/>
              </w:rPr>
              <w:t>59.8</w:t>
            </w:r>
          </w:p>
        </w:tc>
        <w:tc>
          <w:tcPr>
            <w:tcW w:type="dxa" w:w="1368"/>
          </w:tcPr>
          <w:p>
            <w:pPr>
              <w:spacing w:after="20"/>
              <w:jc w:val="right"/>
            </w:pPr>
            <w:r>
              <w:rPr>
                <w:color w:val="1C3A36"/>
                <w:sz w:val="18"/>
              </w:rPr>
              <w:t>67.4</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22.1%</w:t>
            </w:r>
          </w:p>
        </w:tc>
        <w:tc>
          <w:tcPr>
            <w:tcW w:type="dxa" w:w="1368"/>
          </w:tcPr>
          <w:p>
            <w:pPr>
              <w:spacing w:after="20"/>
              <w:jc w:val="right"/>
            </w:pPr>
            <w:r>
              <w:rPr>
                <w:color w:val="1C3A36"/>
                <w:sz w:val="18"/>
              </w:rPr>
              <w:t>52.8</w:t>
            </w:r>
          </w:p>
        </w:tc>
        <w:tc>
          <w:tcPr>
            <w:tcW w:type="dxa" w:w="1368"/>
          </w:tcPr>
          <w:p>
            <w:pPr>
              <w:spacing w:after="20"/>
              <w:jc w:val="right"/>
            </w:pPr>
            <w:r>
              <w:rPr>
                <w:color w:val="1C3A36"/>
                <w:sz w:val="18"/>
              </w:rPr>
              <w:t>58.2</w:t>
            </w:r>
          </w:p>
        </w:tc>
        <w:tc>
          <w:tcPr>
            <w:tcW w:type="dxa" w:w="1368"/>
          </w:tcPr>
          <w:p>
            <w:pPr>
              <w:spacing w:after="20"/>
              <w:jc w:val="right"/>
            </w:pPr>
            <w:r>
              <w:rPr>
                <w:color w:val="1C3A36"/>
                <w:sz w:val="18"/>
              </w:rPr>
              <w:t>65.6</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23.1%</w:t>
            </w:r>
          </w:p>
        </w:tc>
        <w:tc>
          <w:tcPr>
            <w:tcW w:type="dxa" w:w="1368"/>
          </w:tcPr>
          <w:p>
            <w:pPr>
              <w:spacing w:after="20"/>
              <w:jc w:val="right"/>
            </w:pPr>
            <w:r>
              <w:rPr>
                <w:color w:val="1C3A36"/>
                <w:sz w:val="18"/>
              </w:rPr>
              <w:t>47.6</w:t>
            </w:r>
          </w:p>
        </w:tc>
        <w:tc>
          <w:tcPr>
            <w:tcW w:type="dxa" w:w="1368"/>
          </w:tcPr>
          <w:p>
            <w:pPr>
              <w:spacing w:after="20"/>
              <w:jc w:val="right"/>
            </w:pPr>
            <w:r>
              <w:rPr>
                <w:color w:val="1C3A36"/>
                <w:sz w:val="18"/>
              </w:rPr>
              <w:t>51.6</w:t>
            </w:r>
          </w:p>
        </w:tc>
        <w:tc>
          <w:tcPr>
            <w:tcW w:type="dxa" w:w="1368"/>
          </w:tcPr>
          <w:p>
            <w:pPr>
              <w:spacing w:after="20"/>
              <w:jc w:val="right"/>
            </w:pPr>
            <w:r>
              <w:rPr>
                <w:color w:val="1C3A36"/>
                <w:sz w:val="18"/>
              </w:rPr>
              <w:t>56.8</w:t>
            </w:r>
          </w:p>
        </w:tc>
        <w:tc>
          <w:tcPr>
            <w:tcW w:type="dxa" w:w="1368"/>
          </w:tcPr>
          <w:p>
            <w:pPr>
              <w:spacing w:after="20"/>
              <w:jc w:val="right"/>
            </w:pPr>
            <w:r>
              <w:rPr>
                <w:color w:val="1C3A36"/>
                <w:sz w:val="18"/>
              </w:rPr>
              <w:t>63.9</w:t>
            </w:r>
          </w:p>
        </w:tc>
        <w:tc>
          <w:tcPr>
            <w:tcW w:type="dxa" w:w="1368"/>
          </w:tcPr>
          <w:p>
            <w:pPr>
              <w:spacing w:after="20"/>
              <w:jc w:val="right"/>
            </w:pPr>
            <w:r>
              <w:rPr>
                <w:color w:val="1C3A36"/>
                <w:sz w:val="18"/>
              </w:rPr>
              <w:t>n.m.</w:t>
            </w:r>
          </w:p>
        </w:tc>
      </w:tr>
      <w:tr>
        <w:tc>
          <w:tcPr>
            <w:tcW w:type="dxa" w:w="2736"/>
          </w:tcPr>
          <w:p>
            <w:pPr>
              <w:spacing w:after="20"/>
            </w:pPr>
            <w:r>
              <w:rPr>
                <w:b/>
                <w:color w:val="1C3A36"/>
                <w:sz w:val="18"/>
              </w:rPr>
              <w:t>24.1%</w:t>
            </w:r>
          </w:p>
        </w:tc>
        <w:tc>
          <w:tcPr>
            <w:tcW w:type="dxa" w:w="1368"/>
          </w:tcPr>
          <w:p>
            <w:pPr>
              <w:spacing w:after="20"/>
              <w:jc w:val="right"/>
            </w:pPr>
            <w:r>
              <w:rPr>
                <w:color w:val="1C3A36"/>
                <w:sz w:val="18"/>
              </w:rPr>
              <w:t>43.5</w:t>
            </w:r>
          </w:p>
        </w:tc>
        <w:tc>
          <w:tcPr>
            <w:tcW w:type="dxa" w:w="1368"/>
          </w:tcPr>
          <w:p>
            <w:pPr>
              <w:spacing w:after="20"/>
              <w:jc w:val="right"/>
            </w:pPr>
            <w:r>
              <w:rPr>
                <w:color w:val="1C3A36"/>
                <w:sz w:val="18"/>
              </w:rPr>
              <w:t>46.5</w:t>
            </w:r>
          </w:p>
        </w:tc>
        <w:tc>
          <w:tcPr>
            <w:tcW w:type="dxa" w:w="1368"/>
          </w:tcPr>
          <w:p>
            <w:pPr>
              <w:spacing w:after="20"/>
              <w:jc w:val="right"/>
            </w:pPr>
            <w:r>
              <w:rPr>
                <w:color w:val="1C3A36"/>
                <w:sz w:val="18"/>
              </w:rPr>
              <w:t>50.3</w:t>
            </w:r>
          </w:p>
        </w:tc>
        <w:tc>
          <w:tcPr>
            <w:tcW w:type="dxa" w:w="1368"/>
          </w:tcPr>
          <w:p>
            <w:pPr>
              <w:spacing w:after="20"/>
              <w:jc w:val="right"/>
            </w:pPr>
            <w:r>
              <w:rPr>
                <w:color w:val="1C3A36"/>
                <w:sz w:val="18"/>
              </w:rPr>
              <w:t>55.4</w:t>
            </w:r>
          </w:p>
        </w:tc>
        <w:tc>
          <w:tcPr>
            <w:tcW w:type="dxa" w:w="1368"/>
          </w:tcPr>
          <w:p>
            <w:pPr>
              <w:spacing w:after="20"/>
              <w:jc w:val="right"/>
            </w:pPr>
            <w:r>
              <w:rPr>
                <w:color w:val="1C3A36"/>
                <w:sz w:val="18"/>
              </w:rPr>
              <w:t>62.3</w:t>
            </w:r>
          </w:p>
        </w:tc>
      </w:tr>
      <w:tr>
        <w:tc>
          <w:tcPr>
            <w:tcW w:type="dxa" w:w="2736"/>
          </w:tcPr>
          <w:p>
            <w:pPr>
              <w:spacing w:after="20"/>
            </w:pPr>
            <w:r>
              <w:rPr>
                <w:b/>
                <w:color w:val="1C3A36"/>
                <w:sz w:val="18"/>
              </w:rPr>
              <w:t>25.1%</w:t>
            </w:r>
          </w:p>
        </w:tc>
        <w:tc>
          <w:tcPr>
            <w:tcW w:type="dxa" w:w="1368"/>
          </w:tcPr>
          <w:p>
            <w:pPr>
              <w:spacing w:after="20"/>
              <w:jc w:val="right"/>
            </w:pPr>
            <w:r>
              <w:rPr>
                <w:color w:val="1C3A36"/>
                <w:sz w:val="18"/>
              </w:rPr>
              <w:t>40.1</w:t>
            </w:r>
          </w:p>
        </w:tc>
        <w:tc>
          <w:tcPr>
            <w:tcW w:type="dxa" w:w="1368"/>
          </w:tcPr>
          <w:p>
            <w:pPr>
              <w:spacing w:after="20"/>
              <w:jc w:val="right"/>
            </w:pPr>
            <w:r>
              <w:rPr>
                <w:color w:val="1C3A36"/>
                <w:sz w:val="18"/>
              </w:rPr>
              <w:t>42.5</w:t>
            </w:r>
          </w:p>
        </w:tc>
        <w:tc>
          <w:tcPr>
            <w:tcW w:type="dxa" w:w="1368"/>
          </w:tcPr>
          <w:p>
            <w:pPr>
              <w:spacing w:after="20"/>
              <w:jc w:val="right"/>
            </w:pPr>
            <w:r>
              <w:rPr>
                <w:color w:val="1C3A36"/>
                <w:sz w:val="18"/>
              </w:rPr>
              <w:t>45.4</w:t>
            </w:r>
          </w:p>
        </w:tc>
        <w:tc>
          <w:tcPr>
            <w:tcW w:type="dxa" w:w="1368"/>
          </w:tcPr>
          <w:p>
            <w:pPr>
              <w:spacing w:after="20"/>
              <w:jc w:val="right"/>
            </w:pPr>
            <w:r>
              <w:rPr>
                <w:color w:val="1C3A36"/>
                <w:sz w:val="18"/>
              </w:rPr>
              <w:t>49.2</w:t>
            </w:r>
          </w:p>
        </w:tc>
        <w:tc>
          <w:tcPr>
            <w:tcW w:type="dxa" w:w="1368"/>
          </w:tcPr>
          <w:p>
            <w:pPr>
              <w:spacing w:after="20"/>
              <w:jc w:val="right"/>
            </w:pPr>
            <w:r>
              <w:rPr>
                <w:color w:val="1C3A36"/>
                <w:sz w:val="18"/>
              </w:rPr>
              <w:t>54.0</w:t>
            </w:r>
          </w:p>
        </w:tc>
      </w:tr>
    </w:tbl>
    <w:p>
      <w:pPr>
        <w:spacing w:after="40"/>
      </w:pPr>
    </w:p>
    <w:p>
      <w:pPr>
        <w:spacing w:after="200" w:before="0"/>
      </w:pPr>
      <w:r>
        <w:rPr>
          <w:b w:val="0"/>
          <w:i/>
          <w:color w:val="6E7B77"/>
          <w:sz w:val="17"/>
        </w:rPr>
        <w:t>Sum-of-the-parts fair value on the round-price branch, EGP per share. The centre cell, 23.1% against 7.0%, is EGP 56.8 — the published branch. Both axes are centred on the model's own build rather than on round numbers. On the carrying-value branch every cell is EGP 11.00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rather than an assumption about where value sits; how often the bands built around it have actually held is published at the end of this section.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both branches sit above the whole cone.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80" w:before="200"/>
      </w:pPr>
      <w:r>
        <w:rPr>
          <w:b/>
          <w:i w:val="0"/>
          <w:color w:val="1C3A36"/>
          <w:sz w:val="24"/>
        </w:rPr>
        <w:t>How often these bands have actually held</w:t>
      </w:r>
    </w:p>
    <w:p>
      <w:pPr>
        <w:spacing w:after="120" w:before="0"/>
      </w:pPr>
      <w:r>
        <w:rPr>
          <w:b w:val="0"/>
          <w:i w:val="0"/>
          <w:color w:val="1C3A36"/>
          <w:sz w:val="21"/>
        </w:rPr>
        <w:t>A cone is only worth what its record says. Over 57 resolved three-month forecasts on this stock — every one struck, frozen and then graded against the close on its own stated date — the price finished inside the 90% band 95% of the time, against a 90% target, and inside the middle 50% band 60% of the time against a 50% target. THE COUNT IS PRINTED BESIDE THE PERCENTAGE because a percentage without its count is the number that misleads, and 57 resolved windows is a long record for a single name rather than a short one — long enough for the figure to tell an honest cone from a broken one.</w:t>
      </w:r>
    </w:p>
    <w:p>
      <w:pPr>
        <w:spacing w:after="120" w:before="0"/>
      </w:pPr>
      <w:r>
        <w:rPr>
          <w:b w:val="0"/>
          <w:i w:val="0"/>
          <w:color w:val="1C3A36"/>
          <w:sz w:val="21"/>
        </w:rPr>
        <w:t>One more figure is disclosed and carries no threshold: this cone’s 90% band is 1.42 times as wide as a naive carry-anchored one. That ratio is published because a band can hold as often as it promises simply by being too wide to be useful, and a reader is entitled to see how wide. It is NOT a pass mark and nothing here is graded against it — a wider band is not automatically wrong where the tail it covers is real, and Egyptian three-month moves have a real tail. What the record above supports is a BAND, not an edge, and the difference is the whole reason the counts are printed.</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45.78 and 56.78 — +58% and +96% against the price — on the two bases GB Corp itself publishes for one asset, while its cross-checks sit either side of the traded price at EGP 19.29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45.78 (+58%)</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56.78 (+96%)</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19.29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27.7 bn. What the traded price leaves for ALL the associates together is EGP -2.0 bn. Strip the associate leg out and what remains — the auto business and the lender — is 106%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19.29 to 56.78,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151 mn of free cash flow against EGP 5,384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drift measured on this stock’s own history plus fat-tailed innovations put 15% of terminal mass above EGP 38. Read that against the band record earlier in §3: over 57 resolved three-month forecasts this cone’s 90% band has contained the close 95% of the time against a 90% target. That is evidence about the WIDTH of the cone and says nothing about the direction of its median.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27.7 bn. Both are the company’s own disclosures; the filings do not decide between them and neither does this study. The two answers, EGP 45.78 and 56.78,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the glide of working-capital intensity from 26.5% of revenue to 21.5%. If the higher figure is the new structural cost of holding share — import finance and assembly stock — the auto leg is worth materially less, and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85% of the auto leg’s enterprise value is terminal value, at a terminal spread of 6.45%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32.26% on the round-price branch against this study’s 23.12%, and 26.62%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upward median rests on a drift measured on this stock’s own history and on nothing else. What that supports is set out in §3 and is a claim about the WIDTH of the band rather than about the direction of its middle: over 57 resolved three-month forecasts the price finished inside the 90% band 95% of the time against a 90% target. A regime turn would flip the median read; the drift is re-tested at every roll-forward and cut the moment the record stops holding.</w:t>
      </w:r>
    </w:p>
    <w:p>
      <w:pPr>
        <w:pStyle w:val="ListBullet"/>
        <w:spacing w:after="60"/>
      </w:pPr>
      <w:r>
        <w:rPr>
          <w:b/>
          <w:color w:val="1C3A36"/>
          <w:sz w:val="21"/>
        </w:rPr>
        <w:t xml:space="preserve">The lender is a credit cycle, and its mark is a return the cycle sets. </w:t>
      </w:r>
      <w:r>
        <w:rPr>
          <w:color w:val="1C3A36"/>
          <w:sz w:val="21"/>
        </w:rPr>
        <w:t>GB Capital is marked at 0.31× its operating equity because a reviewed return of 10.10% against a terminal cost of equity of 17.04% supports that and no more. On the FY2025 full-year return of 14.71% the same arithmetic gives EGP 4,813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86,139</w:t>
            </w:r>
          </w:p>
        </w:tc>
        <w:tc>
          <w:tcPr>
            <w:tcW w:type="dxa" w:w="1368"/>
          </w:tcPr>
          <w:p>
            <w:pPr>
              <w:spacing w:after="20"/>
              <w:jc w:val="right"/>
            </w:pPr>
            <w:r>
              <w:rPr>
                <w:color w:val="1C3A36"/>
                <w:sz w:val="16"/>
              </w:rPr>
              <w:t>145,578</w:t>
            </w:r>
          </w:p>
        </w:tc>
        <w:tc>
          <w:tcPr>
            <w:tcW w:type="dxa" w:w="1368"/>
          </w:tcPr>
          <w:p>
            <w:pPr>
              <w:spacing w:after="20"/>
              <w:jc w:val="right"/>
            </w:pPr>
            <w:r>
              <w:rPr>
                <w:color w:val="1C3A36"/>
                <w:sz w:val="16"/>
              </w:rPr>
              <w:t>324,625</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75,162</w:t>
            </w:r>
          </w:p>
        </w:tc>
        <w:tc>
          <w:tcPr>
            <w:tcW w:type="dxa" w:w="1368"/>
          </w:tcPr>
          <w:p>
            <w:pPr>
              <w:spacing w:after="20"/>
              <w:jc w:val="right"/>
            </w:pPr>
            <w:r>
              <w:rPr>
                <w:color w:val="1C3A36"/>
                <w:sz w:val="16"/>
              </w:rPr>
              <w:t>168,525</w:t>
            </w:r>
          </w:p>
        </w:tc>
        <w:tc>
          <w:tcPr>
            <w:tcW w:type="dxa" w:w="1368"/>
          </w:tcPr>
          <w:p>
            <w:pPr>
              <w:spacing w:after="20"/>
              <w:jc w:val="right"/>
            </w:pPr>
            <w:r>
              <w:rPr>
                <w:color w:val="1C3A36"/>
                <w:sz w:val="16"/>
              </w:rPr>
              <w:t>303,952</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64,968</w:t>
            </w:r>
          </w:p>
        </w:tc>
        <w:tc>
          <w:tcPr>
            <w:tcW w:type="dxa" w:w="1368"/>
          </w:tcPr>
          <w:p>
            <w:pPr>
              <w:spacing w:after="20"/>
              <w:jc w:val="right"/>
            </w:pPr>
            <w:r>
              <w:rPr>
                <w:color w:val="1C3A36"/>
                <w:sz w:val="16"/>
              </w:rPr>
              <w:t>191,817</w:t>
            </w:r>
          </w:p>
        </w:tc>
        <w:tc>
          <w:tcPr>
            <w:tcW w:type="dxa" w:w="1368"/>
          </w:tcPr>
          <w:p>
            <w:pPr>
              <w:spacing w:after="20"/>
              <w:jc w:val="right"/>
            </w:pPr>
            <w:r>
              <w:rPr>
                <w:color w:val="1C3A36"/>
                <w:sz w:val="16"/>
              </w:rPr>
              <w:t>391,594</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20,525</w:t>
            </w:r>
          </w:p>
        </w:tc>
        <w:tc>
          <w:tcPr>
            <w:tcW w:type="dxa" w:w="1368"/>
          </w:tcPr>
          <w:p>
            <w:pPr>
              <w:spacing w:after="20"/>
              <w:jc w:val="right"/>
            </w:pPr>
            <w:r>
              <w:rPr>
                <w:color w:val="1C3A36"/>
                <w:sz w:val="16"/>
              </w:rPr>
              <w:t>22,653</w:t>
            </w:r>
          </w:p>
        </w:tc>
        <w:tc>
          <w:tcPr>
            <w:tcW w:type="dxa" w:w="1368"/>
          </w:tcPr>
          <w:p>
            <w:pPr>
              <w:spacing w:after="20"/>
              <w:jc w:val="right"/>
            </w:pPr>
            <w:r>
              <w:rPr>
                <w:color w:val="1C3A36"/>
                <w:sz w:val="16"/>
              </w:rPr>
              <w:t>34,672</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24,474</w:t>
            </w:r>
          </w:p>
        </w:tc>
        <w:tc>
          <w:tcPr>
            <w:tcW w:type="dxa" w:w="1368"/>
          </w:tcPr>
          <w:p>
            <w:pPr>
              <w:spacing w:after="20"/>
              <w:jc w:val="right"/>
            </w:pPr>
            <w:r>
              <w:rPr>
                <w:color w:val="1C3A36"/>
                <w:sz w:val="16"/>
              </w:rPr>
              <w:t>26,376</w:t>
            </w:r>
          </w:p>
        </w:tc>
        <w:tc>
          <w:tcPr>
            <w:tcW w:type="dxa" w:w="1368"/>
          </w:tcPr>
          <w:p>
            <w:pPr>
              <w:spacing w:after="20"/>
              <w:jc w:val="right"/>
            </w:pPr>
            <w:r>
              <w:rPr>
                <w:color w:val="1C3A36"/>
                <w:sz w:val="16"/>
              </w:rPr>
              <w:t>48,151</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19,002</w:t>
            </w:r>
          </w:p>
        </w:tc>
        <w:tc>
          <w:tcPr>
            <w:tcW w:type="dxa" w:w="1368"/>
          </w:tcPr>
          <w:p>
            <w:pPr>
              <w:spacing w:after="20"/>
              <w:jc w:val="right"/>
            </w:pPr>
            <w:r>
              <w:rPr>
                <w:color w:val="1C3A36"/>
                <w:sz w:val="16"/>
              </w:rPr>
              <w:t>30,205</w:t>
            </w:r>
          </w:p>
        </w:tc>
        <w:tc>
          <w:tcPr>
            <w:tcW w:type="dxa" w:w="1368"/>
          </w:tcPr>
          <w:p>
            <w:pPr>
              <w:spacing w:after="20"/>
              <w:jc w:val="right"/>
            </w:pPr>
            <w:r>
              <w:rPr>
                <w:color w:val="1C3A36"/>
                <w:sz w:val="16"/>
              </w:rPr>
              <w:t>58,174</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12,995</w:t>
            </w:r>
          </w:p>
        </w:tc>
        <w:tc>
          <w:tcPr>
            <w:tcW w:type="dxa" w:w="1368"/>
          </w:tcPr>
          <w:p>
            <w:pPr>
              <w:spacing w:after="20"/>
              <w:jc w:val="right"/>
            </w:pPr>
            <w:r>
              <w:rPr>
                <w:color w:val="1C3A36"/>
                <w:sz w:val="16"/>
              </w:rPr>
              <w:t>12,462</w:t>
            </w:r>
          </w:p>
        </w:tc>
        <w:tc>
          <w:tcPr>
            <w:tcW w:type="dxa" w:w="1368"/>
          </w:tcPr>
          <w:p>
            <w:pPr>
              <w:spacing w:after="20"/>
              <w:jc w:val="right"/>
            </w:pPr>
            <w:r>
              <w:rPr>
                <w:color w:val="1C3A36"/>
                <w:sz w:val="16"/>
              </w:rPr>
              <w:t>24,477</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15,490</w:t>
            </w:r>
          </w:p>
        </w:tc>
        <w:tc>
          <w:tcPr>
            <w:tcW w:type="dxa" w:w="1368"/>
          </w:tcPr>
          <w:p>
            <w:pPr>
              <w:spacing w:after="20"/>
              <w:jc w:val="right"/>
            </w:pPr>
            <w:r>
              <w:rPr>
                <w:color w:val="1C3A36"/>
                <w:sz w:val="16"/>
              </w:rPr>
              <w:t>14,663</w:t>
            </w:r>
          </w:p>
        </w:tc>
        <w:tc>
          <w:tcPr>
            <w:tcW w:type="dxa" w:w="1368"/>
          </w:tcPr>
          <w:p>
            <w:pPr>
              <w:spacing w:after="20"/>
              <w:jc w:val="right"/>
            </w:pPr>
            <w:r>
              <w:rPr>
                <w:color w:val="1C3A36"/>
                <w:sz w:val="16"/>
              </w:rPr>
              <w:t>33,145</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14,399</w:t>
            </w:r>
          </w:p>
        </w:tc>
        <w:tc>
          <w:tcPr>
            <w:tcW w:type="dxa" w:w="1368"/>
          </w:tcPr>
          <w:p>
            <w:pPr>
              <w:spacing w:after="20"/>
              <w:jc w:val="right"/>
            </w:pPr>
            <w:r>
              <w:rPr>
                <w:color w:val="1C3A36"/>
                <w:sz w:val="16"/>
              </w:rPr>
              <w:t>16,969</w:t>
            </w:r>
          </w:p>
        </w:tc>
        <w:tc>
          <w:tcPr>
            <w:tcW w:type="dxa" w:w="1368"/>
          </w:tcPr>
          <w:p>
            <w:pPr>
              <w:spacing w:after="20"/>
              <w:jc w:val="right"/>
            </w:pPr>
            <w:r>
              <w:rPr>
                <w:color w:val="1C3A36"/>
                <w:sz w:val="16"/>
              </w:rPr>
              <w:t>38,909</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9,188</w:t>
            </w:r>
          </w:p>
        </w:tc>
        <w:tc>
          <w:tcPr>
            <w:tcW w:type="dxa" w:w="1368"/>
          </w:tcPr>
          <w:p>
            <w:pPr>
              <w:spacing w:after="20"/>
              <w:jc w:val="right"/>
            </w:pPr>
            <w:r>
              <w:rPr>
                <w:color w:val="1C3A36"/>
                <w:sz w:val="16"/>
              </w:rPr>
              <w:t>7,474</w:t>
            </w:r>
          </w:p>
        </w:tc>
        <w:tc>
          <w:tcPr>
            <w:tcW w:type="dxa" w:w="1368"/>
          </w:tcPr>
          <w:p>
            <w:pPr>
              <w:spacing w:after="20"/>
              <w:jc w:val="right"/>
            </w:pPr>
            <w:r>
              <w:rPr>
                <w:color w:val="1C3A36"/>
                <w:sz w:val="16"/>
              </w:rPr>
              <w:t>17,110</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15,675</w:t>
            </w:r>
          </w:p>
        </w:tc>
        <w:tc>
          <w:tcPr>
            <w:tcW w:type="dxa" w:w="1368"/>
          </w:tcPr>
          <w:p>
            <w:pPr>
              <w:spacing w:after="20"/>
              <w:jc w:val="right"/>
            </w:pPr>
            <w:r>
              <w:rPr>
                <w:color w:val="1C3A36"/>
                <w:sz w:val="16"/>
              </w:rPr>
              <w:t>9,309</w:t>
            </w:r>
          </w:p>
        </w:tc>
        <w:tc>
          <w:tcPr>
            <w:tcW w:type="dxa" w:w="1368"/>
          </w:tcPr>
          <w:p>
            <w:pPr>
              <w:spacing w:after="20"/>
              <w:jc w:val="right"/>
            </w:pPr>
            <w:r>
              <w:rPr>
                <w:color w:val="1C3A36"/>
                <w:sz w:val="16"/>
              </w:rPr>
              <w:t>29,559</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31,265</w:t>
            </w:r>
          </w:p>
        </w:tc>
        <w:tc>
          <w:tcPr>
            <w:tcW w:type="dxa" w:w="1368"/>
          </w:tcPr>
          <w:p>
            <w:pPr>
              <w:spacing w:after="20"/>
              <w:jc w:val="right"/>
            </w:pPr>
            <w:r>
              <w:rPr>
                <w:color w:val="1C3A36"/>
                <w:sz w:val="16"/>
              </w:rPr>
              <w:t>11,219</w:t>
            </w:r>
          </w:p>
        </w:tc>
        <w:tc>
          <w:tcPr>
            <w:tcW w:type="dxa" w:w="1368"/>
          </w:tcPr>
          <w:p>
            <w:pPr>
              <w:spacing w:after="20"/>
              <w:jc w:val="right"/>
            </w:pPr>
            <w:r>
              <w:rPr>
                <w:color w:val="1C3A36"/>
                <w:sz w:val="16"/>
              </w:rPr>
              <w:t>31,265</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78,550</w:t>
            </w:r>
          </w:p>
        </w:tc>
        <w:tc>
          <w:tcPr>
            <w:tcW w:type="dxa" w:w="1296"/>
          </w:tcPr>
          <w:p>
            <w:pPr>
              <w:spacing w:after="20"/>
              <w:jc w:val="right"/>
            </w:pPr>
            <w:r>
              <w:rPr>
                <w:color w:val="1C3A36"/>
                <w:sz w:val="16"/>
              </w:rPr>
              <w:t>95,736</w:t>
            </w:r>
          </w:p>
        </w:tc>
        <w:tc>
          <w:tcPr>
            <w:tcW w:type="dxa" w:w="1296"/>
          </w:tcPr>
          <w:p>
            <w:pPr>
              <w:spacing w:after="20"/>
              <w:jc w:val="right"/>
            </w:pPr>
            <w:r>
              <w:rPr>
                <w:color w:val="1C3A36"/>
                <w:sz w:val="16"/>
              </w:rPr>
              <w:t>112,459</w:t>
            </w:r>
          </w:p>
        </w:tc>
        <w:tc>
          <w:tcPr>
            <w:tcW w:type="dxa" w:w="1296"/>
          </w:tcPr>
          <w:p>
            <w:pPr>
              <w:spacing w:after="20"/>
              <w:jc w:val="right"/>
            </w:pPr>
            <w:r>
              <w:rPr>
                <w:color w:val="1C3A36"/>
                <w:sz w:val="16"/>
              </w:rPr>
              <w:t>128,714</w:t>
            </w:r>
          </w:p>
        </w:tc>
        <w:tc>
          <w:tcPr>
            <w:tcW w:type="dxa" w:w="1296"/>
          </w:tcPr>
          <w:p>
            <w:pPr>
              <w:spacing w:after="20"/>
              <w:jc w:val="right"/>
            </w:pPr>
            <w:r>
              <w:rPr>
                <w:color w:val="1C3A36"/>
                <w:sz w:val="16"/>
              </w:rPr>
              <w:t>144,761</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-1,359</w:t>
            </w:r>
          </w:p>
        </w:tc>
        <w:tc>
          <w:tcPr>
            <w:tcW w:type="dxa" w:w="1296"/>
          </w:tcPr>
          <w:p>
            <w:pPr>
              <w:spacing w:after="20"/>
              <w:jc w:val="right"/>
            </w:pPr>
            <w:r>
              <w:rPr>
                <w:color w:val="1C3A36"/>
                <w:sz w:val="16"/>
              </w:rPr>
              <w:t>-1,619</w:t>
            </w:r>
          </w:p>
        </w:tc>
        <w:tc>
          <w:tcPr>
            <w:tcW w:type="dxa" w:w="1296"/>
          </w:tcPr>
          <w:p>
            <w:pPr>
              <w:spacing w:after="20"/>
              <w:jc w:val="right"/>
            </w:pPr>
            <w:r>
              <w:rPr>
                <w:color w:val="1C3A36"/>
                <w:sz w:val="16"/>
              </w:rPr>
              <w:t>-1,874</w:t>
            </w:r>
          </w:p>
        </w:tc>
        <w:tc>
          <w:tcPr>
            <w:tcW w:type="dxa" w:w="1296"/>
          </w:tcPr>
          <w:p>
            <w:pPr>
              <w:spacing w:after="20"/>
              <w:jc w:val="right"/>
            </w:pPr>
            <w:r>
              <w:rPr>
                <w:color w:val="1C3A36"/>
                <w:sz w:val="16"/>
              </w:rPr>
              <w:t>-2,133</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98,828</w:t>
            </w:r>
          </w:p>
        </w:tc>
        <w:tc>
          <w:tcPr>
            <w:tcW w:type="dxa" w:w="1296"/>
            <w:shd w:val="clear" w:color="auto" w:fill="F6F1E6"/>
          </w:tcPr>
          <w:p>
            <w:pPr>
              <w:spacing w:after="20"/>
              <w:jc w:val="right"/>
            </w:pPr>
            <w:r>
              <w:rPr>
                <w:b/>
                <w:color w:val="1C3A36"/>
                <w:sz w:val="16"/>
              </w:rPr>
              <w:t>122,168</w:t>
            </w:r>
          </w:p>
        </w:tc>
        <w:tc>
          <w:tcPr>
            <w:tcW w:type="dxa" w:w="1296"/>
            <w:shd w:val="clear" w:color="auto" w:fill="F6F1E6"/>
          </w:tcPr>
          <w:p>
            <w:pPr>
              <w:spacing w:after="20"/>
              <w:jc w:val="right"/>
            </w:pPr>
            <w:r>
              <w:rPr>
                <w:b/>
                <w:color w:val="1C3A36"/>
                <w:sz w:val="16"/>
              </w:rPr>
              <w:t>145,578</w:t>
            </w:r>
          </w:p>
        </w:tc>
        <w:tc>
          <w:tcPr>
            <w:tcW w:type="dxa" w:w="1296"/>
            <w:shd w:val="clear" w:color="auto" w:fill="F6F1E6"/>
          </w:tcPr>
          <w:p>
            <w:pPr>
              <w:spacing w:after="20"/>
              <w:jc w:val="right"/>
            </w:pPr>
            <w:r>
              <w:rPr>
                <w:b/>
                <w:color w:val="1C3A36"/>
                <w:sz w:val="16"/>
              </w:rPr>
              <w:t>168,525</w:t>
            </w:r>
          </w:p>
        </w:tc>
        <w:tc>
          <w:tcPr>
            <w:tcW w:type="dxa" w:w="1296"/>
            <w:shd w:val="clear" w:color="auto" w:fill="F6F1E6"/>
          </w:tcPr>
          <w:p>
            <w:pPr>
              <w:spacing w:after="20"/>
              <w:jc w:val="right"/>
            </w:pPr>
            <w:r>
              <w:rPr>
                <w:b/>
                <w:color w:val="1C3A36"/>
                <w:sz w:val="16"/>
              </w:rPr>
              <w:t>191,817</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14,639</w:t>
            </w:r>
          </w:p>
        </w:tc>
        <w:tc>
          <w:tcPr>
            <w:tcW w:type="dxa" w:w="1296"/>
          </w:tcPr>
          <w:p>
            <w:pPr>
              <w:spacing w:after="20"/>
              <w:jc w:val="right"/>
            </w:pPr>
            <w:r>
              <w:rPr>
                <w:color w:val="1C3A36"/>
                <w:sz w:val="16"/>
              </w:rPr>
              <w:t>18,603</w:t>
            </w:r>
          </w:p>
        </w:tc>
        <w:tc>
          <w:tcPr>
            <w:tcW w:type="dxa" w:w="1296"/>
          </w:tcPr>
          <w:p>
            <w:pPr>
              <w:spacing w:after="20"/>
              <w:jc w:val="right"/>
            </w:pPr>
            <w:r>
              <w:rPr>
                <w:color w:val="1C3A36"/>
                <w:sz w:val="16"/>
              </w:rPr>
              <w:t>22,653</w:t>
            </w:r>
          </w:p>
        </w:tc>
        <w:tc>
          <w:tcPr>
            <w:tcW w:type="dxa" w:w="1296"/>
          </w:tcPr>
          <w:p>
            <w:pPr>
              <w:spacing w:after="20"/>
              <w:jc w:val="right"/>
            </w:pPr>
            <w:r>
              <w:rPr>
                <w:color w:val="1C3A36"/>
                <w:sz w:val="16"/>
              </w:rPr>
              <w:t>26,376</w:t>
            </w:r>
          </w:p>
        </w:tc>
        <w:tc>
          <w:tcPr>
            <w:tcW w:type="dxa" w:w="1296"/>
          </w:tcPr>
          <w:p>
            <w:pPr>
              <w:spacing w:after="20"/>
              <w:jc w:val="right"/>
            </w:pPr>
            <w:r>
              <w:rPr>
                <w:color w:val="1C3A36"/>
                <w:sz w:val="16"/>
              </w:rPr>
              <w:t>30,205</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-7,906</w:t>
            </w:r>
          </w:p>
        </w:tc>
        <w:tc>
          <w:tcPr>
            <w:tcW w:type="dxa" w:w="1296"/>
          </w:tcPr>
          <w:p>
            <w:pPr>
              <w:spacing w:after="20"/>
              <w:jc w:val="right"/>
            </w:pPr>
            <w:r>
              <w:rPr>
                <w:color w:val="1C3A36"/>
                <w:sz w:val="16"/>
              </w:rPr>
              <w:t>-9,651</w:t>
            </w:r>
          </w:p>
        </w:tc>
        <w:tc>
          <w:tcPr>
            <w:tcW w:type="dxa" w:w="1296"/>
          </w:tcPr>
          <w:p>
            <w:pPr>
              <w:spacing w:after="20"/>
              <w:jc w:val="right"/>
            </w:pPr>
            <w:r>
              <w:rPr>
                <w:color w:val="1C3A36"/>
                <w:sz w:val="16"/>
              </w:rPr>
              <w:t>-11,355</w:t>
            </w:r>
          </w:p>
        </w:tc>
        <w:tc>
          <w:tcPr>
            <w:tcW w:type="dxa" w:w="1296"/>
          </w:tcPr>
          <w:p>
            <w:pPr>
              <w:spacing w:after="20"/>
              <w:jc w:val="right"/>
            </w:pPr>
            <w:r>
              <w:rPr>
                <w:color w:val="1C3A36"/>
                <w:sz w:val="16"/>
              </w:rPr>
              <w:t>-13,061</w:t>
            </w:r>
          </w:p>
        </w:tc>
        <w:tc>
          <w:tcPr>
            <w:tcW w:type="dxa" w:w="1296"/>
          </w:tcPr>
          <w:p>
            <w:pPr>
              <w:spacing w:after="20"/>
              <w:jc w:val="right"/>
            </w:pPr>
            <w:r>
              <w:rPr>
                <w:color w:val="1C3A36"/>
                <w:sz w:val="16"/>
              </w:rPr>
              <w:t>-14,770</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1,087</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1,601</w:t>
            </w:r>
          </w:p>
        </w:tc>
        <w:tc>
          <w:tcPr>
            <w:tcW w:type="dxa" w:w="1296"/>
          </w:tcPr>
          <w:p>
            <w:pPr>
              <w:spacing w:after="20"/>
              <w:jc w:val="right"/>
            </w:pPr>
            <w:r>
              <w:rPr>
                <w:color w:val="1C3A36"/>
                <w:sz w:val="16"/>
              </w:rPr>
              <w:t>1,854</w:t>
            </w:r>
          </w:p>
        </w:tc>
        <w:tc>
          <w:tcPr>
            <w:tcW w:type="dxa" w:w="1296"/>
          </w:tcPr>
          <w:p>
            <w:pPr>
              <w:spacing w:after="20"/>
              <w:jc w:val="right"/>
            </w:pPr>
            <w:r>
              <w:rPr>
                <w:color w:val="1C3A36"/>
                <w:sz w:val="16"/>
              </w:rPr>
              <w:t>2,110</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-296</w:t>
            </w:r>
          </w:p>
        </w:tc>
        <w:tc>
          <w:tcPr>
            <w:tcW w:type="dxa" w:w="1296"/>
          </w:tcPr>
          <w:p>
            <w:pPr>
              <w:spacing w:after="20"/>
              <w:jc w:val="right"/>
            </w:pPr>
            <w:r>
              <w:rPr>
                <w:color w:val="1C3A36"/>
                <w:sz w:val="16"/>
              </w:rPr>
              <w:t>-367</w:t>
            </w:r>
          </w:p>
        </w:tc>
        <w:tc>
          <w:tcPr>
            <w:tcW w:type="dxa" w:w="1296"/>
          </w:tcPr>
          <w:p>
            <w:pPr>
              <w:spacing w:after="20"/>
              <w:jc w:val="right"/>
            </w:pPr>
            <w:r>
              <w:rPr>
                <w:color w:val="1C3A36"/>
                <w:sz w:val="16"/>
              </w:rPr>
              <w:t>-437</w:t>
            </w:r>
          </w:p>
        </w:tc>
        <w:tc>
          <w:tcPr>
            <w:tcW w:type="dxa" w:w="1296"/>
          </w:tcPr>
          <w:p>
            <w:pPr>
              <w:spacing w:after="20"/>
              <w:jc w:val="right"/>
            </w:pPr>
            <w:r>
              <w:rPr>
                <w:color w:val="1C3A36"/>
                <w:sz w:val="16"/>
              </w:rPr>
              <w:t>-506</w:t>
            </w:r>
          </w:p>
        </w:tc>
        <w:tc>
          <w:tcPr>
            <w:tcW w:type="dxa" w:w="1296"/>
          </w:tcPr>
          <w:p>
            <w:pPr>
              <w:spacing w:after="20"/>
              <w:jc w:val="right"/>
            </w:pPr>
            <w:r>
              <w:rPr>
                <w:color w:val="1C3A36"/>
                <w:sz w:val="16"/>
              </w:rPr>
              <w:t>-575</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7,523</w:t>
            </w:r>
          </w:p>
        </w:tc>
        <w:tc>
          <w:tcPr>
            <w:tcW w:type="dxa" w:w="1296"/>
            <w:shd w:val="clear" w:color="auto" w:fill="F6F1E6"/>
          </w:tcPr>
          <w:p>
            <w:pPr>
              <w:spacing w:after="20"/>
              <w:jc w:val="right"/>
            </w:pPr>
            <w:r>
              <w:rPr>
                <w:b/>
                <w:color w:val="1C3A36"/>
                <w:sz w:val="16"/>
              </w:rPr>
              <w:t>9,929</w:t>
            </w:r>
          </w:p>
        </w:tc>
        <w:tc>
          <w:tcPr>
            <w:tcW w:type="dxa" w:w="1296"/>
            <w:shd w:val="clear" w:color="auto" w:fill="F6F1E6"/>
          </w:tcPr>
          <w:p>
            <w:pPr>
              <w:spacing w:after="20"/>
              <w:jc w:val="right"/>
            </w:pPr>
            <w:r>
              <w:rPr>
                <w:b/>
                <w:color w:val="1C3A36"/>
                <w:sz w:val="16"/>
              </w:rPr>
              <w:t>12,462</w:t>
            </w:r>
          </w:p>
        </w:tc>
        <w:tc>
          <w:tcPr>
            <w:tcW w:type="dxa" w:w="1296"/>
            <w:shd w:val="clear" w:color="auto" w:fill="F6F1E6"/>
          </w:tcPr>
          <w:p>
            <w:pPr>
              <w:spacing w:after="20"/>
              <w:jc w:val="right"/>
            </w:pPr>
            <w:r>
              <w:rPr>
                <w:b/>
                <w:color w:val="1C3A36"/>
                <w:sz w:val="16"/>
              </w:rPr>
              <w:t>14,663</w:t>
            </w:r>
          </w:p>
        </w:tc>
        <w:tc>
          <w:tcPr>
            <w:tcW w:type="dxa" w:w="1296"/>
            <w:shd w:val="clear" w:color="auto" w:fill="F6F1E6"/>
          </w:tcPr>
          <w:p>
            <w:pPr>
              <w:spacing w:after="20"/>
              <w:jc w:val="right"/>
            </w:pPr>
            <w:r>
              <w:rPr>
                <w:b/>
                <w:color w:val="1C3A36"/>
                <w:sz w:val="16"/>
              </w:rPr>
              <w:t>16,969</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8,773</w:t>
            </w:r>
          </w:p>
        </w:tc>
        <w:tc>
          <w:tcPr>
            <w:tcW w:type="dxa" w:w="1296"/>
            <w:shd w:val="clear" w:color="auto" w:fill="F6F1E6"/>
          </w:tcPr>
          <w:p>
            <w:pPr>
              <w:spacing w:after="20"/>
              <w:jc w:val="right"/>
            </w:pPr>
            <w:r>
              <w:rPr>
                <w:b/>
                <w:color w:val="1C3A36"/>
                <w:sz w:val="16"/>
              </w:rPr>
              <w:t>11,359</w:t>
            </w:r>
          </w:p>
        </w:tc>
        <w:tc>
          <w:tcPr>
            <w:tcW w:type="dxa" w:w="1296"/>
            <w:shd w:val="clear" w:color="auto" w:fill="F6F1E6"/>
          </w:tcPr>
          <w:p>
            <w:pPr>
              <w:spacing w:after="20"/>
              <w:jc w:val="right"/>
            </w:pPr>
            <w:r>
              <w:rPr>
                <w:b/>
                <w:color w:val="1C3A36"/>
                <w:sz w:val="16"/>
              </w:rPr>
              <w:t>14,092</w:t>
            </w:r>
          </w:p>
        </w:tc>
        <w:tc>
          <w:tcPr>
            <w:tcW w:type="dxa" w:w="1296"/>
            <w:shd w:val="clear" w:color="auto" w:fill="F6F1E6"/>
          </w:tcPr>
          <w:p>
            <w:pPr>
              <w:spacing w:after="20"/>
              <w:jc w:val="right"/>
            </w:pPr>
            <w:r>
              <w:rPr>
                <w:b/>
                <w:color w:val="1C3A36"/>
                <w:sz w:val="16"/>
              </w:rPr>
              <w:t>16,493</w:t>
            </w:r>
          </w:p>
        </w:tc>
        <w:tc>
          <w:tcPr>
            <w:tcW w:type="dxa" w:w="1296"/>
            <w:shd w:val="clear" w:color="auto" w:fill="F6F1E6"/>
          </w:tcPr>
          <w:p>
            <w:pPr>
              <w:spacing w:after="20"/>
              <w:jc w:val="right"/>
            </w:pPr>
            <w:r>
              <w:rPr>
                <w:b/>
                <w:color w:val="1C3A36"/>
                <w:sz w:val="16"/>
              </w:rPr>
              <w:t>18,999</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-4,100</w:t>
            </w:r>
          </w:p>
        </w:tc>
        <w:tc>
          <w:tcPr>
            <w:tcW w:type="dxa" w:w="1296"/>
          </w:tcPr>
          <w:p>
            <w:pPr>
              <w:spacing w:after="20"/>
              <w:jc w:val="right"/>
            </w:pPr>
            <w:r>
              <w:rPr>
                <w:color w:val="1C3A36"/>
                <w:sz w:val="16"/>
              </w:rPr>
              <w:t>-3,800</w:t>
            </w:r>
          </w:p>
        </w:tc>
        <w:tc>
          <w:tcPr>
            <w:tcW w:type="dxa" w:w="1296"/>
          </w:tcPr>
          <w:p>
            <w:pPr>
              <w:spacing w:after="20"/>
              <w:jc w:val="right"/>
            </w:pPr>
            <w:r>
              <w:rPr>
                <w:color w:val="1C3A36"/>
                <w:sz w:val="16"/>
              </w:rPr>
              <w:t>-3,500</w:t>
            </w:r>
          </w:p>
        </w:tc>
        <w:tc>
          <w:tcPr>
            <w:tcW w:type="dxa" w:w="1296"/>
          </w:tcPr>
          <w:p>
            <w:pPr>
              <w:spacing w:after="20"/>
              <w:jc w:val="right"/>
            </w:pPr>
            <w:r>
              <w:rPr>
                <w:color w:val="1C3A36"/>
                <w:sz w:val="16"/>
              </w:rPr>
              <w:t>-3,300</w:t>
            </w:r>
          </w:p>
        </w:tc>
        <w:tc>
          <w:tcPr>
            <w:tcW w:type="dxa" w:w="1296"/>
          </w:tcPr>
          <w:p>
            <w:pPr>
              <w:spacing w:after="20"/>
              <w:jc w:val="right"/>
            </w:pPr>
            <w:r>
              <w:rPr>
                <w:color w:val="1C3A36"/>
                <w:sz w:val="16"/>
              </w:rPr>
              <w:t>-3,100</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4,673</w:t>
            </w:r>
          </w:p>
        </w:tc>
        <w:tc>
          <w:tcPr>
            <w:tcW w:type="dxa" w:w="1296"/>
            <w:shd w:val="clear" w:color="auto" w:fill="F6F1E6"/>
          </w:tcPr>
          <w:p>
            <w:pPr>
              <w:spacing w:after="20"/>
              <w:jc w:val="right"/>
            </w:pPr>
            <w:r>
              <w:rPr>
                <w:b/>
                <w:color w:val="1C3A36"/>
                <w:sz w:val="16"/>
              </w:rPr>
              <w:t>7,559</w:t>
            </w:r>
          </w:p>
        </w:tc>
        <w:tc>
          <w:tcPr>
            <w:tcW w:type="dxa" w:w="1296"/>
            <w:shd w:val="clear" w:color="auto" w:fill="F6F1E6"/>
          </w:tcPr>
          <w:p>
            <w:pPr>
              <w:spacing w:after="20"/>
              <w:jc w:val="right"/>
            </w:pPr>
            <w:r>
              <w:rPr>
                <w:b/>
                <w:color w:val="1C3A36"/>
                <w:sz w:val="16"/>
              </w:rPr>
              <w:t>10,592</w:t>
            </w:r>
          </w:p>
        </w:tc>
        <w:tc>
          <w:tcPr>
            <w:tcW w:type="dxa" w:w="1296"/>
            <w:shd w:val="clear" w:color="auto" w:fill="F6F1E6"/>
          </w:tcPr>
          <w:p>
            <w:pPr>
              <w:spacing w:after="20"/>
              <w:jc w:val="right"/>
            </w:pPr>
            <w:r>
              <w:rPr>
                <w:b/>
                <w:color w:val="1C3A36"/>
                <w:sz w:val="16"/>
              </w:rPr>
              <w:t>13,193</w:t>
            </w:r>
          </w:p>
        </w:tc>
        <w:tc>
          <w:tcPr>
            <w:tcW w:type="dxa" w:w="1296"/>
            <w:shd w:val="clear" w:color="auto" w:fill="F6F1E6"/>
          </w:tcPr>
          <w:p>
            <w:pPr>
              <w:spacing w:after="20"/>
              <w:jc w:val="right"/>
            </w:pPr>
            <w:r>
              <w:rPr>
                <w:b/>
                <w:color w:val="1C3A36"/>
                <w:sz w:val="16"/>
              </w:rPr>
              <w:t>15,899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-1,309</w:t>
            </w:r>
          </w:p>
        </w:tc>
        <w:tc>
          <w:tcPr>
            <w:tcW w:type="dxa" w:w="1296"/>
          </w:tcPr>
          <w:p>
            <w:pPr>
              <w:spacing w:after="20"/>
              <w:jc w:val="right"/>
            </w:pPr>
            <w:r>
              <w:rPr>
                <w:color w:val="1C3A36"/>
                <w:sz w:val="16"/>
              </w:rPr>
              <w:t>-2,117</w:t>
            </w:r>
          </w:p>
        </w:tc>
        <w:tc>
          <w:tcPr>
            <w:tcW w:type="dxa" w:w="1296"/>
          </w:tcPr>
          <w:p>
            <w:pPr>
              <w:spacing w:after="20"/>
              <w:jc w:val="right"/>
            </w:pPr>
            <w:r>
              <w:rPr>
                <w:color w:val="1C3A36"/>
                <w:sz w:val="16"/>
              </w:rPr>
              <w:t>-2,966</w:t>
            </w:r>
          </w:p>
        </w:tc>
        <w:tc>
          <w:tcPr>
            <w:tcW w:type="dxa" w:w="1296"/>
          </w:tcPr>
          <w:p>
            <w:pPr>
              <w:spacing w:after="20"/>
              <w:jc w:val="right"/>
            </w:pPr>
            <w:r>
              <w:rPr>
                <w:color w:val="1C3A36"/>
                <w:sz w:val="16"/>
              </w:rPr>
              <w:t>-3,694</w:t>
            </w:r>
          </w:p>
        </w:tc>
        <w:tc>
          <w:tcPr>
            <w:tcW w:type="dxa" w:w="1296"/>
          </w:tcPr>
          <w:p>
            <w:pPr>
              <w:spacing w:after="20"/>
              <w:jc w:val="right"/>
            </w:pPr>
            <w:r>
              <w:rPr>
                <w:color w:val="1C3A36"/>
                <w:sz w:val="16"/>
              </w:rPr>
              <w:t>-4,452</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3,365</w:t>
            </w:r>
          </w:p>
        </w:tc>
        <w:tc>
          <w:tcPr>
            <w:tcW w:type="dxa" w:w="1296"/>
            <w:shd w:val="clear" w:color="auto" w:fill="F6F1E6"/>
          </w:tcPr>
          <w:p>
            <w:pPr>
              <w:spacing w:after="20"/>
              <w:jc w:val="right"/>
            </w:pPr>
            <w:r>
              <w:rPr>
                <w:b/>
                <w:color w:val="1C3A36"/>
                <w:sz w:val="16"/>
              </w:rPr>
              <w:t>5,443</w:t>
            </w:r>
          </w:p>
        </w:tc>
        <w:tc>
          <w:tcPr>
            <w:tcW w:type="dxa" w:w="1296"/>
            <w:shd w:val="clear" w:color="auto" w:fill="F6F1E6"/>
          </w:tcPr>
          <w:p>
            <w:pPr>
              <w:spacing w:after="20"/>
              <w:jc w:val="right"/>
            </w:pPr>
            <w:r>
              <w:rPr>
                <w:b/>
                <w:color w:val="1C3A36"/>
                <w:sz w:val="16"/>
              </w:rPr>
              <w:t>7,626</w:t>
            </w:r>
          </w:p>
        </w:tc>
        <w:tc>
          <w:tcPr>
            <w:tcW w:type="dxa" w:w="1296"/>
            <w:shd w:val="clear" w:color="auto" w:fill="F6F1E6"/>
          </w:tcPr>
          <w:p>
            <w:pPr>
              <w:spacing w:after="20"/>
              <w:jc w:val="right"/>
            </w:pPr>
            <w:r>
              <w:rPr>
                <w:b/>
                <w:color w:val="1C3A36"/>
                <w:sz w:val="16"/>
              </w:rPr>
              <w:t>9,499</w:t>
            </w:r>
          </w:p>
        </w:tc>
        <w:tc>
          <w:tcPr>
            <w:tcW w:type="dxa" w:w="1296"/>
            <w:shd w:val="clear" w:color="auto" w:fill="F6F1E6"/>
          </w:tcPr>
          <w:p>
            <w:pPr>
              <w:spacing w:after="20"/>
              <w:jc w:val="right"/>
            </w:pPr>
            <w:r>
              <w:rPr>
                <w:b/>
                <w:color w:val="1C3A36"/>
                <w:sz w:val="16"/>
              </w:rPr>
              <w:t>11,448</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-67</w:t>
            </w:r>
          </w:p>
        </w:tc>
        <w:tc>
          <w:tcPr>
            <w:tcW w:type="dxa" w:w="1296"/>
          </w:tcPr>
          <w:p>
            <w:pPr>
              <w:spacing w:after="20"/>
              <w:jc w:val="right"/>
            </w:pPr>
            <w:r>
              <w:rPr>
                <w:color w:val="1C3A36"/>
                <w:sz w:val="16"/>
              </w:rPr>
              <w:t>-109</w:t>
            </w:r>
          </w:p>
        </w:tc>
        <w:tc>
          <w:tcPr>
            <w:tcW w:type="dxa" w:w="1296"/>
          </w:tcPr>
          <w:p>
            <w:pPr>
              <w:spacing w:after="20"/>
              <w:jc w:val="right"/>
            </w:pPr>
            <w:r>
              <w:rPr>
                <w:color w:val="1C3A36"/>
                <w:sz w:val="16"/>
              </w:rPr>
              <w:t>-153</w:t>
            </w:r>
          </w:p>
        </w:tc>
        <w:tc>
          <w:tcPr>
            <w:tcW w:type="dxa" w:w="1296"/>
          </w:tcPr>
          <w:p>
            <w:pPr>
              <w:spacing w:after="20"/>
              <w:jc w:val="right"/>
            </w:pPr>
            <w:r>
              <w:rPr>
                <w:color w:val="1C3A36"/>
                <w:sz w:val="16"/>
              </w:rPr>
              <w:t>-190</w:t>
            </w:r>
          </w:p>
        </w:tc>
        <w:tc>
          <w:tcPr>
            <w:tcW w:type="dxa" w:w="1296"/>
          </w:tcPr>
          <w:p>
            <w:pPr>
              <w:spacing w:after="20"/>
              <w:jc w:val="right"/>
            </w:pPr>
            <w:r>
              <w:rPr>
                <w:color w:val="1C3A36"/>
                <w:sz w:val="16"/>
              </w:rPr>
              <w:t>-229</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3,298</w:t>
            </w:r>
          </w:p>
        </w:tc>
        <w:tc>
          <w:tcPr>
            <w:tcW w:type="dxa" w:w="1296"/>
            <w:shd w:val="clear" w:color="auto" w:fill="F6F1E6"/>
          </w:tcPr>
          <w:p>
            <w:pPr>
              <w:spacing w:after="20"/>
              <w:jc w:val="right"/>
            </w:pPr>
            <w:r>
              <w:rPr>
                <w:b/>
                <w:color w:val="1C3A36"/>
                <w:sz w:val="16"/>
              </w:rPr>
              <w:t>5,334</w:t>
            </w:r>
          </w:p>
        </w:tc>
        <w:tc>
          <w:tcPr>
            <w:tcW w:type="dxa" w:w="1296"/>
            <w:shd w:val="clear" w:color="auto" w:fill="F6F1E6"/>
          </w:tcPr>
          <w:p>
            <w:pPr>
              <w:spacing w:after="20"/>
              <w:jc w:val="right"/>
            </w:pPr>
            <w:r>
              <w:rPr>
                <w:b/>
                <w:color w:val="1C3A36"/>
                <w:sz w:val="16"/>
              </w:rPr>
              <w:t>7,474</w:t>
            </w:r>
          </w:p>
        </w:tc>
        <w:tc>
          <w:tcPr>
            <w:tcW w:type="dxa" w:w="1296"/>
            <w:shd w:val="clear" w:color="auto" w:fill="F6F1E6"/>
          </w:tcPr>
          <w:p>
            <w:pPr>
              <w:spacing w:after="20"/>
              <w:jc w:val="right"/>
            </w:pPr>
            <w:r>
              <w:rPr>
                <w:b/>
                <w:color w:val="1C3A36"/>
                <w:sz w:val="16"/>
              </w:rPr>
              <w:t>9,309</w:t>
            </w:r>
          </w:p>
        </w:tc>
        <w:tc>
          <w:tcPr>
            <w:tcW w:type="dxa" w:w="1296"/>
            <w:shd w:val="clear" w:color="auto" w:fill="F6F1E6"/>
          </w:tcPr>
          <w:p>
            <w:pPr>
              <w:spacing w:after="20"/>
              <w:jc w:val="right"/>
            </w:pPr>
            <w:r>
              <w:rPr>
                <w:b/>
                <w:color w:val="1C3A36"/>
                <w:sz w:val="16"/>
              </w:rPr>
              <w:t>11,219</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14.81%</w:t>
            </w:r>
          </w:p>
        </w:tc>
        <w:tc>
          <w:tcPr>
            <w:tcW w:type="dxa" w:w="1296"/>
          </w:tcPr>
          <w:p>
            <w:pPr>
              <w:spacing w:after="20"/>
              <w:jc w:val="right"/>
            </w:pPr>
            <w:r>
              <w:rPr>
                <w:color w:val="1C3A36"/>
                <w:sz w:val="16"/>
              </w:rPr>
              <w:t>15.23%</w:t>
            </w:r>
          </w:p>
        </w:tc>
        <w:tc>
          <w:tcPr>
            <w:tcW w:type="dxa" w:w="1296"/>
          </w:tcPr>
          <w:p>
            <w:pPr>
              <w:spacing w:after="20"/>
              <w:jc w:val="right"/>
            </w:pPr>
            <w:r>
              <w:rPr>
                <w:color w:val="1C3A36"/>
                <w:sz w:val="16"/>
              </w:rPr>
              <w:t>15.56%</w:t>
            </w:r>
          </w:p>
        </w:tc>
        <w:tc>
          <w:tcPr>
            <w:tcW w:type="dxa" w:w="1296"/>
          </w:tcPr>
          <w:p>
            <w:pPr>
              <w:spacing w:after="20"/>
              <w:jc w:val="right"/>
            </w:pPr>
            <w:r>
              <w:rPr>
                <w:color w:val="1C3A36"/>
                <w:sz w:val="16"/>
              </w:rPr>
              <w:t>15.65%</w:t>
            </w:r>
          </w:p>
        </w:tc>
        <w:tc>
          <w:tcPr>
            <w:tcW w:type="dxa" w:w="1296"/>
          </w:tcPr>
          <w:p>
            <w:pPr>
              <w:spacing w:after="20"/>
              <w:jc w:val="right"/>
            </w:pPr>
            <w:r>
              <w:rPr>
                <w:color w:val="1C3A36"/>
                <w:sz w:val="16"/>
              </w:rPr>
              <w:t>15.75%</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3.04</w:t>
            </w:r>
          </w:p>
        </w:tc>
        <w:tc>
          <w:tcPr>
            <w:tcW w:type="dxa" w:w="1296"/>
          </w:tcPr>
          <w:p>
            <w:pPr>
              <w:spacing w:after="20"/>
              <w:jc w:val="right"/>
            </w:pPr>
            <w:r>
              <w:rPr>
                <w:color w:val="1C3A36"/>
                <w:sz w:val="16"/>
              </w:rPr>
              <w:t>4.91</w:t>
            </w:r>
          </w:p>
        </w:tc>
        <w:tc>
          <w:tcPr>
            <w:tcW w:type="dxa" w:w="1296"/>
          </w:tcPr>
          <w:p>
            <w:pPr>
              <w:spacing w:after="20"/>
              <w:jc w:val="right"/>
            </w:pPr>
            <w:r>
              <w:rPr>
                <w:color w:val="1C3A36"/>
                <w:sz w:val="16"/>
              </w:rPr>
              <w:t>6.89</w:t>
            </w:r>
          </w:p>
        </w:tc>
        <w:tc>
          <w:tcPr>
            <w:tcW w:type="dxa" w:w="1296"/>
          </w:tcPr>
          <w:p>
            <w:pPr>
              <w:spacing w:after="20"/>
              <w:jc w:val="right"/>
            </w:pPr>
            <w:r>
              <w:rPr>
                <w:color w:val="1C3A36"/>
                <w:sz w:val="16"/>
              </w:rPr>
              <w:t>8.58</w:t>
            </w:r>
          </w:p>
        </w:tc>
        <w:tc>
          <w:tcPr>
            <w:tcW w:type="dxa" w:w="1296"/>
          </w:tcPr>
          <w:p>
            <w:pPr>
              <w:spacing w:after="20"/>
              <w:jc w:val="right"/>
            </w:pPr>
            <w:r>
              <w:rPr>
                <w:color w:val="1C3A36"/>
                <w:sz w:val="16"/>
              </w:rPr>
              <w:t>10.33</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78,550</w:t>
            </w:r>
          </w:p>
        </w:tc>
        <w:tc>
          <w:tcPr>
            <w:tcW w:type="dxa" w:w="1238"/>
          </w:tcPr>
          <w:p>
            <w:pPr>
              <w:spacing w:after="20"/>
              <w:jc w:val="right"/>
            </w:pPr>
            <w:r>
              <w:rPr>
                <w:color w:val="1C3A36"/>
                <w:sz w:val="17"/>
              </w:rPr>
              <w:t>95,736</w:t>
            </w:r>
          </w:p>
        </w:tc>
        <w:tc>
          <w:tcPr>
            <w:tcW w:type="dxa" w:w="1238"/>
          </w:tcPr>
          <w:p>
            <w:pPr>
              <w:spacing w:after="20"/>
              <w:jc w:val="right"/>
            </w:pPr>
            <w:r>
              <w:rPr>
                <w:color w:val="1C3A36"/>
                <w:sz w:val="17"/>
              </w:rPr>
              <w:t>112,459</w:t>
            </w:r>
          </w:p>
        </w:tc>
        <w:tc>
          <w:tcPr>
            <w:tcW w:type="dxa" w:w="1238"/>
          </w:tcPr>
          <w:p>
            <w:pPr>
              <w:spacing w:after="20"/>
              <w:jc w:val="right"/>
            </w:pPr>
            <w:r>
              <w:rPr>
                <w:color w:val="1C3A36"/>
                <w:sz w:val="17"/>
              </w:rPr>
              <w:t>128,714</w:t>
            </w:r>
          </w:p>
        </w:tc>
        <w:tc>
          <w:tcPr>
            <w:tcW w:type="dxa" w:w="1238"/>
          </w:tcPr>
          <w:p>
            <w:pPr>
              <w:spacing w:after="20"/>
              <w:jc w:val="right"/>
            </w:pPr>
            <w:r>
              <w:rPr>
                <w:color w:val="1C3A36"/>
                <w:sz w:val="17"/>
              </w:rPr>
              <w:t>144,761</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5,813</w:t>
            </w:r>
          </w:p>
        </w:tc>
        <w:tc>
          <w:tcPr>
            <w:tcW w:type="dxa" w:w="1238"/>
          </w:tcPr>
          <w:p>
            <w:pPr>
              <w:spacing w:after="20"/>
              <w:jc w:val="right"/>
            </w:pPr>
            <w:r>
              <w:rPr>
                <w:color w:val="1C3A36"/>
                <w:sz w:val="17"/>
              </w:rPr>
              <w:t>7,563</w:t>
            </w:r>
          </w:p>
        </w:tc>
        <w:tc>
          <w:tcPr>
            <w:tcW w:type="dxa" w:w="1238"/>
          </w:tcPr>
          <w:p>
            <w:pPr>
              <w:spacing w:after="20"/>
              <w:jc w:val="right"/>
            </w:pPr>
            <w:r>
              <w:rPr>
                <w:color w:val="1C3A36"/>
                <w:sz w:val="17"/>
              </w:rPr>
              <w:t>9,334</w:t>
            </w:r>
          </w:p>
        </w:tc>
        <w:tc>
          <w:tcPr>
            <w:tcW w:type="dxa" w:w="1238"/>
          </w:tcPr>
          <w:p>
            <w:pPr>
              <w:spacing w:after="20"/>
              <w:jc w:val="right"/>
            </w:pPr>
            <w:r>
              <w:rPr>
                <w:color w:val="1C3A36"/>
                <w:sz w:val="17"/>
              </w:rPr>
              <w:t>10,812</w:t>
            </w:r>
          </w:p>
        </w:tc>
        <w:tc>
          <w:tcPr>
            <w:tcW w:type="dxa" w:w="1238"/>
          </w:tcPr>
          <w:p>
            <w:pPr>
              <w:spacing w:after="20"/>
              <w:jc w:val="right"/>
            </w:pPr>
            <w:r>
              <w:rPr>
                <w:color w:val="1C3A36"/>
                <w:sz w:val="17"/>
              </w:rPr>
              <w:t>12,160</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4,185</w:t>
            </w:r>
          </w:p>
        </w:tc>
        <w:tc>
          <w:tcPr>
            <w:tcW w:type="dxa" w:w="1238"/>
          </w:tcPr>
          <w:p>
            <w:pPr>
              <w:spacing w:after="20"/>
              <w:jc w:val="right"/>
            </w:pPr>
            <w:r>
              <w:rPr>
                <w:color w:val="1C3A36"/>
                <w:sz w:val="17"/>
              </w:rPr>
              <w:t>5,445</w:t>
            </w:r>
          </w:p>
        </w:tc>
        <w:tc>
          <w:tcPr>
            <w:tcW w:type="dxa" w:w="1238"/>
          </w:tcPr>
          <w:p>
            <w:pPr>
              <w:spacing w:after="20"/>
              <w:jc w:val="right"/>
            </w:pPr>
            <w:r>
              <w:rPr>
                <w:color w:val="1C3A36"/>
                <w:sz w:val="17"/>
              </w:rPr>
              <w:t>6,721</w:t>
            </w:r>
          </w:p>
        </w:tc>
        <w:tc>
          <w:tcPr>
            <w:tcW w:type="dxa" w:w="1238"/>
          </w:tcPr>
          <w:p>
            <w:pPr>
              <w:spacing w:after="20"/>
              <w:jc w:val="right"/>
            </w:pPr>
            <w:r>
              <w:rPr>
                <w:color w:val="1C3A36"/>
                <w:sz w:val="17"/>
              </w:rPr>
              <w:t>7,785</w:t>
            </w:r>
          </w:p>
        </w:tc>
        <w:tc>
          <w:tcPr>
            <w:tcW w:type="dxa" w:w="1238"/>
          </w:tcPr>
          <w:p>
            <w:pPr>
              <w:spacing w:after="20"/>
              <w:jc w:val="right"/>
            </w:pPr>
            <w:r>
              <w:rPr>
                <w:color w:val="1C3A36"/>
                <w:sz w:val="17"/>
              </w:rPr>
              <w:t>8,755</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1,053</w:t>
            </w:r>
          </w:p>
        </w:tc>
        <w:tc>
          <w:tcPr>
            <w:tcW w:type="dxa" w:w="1238"/>
          </w:tcPr>
          <w:p>
            <w:pPr>
              <w:spacing w:after="20"/>
              <w:jc w:val="right"/>
            </w:pPr>
            <w:r>
              <w:rPr>
                <w:color w:val="1C3A36"/>
                <w:sz w:val="17"/>
              </w:rPr>
              <w:t>1,237</w:t>
            </w:r>
          </w:p>
        </w:tc>
        <w:tc>
          <w:tcPr>
            <w:tcW w:type="dxa" w:w="1238"/>
          </w:tcPr>
          <w:p>
            <w:pPr>
              <w:spacing w:after="20"/>
              <w:jc w:val="right"/>
            </w:pPr>
            <w:r>
              <w:rPr>
                <w:color w:val="1C3A36"/>
                <w:sz w:val="17"/>
              </w:rPr>
              <w:t>1,416</w:t>
            </w:r>
          </w:p>
        </w:tc>
        <w:tc>
          <w:tcPr>
            <w:tcW w:type="dxa" w:w="1238"/>
          </w:tcPr>
          <w:p>
            <w:pPr>
              <w:spacing w:after="20"/>
              <w:jc w:val="right"/>
            </w:pPr>
            <w:r>
              <w:rPr>
                <w:color w:val="1C3A36"/>
                <w:sz w:val="17"/>
              </w:rPr>
              <w:t>1,592</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(2,400)</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(2,600)</w:t>
            </w:r>
          </w:p>
        </w:tc>
        <w:tc>
          <w:tcPr>
            <w:tcW w:type="dxa" w:w="1238"/>
          </w:tcPr>
          <w:p>
            <w:pPr>
              <w:spacing w:after="20"/>
              <w:jc w:val="right"/>
            </w:pPr>
            <w:r>
              <w:rPr>
                <w:color w:val="1C3A36"/>
                <w:sz w:val="17"/>
              </w:rPr>
              <w:t>(2,800)</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(1,899)</w:t>
            </w:r>
          </w:p>
        </w:tc>
        <w:tc>
          <w:tcPr>
            <w:tcW w:type="dxa" w:w="1238"/>
          </w:tcPr>
          <w:p>
            <w:pPr>
              <w:spacing w:after="20"/>
              <w:jc w:val="right"/>
            </w:pPr>
            <w:r>
              <w:rPr>
                <w:color w:val="1C3A36"/>
                <w:sz w:val="17"/>
              </w:rPr>
              <w:t>(3,118)</w:t>
            </w:r>
          </w:p>
        </w:tc>
        <w:tc>
          <w:tcPr>
            <w:tcW w:type="dxa" w:w="1238"/>
          </w:tcPr>
          <w:p>
            <w:pPr>
              <w:spacing w:after="20"/>
              <w:jc w:val="right"/>
            </w:pPr>
            <w:r>
              <w:rPr>
                <w:color w:val="1C3A36"/>
                <w:sz w:val="17"/>
              </w:rPr>
              <w:t>(2,494)</w:t>
            </w:r>
          </w:p>
        </w:tc>
        <w:tc>
          <w:tcPr>
            <w:tcW w:type="dxa" w:w="1238"/>
          </w:tcPr>
          <w:p>
            <w:pPr>
              <w:spacing w:after="20"/>
              <w:jc w:val="right"/>
            </w:pPr>
            <w:r>
              <w:rPr>
                <w:color w:val="1C3A36"/>
                <w:sz w:val="17"/>
              </w:rPr>
              <w:t>(2,533)</w:t>
            </w:r>
          </w:p>
        </w:tc>
        <w:tc>
          <w:tcPr>
            <w:tcW w:type="dxa" w:w="1238"/>
          </w:tcPr>
          <w:p>
            <w:pPr>
              <w:spacing w:after="20"/>
              <w:jc w:val="right"/>
            </w:pPr>
            <w:r>
              <w:rPr>
                <w:color w:val="1C3A36"/>
                <w:sz w:val="17"/>
              </w:rPr>
              <w:t>(2,163)</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151</w:t>
            </w:r>
          </w:p>
        </w:tc>
        <w:tc>
          <w:tcPr>
            <w:tcW w:type="dxa" w:w="1238"/>
            <w:shd w:val="clear" w:color="auto" w:fill="F6F1E6"/>
          </w:tcPr>
          <w:p>
            <w:pPr>
              <w:spacing w:after="20"/>
              <w:jc w:val="right"/>
            </w:pPr>
            <w:r>
              <w:rPr>
                <w:b/>
                <w:color w:val="1C3A36"/>
                <w:sz w:val="17"/>
              </w:rPr>
              <w:t>980</w:t>
            </w:r>
          </w:p>
        </w:tc>
        <w:tc>
          <w:tcPr>
            <w:tcW w:type="dxa" w:w="1238"/>
            <w:shd w:val="clear" w:color="auto" w:fill="F6F1E6"/>
          </w:tcPr>
          <w:p>
            <w:pPr>
              <w:spacing w:after="20"/>
              <w:jc w:val="right"/>
            </w:pPr>
            <w:r>
              <w:rPr>
                <w:b/>
                <w:color w:val="1C3A36"/>
                <w:sz w:val="17"/>
              </w:rPr>
              <w:t>2,964</w:t>
            </w:r>
          </w:p>
        </w:tc>
        <w:tc>
          <w:tcPr>
            <w:tcW w:type="dxa" w:w="1238"/>
            <w:shd w:val="clear" w:color="auto" w:fill="F6F1E6"/>
          </w:tcPr>
          <w:p>
            <w:pPr>
              <w:spacing w:after="20"/>
              <w:jc w:val="right"/>
            </w:pPr>
            <w:r>
              <w:rPr>
                <w:b/>
                <w:color w:val="1C3A36"/>
                <w:sz w:val="17"/>
              </w:rPr>
              <w:t>4,068</w:t>
            </w:r>
          </w:p>
        </w:tc>
        <w:tc>
          <w:tcPr>
            <w:tcW w:type="dxa" w:w="1238"/>
            <w:shd w:val="clear" w:color="auto" w:fill="F6F1E6"/>
          </w:tcPr>
          <w:p>
            <w:pPr>
              <w:spacing w:after="20"/>
              <w:jc w:val="right"/>
            </w:pPr>
            <w:r>
              <w:rPr>
                <w:b/>
                <w:color w:val="1C3A36"/>
                <w:sz w:val="17"/>
              </w:rPr>
              <w:t>5,384</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14,623.7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Leg</w:t>
            </w:r>
          </w:p>
        </w:tc>
        <w:tc>
          <w:tcPr>
            <w:tcW w:type="dxa" w:w="3024"/>
            <w:shd w:val="clear" w:color="auto" w:fill="EAF0EE"/>
          </w:tcPr>
          <w:p>
            <w:pPr>
              <w:spacing w:after="20"/>
            </w:pPr>
            <w:r>
              <w:rPr>
                <w:b/>
                <w:color w:val="1C3A36"/>
                <w:sz w:val="17"/>
              </w:rPr>
              <w:t>Closest peers</w:t>
            </w:r>
          </w:p>
        </w:tc>
        <w:tc>
          <w:tcPr>
            <w:tcW w:type="dxa" w:w="2448"/>
            <w:shd w:val="clear" w:color="auto" w:fill="EAF0EE"/>
          </w:tcPr>
          <w:p>
            <w:pPr>
              <w:spacing w:after="20"/>
            </w:pPr>
            <w:r>
              <w:rPr>
                <w:b/>
                <w:color w:val="1C3A36"/>
                <w:sz w:val="17"/>
              </w:rPr>
              <w:t>How they are typically valued</w:t>
            </w:r>
          </w:p>
        </w:tc>
        <w:tc>
          <w:tcPr>
            <w:tcW w:type="dxa" w:w="2592"/>
            <w:shd w:val="clear" w:color="auto" w:fill="EAF0EE"/>
          </w:tcPr>
          <w:p>
            <w:pPr>
              <w:spacing w:after="20"/>
            </w:pPr>
            <w:r>
              <w:rPr>
                <w:b/>
                <w:color w:val="1C3A36"/>
                <w:sz w:val="17"/>
              </w:rPr>
              <w:t>Caution</w:t>
            </w:r>
          </w:p>
        </w:tc>
      </w:tr>
      <w:tr>
        <w:tc>
          <w:tcPr>
            <w:tcW w:type="dxa" w:w="2160"/>
          </w:tcPr>
          <w:p>
            <w:pPr>
              <w:spacing w:after="20"/>
            </w:pPr>
            <w:r>
              <w:rPr>
                <w:b/>
                <w:color w:val="1C3A36"/>
                <w:sz w:val="17"/>
              </w:rPr>
              <w:t>Auto assembly and distribution</w:t>
            </w:r>
          </w:p>
        </w:tc>
        <w:tc>
          <w:tcPr>
            <w:tcW w:type="dxa" w:w="3024"/>
          </w:tcPr>
          <w:p>
            <w:pPr>
              <w:spacing w:after="20"/>
              <w:jc w:val="right"/>
            </w:pPr>
            <w:r>
              <w:rPr>
                <w:color w:val="1C3A36"/>
                <w:sz w:val="17"/>
              </w:rPr>
              <w:t>Gulf and regional auto distributors; listed consumer-durables names on this exchange</w:t>
            </w:r>
          </w:p>
        </w:tc>
        <w:tc>
          <w:tcPr>
            <w:tcW w:type="dxa" w:w="2448"/>
          </w:tcPr>
          <w:p>
            <w:pPr>
              <w:spacing w:after="20"/>
              <w:jc w:val="right"/>
            </w:pPr>
            <w:r>
              <w:rPr>
                <w:color w:val="1C3A36"/>
                <w:sz w:val="17"/>
              </w:rPr>
              <w:t>Enterprise value against operating profit; earnings multiples</w:t>
            </w:r>
          </w:p>
        </w:tc>
        <w:tc>
          <w:tcPr>
            <w:tcW w:type="dxa" w:w="2592"/>
          </w:tcPr>
          <w:p>
            <w:pPr>
              <w:spacing w:after="20"/>
              <w:jc w:val="right"/>
            </w:pPr>
            <w:r>
              <w:rPr>
                <w:color w:val="1C3A36"/>
                <w:sz w:val="17"/>
              </w:rPr>
              <w:t>None of them assembles under the same localisation regime or carries a captive lender</w:t>
            </w:r>
          </w:p>
        </w:tc>
      </w:tr>
      <w:tr>
        <w:tc>
          <w:tcPr>
            <w:tcW w:type="dxa" w:w="2160"/>
          </w:tcPr>
          <w:p>
            <w:pPr>
              <w:spacing w:after="20"/>
            </w:pPr>
            <w:r>
              <w:rPr>
                <w:b/>
                <w:color w:val="1C3A36"/>
                <w:sz w:val="17"/>
              </w:rPr>
              <w:t>Non-bank consumer and corporate finance</w:t>
            </w:r>
          </w:p>
        </w:tc>
        <w:tc>
          <w:tcPr>
            <w:tcW w:type="dxa" w:w="3024"/>
          </w:tcPr>
          <w:p>
            <w:pPr>
              <w:spacing w:after="20"/>
              <w:jc w:val="right"/>
            </w:pPr>
            <w:r>
              <w:rPr>
                <w:color w:val="1C3A36"/>
                <w:sz w:val="17"/>
              </w:rPr>
              <w:t>Listed Egyptian finance companies with a comparable book</w:t>
            </w:r>
          </w:p>
        </w:tc>
        <w:tc>
          <w:tcPr>
            <w:tcW w:type="dxa" w:w="2448"/>
          </w:tcPr>
          <w:p>
            <w:pPr>
              <w:spacing w:after="20"/>
              <w:jc w:val="right"/>
            </w:pPr>
            <w:r>
              <w:rPr>
                <w:color w:val="1C3A36"/>
                <w:sz w:val="17"/>
              </w:rPr>
              <w:t>Price to book against the return on that book</w:t>
            </w:r>
          </w:p>
        </w:tc>
        <w:tc>
          <w:tcPr>
            <w:tcW w:type="dxa" w:w="2592"/>
          </w:tcPr>
          <w:p>
            <w:pPr>
              <w:spacing w:after="20"/>
              <w:jc w:val="right"/>
            </w:pPr>
            <w:r>
              <w:rPr>
                <w:color w:val="1C3A36"/>
                <w:sz w:val="17"/>
              </w:rPr>
              <w:t>Funding mix and provisioning policy differ enough that the multiple travels badly</w:t>
            </w:r>
          </w:p>
        </w:tc>
      </w:tr>
      <w:tr>
        <w:tc>
          <w:tcPr>
            <w:tcW w:type="dxa" w:w="2160"/>
          </w:tcPr>
          <w:p>
            <w:pPr>
              <w:spacing w:after="20"/>
            </w:pPr>
            <w:r>
              <w:rPr>
                <w:b/>
                <w:color w:val="1C3A36"/>
                <w:sz w:val="17"/>
              </w:rPr>
              <w:t>Fintech associate</w:t>
            </w:r>
          </w:p>
        </w:tc>
        <w:tc>
          <w:tcPr>
            <w:tcW w:type="dxa" w:w="3024"/>
          </w:tcPr>
          <w:p>
            <w:pPr>
              <w:spacing w:after="20"/>
              <w:jc w:val="right"/>
            </w:pPr>
            <w:r>
              <w:rPr>
                <w:color w:val="1C3A36"/>
                <w:sz w:val="17"/>
              </w:rPr>
              <w:t>Listed payments and financial-technology names on this exchange</w:t>
            </w:r>
          </w:p>
        </w:tc>
        <w:tc>
          <w:tcPr>
            <w:tcW w:type="dxa" w:w="2448"/>
          </w:tcPr>
          <w:p>
            <w:pPr>
              <w:spacing w:after="20"/>
              <w:jc w:val="right"/>
            </w:pPr>
            <w:r>
              <w:rPr>
                <w:color w:val="1C3A36"/>
                <w:sz w:val="17"/>
              </w:rPr>
              <w:t>Private marks; the last round is the only observable price</w:t>
            </w:r>
          </w:p>
        </w:tc>
        <w:tc>
          <w:tcPr>
            <w:tcW w:type="dxa" w:w="2592"/>
          </w:tcPr>
          <w:p>
            <w:pPr>
              <w:spacing w:after="20"/>
              <w:jc w:val="right"/>
            </w:pPr>
            <w:r>
              <w:rPr>
                <w:color w:val="1C3A36"/>
                <w:sz w:val="17"/>
              </w:rPr>
              <w:t>A listed comparator has a price and this holding has none — which is the whole subject of this study</w:t>
            </w:r>
          </w:p>
        </w:tc>
      </w:tr>
    </w:tbl>
    <w:p>
      <w:pPr>
        <w:spacing w:after="40"/>
      </w:pPr>
    </w:p>
    <w:p>
      <w:pPr>
        <w:spacing w:after="120" w:before="0"/>
      </w:pPr>
      <w:r>
        <w:rPr>
          <w:b w:val="0"/>
          <w:i w:val="0"/>
          <w:color w:val="1C3A36"/>
          <w:sz w:val="19"/>
        </w:rPr>
        <w:t>The absence of a single clean comparable is itself a finding rather than a gap in the research, and it is why the relative multiple in §1.3 is taken from GB CORP’S OWN trailing rating at its own three year-end closes rather than from a peer set at all. Sector structure: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w:t>
      </w:r>
    </w:p>
    <w:p>
      <w:pPr>
        <w:spacing w:after="80" w:before="200"/>
      </w:pPr>
      <w:r>
        <w:rPr>
          <w:b/>
          <w:i w:val="0"/>
          <w:color w:val="1C3A36"/>
          <w:sz w:val="24"/>
        </w:rPr>
        <w:t>B.2  Risk register</w:t>
      </w:r>
    </w:p>
    <w:p>
      <w:pPr>
        <w:spacing w:after="120" w:before="0"/>
      </w:pPr>
      <w:r>
        <w:rPr>
          <w:b w:val="0"/>
          <w:i w:val="0"/>
          <w:color w:val="1C3A36"/>
          <w:sz w:val="19"/>
        </w:rPr>
        <w:t>Every risk below is either PRICED — the study can put a number on what it is worth and does — or NAMED AND NOT PRICED, because the disclosure to price it does not exist. Nothing is left as an adjective. Where a risk is one of the study’s own contested judgements, the figure is what moving that judgement to its other framing does to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744"/>
            <w:shd w:val="clear" w:color="auto" w:fill="EAF0EE"/>
          </w:tcPr>
          <w:p>
            <w:pPr>
              <w:spacing w:after="20"/>
            </w:pPr>
            <w:r>
              <w:rPr>
                <w:b/>
                <w:color w:val="1C3A36"/>
                <w:sz w:val="16"/>
              </w:rPr>
              <w:t>What it is worth</w:t>
            </w:r>
          </w:p>
        </w:tc>
      </w:tr>
      <w:tr>
        <w:tc>
          <w:tcPr>
            <w:tcW w:type="dxa" w:w="2520"/>
          </w:tcPr>
          <w:p>
            <w:pPr>
              <w:spacing w:after="20"/>
            </w:pPr>
            <w:r>
              <w:rPr>
                <w:b/>
                <w:color w:val="1C3A36"/>
                <w:sz w:val="16"/>
              </w:rPr>
              <w:t>The basis on which the associate is marked</w:t>
            </w:r>
          </w:p>
        </w:tc>
        <w:tc>
          <w:tcPr>
            <w:tcW w:type="dxa" w:w="3960"/>
          </w:tcPr>
          <w:p>
            <w:pPr>
              <w:spacing w:after="20"/>
              <w:jc w:val="right"/>
            </w:pPr>
            <w:r>
              <w:rPr>
                <w:color w:val="1C3A36"/>
                <w:sz w:val="16"/>
              </w:rPr>
              <w:t>GB Corp carries its MNT-Halan interest one way in its own reviewed balance sheet and announced a funding round that marks it another. Both are its own disclosures; the filings do not choose</w:t>
            </w:r>
          </w:p>
        </w:tc>
        <w:tc>
          <w:tcPr>
            <w:tcW w:type="dxa" w:w="3744"/>
          </w:tcPr>
          <w:p>
            <w:pPr>
              <w:spacing w:after="20"/>
              <w:jc w:val="right"/>
            </w:pPr>
            <w:r>
              <w:rPr>
                <w:color w:val="1C3A36"/>
                <w:sz w:val="16"/>
              </w:rPr>
              <w:t>THE ANSWER ITSELF: EGP 11.00 a share between the two published branches, 19.4% of the higher one</w:t>
            </w:r>
          </w:p>
        </w:tc>
      </w:tr>
      <w:tr>
        <w:tc>
          <w:tcPr>
            <w:tcW w:type="dxa" w:w="2520"/>
          </w:tcPr>
          <w:p>
            <w:pPr>
              <w:spacing w:after="20"/>
            </w:pPr>
            <w:r>
              <w:rPr>
                <w:b/>
                <w:color w:val="1C3A36"/>
                <w:sz w:val="16"/>
              </w:rPr>
              <w:t>The associate’s own accounts cannot be verified</w:t>
            </w:r>
          </w:p>
        </w:tc>
        <w:tc>
          <w:tcPr>
            <w:tcW w:type="dxa" w:w="3960"/>
          </w:tcPr>
          <w:p>
            <w:pPr>
              <w:spacing w:after="20"/>
              <w:jc w:val="right"/>
            </w:pPr>
            <w:r>
              <w:rPr>
                <w:color w:val="1C3A36"/>
                <w:sz w:val="16"/>
              </w:rPr>
              <w:t>The reviewers of the 30 June 2026 statements were not provided with that company’s financial statements and could not verify the group’s share of its profits; the same qualification stood on the prior audited year</w:t>
            </w:r>
          </w:p>
        </w:tc>
        <w:tc>
          <w:tcPr>
            <w:tcW w:type="dxa" w:w="3744"/>
          </w:tcPr>
          <w:p>
            <w:pPr>
              <w:spacing w:after="20"/>
              <w:jc w:val="right"/>
            </w:pPr>
            <w:r>
              <w:rPr>
                <w:color w:val="1C3A36"/>
                <w:sz w:val="16"/>
              </w:rPr>
              <w:t>NAMED AND NOT PRICED. A qualification says a figure could not be verified, not what it should have been — but it is why the lower branch is not a safe harbour</w:t>
            </w:r>
          </w:p>
        </w:tc>
      </w:tr>
      <w:tr>
        <w:tc>
          <w:tcPr>
            <w:tcW w:type="dxa" w:w="2520"/>
          </w:tcPr>
          <w:p>
            <w:pPr>
              <w:spacing w:after="20"/>
            </w:pPr>
            <w:r>
              <w:rPr>
                <w:b/>
                <w:color w:val="1C3A36"/>
                <w:sz w:val="16"/>
              </w:rPr>
              <w:t>Working-capital intensity does not release</w:t>
            </w:r>
          </w:p>
        </w:tc>
        <w:tc>
          <w:tcPr>
            <w:tcW w:type="dxa" w:w="3960"/>
          </w:tcPr>
          <w:p>
            <w:pPr>
              <w:spacing w:after="20"/>
              <w:jc w:val="right"/>
            </w:pPr>
            <w:r>
              <w:rPr>
                <w:color w:val="1C3A36"/>
                <w:sz w:val="16"/>
              </w:rPr>
              <w:t>The auto leg’s free cash flow is a thin residual, so the glide in receivables, inventory and payables moves it directly</w:t>
            </w:r>
          </w:p>
        </w:tc>
        <w:tc>
          <w:tcPr>
            <w:tcW w:type="dxa" w:w="3744"/>
          </w:tcPr>
          <w:p>
            <w:pPr>
              <w:spacing w:after="20"/>
              <w:jc w:val="right"/>
            </w:pPr>
            <w:r>
              <w:rPr>
                <w:color w:val="1C3A36"/>
                <w:sz w:val="16"/>
              </w:rPr>
              <w:t>PRICED: 63.8% of the lower branch. Holding the first forecast year flat across the window gives EGP 27.94 against EGP 45.78</w:t>
            </w:r>
          </w:p>
        </w:tc>
      </w:tr>
      <w:tr>
        <w:tc>
          <w:tcPr>
            <w:tcW w:type="dxa" w:w="2520"/>
          </w:tcPr>
          <w:p>
            <w:pPr>
              <w:spacing w:after="20"/>
            </w:pPr>
            <w:r>
              <w:rPr>
                <w:b/>
                <w:color w:val="1C3A36"/>
                <w:sz w:val="16"/>
              </w:rPr>
              <w:t>Capital expenditure stays where the company has been spending it</w:t>
            </w:r>
          </w:p>
        </w:tc>
        <w:tc>
          <w:tcPr>
            <w:tcW w:type="dxa" w:w="3960"/>
          </w:tcPr>
          <w:p>
            <w:pPr>
              <w:spacing w:after="20"/>
              <w:jc w:val="right"/>
            </w:pPr>
            <w:r>
              <w:rPr>
                <w:color w:val="1C3A36"/>
                <w:sz w:val="16"/>
              </w:rPr>
              <w:t>The forward ladder falls to a third of the intensity GB Corp filed for FY2025, and its first year is the figure management guided rather than one this study built</w:t>
            </w:r>
          </w:p>
        </w:tc>
        <w:tc>
          <w:tcPr>
            <w:tcW w:type="dxa" w:w="3744"/>
          </w:tcPr>
          <w:p>
            <w:pPr>
              <w:spacing w:after="20"/>
              <w:jc w:val="right"/>
            </w:pPr>
            <w:r>
              <w:rPr>
                <w:color w:val="1C3A36"/>
                <w:sz w:val="16"/>
              </w:rPr>
              <w:t>PRICED: 23.3% of the lower branch. Spending on at the FY2025 filed amount, flat and therefore falling in real terms, gives EGP 37.14 against EGP 45.78</w:t>
            </w:r>
          </w:p>
        </w:tc>
      </w:tr>
      <w:tr>
        <w:tc>
          <w:tcPr>
            <w:tcW w:type="dxa" w:w="2520"/>
          </w:tcPr>
          <w:p>
            <w:pPr>
              <w:spacing w:after="20"/>
            </w:pPr>
            <w:r>
              <w:rPr>
                <w:b/>
                <w:color w:val="1C3A36"/>
                <w:sz w:val="16"/>
              </w:rPr>
              <w:t>The cost of capital is higher than this study builds</w:t>
            </w:r>
          </w:p>
        </w:tc>
        <w:tc>
          <w:tcPr>
            <w:tcW w:type="dxa" w:w="3960"/>
          </w:tcPr>
          <w:p>
            <w:pPr>
              <w:spacing w:after="20"/>
              <w:jc w:val="right"/>
            </w:pPr>
            <w:r>
              <w:rPr>
                <w:color w:val="1C3A36"/>
                <w:sz w:val="16"/>
              </w:rPr>
              <w:t>The premium basis and the beta are both estimates, and the whole ladder moves with either</w:t>
            </w:r>
          </w:p>
        </w:tc>
        <w:tc>
          <w:tcPr>
            <w:tcW w:type="dxa" w:w="3744"/>
          </w:tcPr>
          <w:p>
            <w:pPr>
              <w:spacing w:after="20"/>
              <w:jc w:val="right"/>
            </w:pPr>
            <w:r>
              <w:rPr>
                <w:color w:val="1C3A36"/>
                <w:sz w:val="16"/>
              </w:rPr>
              <w:t>PRICED: 10.9% on the premium basis and 3.2% on the beta, each measured on the lower branch. §1.9 prices the whole grid</w:t>
            </w:r>
          </w:p>
        </w:tc>
      </w:tr>
      <w:tr>
        <w:tc>
          <w:tcPr>
            <w:tcW w:type="dxa" w:w="2520"/>
          </w:tcPr>
          <w:p>
            <w:pPr>
              <w:spacing w:after="20"/>
            </w:pPr>
            <w:r>
              <w:rPr>
                <w:b/>
                <w:color w:val="1C3A36"/>
                <w:sz w:val="16"/>
              </w:rPr>
              <w:t>The lender’s return is a credit cycle</w:t>
            </w:r>
          </w:p>
        </w:tc>
        <w:tc>
          <w:tcPr>
            <w:tcW w:type="dxa" w:w="3960"/>
          </w:tcPr>
          <w:p>
            <w:pPr>
              <w:spacing w:after="20"/>
              <w:jc w:val="right"/>
            </w:pPr>
            <w:r>
              <w:rPr>
                <w:color w:val="1C3A36"/>
                <w:sz w:val="16"/>
              </w:rPr>
              <w:t>GB Capital is marked by the return it earns above the cost of that equity, and both move with the cycle</w:t>
            </w:r>
          </w:p>
        </w:tc>
        <w:tc>
          <w:tcPr>
            <w:tcW w:type="dxa" w:w="3744"/>
          </w:tcPr>
          <w:p>
            <w:pPr>
              <w:spacing w:after="20"/>
              <w:jc w:val="right"/>
            </w:pPr>
            <w:r>
              <w:rPr>
                <w:color w:val="1C3A36"/>
                <w:sz w:val="16"/>
              </w:rPr>
              <w:t>PRICED: 5.5% between the reviewed half and the full prior year — EGP 4,813 mn against EGP 1,936 mn on that leg</w:t>
            </w:r>
          </w:p>
        </w:tc>
      </w:tr>
      <w:tr>
        <w:tc>
          <w:tcPr>
            <w:tcW w:type="dxa" w:w="2520"/>
          </w:tcPr>
          <w:p>
            <w:pPr>
              <w:spacing w:after="20"/>
            </w:pPr>
            <w:r>
              <w:rPr>
                <w:b/>
                <w:color w:val="1C3A36"/>
                <w:sz w:val="16"/>
              </w:rPr>
              <w:t>The Auto margin does not hold where the reviewed half left it</w:t>
            </w:r>
          </w:p>
        </w:tc>
        <w:tc>
          <w:tcPr>
            <w:tcW w:type="dxa" w:w="3960"/>
          </w:tcPr>
          <w:p>
            <w:pPr>
              <w:spacing w:after="20"/>
              <w:jc w:val="right"/>
            </w:pPr>
            <w:r>
              <w:rPr>
                <w:color w:val="1C3A36"/>
                <w:sz w:val="16"/>
              </w:rPr>
              <w:t>New entrants resetting price points, or the currency moving through imported assembly content</w:t>
            </w:r>
          </w:p>
        </w:tc>
        <w:tc>
          <w:tcPr>
            <w:tcW w:type="dxa" w:w="3744"/>
          </w:tcPr>
          <w:p>
            <w:pPr>
              <w:spacing w:after="20"/>
              <w:jc w:val="right"/>
            </w:pPr>
            <w:r>
              <w:rPr>
                <w:color w:val="1C3A36"/>
                <w:sz w:val="16"/>
              </w:rPr>
              <w:t>PRICED: 3.3% between the forecast path and the latest reviewed half held flat across the window</w:t>
            </w:r>
          </w:p>
        </w:tc>
      </w:tr>
      <w:tr>
        <w:tc>
          <w:tcPr>
            <w:tcW w:type="dxa" w:w="2520"/>
          </w:tcPr>
          <w:p>
            <w:pPr>
              <w:spacing w:after="20"/>
            </w:pPr>
            <w:r>
              <w:rPr>
                <w:b/>
                <w:color w:val="1C3A36"/>
                <w:sz w:val="16"/>
              </w:rPr>
              <w:t>Terminal-value dependency, on an asset life that could not be sourced</w:t>
            </w:r>
          </w:p>
        </w:tc>
        <w:tc>
          <w:tcPr>
            <w:tcW w:type="dxa" w:w="3960"/>
          </w:tcPr>
          <w:p>
            <w:pPr>
              <w:spacing w:after="20"/>
              <w:jc w:val="right"/>
            </w:pPr>
            <w:r>
              <w:rPr>
                <w:color w:val="1C3A36"/>
                <w:sz w:val="16"/>
              </w:rPr>
              <w:t>85% of the auto leg’s enterprise value is terminal value, and the accounting-policy note discloses depreciation rate RANGES per class rather than a life</w:t>
            </w:r>
          </w:p>
        </w:tc>
        <w:tc>
          <w:tcPr>
            <w:tcW w:type="dxa" w:w="3744"/>
          </w:tcPr>
          <w:p>
            <w:pPr>
              <w:spacing w:after="20"/>
              <w:jc w:val="right"/>
            </w:pPr>
            <w:r>
              <w:rPr>
                <w:color w:val="1C3A36"/>
                <w:sz w:val="16"/>
              </w:rPr>
              <w:t>NAMED AND NOT PRICED. A life this desk chose would not be a disclosed life, so none was chosen; B.3 records the search</w:t>
            </w:r>
          </w:p>
        </w:tc>
      </w:tr>
      <w:tr>
        <w:tc>
          <w:tcPr>
            <w:tcW w:type="dxa" w:w="2520"/>
          </w:tcPr>
          <w:p>
            <w:pPr>
              <w:spacing w:after="20"/>
            </w:pPr>
            <w:r>
              <w:rPr>
                <w:b/>
                <w:color w:val="1C3A36"/>
                <w:sz w:val="16"/>
              </w:rPr>
              <w:t>Regional exposure to Iraq and Jordan</w:t>
            </w:r>
          </w:p>
        </w:tc>
        <w:tc>
          <w:tcPr>
            <w:tcW w:type="dxa" w:w="3960"/>
          </w:tcPr>
          <w:p>
            <w:pPr>
              <w:spacing w:after="20"/>
              <w:jc w:val="right"/>
            </w:pPr>
            <w:r>
              <w:rPr>
                <w:color w:val="1C3A36"/>
                <w:sz w:val="16"/>
              </w:rPr>
              <w:t>Conflict has already cut volumes in markets that are part of passenger-car revenue</w:t>
            </w:r>
          </w:p>
        </w:tc>
        <w:tc>
          <w:tcPr>
            <w:tcW w:type="dxa" w:w="3744"/>
          </w:tcPr>
          <w:p>
            <w:pPr>
              <w:spacing w:after="20"/>
              <w:jc w:val="right"/>
            </w:pPr>
            <w:r>
              <w:rPr>
                <w:color w:val="1C3A36"/>
                <w:sz w:val="16"/>
              </w:rPr>
              <w:t>NAMED AND NOT PRICED. No sourced split of that revenue for the reviewed half exists in the documents this study holds</w:t>
            </w:r>
          </w:p>
        </w:tc>
      </w:tr>
      <w:tr>
        <w:tc>
          <w:tcPr>
            <w:tcW w:type="dxa" w:w="2520"/>
          </w:tcPr>
          <w:p>
            <w:pPr>
              <w:spacing w:after="20"/>
            </w:pPr>
            <w:r>
              <w:rPr>
                <w:b/>
                <w:color w:val="1C3A36"/>
                <w:sz w:val="16"/>
              </w:rPr>
              <w:t>The pound, on the round-price branch only</w:t>
            </w:r>
          </w:p>
        </w:tc>
        <w:tc>
          <w:tcPr>
            <w:tcW w:type="dxa" w:w="3960"/>
          </w:tcPr>
          <w:p>
            <w:pPr>
              <w:spacing w:after="20"/>
              <w:jc w:val="right"/>
            </w:pPr>
            <w:r>
              <w:rPr>
                <w:color w:val="1C3A36"/>
                <w:sz w:val="16"/>
              </w:rPr>
              <w:t>The round is struck in dollars and translated; a step devaluation moves assembly costs, rates and the pound value of that mark at once</w:t>
            </w:r>
          </w:p>
        </w:tc>
        <w:tc>
          <w:tcPr>
            <w:tcW w:type="dxa" w:w="3744"/>
          </w:tcPr>
          <w:p>
            <w:pPr>
              <w:spacing w:after="20"/>
              <w:jc w:val="right"/>
            </w:pPr>
            <w:r>
              <w:rPr>
                <w:color w:val="1C3A36"/>
                <w:sz w:val="16"/>
              </w:rPr>
              <w:t>NAMED AND NOT PRICED as a separate line. It moves the ROUND branch only — the carrying branch is a pound figure off a pound balance sheet and does not move with it at all</w:t>
            </w:r>
          </w:p>
        </w:tc>
      </w:tr>
    </w:tbl>
    <w:p>
      <w:pPr>
        <w:spacing w:after="40"/>
      </w:pPr>
    </w:p>
    <w:p>
      <w:pPr>
        <w:spacing w:after="200" w:before="0"/>
      </w:pPr>
      <w:r>
        <w:rPr>
          <w:b w:val="0"/>
          <w:i/>
          <w:color w:val="6E7B77"/>
          <w:sz w:val="17"/>
        </w:rPr>
        <w:t>Table B1 — the risk register. Every priced figure is the study’s own contested-judgement record read straight, measured on the branch that gives the larger relative number so the register errs strict.</w:t>
      </w: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GB CORP REPORTS ABOUT ITSELF come only from documents GB Corp published — its own audited and reviewed statements, its own earnings releases and its own investor material — and never from a data vendor, a broker or a press report. Where the company’s own document could not be obtained, the study says so below rather than substituting a weaker source. The standalone source register that accompanies this study carries every input with its value, its source, that source’s own date and the layer it belongs to.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6"/>
              </w:rPr>
              <w:t>Source</w:t>
            </w:r>
          </w:p>
        </w:tc>
        <w:tc>
          <w:tcPr>
            <w:tcW w:type="dxa" w:w="1656"/>
            <w:shd w:val="clear" w:color="auto" w:fill="EAF0EE"/>
          </w:tcPr>
          <w:p>
            <w:pPr>
              <w:spacing w:after="20"/>
            </w:pPr>
            <w:r>
              <w:rPr>
                <w:b/>
                <w:color w:val="1C3A36"/>
                <w:sz w:val="16"/>
              </w:rPr>
              <w:t>Layer</w:t>
            </w:r>
          </w:p>
        </w:tc>
        <w:tc>
          <w:tcPr>
            <w:tcW w:type="dxa" w:w="1944"/>
            <w:shd w:val="clear" w:color="auto" w:fill="EAF0EE"/>
          </w:tcPr>
          <w:p>
            <w:pPr>
              <w:spacing w:after="20"/>
            </w:pPr>
            <w:r>
              <w:rPr>
                <w:b/>
                <w:color w:val="1C3A36"/>
                <w:sz w:val="16"/>
              </w:rPr>
              <w:t>Date the source carries</w:t>
            </w:r>
          </w:p>
        </w:tc>
        <w:tc>
          <w:tcPr>
            <w:tcW w:type="dxa" w:w="2880"/>
            <w:shd w:val="clear" w:color="auto" w:fill="EAF0EE"/>
          </w:tcPr>
          <w:p>
            <w:pPr>
              <w:spacing w:after="20"/>
            </w:pPr>
            <w:r>
              <w:rPr>
                <w:b/>
                <w:color w:val="1C3A36"/>
                <w:sz w:val="16"/>
              </w:rPr>
              <w:t>What it provided</w:t>
            </w:r>
          </w:p>
        </w:tc>
      </w:tr>
      <w:tr>
        <w:tc>
          <w:tcPr>
            <w:tcW w:type="dxa" w:w="3744"/>
          </w:tcPr>
          <w:p>
            <w:pPr>
              <w:spacing w:after="20"/>
            </w:pPr>
            <w:r>
              <w:rPr>
                <w:color w:val="1C3A36"/>
                <w:sz w:val="16"/>
              </w:rPr>
              <w:t>GB_Corp_ER_4Q23_-_ER_-_FINAL.pdf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March 2024</w:t>
            </w:r>
          </w:p>
        </w:tc>
        <w:tc>
          <w:tcPr>
            <w:tcW w:type="dxa" w:w="2880"/>
          </w:tcPr>
          <w:p>
            <w:pPr>
              <w:spacing w:after="20"/>
              <w:jc w:val="right"/>
            </w:pPr>
            <w:r>
              <w:rPr>
                <w:color w:val="1C3A36"/>
                <w:sz w:val="16"/>
              </w:rPr>
              <w:t>the consolidated income statement as originally reported for FY2023</w:t>
            </w:r>
          </w:p>
        </w:tc>
      </w:tr>
      <w:tr>
        <w:tc>
          <w:tcPr>
            <w:tcW w:type="dxa" w:w="3744"/>
          </w:tcPr>
          <w:p>
            <w:pPr>
              <w:spacing w:after="20"/>
            </w:pPr>
            <w:r>
              <w:rPr>
                <w:color w:val="1C3A36"/>
                <w:sz w:val="16"/>
              </w:rPr>
              <w:t>GB_Corp_ER_4Q24-_E_-_Final.pdf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w:t>
            </w:r>
          </w:p>
        </w:tc>
        <w:tc>
          <w:tcPr>
            <w:tcW w:type="dxa" w:w="2880"/>
          </w:tcPr>
          <w:p>
            <w:pPr>
              <w:spacing w:after="20"/>
              <w:jc w:val="right"/>
            </w:pPr>
            <w:r>
              <w:rPr>
                <w:color w:val="1C3A36"/>
                <w:sz w:val="16"/>
              </w:rPr>
              <w:t>the consolidated income statement as originally reported for FY2024</w:t>
            </w:r>
          </w:p>
        </w:tc>
      </w:tr>
      <w:tr>
        <w:tc>
          <w:tcPr>
            <w:tcW w:type="dxa" w:w="3744"/>
          </w:tcPr>
          <w:p>
            <w:pPr>
              <w:spacing w:after="20"/>
            </w:pPr>
            <w:r>
              <w:rPr>
                <w:color w:val="1C3A36"/>
                <w:sz w:val="16"/>
              </w:rPr>
              <w:t>GB_Corp_ER_4Q25-_E_-_Final.pdf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26 February 2026</w:t>
            </w:r>
          </w:p>
        </w:tc>
        <w:tc>
          <w:tcPr>
            <w:tcW w:type="dxa" w:w="2880"/>
          </w:tcPr>
          <w:p>
            <w:pPr>
              <w:spacing w:after="20"/>
              <w:jc w:val="right"/>
            </w:pPr>
            <w:r>
              <w:rPr>
                <w:color w:val="1C3A36"/>
                <w:sz w:val="16"/>
              </w:rPr>
              <w:t>the consolidated income statement as originally reported for FY2025</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 to 26 February 2026</w:t>
            </w:r>
          </w:p>
        </w:tc>
        <w:tc>
          <w:tcPr>
            <w:tcW w:type="dxa" w:w="2880"/>
          </w:tcPr>
          <w:p>
            <w:pPr>
              <w:spacing w:after="20"/>
              <w:jc w:val="right"/>
            </w:pPr>
            <w:r>
              <w:rPr>
                <w:color w:val="1C3A36"/>
                <w:sz w:val="16"/>
              </w:rPr>
              <w:t>the 8 dated inputs the model consumes, each carried in the source register with its own four fields</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 (investor relations)</w:t>
            </w:r>
          </w:p>
        </w:tc>
        <w:tc>
          <w:tcPr>
            <w:tcW w:type="dxa" w:w="1944"/>
          </w:tcPr>
          <w:p>
            <w:pPr>
              <w:spacing w:after="20"/>
              <w:jc w:val="right"/>
            </w:pPr>
            <w:r>
              <w:rPr>
                <w:color w:val="1C3A36"/>
                <w:sz w:val="16"/>
              </w:rPr>
              <w:t>1 March 2024 to 13 August 2026</w:t>
            </w:r>
          </w:p>
        </w:tc>
        <w:tc>
          <w:tcPr>
            <w:tcW w:type="dxa" w:w="2880"/>
          </w:tcPr>
          <w:p>
            <w:pPr>
              <w:spacing w:after="20"/>
              <w:jc w:val="right"/>
            </w:pPr>
            <w:r>
              <w:rPr>
                <w:color w:val="1C3A36"/>
                <w:sz w:val="16"/>
              </w:rPr>
              <w:t>the 11 dated inputs the model consumes, each carried in the source register with its own four fields</w:t>
            </w:r>
          </w:p>
        </w:tc>
      </w:tr>
    </w:tbl>
    <w:p>
      <w:pPr>
        <w:spacing w:after="40"/>
      </w:pPr>
    </w:p>
    <w:p>
      <w:pPr>
        <w:spacing w:after="120" w:before="120"/>
      </w:pPr>
      <w:r>
        <w:rPr>
          <w:b w:val="0"/>
          <w:i w:val="0"/>
          <w:color w:val="1C3A36"/>
          <w:sz w:val="19"/>
        </w:rPr>
        <w:t>Negative results. Each of these is a search that was actually run and did not find what it was looking for; each shaped the model as much as the evidence did.</w:t>
      </w:r>
    </w:p>
    <w:p>
      <w:pPr>
        <w:pStyle w:val="ListBullet"/>
        <w:spacing w:after="60"/>
      </w:pPr>
      <w:r>
        <w:rPr>
          <w:b/>
          <w:color w:val="1C3A36"/>
          <w:sz w:val="21"/>
        </w:rPr>
        <w:t xml:space="preserve">No disclosed useful life for the operating asset base. </w:t>
      </w:r>
      <w:r>
        <w:rPr>
          <w:color w:val="1C3A36"/>
          <w:sz w:val="21"/>
        </w:rPr>
        <w:t>A terminal is meant to rest on a life the company discloses. GB Corp’s accounting-policy note gives depreciation rate RANGES by asset class and no single figure; recovering an implied life from the property, plant and equipment note returns a span that depends on an undisclosed land split and produces per-class rates that contradict the disclosed bands. Finding a range is not finding a life, and a derived life that contradicts the policy it implements is not one either. No life was chosen and the refusal is printed in §1.2.</w:t>
      </w:r>
    </w:p>
    <w:p>
      <w:pPr>
        <w:pStyle w:val="ListBullet"/>
        <w:spacing w:after="60"/>
      </w:pPr>
      <w:r>
        <w:rPr>
          <w:b/>
          <w:color w:val="1C3A36"/>
          <w:sz w:val="21"/>
        </w:rPr>
        <w:t xml:space="preserve">No audited financial statements for the associate that dominates this valuation. </w:t>
      </w:r>
      <w:r>
        <w:rPr>
          <w:color w:val="1C3A36"/>
          <w:sz w:val="21"/>
        </w:rPr>
        <w:t>They were not available to this study and they were not available to GB Corp’s own reviewers either, who say so in a qualified conclusion. That absence is the reason this study publishes two answers rather than one.</w:t>
      </w:r>
    </w:p>
    <w:p>
      <w:pPr>
        <w:pStyle w:val="ListBullet"/>
        <w:spacing w:after="60"/>
      </w:pPr>
      <w:r>
        <w:rPr>
          <w:b/>
          <w:color w:val="1C3A36"/>
          <w:sz w:val="21"/>
        </w:rPr>
        <w:t xml:space="preserve">No sourced split of passenger-car revenue between the domestic and regional markets for the reviewed half. </w:t>
      </w:r>
      <w:r>
        <w:rPr>
          <w:color w:val="1C3A36"/>
          <w:sz w:val="21"/>
        </w:rPr>
        <w:t>The regional exposure is named as a risk and a reader is entitled to its size. It is not disclosed in the documents this study holds for that period, so the exposure is NAMED and NOT PRICED and no split was estimated.</w:t>
      </w:r>
    </w:p>
    <w:p>
      <w:pPr>
        <w:pStyle w:val="ListBullet"/>
        <w:spacing w:after="60"/>
      </w:pPr>
      <w:r>
        <w:rPr>
          <w:b/>
          <w:color w:val="1C3A36"/>
          <w:sz w:val="21"/>
        </w:rPr>
        <w:t xml:space="preserve">No usable beta from the first regression attempted on this name. </w:t>
      </w:r>
      <w:r>
        <w:rPr>
          <w:color w:val="1C3A36"/>
          <w:sz w:val="21"/>
        </w:rPr>
        <w:t>The first attempt used five annual observations and returned a negative slope with essentially no explanatory power. It was refused rather than used. A conforming weekly regression against the exchange’s published index has since been produced and is what this edition adopts; the superseded figure is recorded beside it in the source register rather than deleted.</w:t>
      </w:r>
    </w:p>
    <w:p>
      <w:pPr>
        <w:pStyle w:val="ListBullet"/>
        <w:spacing w:after="60"/>
      </w:pPr>
      <w:r>
        <w:rPr>
          <w:b/>
          <w:color w:val="1C3A36"/>
          <w:sz w:val="21"/>
        </w:rPr>
        <w:t xml:space="preserve">No terms for the second closing of the June-2026 round. </w:t>
      </w:r>
      <w:r>
        <w:rPr>
          <w:color w:val="1C3A36"/>
          <w:sz w:val="21"/>
        </w:rPr>
        <w:t>Public reporting describes that close as an initial tranche of an ongoing round. Size and terms are undisclosed, so neither a higher nor a lower mark has a number behind it and none was invented.</w:t>
      </w:r>
    </w:p>
    <w:p>
      <w:pPr>
        <w:pStyle w:val="ListBullet"/>
        <w:spacing w:after="60"/>
      </w:pPr>
      <w:r>
        <w:rPr>
          <w:b/>
          <w:color w:val="1C3A36"/>
          <w:sz w:val="21"/>
        </w:rPr>
        <w:t xml:space="preserve">No audited statements for the two earliest years of the intended history window. </w:t>
      </w:r>
      <w:r>
        <w:rPr>
          <w:color w:val="1C3A36"/>
          <w:sz w:val="21"/>
        </w:rPr>
        <w:t>The company’s own filings index does not reach those years, and the annual reports for them lay the statements out in a form the text layer cannot attach to labels. The affected balance-sheet items are recorded as MISSING with that reason rather than estimated, and the window was shortened instead.</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C.1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31,531</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28,168</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65,966</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(5,277)</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60,689</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55.91</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50.05 per share; at half, to EGP 44.18.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55.91, on a range of EGP 28.86 to 98.06 — the widest in the room, and driven by the discount debate rather than by an unconfirmed stake. HE IS FALSIFIED BY a real secondary transaction in the associate’s shares at a materially different price, or by a second closing repricing the round. The traded price leaves EGP -2,009 mn for all the associates together, which in his own view is evidence the market does not accept that the round’s marked value transfers cleanly to a minority holder.</w:t>
      </w:r>
    </w:p>
    <w:p>
      <w:pPr>
        <w:spacing w:after="80" w:before="200"/>
      </w:pPr>
      <w:r>
        <w:rPr>
          <w:b/>
          <w:i w:val="0"/>
          <w:color w:val="1C3A36"/>
          <w:sz w:val="24"/>
        </w:rPr>
        <w:t>C.2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17.04%</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0.2993×</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9.22</w:t>
            </w:r>
          </w:p>
        </w:tc>
      </w:tr>
    </w:tbl>
    <w:p>
      <w:pPr>
        <w:spacing w:after="40"/>
      </w:pPr>
    </w:p>
    <w:p>
      <w:pPr>
        <w:spacing w:after="120" w:before="0"/>
      </w:pPr>
      <w:r>
        <w:rPr>
          <w:b w:val="0"/>
          <w:i w:val="0"/>
          <w:color w:val="1C3A36"/>
          <w:sz w:val="19"/>
        </w:rPr>
        <w:t>His arithmetic in one sentence: the group earns 10.00% on its own reported equity against a cost of 17.04%, a shortfall of 7.03 points against its cost of capital, so the accounts on their own justify 0.2993× book and no more — EGP 9.22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6.15; two points higher, to EGP 15.36.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9.22, on a range of EGP 6.15 to 15.36 — far the most conservative in the room and -68%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C.3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23.12%</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(15,214)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10,447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23,942</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40,030</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36.88</w:t>
            </w:r>
          </w:p>
        </w:tc>
      </w:tr>
    </w:tbl>
    <w:p>
      <w:pPr>
        <w:spacing w:after="40"/>
      </w:pPr>
    </w:p>
    <w:p>
      <w:pPr>
        <w:spacing w:after="120" w:before="0"/>
      </w:pPr>
      <w:r>
        <w:rPr>
          <w:b w:val="0"/>
          <w:i w:val="0"/>
          <w:color w:val="1C3A36"/>
          <w:sz w:val="19"/>
        </w:rPr>
        <w:t>Sensitivity — two levers, and he ranks them himself. Moving his haircut on the associate mark from 0.85× to 0.60× costs EGP 6.49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36.88, on a range of EGP 30.39 to 39.50 — even his conservative method lands +27%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3.67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21.1 bn.</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88%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17.04% — it destroys value on the capital it already has, which is why my number is EGP 9.22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55.91</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9.22</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36.88</w:t>
            </w:r>
          </w:p>
        </w:tc>
      </w:tr>
    </w:tbl>
    <w:p>
      <w:pPr>
        <w:spacing w:after="40"/>
      </w:pPr>
    </w:p>
    <w:p>
      <w:pPr>
        <w:spacing w:after="120" w:before="0"/>
      </w:pPr>
      <w:r>
        <w:rPr>
          <w:b w:val="0"/>
          <w:i w:val="0"/>
          <w:color w:val="1C3A36"/>
          <w:sz w:val="21"/>
        </w:rPr>
        <w:t>The spread — EGP 9.22 to 55.91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(10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47.5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10-09-2026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