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An unusual limitation of this edition, stated up front</w:t>
      </w:r>
    </w:p>
    <w:p>
      <w:pPr>
        <w:spacing w:after="100" w:before="0"/>
      </w:pPr>
      <w:r>
        <w:rPr>
          <w:b w:val="0"/>
          <w:i w:val="0"/>
          <w:color w:val="1C3A36"/>
          <w:sz w:val="20"/>
        </w:rPr>
        <w:t>Primary filings were NOT reachable from the environment in which this study was built. The company's investor-relations site, the exchange's disclosure pages and the commercial financial-data terminals all refused connections under the network policy in force. Every company figure in this study therefore comes from published reporting of the company's releases and from financial-data aggregators, not from the audited statements themselves.</w:t>
      </w:r>
    </w:p>
    <w:p>
      <w:pPr>
        <w:spacing w:after="100" w:before="0"/>
      </w:pPr>
      <w:r>
        <w:rPr>
          <w:b w:val="0"/>
          <w:i w:val="0"/>
          <w:color w:val="1C3A36"/>
          <w:sz w:val="20"/>
        </w:rPr>
        <w:t>The response to that constraint was not to proceed quietly. It was to (a) triangulate every material figure across independent sources and show the triangulation on the face of the model, (b) reconstruct the base year from two separately disclosed halves rather than accept any single reported twelve-month figure, and (c) mark every reconstructed line as reconstructed wherever it appears. A reader with access to the audited statements should treat this register as the list of things to check first.</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872"/>
        <w:gridCol w:w="1152"/>
        <w:gridCol w:w="4464"/>
      </w:tblGrid>
      <w:tr>
        <w:tc>
          <w:tcPr>
            <w:tcW w:type="dxa" w:w="2664"/>
            <w:shd w:val="clear" w:color="auto" w:fill="EAF0EE"/>
          </w:tcPr>
          <w:p>
            <w:pPr>
              <w:spacing w:after="20"/>
            </w:pPr>
            <w:r>
              <w:rPr>
                <w:b/>
                <w:color w:val="1C3A36"/>
                <w:sz w:val="15"/>
              </w:rPr>
              <w:t>Source</w:t>
            </w:r>
          </w:p>
        </w:tc>
        <w:tc>
          <w:tcPr>
            <w:tcW w:type="dxa" w:w="1872"/>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4464"/>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1872"/>
          </w:tcPr>
          <w:p>
            <w:pPr>
              <w:spacing w:after="20"/>
            </w:pPr>
            <w:r>
              <w:rPr>
                <w:color w:val="1C3A36"/>
                <w:sz w:val="15"/>
              </w:rPr>
              <w:t>Egypt Oil &amp; Gas</w:t>
            </w:r>
          </w:p>
        </w:tc>
        <w:tc>
          <w:tcPr>
            <w:tcW w:type="dxa" w:w="1152"/>
          </w:tcPr>
          <w:p>
            <w:pPr>
              <w:spacing w:after="20"/>
            </w:pPr>
            <w:r>
              <w:rPr>
                <w:color w:val="1C3A36"/>
                <w:sz w:val="15"/>
              </w:rPr>
              <w:t>Aug 2026</w:t>
            </w:r>
          </w:p>
        </w:tc>
        <w:tc>
          <w:tcPr>
            <w:tcW w:type="dxa" w:w="4464"/>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1872"/>
          </w:tcPr>
          <w:p>
            <w:pPr>
              <w:spacing w:after="20"/>
            </w:pPr>
            <w:r>
              <w:rPr>
                <w:color w:val="1C3A36"/>
                <w:sz w:val="15"/>
              </w:rPr>
              <w:t>Egypt Oil &amp; Gas</w:t>
            </w:r>
          </w:p>
        </w:tc>
        <w:tc>
          <w:tcPr>
            <w:tcW w:type="dxa" w:w="1152"/>
          </w:tcPr>
          <w:p>
            <w:pPr>
              <w:spacing w:after="20"/>
            </w:pPr>
            <w:r>
              <w:rPr>
                <w:color w:val="1C3A36"/>
                <w:sz w:val="15"/>
              </w:rPr>
              <w:t>Apr–May 2026</w:t>
            </w:r>
          </w:p>
        </w:tc>
        <w:tc>
          <w:tcPr>
            <w:tcW w:type="dxa" w:w="4464"/>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1872"/>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4464"/>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1872"/>
          </w:tcPr>
          <w:p>
            <w:pPr>
              <w:spacing w:after="20"/>
            </w:pPr>
            <w:r>
              <w:rPr>
                <w:color w:val="1C3A36"/>
                <w:sz w:val="15"/>
              </w:rPr>
              <w:t>Arab Finance</w:t>
            </w:r>
          </w:p>
        </w:tc>
        <w:tc>
          <w:tcPr>
            <w:tcW w:type="dxa" w:w="1152"/>
          </w:tcPr>
          <w:p>
            <w:pPr>
              <w:spacing w:after="20"/>
            </w:pPr>
            <w:r>
              <w:rPr>
                <w:color w:val="1C3A36"/>
                <w:sz w:val="15"/>
              </w:rPr>
              <w:t>Feb 2026</w:t>
            </w:r>
          </w:p>
        </w:tc>
        <w:tc>
          <w:tcPr>
            <w:tcW w:type="dxa" w:w="4464"/>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1872"/>
          </w:tcPr>
          <w:p>
            <w:pPr>
              <w:spacing w:after="20"/>
            </w:pPr>
            <w:r>
              <w:rPr>
                <w:color w:val="1C3A36"/>
                <w:sz w:val="15"/>
              </w:rPr>
              <w:t>Egypt Oil &amp; Gas</w:t>
            </w:r>
          </w:p>
        </w:tc>
        <w:tc>
          <w:tcPr>
            <w:tcW w:type="dxa" w:w="1152"/>
          </w:tcPr>
          <w:p>
            <w:pPr>
              <w:spacing w:after="20"/>
            </w:pPr>
            <w:r>
              <w:rPr>
                <w:color w:val="1C3A36"/>
                <w:sz w:val="15"/>
              </w:rPr>
              <w:t>Nov 2025</w:t>
            </w:r>
          </w:p>
        </w:tc>
        <w:tc>
          <w:tcPr>
            <w:tcW w:type="dxa" w:w="4464"/>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1872"/>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4464"/>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1872"/>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4464"/>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1872"/>
          </w:tcPr>
          <w:p>
            <w:pPr>
              <w:spacing w:after="20"/>
            </w:pPr>
            <w:r>
              <w:rPr>
                <w:color w:val="1C3A36"/>
                <w:sz w:val="15"/>
              </w:rPr>
              <w:t>MoneyController</w:t>
            </w:r>
          </w:p>
        </w:tc>
        <w:tc>
          <w:tcPr>
            <w:tcW w:type="dxa" w:w="1152"/>
          </w:tcPr>
          <w:p>
            <w:pPr>
              <w:spacing w:after="20"/>
            </w:pPr>
            <w:r>
              <w:rPr>
                <w:color w:val="1C3A36"/>
                <w:sz w:val="15"/>
              </w:rPr>
              <w:t>2023</w:t>
            </w:r>
          </w:p>
        </w:tc>
        <w:tc>
          <w:tcPr>
            <w:tcW w:type="dxa" w:w="4464"/>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1872"/>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4464"/>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1872"/>
          </w:tcPr>
          <w:p>
            <w:pPr>
              <w:spacing w:after="20"/>
            </w:pPr>
            <w:r>
              <w:rPr>
                <w:color w:val="1C3A36"/>
                <w:sz w:val="15"/>
              </w:rPr>
              <w:t>Central Bank of Egypt</w:t>
            </w:r>
          </w:p>
        </w:tc>
        <w:tc>
          <w:tcPr>
            <w:tcW w:type="dxa" w:w="1152"/>
          </w:tcPr>
          <w:p>
            <w:pPr>
              <w:spacing w:after="20"/>
            </w:pPr>
            <w:r>
              <w:rPr>
                <w:color w:val="1C3A36"/>
                <w:sz w:val="15"/>
              </w:rPr>
              <w:t>2026</w:t>
            </w:r>
          </w:p>
        </w:tc>
        <w:tc>
          <w:tcPr>
            <w:tcW w:type="dxa" w:w="4464"/>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1872"/>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4464"/>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1872"/>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4464"/>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engine/raw_ohlc/EG/AMOC.csv — daily open, high, low, close and volume</w:t>
            </w:r>
          </w:p>
        </w:tc>
        <w:tc>
          <w:tcPr>
            <w:tcW w:type="dxa" w:w="1872"/>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4464"/>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968"/>
        <w:gridCol w:w="1440"/>
        <w:gridCol w:w="1368"/>
      </w:tblGrid>
      <w:tr>
        <w:tc>
          <w:tcPr>
            <w:tcW w:type="dxa" w:w="1944"/>
            <w:shd w:val="clear" w:color="auto" w:fill="EAF0EE"/>
          </w:tcPr>
          <w:p>
            <w:pPr>
              <w:spacing w:after="20"/>
            </w:pPr>
            <w:r>
              <w:rPr>
                <w:b/>
                <w:color w:val="1C3A36"/>
                <w:sz w:val="16"/>
              </w:rPr>
              <w:t>Figure</w:t>
            </w:r>
          </w:p>
        </w:tc>
        <w:tc>
          <w:tcPr>
            <w:tcW w:type="dxa" w:w="4968"/>
            <w:shd w:val="clear" w:color="auto" w:fill="EAF0EE"/>
          </w:tcPr>
          <w:p>
            <w:pPr>
              <w:spacing w:after="20"/>
            </w:pPr>
            <w:r>
              <w:rPr>
                <w:b/>
                <w:color w:val="1C3A36"/>
                <w:sz w:val="16"/>
              </w:rPr>
              <w:t>Route</w:t>
            </w:r>
          </w:p>
        </w:tc>
        <w:tc>
          <w:tcPr>
            <w:tcW w:type="dxa" w:w="1440"/>
            <w:shd w:val="clear" w:color="auto" w:fill="EAF0EE"/>
          </w:tcPr>
          <w:p>
            <w:pPr>
              <w:spacing w:after="20"/>
            </w:pPr>
            <w:r>
              <w:rPr>
                <w:b/>
                <w:color w:val="1C3A36"/>
                <w:sz w:val="16"/>
              </w:rPr>
              <w:t>Value (EGP mn)</w:t>
            </w:r>
          </w:p>
        </w:tc>
        <w:tc>
          <w:tcPr>
            <w:tcW w:type="dxa" w:w="1368"/>
            <w:shd w:val="clear" w:color="auto" w:fill="EAF0EE"/>
          </w:tcPr>
          <w:p>
            <w:pPr>
              <w:spacing w:after="20"/>
            </w:pPr>
            <w:r>
              <w:rPr>
                <w:b/>
                <w:color w:val="1C3A36"/>
                <w:sz w:val="16"/>
              </w:rPr>
              <w:t>Adopted</w:t>
            </w:r>
          </w:p>
        </w:tc>
      </w:tr>
      <w:tr>
        <w:tc>
          <w:tcPr>
            <w:tcW w:type="dxa" w:w="1944"/>
          </w:tcPr>
          <w:p>
            <w:pPr>
              <w:spacing w:after="20"/>
            </w:pPr>
            <w:r>
              <w:rPr>
                <w:color w:val="1C3A36"/>
                <w:sz w:val="16"/>
              </w:rPr>
              <w:t>FY2023/24 revenue</w:t>
            </w:r>
          </w:p>
        </w:tc>
        <w:tc>
          <w:tcPr>
            <w:tcW w:type="dxa" w:w="4968"/>
          </w:tcPr>
          <w:p>
            <w:pPr>
              <w:spacing w:after="20"/>
            </w:pPr>
            <w:r>
              <w:rPr>
                <w:color w:val="1C3A36"/>
                <w:sz w:val="16"/>
              </w:rPr>
              <w:t>A: prior-year comparative in the FY2024/25 summary</w:t>
            </w:r>
          </w:p>
        </w:tc>
        <w:tc>
          <w:tcPr>
            <w:tcW w:type="dxa" w:w="1440"/>
          </w:tcPr>
          <w:p>
            <w:pPr>
              <w:spacing w:after="20"/>
            </w:pPr>
            <w:r>
              <w:rPr>
                <w:color w:val="1C3A36"/>
                <w:sz w:val="16"/>
              </w:rPr>
              <w:t>33,770</w:t>
            </w:r>
          </w:p>
        </w:tc>
        <w:tc>
          <w:tcPr>
            <w:tcW w:type="dxa" w:w="1368"/>
          </w:tcPr>
          <w:p>
            <w:pPr>
              <w:spacing w:after="20"/>
            </w:pPr>
            <w:r>
              <w:rPr>
                <w:color w:val="1C3A36"/>
                <w:sz w:val="16"/>
              </w:rPr>
              <w:t>33,536</w:t>
            </w:r>
          </w:p>
        </w:tc>
      </w:tr>
      <w:tr>
        <w:tc>
          <w:tcPr>
            <w:tcW w:type="dxa" w:w="1944"/>
          </w:tcPr>
          <w:p>
            <w:pPr>
              <w:spacing w:after="20"/>
            </w:pPr>
            <w:r>
              <w:rPr>
                <w:color w:val="1C3A36"/>
                <w:sz w:val="16"/>
              </w:rPr>
            </w:r>
          </w:p>
        </w:tc>
        <w:tc>
          <w:tcPr>
            <w:tcW w:type="dxa" w:w="4968"/>
          </w:tcPr>
          <w:p>
            <w:pPr>
              <w:spacing w:after="20"/>
            </w:pPr>
            <w:r>
              <w:rPr>
                <w:color w:val="1C3A36"/>
                <w:sz w:val="16"/>
              </w:rPr>
              <w:t>B: back-solved from the company's own "+10.8% on 2023/24" statement</w:t>
            </w:r>
          </w:p>
        </w:tc>
        <w:tc>
          <w:tcPr>
            <w:tcW w:type="dxa" w:w="1440"/>
          </w:tcPr>
          <w:p>
            <w:pPr>
              <w:spacing w:after="20"/>
            </w:pPr>
            <w:r>
              <w:rPr>
                <w:color w:val="1C3A36"/>
                <w:sz w:val="16"/>
              </w:rPr>
              <w:t>33,303</w:t>
            </w:r>
          </w:p>
        </w:tc>
        <w:tc>
          <w:tcPr>
            <w:tcW w:type="dxa" w:w="1368"/>
          </w:tcPr>
          <w:p>
            <w:pPr>
              <w:spacing w:after="20"/>
            </w:pPr>
            <w:r>
              <w:rPr>
                <w:color w:val="1C3A36"/>
                <w:sz w:val="16"/>
              </w:rPr>
            </w:r>
          </w:p>
        </w:tc>
      </w:tr>
      <w:tr>
        <w:tc>
          <w:tcPr>
            <w:tcW w:type="dxa" w:w="1944"/>
          </w:tcPr>
          <w:p>
            <w:pPr>
              <w:spacing w:after="20"/>
            </w:pPr>
            <w:r>
              <w:rPr>
                <w:color w:val="1C3A36"/>
                <w:sz w:val="16"/>
              </w:rPr>
              <w:t>FY2024/25 revenue</w:t>
            </w:r>
          </w:p>
        </w:tc>
        <w:tc>
          <w:tcPr>
            <w:tcW w:type="dxa" w:w="4968"/>
          </w:tcPr>
          <w:p>
            <w:pPr>
              <w:spacing w:after="20"/>
            </w:pPr>
            <w:r>
              <w:rPr>
                <w:color w:val="1C3A36"/>
                <w:sz w:val="16"/>
              </w:rPr>
              <w:t>A: company release — 1.26mn tonnes valued at EGP 36.9bn</w:t>
            </w:r>
          </w:p>
        </w:tc>
        <w:tc>
          <w:tcPr>
            <w:tcW w:type="dxa" w:w="1440"/>
          </w:tcPr>
          <w:p>
            <w:pPr>
              <w:spacing w:after="20"/>
            </w:pPr>
            <w:r>
              <w:rPr>
                <w:color w:val="1C3A36"/>
                <w:sz w:val="16"/>
              </w:rPr>
              <w:t>36,900</w:t>
            </w:r>
          </w:p>
        </w:tc>
        <w:tc>
          <w:tcPr>
            <w:tcW w:type="dxa" w:w="1368"/>
          </w:tcPr>
          <w:p>
            <w:pPr>
              <w:spacing w:after="20"/>
            </w:pPr>
            <w:r>
              <w:rPr>
                <w:color w:val="1C3A36"/>
                <w:sz w:val="16"/>
              </w:rPr>
              <w:t>37,507</w:t>
            </w:r>
          </w:p>
        </w:tc>
      </w:tr>
      <w:tr>
        <w:tc>
          <w:tcPr>
            <w:tcW w:type="dxa" w:w="1944"/>
          </w:tcPr>
          <w:p>
            <w:pPr>
              <w:spacing w:after="20"/>
            </w:pPr>
            <w:r>
              <w:rPr>
                <w:color w:val="1C3A36"/>
                <w:sz w:val="16"/>
              </w:rPr>
            </w:r>
          </w:p>
        </w:tc>
        <w:tc>
          <w:tcPr>
            <w:tcW w:type="dxa" w:w="4968"/>
          </w:tcPr>
          <w:p>
            <w:pPr>
              <w:spacing w:after="20"/>
            </w:pPr>
            <w:r>
              <w:rPr>
                <w:color w:val="1C3A36"/>
                <w:sz w:val="16"/>
              </w:rPr>
              <w:t>B: aggregator fiscal-2025 revenue line</w:t>
            </w:r>
          </w:p>
        </w:tc>
        <w:tc>
          <w:tcPr>
            <w:tcW w:type="dxa" w:w="1440"/>
          </w:tcPr>
          <w:p>
            <w:pPr>
              <w:spacing w:after="20"/>
            </w:pPr>
            <w:r>
              <w:rPr>
                <w:color w:val="1C3A36"/>
                <w:sz w:val="16"/>
              </w:rPr>
              <w:t>37,620</w:t>
            </w:r>
          </w:p>
        </w:tc>
        <w:tc>
          <w:tcPr>
            <w:tcW w:type="dxa" w:w="1368"/>
          </w:tcPr>
          <w:p>
            <w:pPr>
              <w:spacing w:after="20"/>
            </w:pPr>
            <w:r>
              <w:rPr>
                <w:color w:val="1C3A36"/>
                <w:sz w:val="16"/>
              </w:rPr>
            </w:r>
          </w:p>
        </w:tc>
      </w:tr>
      <w:tr>
        <w:tc>
          <w:tcPr>
            <w:tcW w:type="dxa" w:w="1944"/>
          </w:tcPr>
          <w:p>
            <w:pPr>
              <w:spacing w:after="20"/>
            </w:pPr>
            <w:r>
              <w:rPr>
                <w:color w:val="1C3A36"/>
                <w:sz w:val="16"/>
              </w:rPr>
            </w:r>
          </w:p>
        </w:tc>
        <w:tc>
          <w:tcPr>
            <w:tcW w:type="dxa" w:w="4968"/>
          </w:tcPr>
          <w:p>
            <w:pPr>
              <w:spacing w:after="20"/>
            </w:pPr>
            <w:r>
              <w:rPr>
                <w:color w:val="1C3A36"/>
                <w:sz w:val="16"/>
              </w:rPr>
              <w:t>C: the same release's separate "revenues" figure</w:t>
            </w:r>
          </w:p>
        </w:tc>
        <w:tc>
          <w:tcPr>
            <w:tcW w:type="dxa" w:w="1440"/>
          </w:tcPr>
          <w:p>
            <w:pPr>
              <w:spacing w:after="20"/>
            </w:pPr>
            <w:r>
              <w:rPr>
                <w:color w:val="1C3A36"/>
                <w:sz w:val="16"/>
              </w:rPr>
              <w:t>38,000</w:t>
            </w:r>
          </w:p>
        </w:tc>
        <w:tc>
          <w:tcPr>
            <w:tcW w:type="dxa" w:w="1368"/>
          </w:tcPr>
          <w:p>
            <w:pPr>
              <w:spacing w:after="20"/>
            </w:pPr>
            <w:r>
              <w:rPr>
                <w:color w:val="1C3A36"/>
                <w:sz w:val="16"/>
              </w:rPr>
            </w:r>
          </w:p>
        </w:tc>
      </w:tr>
      <w:tr>
        <w:tc>
          <w:tcPr>
            <w:tcW w:type="dxa" w:w="1944"/>
          </w:tcPr>
          <w:p>
            <w:pPr>
              <w:spacing w:after="20"/>
            </w:pPr>
            <w:r>
              <w:rPr>
                <w:color w:val="1C3A36"/>
                <w:sz w:val="16"/>
              </w:rPr>
              <w:t>Shares outstanding (mn)</w:t>
            </w:r>
          </w:p>
        </w:tc>
        <w:tc>
          <w:tcPr>
            <w:tcW w:type="dxa" w:w="4968"/>
          </w:tcPr>
          <w:p>
            <w:pPr>
              <w:spacing w:after="20"/>
            </w:pPr>
            <w:r>
              <w:rPr>
                <w:color w:val="1C3A36"/>
                <w:sz w:val="16"/>
              </w:rPr>
              <w:t>A: reported shares outstanding</w:t>
            </w:r>
          </w:p>
        </w:tc>
        <w:tc>
          <w:tcPr>
            <w:tcW w:type="dxa" w:w="1440"/>
          </w:tcPr>
          <w:p>
            <w:pPr>
              <w:spacing w:after="20"/>
            </w:pPr>
            <w:r>
              <w:rPr>
                <w:color w:val="1C3A36"/>
                <w:sz w:val="16"/>
              </w:rPr>
              <w:t>1,291.56</w:t>
            </w:r>
          </w:p>
        </w:tc>
        <w:tc>
          <w:tcPr>
            <w:tcW w:type="dxa" w:w="1368"/>
          </w:tcPr>
          <w:p>
            <w:pPr>
              <w:spacing w:after="20"/>
            </w:pPr>
            <w:r>
              <w:rPr>
                <w:color w:val="1C3A36"/>
                <w:sz w:val="16"/>
              </w:rPr>
              <w:t>1,291.56</w:t>
            </w:r>
          </w:p>
        </w:tc>
      </w:tr>
      <w:tr>
        <w:tc>
          <w:tcPr>
            <w:tcW w:type="dxa" w:w="1944"/>
          </w:tcPr>
          <w:p>
            <w:pPr>
              <w:spacing w:after="20"/>
            </w:pPr>
            <w:r>
              <w:rPr>
                <w:color w:val="1C3A36"/>
                <w:sz w:val="16"/>
              </w:rPr>
            </w:r>
          </w:p>
        </w:tc>
        <w:tc>
          <w:tcPr>
            <w:tcW w:type="dxa" w:w="4968"/>
          </w:tcPr>
          <w:p>
            <w:pPr>
              <w:spacing w:after="20"/>
            </w:pPr>
            <w:r>
              <w:rPr>
                <w:color w:val="1C3A36"/>
                <w:sz w:val="16"/>
              </w:rPr>
              <w:t>B: FY2024/25 standalone profit over this count gives EGP 1.154 a share, and the declared EGP 0.80 dividend over that is a 69.3% payout against a 69.4% reported ratio</w:t>
            </w:r>
          </w:p>
        </w:tc>
        <w:tc>
          <w:tcPr>
            <w:tcW w:type="dxa" w:w="1440"/>
          </w:tcPr>
          <w:p>
            <w:pPr>
              <w:spacing w:after="20"/>
            </w:pPr>
            <w:r>
              <w:rPr>
                <w:color w:val="1C3A36"/>
                <w:sz w:val="16"/>
              </w:rPr>
              <w:t>confirms</w:t>
            </w:r>
          </w:p>
        </w:tc>
        <w:tc>
          <w:tcPr>
            <w:tcW w:type="dxa" w:w="1368"/>
          </w:tcPr>
          <w:p>
            <w:pPr>
              <w:spacing w:after="20"/>
            </w:pPr>
            <w:r>
              <w:rPr>
                <w:color w:val="1C3A36"/>
                <w:sz w:val="16"/>
              </w:rPr>
            </w:r>
          </w:p>
        </w:tc>
      </w:tr>
      <w:tr>
        <w:tc>
          <w:tcPr>
            <w:tcW w:type="dxa" w:w="1944"/>
          </w:tcPr>
          <w:p>
            <w:pPr>
              <w:spacing w:after="20"/>
            </w:pPr>
            <w:r>
              <w:rPr>
                <w:color w:val="1C3A36"/>
                <w:sz w:val="16"/>
              </w:rPr>
            </w:r>
          </w:p>
        </w:tc>
        <w:tc>
          <w:tcPr>
            <w:tcW w:type="dxa" w:w="4968"/>
          </w:tcPr>
          <w:p>
            <w:pPr>
              <w:spacing w:after="20"/>
            </w:pPr>
            <w:r>
              <w:rPr>
                <w:color w:val="1C3A36"/>
                <w:sz w:val="16"/>
              </w:rPr>
              <w:t>C: reported market capitalisation of EGP 11.51bn implies EGP 8.91 a share against a 6 August close of EGP 9.10</w:t>
            </w:r>
          </w:p>
        </w:tc>
        <w:tc>
          <w:tcPr>
            <w:tcW w:type="dxa" w:w="1440"/>
          </w:tcPr>
          <w:p>
            <w:pPr>
              <w:spacing w:after="20"/>
            </w:pPr>
            <w:r>
              <w:rPr>
                <w:color w:val="1C3A36"/>
                <w:sz w:val="16"/>
              </w:rPr>
              <w:t>confirms</w:t>
            </w:r>
          </w:p>
        </w:tc>
        <w:tc>
          <w:tcPr>
            <w:tcW w:type="dxa" w:w="1368"/>
          </w:tcPr>
          <w:p>
            <w:pPr>
              <w:spacing w:after="20"/>
            </w:pPr>
            <w:r>
              <w:rPr>
                <w:color w:val="1C3A36"/>
                <w:sz w:val="16"/>
              </w:rPr>
            </w:r>
          </w:p>
        </w:tc>
      </w:tr>
    </w:tbl>
    <w:p>
      <w:pPr>
        <w:spacing w:after="40"/>
      </w:pPr>
    </w:p>
    <w:p>
      <w:pPr>
        <w:spacing w:after="60" w:before="160"/>
      </w:pPr>
      <w:r>
        <w:rPr>
          <w:b/>
          <w:i w:val="0"/>
          <w:color w:val="1C3A36"/>
          <w:sz w:val="22"/>
        </w:rPr>
        <w:t>The period-identification check</w:t>
      </w:r>
    </w:p>
    <w:p>
      <w:pPr>
        <w:spacing w:after="100" w:before="0"/>
      </w:pPr>
      <w:r>
        <w:rPr>
          <w:b w:val="0"/>
          <w:i w:val="0"/>
          <w:color w:val="1C3A36"/>
          <w:sz w:val="20"/>
        </w:rPr>
        <w:t>One reported figure required its PERIOD to be established before it could be used. A release labelled "FY 2025/26" reports revenue of EGP 26.2bn (+35%) and profit after tax of EGP 1.90bn (+109%). Those cannot describe a twelve-month period, because the July–December 2025 half alone was EGP 20.735bn. Against the January–June 2025 half constructed from disclosed figures — revenue EGP 19,261mn and profit EGP 906mn — the same two figures are +36.0% and +109.6%, reproducing BOTH reported growth rates independently. Two independent exact matches identify the period as the six months to 30 June 2026. It is carried as corroboration and not as the forecast base.</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36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spot</w:t>
            </w:r>
          </w:p>
        </w:tc>
        <w:tc>
          <w:tcPr>
            <w:tcW w:type="dxa" w:w="1440"/>
          </w:tcPr>
          <w:p>
            <w:pPr>
              <w:spacing w:after="20"/>
            </w:pPr>
            <w:r>
              <w:rPr>
                <w:color w:val="1C3A36"/>
                <w:sz w:val="15"/>
              </w:rPr>
              <w:t>9.1</w:t>
            </w:r>
          </w:p>
        </w:tc>
        <w:tc>
          <w:tcPr>
            <w:tcW w:type="dxa" w:w="1037"/>
          </w:tcPr>
          <w:p>
            <w:pPr>
              <w:spacing w:after="20"/>
            </w:pPr>
            <w:r>
              <w:rPr>
                <w:color w:val="1C3A36"/>
                <w:sz w:val="15"/>
              </w:rPr>
              <w:t>2026-08-06</w:t>
            </w:r>
          </w:p>
        </w:tc>
        <w:tc>
          <w:tcPr>
            <w:tcW w:type="dxa" w:w="5832"/>
          </w:tcPr>
          <w:p>
            <w:pPr>
              <w:spacing w:after="20"/>
            </w:pPr>
            <w:r>
              <w:rPr>
                <w:color w:val="1C3A36"/>
                <w:sz w:val="15"/>
              </w:rPr>
              <w:t>AMOC closing price on the Egyptian Exchange, 6 August 2026, from the screened daily price history used throughout this study (engine/raw_ohlc/EG/AMOC.csv)</w:t>
            </w:r>
          </w:p>
        </w:tc>
      </w:tr>
      <w:tr>
        <w:tc>
          <w:tcPr>
            <w:tcW w:type="dxa" w:w="1872"/>
          </w:tcPr>
          <w:p>
            <w:pPr>
              <w:spacing w:after="20"/>
            </w:pPr>
            <w:r>
              <w:rPr>
                <w:color w:val="1C3A36"/>
                <w:sz w:val="15"/>
              </w:rPr>
              <w:t>shares_mn</w:t>
            </w:r>
          </w:p>
        </w:tc>
        <w:tc>
          <w:tcPr>
            <w:tcW w:type="dxa" w:w="1440"/>
          </w:tcPr>
          <w:p>
            <w:pPr>
              <w:spacing w:after="20"/>
            </w:pPr>
            <w:r>
              <w:rPr>
                <w:color w:val="1C3A36"/>
                <w:sz w:val="15"/>
              </w:rPr>
              <w:t>1,291.6</w:t>
            </w:r>
          </w:p>
        </w:tc>
        <w:tc>
          <w:tcPr>
            <w:tcW w:type="dxa" w:w="1037"/>
          </w:tcPr>
          <w:p>
            <w:pPr>
              <w:spacing w:after="20"/>
            </w:pPr>
            <w:r>
              <w:rPr>
                <w:color w:val="1C3A36"/>
                <w:sz w:val="15"/>
              </w:rPr>
              <w:t>2026-08-06</w:t>
            </w:r>
          </w:p>
        </w:tc>
        <w:tc>
          <w:tcPr>
            <w:tcW w:type="dxa" w:w="5832"/>
          </w:tcPr>
          <w:p>
            <w:pPr>
              <w:spacing w:after="20"/>
            </w:pPr>
            <w:r>
              <w:rPr>
                <w:color w:val="1C3A36"/>
                <w:sz w:val="15"/>
              </w:rPr>
              <w:t>Shares outstanding 1,291.56mn. Cross-checked three ways: (a) the reported figure; (b) FY2024/25 standalone profit of EGP 1,490mn over this count gives earnings per share of EGP 1.154, and the declared EGP 0.80 annual dividend over that is a 69.3% payout against the 69.4% reported payout ratio; (c) the reported market capitalisation of EGP 11.51bn implies EGP 8.91 a share against a 6 August close of EGP 9.10</w:t>
            </w:r>
          </w:p>
        </w:tc>
      </w:tr>
      <w:tr>
        <w:tc>
          <w:tcPr>
            <w:tcW w:type="dxa" w:w="1872"/>
          </w:tcPr>
          <w:p>
            <w:pPr>
              <w:spacing w:after="20"/>
            </w:pPr>
            <w:r>
              <w:rPr>
                <w:color w:val="1C3A36"/>
                <w:sz w:val="15"/>
              </w:rPr>
              <w:t>rev_fy23</w:t>
            </w:r>
          </w:p>
        </w:tc>
        <w:tc>
          <w:tcPr>
            <w:tcW w:type="dxa" w:w="1440"/>
          </w:tcPr>
          <w:p>
            <w:pPr>
              <w:spacing w:after="20"/>
            </w:pPr>
            <w:r>
              <w:rPr>
                <w:color w:val="1C3A36"/>
                <w:sz w:val="15"/>
              </w:rPr>
              <w:t>22,515.7</w:t>
            </w:r>
          </w:p>
        </w:tc>
        <w:tc>
          <w:tcPr>
            <w:tcW w:type="dxa" w:w="1037"/>
          </w:tcPr>
          <w:p>
            <w:pPr>
              <w:spacing w:after="20"/>
            </w:pPr>
            <w:r>
              <w:rPr>
                <w:color w:val="1C3A36"/>
                <w:sz w:val="15"/>
              </w:rPr>
              <w:t>2023-06-30</w:t>
            </w:r>
          </w:p>
        </w:tc>
        <w:tc>
          <w:tcPr>
            <w:tcW w:type="dxa" w:w="5832"/>
          </w:tcPr>
          <w:p>
            <w:pPr>
              <w:spacing w:after="20"/>
            </w:pPr>
            <w:r>
              <w:rPr>
                <w:color w:val="1C3A36"/>
                <w:sz w:val="15"/>
              </w:rPr>
              <w:t>FY2022/23 (12 months to 30 June 2023) revenue, computed from the two disclosed components: cost of sales EGP 21,218.64mn plus gross profit EGP 1,297.01mn. This is the one historical year where both the cost line and the margin line are separately disclosed</w:t>
            </w:r>
          </w:p>
        </w:tc>
      </w:tr>
      <w:tr>
        <w:tc>
          <w:tcPr>
            <w:tcW w:type="dxa" w:w="1872"/>
          </w:tcPr>
          <w:p>
            <w:pPr>
              <w:spacing w:after="20"/>
            </w:pPr>
            <w:r>
              <w:rPr>
                <w:color w:val="1C3A36"/>
                <w:sz w:val="15"/>
              </w:rPr>
              <w:t>gp_fy23</w:t>
            </w:r>
          </w:p>
        </w:tc>
        <w:tc>
          <w:tcPr>
            <w:tcW w:type="dxa" w:w="1440"/>
          </w:tcPr>
          <w:p>
            <w:pPr>
              <w:spacing w:after="20"/>
            </w:pPr>
            <w:r>
              <w:rPr>
                <w:color w:val="1C3A36"/>
                <w:sz w:val="15"/>
              </w:rPr>
              <w:t>1,297.0</w:t>
            </w:r>
          </w:p>
        </w:tc>
        <w:tc>
          <w:tcPr>
            <w:tcW w:type="dxa" w:w="1037"/>
          </w:tcPr>
          <w:p>
            <w:pPr>
              <w:spacing w:after="20"/>
            </w:pPr>
            <w:r>
              <w:rPr>
                <w:color w:val="1C3A36"/>
                <w:sz w:val="15"/>
              </w:rPr>
              <w:t>2023-06-30</w:t>
            </w:r>
          </w:p>
        </w:tc>
        <w:tc>
          <w:tcPr>
            <w:tcW w:type="dxa" w:w="5832"/>
          </w:tcPr>
          <w:p>
            <w:pPr>
              <w:spacing w:after="20"/>
            </w:pPr>
            <w:r>
              <w:rPr>
                <w:color w:val="1C3A36"/>
                <w:sz w:val="15"/>
              </w:rPr>
              <w:t>FY2022/23 gross profit, disclosed (5.76% of revenue)</w:t>
            </w:r>
          </w:p>
        </w:tc>
      </w:tr>
      <w:tr>
        <w:tc>
          <w:tcPr>
            <w:tcW w:type="dxa" w:w="1872"/>
          </w:tcPr>
          <w:p>
            <w:pPr>
              <w:spacing w:after="20"/>
            </w:pPr>
            <w:r>
              <w:rPr>
                <w:color w:val="1C3A36"/>
                <w:sz w:val="15"/>
              </w:rPr>
              <w:t>cogs_fy23</w:t>
            </w:r>
          </w:p>
        </w:tc>
        <w:tc>
          <w:tcPr>
            <w:tcW w:type="dxa" w:w="1440"/>
          </w:tcPr>
          <w:p>
            <w:pPr>
              <w:spacing w:after="20"/>
            </w:pPr>
            <w:r>
              <w:rPr>
                <w:color w:val="1C3A36"/>
                <w:sz w:val="15"/>
              </w:rPr>
              <w:t>21,218.6</w:t>
            </w:r>
          </w:p>
        </w:tc>
        <w:tc>
          <w:tcPr>
            <w:tcW w:type="dxa" w:w="1037"/>
          </w:tcPr>
          <w:p>
            <w:pPr>
              <w:spacing w:after="20"/>
            </w:pPr>
            <w:r>
              <w:rPr>
                <w:color w:val="1C3A36"/>
                <w:sz w:val="15"/>
              </w:rPr>
              <w:t>2023-06-30</w:t>
            </w:r>
          </w:p>
        </w:tc>
        <w:tc>
          <w:tcPr>
            <w:tcW w:type="dxa" w:w="5832"/>
          </w:tcPr>
          <w:p>
            <w:pPr>
              <w:spacing w:after="20"/>
            </w:pPr>
            <w:r>
              <w:rPr>
                <w:color w:val="1C3A36"/>
                <w:sz w:val="15"/>
              </w:rPr>
              <w:t>FY2022/23 cost of sales, disclosed</w:t>
            </w:r>
          </w:p>
        </w:tc>
      </w:tr>
      <w:tr>
        <w:tc>
          <w:tcPr>
            <w:tcW w:type="dxa" w:w="1872"/>
          </w:tcPr>
          <w:p>
            <w:pPr>
              <w:spacing w:after="20"/>
            </w:pPr>
            <w:r>
              <w:rPr>
                <w:color w:val="1C3A36"/>
                <w:sz w:val="15"/>
              </w:rPr>
              <w:t>pat_fy23</w:t>
            </w:r>
          </w:p>
        </w:tc>
        <w:tc>
          <w:tcPr>
            <w:tcW w:type="dxa" w:w="1440"/>
          </w:tcPr>
          <w:p>
            <w:pPr>
              <w:spacing w:after="20"/>
            </w:pPr>
            <w:r>
              <w:rPr>
                <w:color w:val="1C3A36"/>
                <w:sz w:val="15"/>
              </w:rPr>
              <w:t>1,320.0</w:t>
            </w:r>
          </w:p>
        </w:tc>
        <w:tc>
          <w:tcPr>
            <w:tcW w:type="dxa" w:w="1037"/>
          </w:tcPr>
          <w:p>
            <w:pPr>
              <w:spacing w:after="20"/>
            </w:pPr>
            <w:r>
              <w:rPr>
                <w:color w:val="1C3A36"/>
                <w:sz w:val="15"/>
              </w:rPr>
              <w:t>2023-06-30</w:t>
            </w:r>
          </w:p>
        </w:tc>
        <w:tc>
          <w:tcPr>
            <w:tcW w:type="dxa" w:w="5832"/>
          </w:tcPr>
          <w:p>
            <w:pPr>
              <w:spacing w:after="20"/>
            </w:pPr>
            <w:r>
              <w:rPr>
                <w:color w:val="1C3A36"/>
                <w:sz w:val="15"/>
              </w:rPr>
              <w:t>FY2022/23 consolidated net profit after tax, EGP 1.32bn, up 11%</w:t>
            </w:r>
          </w:p>
        </w:tc>
      </w:tr>
      <w:tr>
        <w:tc>
          <w:tcPr>
            <w:tcW w:type="dxa" w:w="1872"/>
          </w:tcPr>
          <w:p>
            <w:pPr>
              <w:spacing w:after="20"/>
            </w:pPr>
            <w:r>
              <w:rPr>
                <w:color w:val="1C3A36"/>
                <w:sz w:val="15"/>
              </w:rPr>
              <w:t>rev_fy24_a</w:t>
            </w:r>
          </w:p>
        </w:tc>
        <w:tc>
          <w:tcPr>
            <w:tcW w:type="dxa" w:w="1440"/>
          </w:tcPr>
          <w:p>
            <w:pPr>
              <w:spacing w:after="20"/>
            </w:pPr>
            <w:r>
              <w:rPr>
                <w:color w:val="1C3A36"/>
                <w:sz w:val="15"/>
              </w:rPr>
              <w:t>33,770.0</w:t>
            </w:r>
          </w:p>
        </w:tc>
        <w:tc>
          <w:tcPr>
            <w:tcW w:type="dxa" w:w="1037"/>
          </w:tcPr>
          <w:p>
            <w:pPr>
              <w:spacing w:after="20"/>
            </w:pPr>
            <w:r>
              <w:rPr>
                <w:color w:val="1C3A36"/>
                <w:sz w:val="15"/>
              </w:rPr>
              <w:t>2024-06-30</w:t>
            </w:r>
          </w:p>
        </w:tc>
        <w:tc>
          <w:tcPr>
            <w:tcW w:type="dxa" w:w="5832"/>
          </w:tcPr>
          <w:p>
            <w:pPr>
              <w:spacing w:after="20"/>
            </w:pPr>
            <w:r>
              <w:rPr>
                <w:color w:val="1C3A36"/>
                <w:sz w:val="15"/>
              </w:rPr>
              <w:t>FY2023/24 revenue, method A: the aggregator's prior-year comparative to the FY2024/25 figure</w:t>
            </w:r>
          </w:p>
        </w:tc>
      </w:tr>
      <w:tr>
        <w:tc>
          <w:tcPr>
            <w:tcW w:type="dxa" w:w="1872"/>
          </w:tcPr>
          <w:p>
            <w:pPr>
              <w:spacing w:after="20"/>
            </w:pPr>
            <w:r>
              <w:rPr>
                <w:color w:val="1C3A36"/>
                <w:sz w:val="15"/>
              </w:rPr>
              <w:t>rev_fy24_b</w:t>
            </w:r>
          </w:p>
        </w:tc>
        <w:tc>
          <w:tcPr>
            <w:tcW w:type="dxa" w:w="1440"/>
          </w:tcPr>
          <w:p>
            <w:pPr>
              <w:spacing w:after="20"/>
            </w:pPr>
            <w:r>
              <w:rPr>
                <w:color w:val="1C3A36"/>
                <w:sz w:val="15"/>
              </w:rPr>
              <w:t>33,303.0</w:t>
            </w:r>
          </w:p>
        </w:tc>
        <w:tc>
          <w:tcPr>
            <w:tcW w:type="dxa" w:w="1037"/>
          </w:tcPr>
          <w:p>
            <w:pPr>
              <w:spacing w:after="20"/>
            </w:pPr>
            <w:r>
              <w:rPr>
                <w:color w:val="1C3A36"/>
                <w:sz w:val="15"/>
              </w:rPr>
              <w:t>2024-06-30</w:t>
            </w:r>
          </w:p>
        </w:tc>
        <w:tc>
          <w:tcPr>
            <w:tcW w:type="dxa" w:w="5832"/>
          </w:tcPr>
          <w:p>
            <w:pPr>
              <w:spacing w:after="20"/>
            </w:pPr>
            <w:r>
              <w:rPr>
                <w:color w:val="1C3A36"/>
                <w:sz w:val="15"/>
              </w:rPr>
              <w:t>FY2023/24 revenue, method B: backed out of the company's own statement that FY2024/25 sales of EGP 36.9bn were 10.8% above 2023/24 (36,900 / 1.108)</w:t>
            </w:r>
          </w:p>
        </w:tc>
      </w:tr>
      <w:tr>
        <w:tc>
          <w:tcPr>
            <w:tcW w:type="dxa" w:w="1872"/>
          </w:tcPr>
          <w:p>
            <w:pPr>
              <w:spacing w:after="20"/>
            </w:pPr>
            <w:r>
              <w:rPr>
                <w:color w:val="1C3A36"/>
                <w:sz w:val="15"/>
              </w:rPr>
              <w:t>pat_fy24</w:t>
            </w:r>
          </w:p>
        </w:tc>
        <w:tc>
          <w:tcPr>
            <w:tcW w:type="dxa" w:w="1440"/>
          </w:tcPr>
          <w:p>
            <w:pPr>
              <w:spacing w:after="20"/>
            </w:pPr>
            <w:r>
              <w:rPr>
                <w:color w:val="1C3A36"/>
                <w:sz w:val="15"/>
              </w:rPr>
              <w:t>1,500.0</w:t>
            </w:r>
          </w:p>
        </w:tc>
        <w:tc>
          <w:tcPr>
            <w:tcW w:type="dxa" w:w="1037"/>
          </w:tcPr>
          <w:p>
            <w:pPr>
              <w:spacing w:after="20"/>
            </w:pPr>
            <w:r>
              <w:rPr>
                <w:color w:val="1C3A36"/>
                <w:sz w:val="15"/>
              </w:rPr>
              <w:t>2024-06-30</w:t>
            </w:r>
          </w:p>
        </w:tc>
        <w:tc>
          <w:tcPr>
            <w:tcW w:type="dxa" w:w="5832"/>
          </w:tcPr>
          <w:p>
            <w:pPr>
              <w:spacing w:after="20"/>
            </w:pPr>
            <w:r>
              <w:rPr>
                <w:color w:val="1C3A36"/>
                <w:sz w:val="15"/>
              </w:rPr>
              <w:t>FY2023/24 consolidated net profit after tax, EGP 1.50bn — the comparative in the FY2024/25 release, which reported consolidated profit of EGP 1.55bn, an annual growth of 3%</w:t>
            </w:r>
          </w:p>
        </w:tc>
      </w:tr>
      <w:tr>
        <w:tc>
          <w:tcPr>
            <w:tcW w:type="dxa" w:w="1872"/>
          </w:tcPr>
          <w:p>
            <w:pPr>
              <w:spacing w:after="20"/>
            </w:pPr>
            <w:r>
              <w:rPr>
                <w:color w:val="1C3A36"/>
                <w:sz w:val="15"/>
              </w:rPr>
              <w:t>rev_fy25_a</w:t>
            </w:r>
          </w:p>
        </w:tc>
        <w:tc>
          <w:tcPr>
            <w:tcW w:type="dxa" w:w="1440"/>
          </w:tcPr>
          <w:p>
            <w:pPr>
              <w:spacing w:after="20"/>
            </w:pPr>
            <w:r>
              <w:rPr>
                <w:color w:val="1C3A36"/>
                <w:sz w:val="15"/>
              </w:rPr>
              <w:t>36,900.0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A: the company's own release — total sales of 1.26mn tonnes valued at EGP 36.9bn, an 11% increase</w:t>
            </w:r>
          </w:p>
        </w:tc>
      </w:tr>
      <w:tr>
        <w:tc>
          <w:tcPr>
            <w:tcW w:type="dxa" w:w="1872"/>
          </w:tcPr>
          <w:p>
            <w:pPr>
              <w:spacing w:after="20"/>
            </w:pPr>
            <w:r>
              <w:rPr>
                <w:color w:val="1C3A36"/>
                <w:sz w:val="15"/>
              </w:rPr>
              <w:t>rev_fy25_b</w:t>
            </w:r>
          </w:p>
        </w:tc>
        <w:tc>
          <w:tcPr>
            <w:tcW w:type="dxa" w:w="1440"/>
          </w:tcPr>
          <w:p>
            <w:pPr>
              <w:spacing w:after="20"/>
            </w:pPr>
            <w:r>
              <w:rPr>
                <w:color w:val="1C3A36"/>
                <w:sz w:val="15"/>
              </w:rPr>
              <w:t>37,620.0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B: the aggregator's fiscal-2025 figure, EGP 37.62bn, +11.42%</w:t>
            </w:r>
          </w:p>
        </w:tc>
      </w:tr>
      <w:tr>
        <w:tc>
          <w:tcPr>
            <w:tcW w:type="dxa" w:w="1872"/>
          </w:tcPr>
          <w:p>
            <w:pPr>
              <w:spacing w:after="20"/>
            </w:pPr>
            <w:r>
              <w:rPr>
                <w:color w:val="1C3A36"/>
                <w:sz w:val="15"/>
              </w:rPr>
              <w:t>rev_fy25_c</w:t>
            </w:r>
          </w:p>
        </w:tc>
        <w:tc>
          <w:tcPr>
            <w:tcW w:type="dxa" w:w="1440"/>
          </w:tcPr>
          <w:p>
            <w:pPr>
              <w:spacing w:after="20"/>
            </w:pPr>
            <w:r>
              <w:rPr>
                <w:color w:val="1C3A36"/>
                <w:sz w:val="15"/>
              </w:rPr>
              <w:t>38,000.0</w:t>
            </w:r>
          </w:p>
        </w:tc>
        <w:tc>
          <w:tcPr>
            <w:tcW w:type="dxa" w:w="1037"/>
          </w:tcPr>
          <w:p>
            <w:pPr>
              <w:spacing w:after="20"/>
            </w:pPr>
            <w:r>
              <w:rPr>
                <w:color w:val="1C3A36"/>
                <w:sz w:val="15"/>
              </w:rPr>
              <w:t>2025-06-30</w:t>
            </w:r>
          </w:p>
        </w:tc>
        <w:tc>
          <w:tcPr>
            <w:tcW w:type="dxa" w:w="5832"/>
          </w:tcPr>
          <w:p>
            <w:pPr>
              <w:spacing w:after="20"/>
            </w:pPr>
            <w:r>
              <w:rPr>
                <w:color w:val="1C3A36"/>
                <w:sz w:val="15"/>
              </w:rPr>
              <w:t>FY2024/25 revenue, method C: the same release's separate statement that revenues stood at EGP 38bn</w:t>
            </w:r>
          </w:p>
        </w:tc>
      </w:tr>
      <w:tr>
        <w:tc>
          <w:tcPr>
            <w:tcW w:type="dxa" w:w="1872"/>
          </w:tcPr>
          <w:p>
            <w:pPr>
              <w:spacing w:after="20"/>
            </w:pPr>
            <w:r>
              <w:rPr>
                <w:color w:val="1C3A36"/>
                <w:sz w:val="15"/>
              </w:rPr>
              <w:t>pat_fy25</w:t>
            </w:r>
          </w:p>
        </w:tc>
        <w:tc>
          <w:tcPr>
            <w:tcW w:type="dxa" w:w="1440"/>
          </w:tcPr>
          <w:p>
            <w:pPr>
              <w:spacing w:after="20"/>
            </w:pPr>
            <w:r>
              <w:rPr>
                <w:color w:val="1C3A36"/>
                <w:sz w:val="15"/>
              </w:rPr>
              <w:t>1,550.0</w:t>
            </w:r>
          </w:p>
        </w:tc>
        <w:tc>
          <w:tcPr>
            <w:tcW w:type="dxa" w:w="1037"/>
          </w:tcPr>
          <w:p>
            <w:pPr>
              <w:spacing w:after="20"/>
            </w:pPr>
            <w:r>
              <w:rPr>
                <w:color w:val="1C3A36"/>
                <w:sz w:val="15"/>
              </w:rPr>
              <w:t>2025-06-30</w:t>
            </w:r>
          </w:p>
        </w:tc>
        <w:tc>
          <w:tcPr>
            <w:tcW w:type="dxa" w:w="5832"/>
          </w:tcPr>
          <w:p>
            <w:pPr>
              <w:spacing w:after="20"/>
            </w:pPr>
            <w:r>
              <w:rPr>
                <w:color w:val="1C3A36"/>
                <w:sz w:val="15"/>
              </w:rPr>
              <w:t>FY2024/25 consolidated net profit after tax, EGP 1.55bn, +3%</w:t>
            </w:r>
          </w:p>
        </w:tc>
      </w:tr>
      <w:tr>
        <w:tc>
          <w:tcPr>
            <w:tcW w:type="dxa" w:w="1872"/>
          </w:tcPr>
          <w:p>
            <w:pPr>
              <w:spacing w:after="20"/>
            </w:pPr>
            <w:r>
              <w:rPr>
                <w:color w:val="1C3A36"/>
                <w:sz w:val="15"/>
              </w:rPr>
              <w:t>pat_fy25_standalone</w:t>
            </w:r>
          </w:p>
        </w:tc>
        <w:tc>
          <w:tcPr>
            <w:tcW w:type="dxa" w:w="1440"/>
          </w:tcPr>
          <w:p>
            <w:pPr>
              <w:spacing w:after="20"/>
            </w:pPr>
            <w:r>
              <w:rPr>
                <w:color w:val="1C3A36"/>
                <w:sz w:val="15"/>
              </w:rPr>
              <w:t>1,490.0</w:t>
            </w:r>
          </w:p>
        </w:tc>
        <w:tc>
          <w:tcPr>
            <w:tcW w:type="dxa" w:w="1037"/>
          </w:tcPr>
          <w:p>
            <w:pPr>
              <w:spacing w:after="20"/>
            </w:pPr>
            <w:r>
              <w:rPr>
                <w:color w:val="1C3A36"/>
                <w:sz w:val="15"/>
              </w:rPr>
              <w:t>2025-06-30</w:t>
            </w:r>
          </w:p>
        </w:tc>
        <w:tc>
          <w:tcPr>
            <w:tcW w:type="dxa" w:w="5832"/>
          </w:tcPr>
          <w:p>
            <w:pPr>
              <w:spacing w:after="20"/>
            </w:pPr>
            <w:r>
              <w:rPr>
                <w:color w:val="1C3A36"/>
                <w:sz w:val="15"/>
              </w:rPr>
              <w:t>FY2024/25 STANDALONE net profit after tax, EGP 1.49bn, +17.3%. The 4% gap to the consolidated figure is the whole contribution of everything outside the parent refinery — the evidence that rules out a holding-company lens</w:t>
            </w:r>
          </w:p>
        </w:tc>
      </w:tr>
      <w:tr>
        <w:tc>
          <w:tcPr>
            <w:tcW w:type="dxa" w:w="1872"/>
          </w:tcPr>
          <w:p>
            <w:pPr>
              <w:spacing w:after="20"/>
            </w:pPr>
            <w:r>
              <w:rPr>
                <w:color w:val="1C3A36"/>
                <w:sz w:val="15"/>
              </w:rPr>
              <w:t>vol_fy25</w:t>
            </w:r>
          </w:p>
        </w:tc>
        <w:tc>
          <w:tcPr>
            <w:tcW w:type="dxa" w:w="1440"/>
          </w:tcPr>
          <w:p>
            <w:pPr>
              <w:spacing w:after="20"/>
            </w:pPr>
            <w:r>
              <w:rPr>
                <w:color w:val="1C3A36"/>
                <w:sz w:val="15"/>
              </w:rPr>
              <w:t>1.26</w:t>
            </w:r>
          </w:p>
        </w:tc>
        <w:tc>
          <w:tcPr>
            <w:tcW w:type="dxa" w:w="1037"/>
          </w:tcPr>
          <w:p>
            <w:pPr>
              <w:spacing w:after="20"/>
            </w:pPr>
            <w:r>
              <w:rPr>
                <w:color w:val="1C3A36"/>
                <w:sz w:val="15"/>
              </w:rPr>
              <w:t>2025-06-30</w:t>
            </w:r>
          </w:p>
        </w:tc>
        <w:tc>
          <w:tcPr>
            <w:tcW w:type="dxa" w:w="5832"/>
          </w:tcPr>
          <w:p>
            <w:pPr>
              <w:spacing w:after="20"/>
            </w:pPr>
            <w:r>
              <w:rPr>
                <w:color w:val="1C3A36"/>
                <w:sz w:val="15"/>
              </w:rPr>
              <w:t>FY2024/25 total sales volume, 1.26mn tonnes</w:t>
            </w:r>
          </w:p>
        </w:tc>
      </w:tr>
      <w:tr>
        <w:tc>
          <w:tcPr>
            <w:tcW w:type="dxa" w:w="1872"/>
          </w:tcPr>
          <w:p>
            <w:pPr>
              <w:spacing w:after="20"/>
            </w:pPr>
            <w:r>
              <w:rPr>
                <w:color w:val="1C3A36"/>
                <w:sz w:val="15"/>
              </w:rPr>
              <w:t>vol_spec_fy25</w:t>
            </w:r>
          </w:p>
        </w:tc>
        <w:tc>
          <w:tcPr>
            <w:tcW w:type="dxa" w:w="1440"/>
          </w:tcPr>
          <w:p>
            <w:pPr>
              <w:spacing w:after="20"/>
            </w:pPr>
            <w:r>
              <w:rPr>
                <w:color w:val="1C3A36"/>
                <w:sz w:val="15"/>
              </w:rPr>
              <w:t>0.172</w:t>
            </w:r>
          </w:p>
        </w:tc>
        <w:tc>
          <w:tcPr>
            <w:tcW w:type="dxa" w:w="1037"/>
          </w:tcPr>
          <w:p>
            <w:pPr>
              <w:spacing w:after="20"/>
            </w:pPr>
            <w:r>
              <w:rPr>
                <w:color w:val="1C3A36"/>
                <w:sz w:val="15"/>
              </w:rPr>
              <w:t>2025-06-30</w:t>
            </w:r>
          </w:p>
        </w:tc>
        <w:tc>
          <w:tcPr>
            <w:tcW w:type="dxa" w:w="5832"/>
          </w:tcPr>
          <w:p>
            <w:pPr>
              <w:spacing w:after="20"/>
            </w:pPr>
            <w:r>
              <w:rPr>
                <w:color w:val="1C3A36"/>
                <w:sz w:val="15"/>
              </w:rPr>
              <w:t>FY2024/25 output of oils and waxes, 172,000 tonnes — 108% of the year's target. This is the specialty leg; the balance of the 1.26mn tonnes is fuel products and by-products</w:t>
            </w:r>
          </w:p>
        </w:tc>
      </w:tr>
      <w:tr>
        <w:tc>
          <w:tcPr>
            <w:tcW w:type="dxa" w:w="1872"/>
          </w:tcPr>
          <w:p>
            <w:pPr>
              <w:spacing w:after="20"/>
            </w:pPr>
            <w:r>
              <w:rPr>
                <w:color w:val="1C3A36"/>
                <w:sz w:val="15"/>
              </w:rPr>
              <w:t>rev_h1fy25</w:t>
            </w:r>
          </w:p>
        </w:tc>
        <w:tc>
          <w:tcPr>
            <w:tcW w:type="dxa" w:w="1440"/>
          </w:tcPr>
          <w:p>
            <w:pPr>
              <w:spacing w:after="20"/>
            </w:pPr>
            <w:r>
              <w:rPr>
                <w:color w:val="1C3A36"/>
                <w:sz w:val="15"/>
              </w:rPr>
              <w:t>18,246.0</w:t>
            </w:r>
          </w:p>
        </w:tc>
        <w:tc>
          <w:tcPr>
            <w:tcW w:type="dxa" w:w="1037"/>
          </w:tcPr>
          <w:p>
            <w:pPr>
              <w:spacing w:after="20"/>
            </w:pPr>
            <w:r>
              <w:rPr>
                <w:color w:val="1C3A36"/>
                <w:sz w:val="15"/>
              </w:rPr>
              <w:t>2024-12-31</w:t>
            </w:r>
          </w:p>
        </w:tc>
        <w:tc>
          <w:tcPr>
            <w:tcW w:type="dxa" w:w="5832"/>
          </w:tcPr>
          <w:p>
            <w:pPr>
              <w:spacing w:after="20"/>
            </w:pPr>
            <w:r>
              <w:rPr>
                <w:color w:val="1C3A36"/>
                <w:sz w:val="15"/>
              </w:rPr>
              <w:t>Consolidated sales for July-December 2024, EGP 18.246bn — the comparative disclosed alongside the transition period</w:t>
            </w:r>
          </w:p>
        </w:tc>
      </w:tr>
      <w:tr>
        <w:tc>
          <w:tcPr>
            <w:tcW w:type="dxa" w:w="1872"/>
          </w:tcPr>
          <w:p>
            <w:pPr>
              <w:spacing w:after="20"/>
            </w:pPr>
            <w:r>
              <w:rPr>
                <w:color w:val="1C3A36"/>
                <w:sz w:val="15"/>
              </w:rPr>
              <w:t>pat_h1fy25</w:t>
            </w:r>
          </w:p>
        </w:tc>
        <w:tc>
          <w:tcPr>
            <w:tcW w:type="dxa" w:w="1440"/>
          </w:tcPr>
          <w:p>
            <w:pPr>
              <w:spacing w:after="20"/>
            </w:pPr>
            <w:r>
              <w:rPr>
                <w:color w:val="1C3A36"/>
                <w:sz w:val="15"/>
              </w:rPr>
              <w:t>643.6</w:t>
            </w:r>
          </w:p>
        </w:tc>
        <w:tc>
          <w:tcPr>
            <w:tcW w:type="dxa" w:w="1037"/>
          </w:tcPr>
          <w:p>
            <w:pPr>
              <w:spacing w:after="20"/>
            </w:pPr>
            <w:r>
              <w:rPr>
                <w:color w:val="1C3A36"/>
                <w:sz w:val="15"/>
              </w:rPr>
              <w:t>2024-12-31</w:t>
            </w:r>
          </w:p>
        </w:tc>
        <w:tc>
          <w:tcPr>
            <w:tcW w:type="dxa" w:w="5832"/>
          </w:tcPr>
          <w:p>
            <w:pPr>
              <w:spacing w:after="20"/>
            </w:pPr>
            <w:r>
              <w:rPr>
                <w:color w:val="1C3A36"/>
                <w:sz w:val="15"/>
              </w:rPr>
              <w:t>Consolidated net profit after tax for July-December 2024, derived from the disclosed statement that the transition period's EGP 656.428mn was a 2% year-on-year increase (656.428 / 1.02)</w:t>
            </w:r>
          </w:p>
        </w:tc>
      </w:tr>
      <w:tr>
        <w:tc>
          <w:tcPr>
            <w:tcW w:type="dxa" w:w="1872"/>
          </w:tcPr>
          <w:p>
            <w:pPr>
              <w:spacing w:after="20"/>
            </w:pPr>
            <w:r>
              <w:rPr>
                <w:color w:val="1C3A36"/>
                <w:sz w:val="15"/>
              </w:rPr>
              <w:t>rev_h2cy25</w:t>
            </w:r>
          </w:p>
        </w:tc>
        <w:tc>
          <w:tcPr>
            <w:tcW w:type="dxa" w:w="1440"/>
          </w:tcPr>
          <w:p>
            <w:pPr>
              <w:spacing w:after="20"/>
            </w:pPr>
            <w:r>
              <w:rPr>
                <w:color w:val="1C3A36"/>
                <w:sz w:val="15"/>
              </w:rPr>
              <w:t>20,735.0</w:t>
            </w:r>
          </w:p>
        </w:tc>
        <w:tc>
          <w:tcPr>
            <w:tcW w:type="dxa" w:w="1037"/>
          </w:tcPr>
          <w:p>
            <w:pPr>
              <w:spacing w:after="20"/>
            </w:pPr>
            <w:r>
              <w:rPr>
                <w:color w:val="1C3A36"/>
                <w:sz w:val="15"/>
              </w:rPr>
              <w:t>2025-12-31</w:t>
            </w:r>
          </w:p>
        </w:tc>
        <w:tc>
          <w:tcPr>
            <w:tcW w:type="dxa" w:w="5832"/>
          </w:tcPr>
          <w:p>
            <w:pPr>
              <w:spacing w:after="20"/>
            </w:pPr>
            <w:r>
              <w:rPr>
                <w:color w:val="1C3A36"/>
                <w:sz w:val="15"/>
              </w:rPr>
              <w:t>Consolidated sales for the July-December 2025 transition period, EGP 20.735bn, up 14% year on year</w:t>
            </w:r>
          </w:p>
        </w:tc>
      </w:tr>
      <w:tr>
        <w:tc>
          <w:tcPr>
            <w:tcW w:type="dxa" w:w="1872"/>
          </w:tcPr>
          <w:p>
            <w:pPr>
              <w:spacing w:after="20"/>
            </w:pPr>
            <w:r>
              <w:rPr>
                <w:color w:val="1C3A36"/>
                <w:sz w:val="15"/>
              </w:rPr>
              <w:t>pat_h2cy25</w:t>
            </w:r>
          </w:p>
        </w:tc>
        <w:tc>
          <w:tcPr>
            <w:tcW w:type="dxa" w:w="1440"/>
          </w:tcPr>
          <w:p>
            <w:pPr>
              <w:spacing w:after="20"/>
            </w:pPr>
            <w:r>
              <w:rPr>
                <w:color w:val="1C3A36"/>
                <w:sz w:val="15"/>
              </w:rPr>
              <w:t>656.4</w:t>
            </w:r>
          </w:p>
        </w:tc>
        <w:tc>
          <w:tcPr>
            <w:tcW w:type="dxa" w:w="1037"/>
          </w:tcPr>
          <w:p>
            <w:pPr>
              <w:spacing w:after="20"/>
            </w:pPr>
            <w:r>
              <w:rPr>
                <w:color w:val="1C3A36"/>
                <w:sz w:val="15"/>
              </w:rPr>
              <w:t>2025-12-31</w:t>
            </w:r>
          </w:p>
        </w:tc>
        <w:tc>
          <w:tcPr>
            <w:tcW w:type="dxa" w:w="5832"/>
          </w:tcPr>
          <w:p>
            <w:pPr>
              <w:spacing w:after="20"/>
            </w:pPr>
            <w:r>
              <w:rPr>
                <w:color w:val="1C3A36"/>
                <w:sz w:val="15"/>
              </w:rPr>
              <w:t>Consolidated net profit after tax for the July-December 2025 transition period, EGP 656.428mn, +2%</w:t>
            </w:r>
          </w:p>
        </w:tc>
      </w:tr>
      <w:tr>
        <w:tc>
          <w:tcPr>
            <w:tcW w:type="dxa" w:w="1872"/>
          </w:tcPr>
          <w:p>
            <w:pPr>
              <w:spacing w:after="20"/>
            </w:pPr>
            <w:r>
              <w:rPr>
                <w:color w:val="1C3A36"/>
                <w:sz w:val="15"/>
              </w:rPr>
              <w:t>vol_h2cy25</w:t>
            </w:r>
          </w:p>
        </w:tc>
        <w:tc>
          <w:tcPr>
            <w:tcW w:type="dxa" w:w="1440"/>
          </w:tcPr>
          <w:p>
            <w:pPr>
              <w:spacing w:after="20"/>
            </w:pPr>
            <w:r>
              <w:rPr>
                <w:color w:val="1C3A36"/>
                <w:sz w:val="15"/>
              </w:rPr>
              <w:t>0.808</w:t>
            </w:r>
          </w:p>
        </w:tc>
        <w:tc>
          <w:tcPr>
            <w:tcW w:type="dxa" w:w="1037"/>
          </w:tcPr>
          <w:p>
            <w:pPr>
              <w:spacing w:after="20"/>
            </w:pPr>
            <w:r>
              <w:rPr>
                <w:color w:val="1C3A36"/>
                <w:sz w:val="15"/>
              </w:rPr>
              <w:t>2025-12-31</w:t>
            </w:r>
          </w:p>
        </w:tc>
        <w:tc>
          <w:tcPr>
            <w:tcW w:type="dxa" w:w="5832"/>
          </w:tcPr>
          <w:p>
            <w:pPr>
              <w:spacing w:after="20"/>
            </w:pPr>
            <w:r>
              <w:rPr>
                <w:color w:val="1C3A36"/>
                <w:sz w:val="15"/>
              </w:rPr>
              <w:t>Transition-period sales volume, 808,000 tonnes, +14.5%</w:t>
            </w:r>
          </w:p>
        </w:tc>
      </w:tr>
      <w:tr>
        <w:tc>
          <w:tcPr>
            <w:tcW w:type="dxa" w:w="1872"/>
          </w:tcPr>
          <w:p>
            <w:pPr>
              <w:spacing w:after="20"/>
            </w:pPr>
            <w:r>
              <w:rPr>
                <w:color w:val="1C3A36"/>
                <w:sz w:val="15"/>
              </w:rPr>
              <w:t>exp_h2cy25</w:t>
            </w:r>
          </w:p>
        </w:tc>
        <w:tc>
          <w:tcPr>
            <w:tcW w:type="dxa" w:w="1440"/>
          </w:tcPr>
          <w:p>
            <w:pPr>
              <w:spacing w:after="20"/>
            </w:pPr>
            <w:r>
              <w:rPr>
                <w:color w:val="1C3A36"/>
                <w:sz w:val="15"/>
              </w:rPr>
              <w:t>0.042</w:t>
            </w:r>
          </w:p>
        </w:tc>
        <w:tc>
          <w:tcPr>
            <w:tcW w:type="dxa" w:w="1037"/>
          </w:tcPr>
          <w:p>
            <w:pPr>
              <w:spacing w:after="20"/>
            </w:pPr>
            <w:r>
              <w:rPr>
                <w:color w:val="1C3A36"/>
                <w:sz w:val="15"/>
              </w:rPr>
              <w:t>2025-12-31</w:t>
            </w:r>
          </w:p>
        </w:tc>
        <w:tc>
          <w:tcPr>
            <w:tcW w:type="dxa" w:w="5832"/>
          </w:tcPr>
          <w:p>
            <w:pPr>
              <w:spacing w:after="20"/>
            </w:pPr>
            <w:r>
              <w:rPr>
                <w:color w:val="1C3A36"/>
                <w:sz w:val="15"/>
              </w:rPr>
              <w:t>Transition-period exports of oils and waxes, ~42,000 tonnes, +40% year on year on entry into new export markets</w:t>
            </w:r>
          </w:p>
        </w:tc>
      </w:tr>
      <w:tr>
        <w:tc>
          <w:tcPr>
            <w:tcW w:type="dxa" w:w="1872"/>
          </w:tcPr>
          <w:p>
            <w:pPr>
              <w:spacing w:after="20"/>
            </w:pPr>
            <w:r>
              <w:rPr>
                <w:color w:val="1C3A36"/>
                <w:sz w:val="15"/>
              </w:rPr>
              <w:t>rev_q1cy26</w:t>
            </w:r>
          </w:p>
        </w:tc>
        <w:tc>
          <w:tcPr>
            <w:tcW w:type="dxa" w:w="1440"/>
          </w:tcPr>
          <w:p>
            <w:pPr>
              <w:spacing w:after="20"/>
            </w:pPr>
            <w:r>
              <w:rPr>
                <w:color w:val="1C3A36"/>
                <w:sz w:val="15"/>
              </w:rPr>
              <w:t>10,510.0</w:t>
            </w:r>
          </w:p>
        </w:tc>
        <w:tc>
          <w:tcPr>
            <w:tcW w:type="dxa" w:w="1037"/>
          </w:tcPr>
          <w:p>
            <w:pPr>
              <w:spacing w:after="20"/>
            </w:pPr>
            <w:r>
              <w:rPr>
                <w:color w:val="1C3A36"/>
                <w:sz w:val="15"/>
              </w:rPr>
              <w:t>2026-03-31</w:t>
            </w:r>
          </w:p>
        </w:tc>
        <w:tc>
          <w:tcPr>
            <w:tcW w:type="dxa" w:w="5832"/>
          </w:tcPr>
          <w:p>
            <w:pPr>
              <w:spacing w:after="20"/>
            </w:pPr>
            <w:r>
              <w:rPr>
                <w:color w:val="1C3A36"/>
                <w:sz w:val="15"/>
              </w:rPr>
              <w:t>Consolidated net sales for the quarter to 31 March 2026, EGP 10.51bn, against EGP 10.07bn a year earlier</w:t>
            </w:r>
          </w:p>
        </w:tc>
      </w:tr>
      <w:tr>
        <w:tc>
          <w:tcPr>
            <w:tcW w:type="dxa" w:w="1872"/>
          </w:tcPr>
          <w:p>
            <w:pPr>
              <w:spacing w:after="20"/>
            </w:pPr>
            <w:r>
              <w:rPr>
                <w:color w:val="1C3A36"/>
                <w:sz w:val="15"/>
              </w:rPr>
              <w:t>pat_q1cy26</w:t>
            </w:r>
          </w:p>
        </w:tc>
        <w:tc>
          <w:tcPr>
            <w:tcW w:type="dxa" w:w="1440"/>
          </w:tcPr>
          <w:p>
            <w:pPr>
              <w:spacing w:after="20"/>
            </w:pPr>
            <w:r>
              <w:rPr>
                <w:color w:val="1C3A36"/>
                <w:sz w:val="15"/>
              </w:rPr>
              <w:t>635.1</w:t>
            </w:r>
          </w:p>
        </w:tc>
        <w:tc>
          <w:tcPr>
            <w:tcW w:type="dxa" w:w="1037"/>
          </w:tcPr>
          <w:p>
            <w:pPr>
              <w:spacing w:after="20"/>
            </w:pPr>
            <w:r>
              <w:rPr>
                <w:color w:val="1C3A36"/>
                <w:sz w:val="15"/>
              </w:rPr>
              <w:t>2026-03-31</w:t>
            </w:r>
          </w:p>
        </w:tc>
        <w:tc>
          <w:tcPr>
            <w:tcW w:type="dxa" w:w="5832"/>
          </w:tcPr>
          <w:p>
            <w:pPr>
              <w:spacing w:after="20"/>
            </w:pPr>
            <w:r>
              <w:rPr>
                <w:color w:val="1C3A36"/>
                <w:sz w:val="15"/>
              </w:rPr>
              <w:t>Consolidated net profit for the quarter to 31 March 2026, EGP 635.12mn, +37%</w:t>
            </w:r>
          </w:p>
        </w:tc>
      </w:tr>
      <w:tr>
        <w:tc>
          <w:tcPr>
            <w:tcW w:type="dxa" w:w="1872"/>
          </w:tcPr>
          <w:p>
            <w:pPr>
              <w:spacing w:after="20"/>
            </w:pPr>
            <w:r>
              <w:rPr>
                <w:color w:val="1C3A36"/>
                <w:sz w:val="15"/>
              </w:rPr>
              <w:t>rev_h1cy26_rep</w:t>
            </w:r>
          </w:p>
        </w:tc>
        <w:tc>
          <w:tcPr>
            <w:tcW w:type="dxa" w:w="1440"/>
          </w:tcPr>
          <w:p>
            <w:pPr>
              <w:spacing w:after="20"/>
            </w:pPr>
            <w:r>
              <w:rPr>
                <w:color w:val="1C3A36"/>
                <w:sz w:val="15"/>
              </w:rPr>
              <w:t>26,200.0</w:t>
            </w:r>
          </w:p>
        </w:tc>
        <w:tc>
          <w:tcPr>
            <w:tcW w:type="dxa" w:w="1037"/>
          </w:tcPr>
          <w:p>
            <w:pPr>
              <w:spacing w:after="20"/>
            </w:pPr>
            <w:r>
              <w:rPr>
                <w:color w:val="1C3A36"/>
                <w:sz w:val="15"/>
              </w:rPr>
              <w:t>2026-06-30</w:t>
            </w:r>
          </w:p>
        </w:tc>
        <w:tc>
          <w:tcPr>
            <w:tcW w:type="dxa" w:w="5832"/>
          </w:tcPr>
          <w:p>
            <w:pPr>
              <w:spacing w:after="20"/>
            </w:pPr>
            <w:r>
              <w:rPr>
                <w:color w:val="1C3A36"/>
                <w:sz w:val="15"/>
              </w:rPr>
              <w:t>Consolidated revenue reported for the six months to 30 June 2026, EGP 26.2bn, +35%. Carried as a CORROBORATING data point only, not as the forecast base — see the period-labelling note</w:t>
            </w:r>
          </w:p>
        </w:tc>
      </w:tr>
      <w:tr>
        <w:tc>
          <w:tcPr>
            <w:tcW w:type="dxa" w:w="1872"/>
          </w:tcPr>
          <w:p>
            <w:pPr>
              <w:spacing w:after="20"/>
            </w:pPr>
            <w:r>
              <w:rPr>
                <w:color w:val="1C3A36"/>
                <w:sz w:val="15"/>
              </w:rPr>
              <w:t>pat_h1cy26_rep</w:t>
            </w:r>
          </w:p>
        </w:tc>
        <w:tc>
          <w:tcPr>
            <w:tcW w:type="dxa" w:w="1440"/>
          </w:tcPr>
          <w:p>
            <w:pPr>
              <w:spacing w:after="20"/>
            </w:pPr>
            <w:r>
              <w:rPr>
                <w:color w:val="1C3A36"/>
                <w:sz w:val="15"/>
              </w:rPr>
              <w:t>1,900.0</w:t>
            </w:r>
          </w:p>
        </w:tc>
        <w:tc>
          <w:tcPr>
            <w:tcW w:type="dxa" w:w="1037"/>
          </w:tcPr>
          <w:p>
            <w:pPr>
              <w:spacing w:after="20"/>
            </w:pPr>
            <w:r>
              <w:rPr>
                <w:color w:val="1C3A36"/>
                <w:sz w:val="15"/>
              </w:rPr>
              <w:t>2026-06-30</w:t>
            </w:r>
          </w:p>
        </w:tc>
        <w:tc>
          <w:tcPr>
            <w:tcW w:type="dxa" w:w="5832"/>
          </w:tcPr>
          <w:p>
            <w:pPr>
              <w:spacing w:after="20"/>
            </w:pPr>
            <w:r>
              <w:rPr>
                <w:color w:val="1C3A36"/>
                <w:sz w:val="15"/>
              </w:rPr>
              <w:t>Consolidated net profit after tax reported for the six months to 30 June 2026, EGP 1.90bn, +109%. Corroborating only</w:t>
            </w:r>
          </w:p>
        </w:tc>
      </w:tr>
      <w:tr>
        <w:tc>
          <w:tcPr>
            <w:tcW w:type="dxa" w:w="1872"/>
          </w:tcPr>
          <w:p>
            <w:pPr>
              <w:spacing w:after="20"/>
            </w:pPr>
            <w:r>
              <w:rPr>
                <w:color w:val="1C3A36"/>
                <w:sz w:val="15"/>
              </w:rPr>
              <w:t>assets_snap</w:t>
            </w:r>
          </w:p>
        </w:tc>
        <w:tc>
          <w:tcPr>
            <w:tcW w:type="dxa" w:w="1440"/>
          </w:tcPr>
          <w:p>
            <w:pPr>
              <w:spacing w:after="20"/>
            </w:pPr>
            <w:r>
              <w:rPr>
                <w:color w:val="1C3A36"/>
                <w:sz w:val="15"/>
              </w:rPr>
              <w:t>8,136.4</w:t>
            </w:r>
          </w:p>
        </w:tc>
        <w:tc>
          <w:tcPr>
            <w:tcW w:type="dxa" w:w="1037"/>
          </w:tcPr>
          <w:p>
            <w:pPr>
              <w:spacing w:after="20"/>
            </w:pPr>
            <w:r>
              <w:rPr>
                <w:color w:val="1C3A36"/>
                <w:sz w:val="15"/>
              </w:rPr>
              <w:t>2026-03-31</w:t>
            </w:r>
          </w:p>
        </w:tc>
        <w:tc>
          <w:tcPr>
            <w:tcW w:type="dxa" w:w="5832"/>
          </w:tcPr>
          <w:p>
            <w:pPr>
              <w:spacing w:after="20"/>
            </w:pPr>
            <w:r>
              <w:rPr>
                <w:color w:val="1C3A36"/>
                <w:sz w:val="15"/>
              </w:rPr>
              <w:t>Total assets, EGP 8,136.42mn, most recent reported quarter</w:t>
            </w:r>
          </w:p>
        </w:tc>
      </w:tr>
      <w:tr>
        <w:tc>
          <w:tcPr>
            <w:tcW w:type="dxa" w:w="1872"/>
          </w:tcPr>
          <w:p>
            <w:pPr>
              <w:spacing w:after="20"/>
            </w:pPr>
            <w:r>
              <w:rPr>
                <w:color w:val="1C3A36"/>
                <w:sz w:val="15"/>
              </w:rPr>
              <w:t>liab_snap</w:t>
            </w:r>
          </w:p>
        </w:tc>
        <w:tc>
          <w:tcPr>
            <w:tcW w:type="dxa" w:w="1440"/>
          </w:tcPr>
          <w:p>
            <w:pPr>
              <w:spacing w:after="20"/>
            </w:pPr>
            <w:r>
              <w:rPr>
                <w:color w:val="1C3A36"/>
                <w:sz w:val="15"/>
              </w:rPr>
              <w:t>3,189.6</w:t>
            </w:r>
          </w:p>
        </w:tc>
        <w:tc>
          <w:tcPr>
            <w:tcW w:type="dxa" w:w="1037"/>
          </w:tcPr>
          <w:p>
            <w:pPr>
              <w:spacing w:after="20"/>
            </w:pPr>
            <w:r>
              <w:rPr>
                <w:color w:val="1C3A36"/>
                <w:sz w:val="15"/>
              </w:rPr>
              <w:t>2026-03-31</w:t>
            </w:r>
          </w:p>
        </w:tc>
        <w:tc>
          <w:tcPr>
            <w:tcW w:type="dxa" w:w="5832"/>
          </w:tcPr>
          <w:p>
            <w:pPr>
              <w:spacing w:after="20"/>
            </w:pPr>
            <w:r>
              <w:rPr>
                <w:color w:val="1C3A36"/>
                <w:sz w:val="15"/>
              </w:rPr>
              <w:t>Total liabilities, EGP 3,189.56mn, same reporting date</w:t>
            </w:r>
          </w:p>
        </w:tc>
      </w:tr>
      <w:tr>
        <w:tc>
          <w:tcPr>
            <w:tcW w:type="dxa" w:w="1872"/>
          </w:tcPr>
          <w:p>
            <w:pPr>
              <w:spacing w:after="20"/>
            </w:pPr>
            <w:r>
              <w:rPr>
                <w:color w:val="1C3A36"/>
                <w:sz w:val="15"/>
              </w:rPr>
              <w:t>cash_snap</w:t>
            </w:r>
          </w:p>
        </w:tc>
        <w:tc>
          <w:tcPr>
            <w:tcW w:type="dxa" w:w="1440"/>
          </w:tcPr>
          <w:p>
            <w:pPr>
              <w:spacing w:after="20"/>
            </w:pPr>
            <w:r>
              <w:rPr>
                <w:color w:val="1C3A36"/>
                <w:sz w:val="15"/>
              </w:rPr>
              <w:t>2,463.5</w:t>
            </w:r>
          </w:p>
        </w:tc>
        <w:tc>
          <w:tcPr>
            <w:tcW w:type="dxa" w:w="1037"/>
          </w:tcPr>
          <w:p>
            <w:pPr>
              <w:spacing w:after="20"/>
            </w:pPr>
            <w:r>
              <w:rPr>
                <w:color w:val="1C3A36"/>
                <w:sz w:val="15"/>
              </w:rPr>
              <w:t>2026-03-31</w:t>
            </w:r>
          </w:p>
        </w:tc>
        <w:tc>
          <w:tcPr>
            <w:tcW w:type="dxa" w:w="5832"/>
          </w:tcPr>
          <w:p>
            <w:pPr>
              <w:spacing w:after="20"/>
            </w:pPr>
            <w:r>
              <w:rPr>
                <w:color w:val="1C3A36"/>
                <w:sz w:val="15"/>
              </w:rPr>
              <w:t>Cash and cash equivalents, EGP 2,463.52mn, same reporting date</w:t>
            </w:r>
          </w:p>
        </w:tc>
      </w:tr>
      <w:tr>
        <w:tc>
          <w:tcPr>
            <w:tcW w:type="dxa" w:w="1872"/>
          </w:tcPr>
          <w:p>
            <w:pPr>
              <w:spacing w:after="20"/>
            </w:pPr>
            <w:r>
              <w:rPr>
                <w:color w:val="1C3A36"/>
                <w:sz w:val="15"/>
              </w:rPr>
              <w:t>debt_snap</w:t>
            </w:r>
          </w:p>
        </w:tc>
        <w:tc>
          <w:tcPr>
            <w:tcW w:type="dxa" w:w="1440"/>
          </w:tcPr>
          <w:p>
            <w:pPr>
              <w:spacing w:after="20"/>
            </w:pPr>
            <w:r>
              <w:rPr>
                <w:color w:val="1C3A36"/>
                <w:sz w:val="15"/>
              </w:rPr>
              <w:t>25.26</w:t>
            </w:r>
          </w:p>
        </w:tc>
        <w:tc>
          <w:tcPr>
            <w:tcW w:type="dxa" w:w="1037"/>
          </w:tcPr>
          <w:p>
            <w:pPr>
              <w:spacing w:after="20"/>
            </w:pPr>
            <w:r>
              <w:rPr>
                <w:color w:val="1C3A36"/>
                <w:sz w:val="15"/>
              </w:rPr>
              <w:t>2026-03-31</w:t>
            </w:r>
          </w:p>
        </w:tc>
        <w:tc>
          <w:tcPr>
            <w:tcW w:type="dxa" w:w="5832"/>
          </w:tcPr>
          <w:p>
            <w:pPr>
              <w:spacing w:after="20"/>
            </w:pPr>
            <w:r>
              <w:rPr>
                <w:color w:val="1C3A36"/>
                <w:sz w:val="15"/>
              </w:rPr>
              <w:t>Total debt, EGP 25.26mn, same reporting date. A gross debt book of 0.06% of revenue is the defining balance-sheet fact about this name</w:t>
            </w:r>
          </w:p>
        </w:tc>
      </w:tr>
      <w:tr>
        <w:tc>
          <w:tcPr>
            <w:tcW w:type="dxa" w:w="1872"/>
          </w:tcPr>
          <w:p>
            <w:pPr>
              <w:spacing w:after="20"/>
            </w:pPr>
            <w:r>
              <w:rPr>
                <w:color w:val="1C3A36"/>
                <w:sz w:val="15"/>
              </w:rPr>
              <w:t>reserves_dec25</w:t>
            </w:r>
          </w:p>
        </w:tc>
        <w:tc>
          <w:tcPr>
            <w:tcW w:type="dxa" w:w="1440"/>
          </w:tcPr>
          <w:p>
            <w:pPr>
              <w:spacing w:after="20"/>
            </w:pPr>
            <w:r>
              <w:rPr>
                <w:color w:val="1C3A36"/>
                <w:sz w:val="15"/>
              </w:rPr>
              <w:t>2,390.0</w:t>
            </w:r>
          </w:p>
        </w:tc>
        <w:tc>
          <w:tcPr>
            <w:tcW w:type="dxa" w:w="1037"/>
          </w:tcPr>
          <w:p>
            <w:pPr>
              <w:spacing w:after="20"/>
            </w:pPr>
            <w:r>
              <w:rPr>
                <w:color w:val="1C3A36"/>
                <w:sz w:val="15"/>
              </w:rPr>
              <w:t>2025-12-31</w:t>
            </w:r>
          </w:p>
        </w:tc>
        <w:tc>
          <w:tcPr>
            <w:tcW w:type="dxa" w:w="5832"/>
          </w:tcPr>
          <w:p>
            <w:pPr>
              <w:spacing w:after="20"/>
            </w:pPr>
            <w:r>
              <w:rPr>
                <w:color w:val="1C3A36"/>
                <w:sz w:val="15"/>
              </w:rPr>
              <w:t>Total reserves increased to EGP 2.39bn at the transition-period balance date</w:t>
            </w:r>
          </w:p>
        </w:tc>
      </w:tr>
      <w:tr>
        <w:tc>
          <w:tcPr>
            <w:tcW w:type="dxa" w:w="1872"/>
          </w:tcPr>
          <w:p>
            <w:pPr>
              <w:spacing w:after="20"/>
            </w:pPr>
            <w:r>
              <w:rPr>
                <w:color w:val="1C3A36"/>
                <w:sz w:val="15"/>
              </w:rPr>
              <w:t>dps</w:t>
            </w:r>
          </w:p>
        </w:tc>
        <w:tc>
          <w:tcPr>
            <w:tcW w:type="dxa" w:w="1440"/>
          </w:tcPr>
          <w:p>
            <w:pPr>
              <w:spacing w:after="20"/>
            </w:pPr>
            <w:r>
              <w:rPr>
                <w:color w:val="1C3A36"/>
                <w:sz w:val="15"/>
              </w:rPr>
              <w:t>0.8</w:t>
            </w:r>
          </w:p>
        </w:tc>
        <w:tc>
          <w:tcPr>
            <w:tcW w:type="dxa" w:w="1037"/>
          </w:tcPr>
          <w:p>
            <w:pPr>
              <w:spacing w:after="20"/>
            </w:pPr>
            <w:r>
              <w:rPr>
                <w:color w:val="1C3A36"/>
                <w:sz w:val="15"/>
              </w:rPr>
              <w:t>2026-03-28</w:t>
            </w:r>
          </w:p>
        </w:tc>
        <w:tc>
          <w:tcPr>
            <w:tcW w:type="dxa" w:w="5832"/>
          </w:tcPr>
          <w:p>
            <w:pPr>
              <w:spacing w:after="20"/>
            </w:pPr>
            <w:r>
              <w:rPr>
                <w:color w:val="1C3A36"/>
                <w:sz w:val="15"/>
              </w:rPr>
              <w:t>Declared dividend of EGP 0.80 a share a year; EGP 0.40 a share was approved for the July-December 2025 transition period at the general assembly of 28 March 2026</w:t>
            </w:r>
          </w:p>
        </w:tc>
      </w:tr>
      <w:tr>
        <w:tc>
          <w:tcPr>
            <w:tcW w:type="dxa" w:w="1872"/>
          </w:tcPr>
          <w:p>
            <w:pPr>
              <w:spacing w:after="20"/>
            </w:pPr>
            <w:r>
              <w:rPr>
                <w:color w:val="1C3A36"/>
                <w:sz w:val="15"/>
              </w:rPr>
              <w:t>payout_reported</w:t>
            </w:r>
          </w:p>
        </w:tc>
        <w:tc>
          <w:tcPr>
            <w:tcW w:type="dxa" w:w="1440"/>
          </w:tcPr>
          <w:p>
            <w:pPr>
              <w:spacing w:after="20"/>
            </w:pPr>
            <w:r>
              <w:rPr>
                <w:color w:val="1C3A36"/>
                <w:sz w:val="15"/>
              </w:rPr>
              <w:t>0.694</w:t>
            </w:r>
          </w:p>
        </w:tc>
        <w:tc>
          <w:tcPr>
            <w:tcW w:type="dxa" w:w="1037"/>
          </w:tcPr>
          <w:p>
            <w:pPr>
              <w:spacing w:after="20"/>
            </w:pPr>
            <w:r>
              <w:rPr>
                <w:color w:val="1C3A36"/>
                <w:sz w:val="15"/>
              </w:rPr>
              <w:t>2026-08-06</w:t>
            </w:r>
          </w:p>
        </w:tc>
        <w:tc>
          <w:tcPr>
            <w:tcW w:type="dxa" w:w="5832"/>
          </w:tcPr>
          <w:p>
            <w:pPr>
              <w:spacing w:after="20"/>
            </w:pPr>
            <w:r>
              <w:rPr>
                <w:color w:val="1C3A36"/>
                <w:sz w:val="15"/>
              </w:rPr>
              <w:t>Reported dividend payout ratio, 69.4%</w:t>
            </w:r>
          </w:p>
        </w:tc>
      </w:tr>
      <w:tr>
        <w:tc>
          <w:tcPr>
            <w:tcW w:type="dxa" w:w="1872"/>
          </w:tcPr>
          <w:p>
            <w:pPr>
              <w:spacing w:after="20"/>
            </w:pPr>
            <w:r>
              <w:rPr>
                <w:color w:val="1C3A36"/>
                <w:sz w:val="15"/>
              </w:rPr>
              <w:t>capex_budget</w:t>
            </w:r>
          </w:p>
        </w:tc>
        <w:tc>
          <w:tcPr>
            <w:tcW w:type="dxa" w:w="1440"/>
          </w:tcPr>
          <w:p>
            <w:pPr>
              <w:spacing w:after="20"/>
            </w:pPr>
            <w:r>
              <w:rPr>
                <w:color w:val="1C3A36"/>
                <w:sz w:val="15"/>
              </w:rPr>
              <w:t>580.2</w:t>
            </w:r>
          </w:p>
        </w:tc>
        <w:tc>
          <w:tcPr>
            <w:tcW w:type="dxa" w:w="1037"/>
          </w:tcPr>
          <w:p>
            <w:pPr>
              <w:spacing w:after="20"/>
            </w:pPr>
            <w:r>
              <w:rPr>
                <w:color w:val="1C3A36"/>
                <w:sz w:val="15"/>
              </w:rPr>
              <w:t>2025-06-30</w:t>
            </w:r>
          </w:p>
        </w:tc>
        <w:tc>
          <w:tcPr>
            <w:tcW w:type="dxa" w:w="5832"/>
          </w:tcPr>
          <w:p>
            <w:pPr>
              <w:spacing w:after="20"/>
            </w:pPr>
            <w:r>
              <w:rPr>
                <w:color w:val="1C3A36"/>
                <w:sz w:val="15"/>
              </w:rPr>
              <w:t>Approved capital budget of EGP 580.19mn for the July 2025-June 2026 planning year</w:t>
            </w:r>
          </w:p>
        </w:tc>
      </w:tr>
      <w:tr>
        <w:tc>
          <w:tcPr>
            <w:tcW w:type="dxa" w:w="1872"/>
          </w:tcPr>
          <w:p>
            <w:pPr>
              <w:spacing w:after="20"/>
            </w:pPr>
            <w:r>
              <w:rPr>
                <w:color w:val="1C3A36"/>
                <w:sz w:val="15"/>
              </w:rPr>
              <w:t>budget_rev</w:t>
            </w:r>
          </w:p>
        </w:tc>
        <w:tc>
          <w:tcPr>
            <w:tcW w:type="dxa" w:w="1440"/>
          </w:tcPr>
          <w:p>
            <w:pPr>
              <w:spacing w:after="20"/>
            </w:pPr>
            <w:r>
              <w:rPr>
                <w:color w:val="1C3A36"/>
                <w:sz w:val="15"/>
              </w:rPr>
              <w:t>37,332.0</w:t>
            </w:r>
          </w:p>
        </w:tc>
        <w:tc>
          <w:tcPr>
            <w:tcW w:type="dxa" w:w="1037"/>
          </w:tcPr>
          <w:p>
            <w:pPr>
              <w:spacing w:after="20"/>
            </w:pPr>
            <w:r>
              <w:rPr>
                <w:color w:val="1C3A36"/>
                <w:sz w:val="15"/>
              </w:rPr>
              <w:t>2025-06-30</w:t>
            </w:r>
          </w:p>
        </w:tc>
        <w:tc>
          <w:tcPr>
            <w:tcW w:type="dxa" w:w="5832"/>
          </w:tcPr>
          <w:p>
            <w:pPr>
              <w:spacing w:after="20"/>
            </w:pPr>
            <w:r>
              <w:rPr>
                <w:color w:val="1C3A36"/>
                <w:sz w:val="15"/>
              </w:rPr>
              <w:t>The company's own approved planning-budget net sales of EGP 37.332bn for July 2025-June 2026, against a budgeted net profit of about EGP 1.02bn — later revised upward to about EGP 2.1bn</w:t>
            </w:r>
          </w:p>
        </w:tc>
      </w:tr>
      <w:tr>
        <w:tc>
          <w:tcPr>
            <w:tcW w:type="dxa" w:w="1872"/>
          </w:tcPr>
          <w:p>
            <w:pPr>
              <w:spacing w:after="20"/>
            </w:pPr>
            <w:r>
              <w:rPr>
                <w:color w:val="1C3A36"/>
                <w:sz w:val="15"/>
              </w:rPr>
              <w:t>egpc_stake</w:t>
            </w:r>
          </w:p>
        </w:tc>
        <w:tc>
          <w:tcPr>
            <w:tcW w:type="dxa" w:w="1440"/>
          </w:tcPr>
          <w:p>
            <w:pPr>
              <w:spacing w:after="20"/>
            </w:pPr>
            <w:r>
              <w:rPr>
                <w:color w:val="1C3A36"/>
                <w:sz w:val="15"/>
              </w:rPr>
              <w:t>0.2</w:t>
            </w:r>
          </w:p>
        </w:tc>
        <w:tc>
          <w:tcPr>
            <w:tcW w:type="dxa" w:w="1037"/>
          </w:tcPr>
          <w:p>
            <w:pPr>
              <w:spacing w:after="20"/>
            </w:pPr>
            <w:r>
              <w:rPr>
                <w:color w:val="1C3A36"/>
                <w:sz w:val="15"/>
              </w:rPr>
              <w:t>2026-08-06</w:t>
            </w:r>
          </w:p>
        </w:tc>
        <w:tc>
          <w:tcPr>
            <w:tcW w:type="dxa" w:w="5832"/>
          </w:tcPr>
          <w:p>
            <w:pPr>
              <w:spacing w:after="20"/>
            </w:pPr>
            <w:r>
              <w:rPr>
                <w:color w:val="1C3A36"/>
                <w:sz w:val="15"/>
              </w:rPr>
              <w:t>The Egyptian General Petroleum Corporation is the second-largest single shareholder with a 20% holding</w:t>
            </w:r>
          </w:p>
        </w:tc>
      </w:tr>
    </w:tbl>
    <w:p>
      <w:pPr>
        <w:spacing w:after="40"/>
      </w:pPr>
    </w:p>
    <w:p>
      <w:pPr>
        <w:spacing w:after="60" w:before="160"/>
      </w:pPr>
      <w:r>
        <w:rPr>
          <w:b/>
          <w:i w:val="0"/>
          <w:color w:val="1C3A36"/>
          <w:sz w:val="22"/>
        </w:rPr>
        <w:t>Industry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brent_path</w:t>
            </w:r>
          </w:p>
        </w:tc>
        <w:tc>
          <w:tcPr>
            <w:tcW w:type="dxa" w:w="1440"/>
          </w:tcPr>
          <w:p>
            <w:pPr>
              <w:spacing w:after="20"/>
            </w:pPr>
            <w:r>
              <w:rPr>
                <w:color w:val="1C3A36"/>
                <w:sz w:val="15"/>
              </w:rPr>
              <w:t>70, 71.5, 73, 74.5, 76</w:t>
            </w:r>
          </w:p>
        </w:tc>
        <w:tc>
          <w:tcPr>
            <w:tcW w:type="dxa" w:w="1037"/>
          </w:tcPr>
          <w:p>
            <w:pPr>
              <w:spacing w:after="20"/>
            </w:pPr>
            <w:r>
              <w:rPr>
                <w:color w:val="1C3A36"/>
                <w:sz w:val="15"/>
              </w:rPr>
              <w:t>2026-08-06</w:t>
            </w:r>
          </w:p>
        </w:tc>
        <w:tc>
          <w:tcPr>
            <w:tcW w:type="dxa" w:w="5832"/>
          </w:tcPr>
          <w:p>
            <w:pPr>
              <w:spacing w:after="20"/>
            </w:pPr>
            <w:r>
              <w:rPr>
                <w:color w:val="1C3A36"/>
                <w:sz w:val="15"/>
              </w:rPr>
              <w:t>Brent crude reference path, USD a barrel, 2026E-2030E. A flat-to-slowly-rising deck: AMOC's realisations track product cracks rather than flat price, and the transition-period commentary attributed the volume-led revenue growth to offsetting the impact of FALLING global oil prices</w:t>
            </w:r>
          </w:p>
        </w:tc>
      </w:tr>
      <w:tr>
        <w:tc>
          <w:tcPr>
            <w:tcW w:type="dxa" w:w="1872"/>
          </w:tcPr>
          <w:p>
            <w:pPr>
              <w:spacing w:after="20"/>
            </w:pPr>
            <w:r>
              <w:rPr>
                <w:color w:val="1C3A36"/>
                <w:sz w:val="15"/>
              </w:rPr>
              <w:t>spec_price_usd_t</w:t>
            </w:r>
          </w:p>
        </w:tc>
        <w:tc>
          <w:tcPr>
            <w:tcW w:type="dxa" w:w="1440"/>
          </w:tcPr>
          <w:p>
            <w:pPr>
              <w:spacing w:after="20"/>
            </w:pPr>
            <w:r>
              <w:rPr>
                <w:color w:val="1C3A36"/>
                <w:sz w:val="15"/>
              </w:rPr>
              <w:t>1,105.0</w:t>
            </w:r>
          </w:p>
        </w:tc>
        <w:tc>
          <w:tcPr>
            <w:tcW w:type="dxa" w:w="1037"/>
          </w:tcPr>
          <w:p>
            <w:pPr>
              <w:spacing w:after="20"/>
            </w:pPr>
            <w:r>
              <w:rPr>
                <w:color w:val="1C3A36"/>
                <w:sz w:val="15"/>
              </w:rPr>
              <w:t>2026-08-06</w:t>
            </w:r>
          </w:p>
        </w:tc>
        <w:tc>
          <w:tcPr>
            <w:tcW w:type="dxa" w:w="5832"/>
          </w:tcPr>
          <w:p>
            <w:pPr>
              <w:spacing w:after="20"/>
            </w:pPr>
            <w:r>
              <w:rPr>
                <w:color w:val="1C3A36"/>
                <w:sz w:val="15"/>
              </w:rPr>
              <w:t>Blended realised price for the specialty leg (base oils SN150/SN500/SN600, fully refined paraffin wax, transformer and special oils), USD a tonne, calibrated so that the specialty and fuel legs together reproduce disclosed FY2024/25 revenue at the disclosed 1.26mn-tonne volume and 172kt specialty split</w:t>
            </w:r>
          </w:p>
        </w:tc>
      </w:tr>
      <w:tr>
        <w:tc>
          <w:tcPr>
            <w:tcW w:type="dxa" w:w="1872"/>
          </w:tcPr>
          <w:p>
            <w:pPr>
              <w:spacing w:after="20"/>
            </w:pPr>
            <w:r>
              <w:rPr>
                <w:color w:val="1C3A36"/>
                <w:sz w:val="15"/>
              </w:rPr>
              <w:t>spec_price_growth</w:t>
            </w:r>
          </w:p>
        </w:tc>
        <w:tc>
          <w:tcPr>
            <w:tcW w:type="dxa" w:w="1440"/>
          </w:tcPr>
          <w:p>
            <w:pPr>
              <w:spacing w:after="20"/>
            </w:pPr>
            <w:r>
              <w:rPr>
                <w:color w:val="1C3A36"/>
                <w:sz w:val="15"/>
              </w:rPr>
              <w:t>0.02, 0.02, 0.02, 0.02, 0.02</w:t>
            </w:r>
          </w:p>
        </w:tc>
        <w:tc>
          <w:tcPr>
            <w:tcW w:type="dxa" w:w="1037"/>
          </w:tcPr>
          <w:p>
            <w:pPr>
              <w:spacing w:after="20"/>
            </w:pPr>
            <w:r>
              <w:rPr>
                <w:color w:val="1C3A36"/>
                <w:sz w:val="15"/>
              </w:rPr>
              <w:t>2026-08-06</w:t>
            </w:r>
          </w:p>
        </w:tc>
        <w:tc>
          <w:tcPr>
            <w:tcW w:type="dxa" w:w="5832"/>
          </w:tcPr>
          <w:p>
            <w:pPr>
              <w:spacing w:after="20"/>
            </w:pPr>
            <w:r>
              <w:rPr>
                <w:color w:val="1C3A36"/>
                <w:sz w:val="15"/>
              </w:rPr>
              <w:t>Real growth in the specialty realised price, 2% a year in dollars, reflecting the export-mix shift toward higher-value waxes rather than an assumed tightening of the Group I base-oil market</w:t>
            </w:r>
          </w:p>
        </w:tc>
      </w:tr>
      <w:tr>
        <w:tc>
          <w:tcPr>
            <w:tcW w:type="dxa" w:w="1872"/>
          </w:tcPr>
          <w:p>
            <w:pPr>
              <w:spacing w:after="20"/>
            </w:pPr>
            <w:r>
              <w:rPr>
                <w:color w:val="1C3A36"/>
                <w:sz w:val="15"/>
              </w:rPr>
              <w:t>fuel_price_growth</w:t>
            </w:r>
          </w:p>
        </w:tc>
        <w:tc>
          <w:tcPr>
            <w:tcW w:type="dxa" w:w="1440"/>
          </w:tcPr>
          <w:p>
            <w:pPr>
              <w:spacing w:after="20"/>
            </w:pPr>
            <w:r>
              <w:rPr>
                <w:color w:val="1C3A36"/>
                <w:sz w:val="15"/>
              </w:rPr>
              <w:t>0.01, 0.02, 0.02, 0.02, 0.02</w:t>
            </w:r>
          </w:p>
        </w:tc>
        <w:tc>
          <w:tcPr>
            <w:tcW w:type="dxa" w:w="1037"/>
          </w:tcPr>
          <w:p>
            <w:pPr>
              <w:spacing w:after="20"/>
            </w:pPr>
            <w:r>
              <w:rPr>
                <w:color w:val="1C3A36"/>
                <w:sz w:val="15"/>
              </w:rPr>
              <w:t>2026-08-06</w:t>
            </w:r>
          </w:p>
        </w:tc>
        <w:tc>
          <w:tcPr>
            <w:tcW w:type="dxa" w:w="5832"/>
          </w:tcPr>
          <w:p>
            <w:pPr>
              <w:spacing w:after="20"/>
            </w:pPr>
            <w:r>
              <w:rPr>
                <w:color w:val="1C3A36"/>
                <w:sz w:val="15"/>
              </w:rPr>
              <w:t>Growth in the fuel-leg realised price in dollars, tracking the crude deck</w:t>
            </w:r>
          </w:p>
        </w:tc>
      </w:tr>
    </w:tbl>
    <w:p>
      <w:pPr>
        <w:spacing w:after="40"/>
      </w:pPr>
    </w:p>
    <w:p>
      <w:pPr>
        <w:spacing w:after="60" w:before="160"/>
      </w:pPr>
      <w:r>
        <w:rPr>
          <w:b/>
          <w:i w:val="0"/>
          <w:color w:val="1C3A36"/>
          <w:sz w:val="22"/>
        </w:rPr>
        <w:t>Country layer — 12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rf</w:t>
            </w:r>
          </w:p>
        </w:tc>
        <w:tc>
          <w:tcPr>
            <w:tcW w:type="dxa" w:w="1440"/>
          </w:tcPr>
          <w:p>
            <w:pPr>
              <w:spacing w:after="20"/>
            </w:pPr>
            <w:r>
              <w:rPr>
                <w:color w:val="1C3A36"/>
                <w:sz w:val="15"/>
              </w:rPr>
              <w:t>0.2231</w:t>
            </w:r>
          </w:p>
        </w:tc>
        <w:tc>
          <w:tcPr>
            <w:tcW w:type="dxa" w:w="1037"/>
          </w:tcPr>
          <w:p>
            <w:pPr>
              <w:spacing w:after="20"/>
            </w:pPr>
            <w:r>
              <w:rPr>
                <w:color w:val="1C3A36"/>
                <w:sz w:val="15"/>
              </w:rPr>
              <w:t>2026-07-21</w:t>
            </w:r>
          </w:p>
        </w:tc>
        <w:tc>
          <w:tcPr>
            <w:tcW w:type="dxa" w:w="5832"/>
          </w:tcPr>
          <w:p>
            <w:pPr>
              <w:spacing w:after="20"/>
            </w:pPr>
            <w:r>
              <w:rPr>
                <w:color w:val="1C3A36"/>
                <w:sz w:val="15"/>
              </w:rPr>
              <w:t>Egypt 10-year local-currency government bond yield, 22.31% (house cost-of-capital reference, cached 21-Jul-2026 print, re-verified 06-Aug-2026)</w:t>
            </w:r>
          </w:p>
        </w:tc>
      </w:tr>
      <w:tr>
        <w:tc>
          <w:tcPr>
            <w:tcW w:type="dxa" w:w="1872"/>
          </w:tcPr>
          <w:p>
            <w:pPr>
              <w:spacing w:after="20"/>
            </w:pPr>
            <w:r>
              <w:rPr>
                <w:color w:val="1C3A36"/>
                <w:sz w:val="15"/>
              </w:rPr>
              <w:t>sov_spread_cds</w:t>
            </w:r>
          </w:p>
        </w:tc>
        <w:tc>
          <w:tcPr>
            <w:tcW w:type="dxa" w:w="1440"/>
          </w:tcPr>
          <w:p>
            <w:pPr>
              <w:spacing w:after="20"/>
            </w:pPr>
            <w:r>
              <w:rPr>
                <w:color w:val="1C3A36"/>
                <w:sz w:val="15"/>
              </w:rPr>
              <w:t>0.034</w:t>
            </w:r>
          </w:p>
        </w:tc>
        <w:tc>
          <w:tcPr>
            <w:tcW w:type="dxa" w:w="1037"/>
          </w:tcPr>
          <w:p>
            <w:pPr>
              <w:spacing w:after="20"/>
            </w:pPr>
            <w:r>
              <w:rPr>
                <w:color w:val="1C3A36"/>
                <w:sz w:val="15"/>
              </w:rPr>
              <w:t>2026-01-05</w:t>
            </w:r>
          </w:p>
        </w:tc>
        <w:tc>
          <w:tcPr>
            <w:tcW w:type="dxa" w:w="5832"/>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1872"/>
          </w:tcPr>
          <w:p>
            <w:pPr>
              <w:spacing w:after="20"/>
            </w:pPr>
            <w:r>
              <w:rPr>
                <w:color w:val="1C3A36"/>
                <w:sz w:val="15"/>
              </w:rPr>
              <w:t>sov_spread_rating</w:t>
            </w:r>
          </w:p>
        </w:tc>
        <w:tc>
          <w:tcPr>
            <w:tcW w:type="dxa" w:w="1440"/>
          </w:tcPr>
          <w:p>
            <w:pPr>
              <w:spacing w:after="20"/>
            </w:pPr>
            <w:r>
              <w:rPr>
                <w:color w:val="1C3A36"/>
                <w:sz w:val="15"/>
              </w:rPr>
              <w:t>0.0637</w:t>
            </w:r>
          </w:p>
        </w:tc>
        <w:tc>
          <w:tcPr>
            <w:tcW w:type="dxa" w:w="1037"/>
          </w:tcPr>
          <w:p>
            <w:pPr>
              <w:spacing w:after="20"/>
            </w:pPr>
            <w:r>
              <w:rPr>
                <w:color w:val="1C3A36"/>
                <w:sz w:val="15"/>
              </w:rPr>
              <w:t>2026-01-05</w:t>
            </w:r>
          </w:p>
        </w:tc>
        <w:tc>
          <w:tcPr>
            <w:tcW w:type="dxa" w:w="5832"/>
          </w:tcPr>
          <w:p>
            <w:pPr>
              <w:spacing w:after="20"/>
            </w:pPr>
            <w:r>
              <w:rPr>
                <w:color w:val="1C3A36"/>
                <w:sz w:val="15"/>
              </w:rPr>
              <w:t>Damodaran adjusted default spread on the rating basis, January-2026 — the alternative construction, disclosed for the audit trail</w:t>
            </w:r>
          </w:p>
        </w:tc>
      </w:tr>
      <w:tr>
        <w:tc>
          <w:tcPr>
            <w:tcW w:type="dxa" w:w="1872"/>
          </w:tcPr>
          <w:p>
            <w:pPr>
              <w:spacing w:after="20"/>
            </w:pPr>
            <w:r>
              <w:rPr>
                <w:color w:val="1C3A36"/>
                <w:sz w:val="15"/>
              </w:rPr>
              <w:t>erp_cds</w:t>
            </w:r>
          </w:p>
        </w:tc>
        <w:tc>
          <w:tcPr>
            <w:tcW w:type="dxa" w:w="1440"/>
          </w:tcPr>
          <w:p>
            <w:pPr>
              <w:spacing w:after="20"/>
            </w:pPr>
            <w:r>
              <w:rPr>
                <w:color w:val="1C3A36"/>
                <w:sz w:val="15"/>
              </w:rPr>
              <w:t>0.0941</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CDS column, last updated 5 January 2026 — total equity risk premium</w:t>
            </w:r>
          </w:p>
        </w:tc>
      </w:tr>
      <w:tr>
        <w:tc>
          <w:tcPr>
            <w:tcW w:type="dxa" w:w="1872"/>
          </w:tcPr>
          <w:p>
            <w:pPr>
              <w:spacing w:after="20"/>
            </w:pPr>
            <w:r>
              <w:rPr>
                <w:color w:val="1C3A36"/>
                <w:sz w:val="15"/>
              </w:rPr>
              <w:t>erp_rating</w:t>
            </w:r>
          </w:p>
        </w:tc>
        <w:tc>
          <w:tcPr>
            <w:tcW w:type="dxa" w:w="1440"/>
          </w:tcPr>
          <w:p>
            <w:pPr>
              <w:spacing w:after="20"/>
            </w:pPr>
            <w:r>
              <w:rPr>
                <w:color w:val="1C3A36"/>
                <w:sz w:val="15"/>
              </w:rPr>
              <w:t>0.1394</w:t>
            </w:r>
          </w:p>
        </w:tc>
        <w:tc>
          <w:tcPr>
            <w:tcW w:type="dxa" w:w="1037"/>
          </w:tcPr>
          <w:p>
            <w:pPr>
              <w:spacing w:after="20"/>
            </w:pPr>
            <w:r>
              <w:rPr>
                <w:color w:val="1C3A36"/>
                <w:sz w:val="15"/>
              </w:rPr>
              <w:t>2026-01-05</w:t>
            </w:r>
          </w:p>
        </w:tc>
        <w:tc>
          <w:tcPr>
            <w:tcW w:type="dxa" w:w="5832"/>
          </w:tcPr>
          <w:p>
            <w:pPr>
              <w:spacing w:after="20"/>
            </w:pPr>
            <w:r>
              <w:rPr>
                <w:color w:val="1C3A36"/>
                <w:sz w:val="15"/>
              </w:rPr>
              <w:t>Damodaran original country-premium file, Egypt row, rating basis, January-2026 — the alternative</w:t>
            </w:r>
          </w:p>
        </w:tc>
      </w:tr>
      <w:tr>
        <w:tc>
          <w:tcPr>
            <w:tcW w:type="dxa" w:w="1872"/>
          </w:tcPr>
          <w:p>
            <w:pPr>
              <w:spacing w:after="20"/>
            </w:pPr>
            <w:r>
              <w:rPr>
                <w:color w:val="1C3A36"/>
                <w:sz w:val="15"/>
              </w:rPr>
              <w:t>policy_rate</w:t>
            </w:r>
          </w:p>
        </w:tc>
        <w:tc>
          <w:tcPr>
            <w:tcW w:type="dxa" w:w="1440"/>
          </w:tcPr>
          <w:p>
            <w:pPr>
              <w:spacing w:after="20"/>
            </w:pPr>
            <w:r>
              <w:rPr>
                <w:color w:val="1C3A36"/>
                <w:sz w:val="15"/>
              </w:rPr>
              <w:t>0.195</w:t>
            </w:r>
          </w:p>
        </w:tc>
        <w:tc>
          <w:tcPr>
            <w:tcW w:type="dxa" w:w="1037"/>
          </w:tcPr>
          <w:p>
            <w:pPr>
              <w:spacing w:after="20"/>
            </w:pPr>
            <w:r>
              <w:rPr>
                <w:color w:val="1C3A36"/>
                <w:sz w:val="15"/>
              </w:rPr>
              <w:t>2026-08-06</w:t>
            </w:r>
          </w:p>
        </w:tc>
        <w:tc>
          <w:tcPr>
            <w:tcW w:type="dxa" w:w="5832"/>
          </w:tcPr>
          <w:p>
            <w:pPr>
              <w:spacing w:after="20"/>
            </w:pPr>
            <w:r>
              <w:rPr>
                <w:color w:val="1C3A36"/>
                <w:sz w:val="15"/>
              </w:rPr>
              <w:t>Central Bank of Egypt main operation rate 19.50% (corridor 19.00/20.00), held at the third meeting of 2026 — a second consecutive hold</w:t>
            </w:r>
          </w:p>
        </w:tc>
      </w:tr>
      <w:tr>
        <w:tc>
          <w:tcPr>
            <w:tcW w:type="dxa" w:w="1872"/>
          </w:tcPr>
          <w:p>
            <w:pPr>
              <w:spacing w:after="20"/>
            </w:pPr>
            <w:r>
              <w:rPr>
                <w:color w:val="1C3A36"/>
                <w:sz w:val="15"/>
              </w:rPr>
              <w:t>cpi</w:t>
            </w:r>
          </w:p>
        </w:tc>
        <w:tc>
          <w:tcPr>
            <w:tcW w:type="dxa" w:w="1440"/>
          </w:tcPr>
          <w:p>
            <w:pPr>
              <w:spacing w:after="20"/>
            </w:pPr>
            <w:r>
              <w:rPr>
                <w:color w:val="1C3A36"/>
                <w:sz w:val="15"/>
              </w:rPr>
              <w:t>0.143</w:t>
            </w:r>
          </w:p>
        </w:tc>
        <w:tc>
          <w:tcPr>
            <w:tcW w:type="dxa" w:w="1037"/>
          </w:tcPr>
          <w:p>
            <w:pPr>
              <w:spacing w:after="20"/>
            </w:pPr>
            <w:r>
              <w:rPr>
                <w:color w:val="1C3A36"/>
                <w:sz w:val="15"/>
              </w:rPr>
              <w:t>2026-06-30</w:t>
            </w:r>
          </w:p>
        </w:tc>
        <w:tc>
          <w:tcPr>
            <w:tcW w:type="dxa" w:w="5832"/>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1872"/>
          </w:tcPr>
          <w:p>
            <w:pPr>
              <w:spacing w:after="20"/>
            </w:pPr>
            <w:r>
              <w:rPr>
                <w:color w:val="1C3A36"/>
                <w:sz w:val="15"/>
              </w:rPr>
              <w:t>cbe_target</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The central bank's own stated inflation target, 7% (+/-2pp) on average for the fourth quarter of 2026, falling to 5% (+/-2pp) for the fourth quarter of 2028</w:t>
            </w:r>
          </w:p>
        </w:tc>
      </w:tr>
      <w:tr>
        <w:tc>
          <w:tcPr>
            <w:tcW w:type="dxa" w:w="1872"/>
          </w:tcPr>
          <w:p>
            <w:pPr>
              <w:spacing w:after="20"/>
            </w:pPr>
            <w:r>
              <w:rPr>
                <w:color w:val="1C3A36"/>
                <w:sz w:val="15"/>
              </w:rPr>
              <w:t>fx</w:t>
            </w:r>
          </w:p>
        </w:tc>
        <w:tc>
          <w:tcPr>
            <w:tcW w:type="dxa" w:w="1440"/>
          </w:tcPr>
          <w:p>
            <w:pPr>
              <w:spacing w:after="20"/>
            </w:pPr>
            <w:r>
              <w:rPr>
                <w:color w:val="1C3A36"/>
                <w:sz w:val="15"/>
              </w:rPr>
              <w:t>50.25</w:t>
            </w:r>
          </w:p>
        </w:tc>
        <w:tc>
          <w:tcPr>
            <w:tcW w:type="dxa" w:w="1037"/>
          </w:tcPr>
          <w:p>
            <w:pPr>
              <w:spacing w:after="20"/>
            </w:pPr>
            <w:r>
              <w:rPr>
                <w:color w:val="1C3A36"/>
                <w:sz w:val="15"/>
              </w:rPr>
              <w:t>2026-08-06</w:t>
            </w:r>
          </w:p>
        </w:tc>
        <w:tc>
          <w:tcPr>
            <w:tcW w:type="dxa" w:w="5832"/>
          </w:tcPr>
          <w:p>
            <w:pPr>
              <w:spacing w:after="20"/>
            </w:pPr>
            <w:r>
              <w:rPr>
                <w:color w:val="1C3A36"/>
                <w:sz w:val="15"/>
              </w:rPr>
              <w:t>USD/EGP 50.25; the pound closed at 50.30/50.40 on 4 August 2026. The 52-week range is 46.64-54.86, so the currency is not range-bound</w:t>
            </w:r>
          </w:p>
        </w:tc>
      </w:tr>
      <w:tr>
        <w:tc>
          <w:tcPr>
            <w:tcW w:type="dxa" w:w="1872"/>
          </w:tcPr>
          <w:p>
            <w:pPr>
              <w:spacing w:after="20"/>
            </w:pPr>
            <w:r>
              <w:rPr>
                <w:color w:val="1C3A36"/>
                <w:sz w:val="15"/>
              </w:rPr>
              <w:t>fx_avg_cy25</w:t>
            </w:r>
          </w:p>
        </w:tc>
        <w:tc>
          <w:tcPr>
            <w:tcW w:type="dxa" w:w="1440"/>
          </w:tcPr>
          <w:p>
            <w:pPr>
              <w:spacing w:after="20"/>
            </w:pPr>
            <w:r>
              <w:rPr>
                <w:color w:val="1C3A36"/>
                <w:sz w:val="15"/>
              </w:rPr>
              <w:t>48.7</w:t>
            </w:r>
          </w:p>
        </w:tc>
        <w:tc>
          <w:tcPr>
            <w:tcW w:type="dxa" w:w="1037"/>
          </w:tcPr>
          <w:p>
            <w:pPr>
              <w:spacing w:after="20"/>
            </w:pPr>
            <w:r>
              <w:rPr>
                <w:color w:val="1C3A36"/>
                <w:sz w:val="15"/>
              </w:rPr>
              <w:t>2025-12-31</w:t>
            </w:r>
          </w:p>
        </w:tc>
        <w:tc>
          <w:tcPr>
            <w:tcW w:type="dxa" w:w="5832"/>
          </w:tcPr>
          <w:p>
            <w:pPr>
              <w:spacing w:after="20"/>
            </w:pPr>
            <w:r>
              <w:rPr>
                <w:color w:val="1C3A36"/>
                <w:sz w:val="15"/>
              </w:rPr>
              <w:t>USD/EGP average rate for calendar 2025, used to convert the dollar-denominated unit build back to the reported base year</w:t>
            </w:r>
          </w:p>
        </w:tc>
      </w:tr>
      <w:tr>
        <w:tc>
          <w:tcPr>
            <w:tcW w:type="dxa" w:w="1872"/>
          </w:tcPr>
          <w:p>
            <w:pPr>
              <w:spacing w:after="20"/>
            </w:pPr>
            <w:r>
              <w:rPr>
                <w:color w:val="1C3A36"/>
                <w:sz w:val="15"/>
              </w:rPr>
              <w:t>tax_stat</w:t>
            </w:r>
          </w:p>
        </w:tc>
        <w:tc>
          <w:tcPr>
            <w:tcW w:type="dxa" w:w="1440"/>
          </w:tcPr>
          <w:p>
            <w:pPr>
              <w:spacing w:after="20"/>
            </w:pPr>
            <w:r>
              <w:rPr>
                <w:color w:val="1C3A36"/>
                <w:sz w:val="15"/>
              </w:rPr>
              <w:t>0.225</w:t>
            </w:r>
          </w:p>
        </w:tc>
        <w:tc>
          <w:tcPr>
            <w:tcW w:type="dxa" w:w="1037"/>
          </w:tcPr>
          <w:p>
            <w:pPr>
              <w:spacing w:after="20"/>
            </w:pPr>
            <w:r>
              <w:rPr>
                <w:color w:val="1C3A36"/>
                <w:sz w:val="15"/>
              </w:rPr>
              <w:t>2026</w:t>
            </w:r>
          </w:p>
        </w:tc>
        <w:tc>
          <w:tcPr>
            <w:tcW w:type="dxa" w:w="5832"/>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1872"/>
          </w:tcPr>
          <w:p>
            <w:pPr>
              <w:spacing w:after="20"/>
            </w:pPr>
            <w:r>
              <w:rPr>
                <w:color w:val="1C3A36"/>
                <w:sz w:val="15"/>
              </w:rPr>
              <w:t>egypt_gdp_nominal</w:t>
            </w:r>
          </w:p>
        </w:tc>
        <w:tc>
          <w:tcPr>
            <w:tcW w:type="dxa" w:w="1440"/>
          </w:tcPr>
          <w:p>
            <w:pPr>
              <w:spacing w:after="20"/>
            </w:pPr>
            <w:r>
              <w:rPr>
                <w:color w:val="1C3A36"/>
                <w:sz w:val="15"/>
              </w:rPr>
              <w:t>20,000,000.0</w:t>
            </w:r>
          </w:p>
        </w:tc>
        <w:tc>
          <w:tcPr>
            <w:tcW w:type="dxa" w:w="1037"/>
          </w:tcPr>
          <w:p>
            <w:pPr>
              <w:spacing w:after="20"/>
            </w:pPr>
            <w:r>
              <w:rPr>
                <w:color w:val="1C3A36"/>
                <w:sz w:val="15"/>
              </w:rPr>
              <w:t>2026-08-06</w:t>
            </w:r>
          </w:p>
        </w:tc>
        <w:tc>
          <w:tcPr>
            <w:tcW w:type="dxa" w:w="5832"/>
          </w:tcPr>
          <w:p>
            <w:pPr>
              <w:spacing w:after="20"/>
            </w:pPr>
            <w:r>
              <w:rPr>
                <w:color w:val="1C3A36"/>
                <w:sz w:val="15"/>
              </w:rPr>
              <w:t>Egypt nominal gross domestic product, EGP mn, order of magnitude, used only for the terminal-growth crossover arithmetic</w:t>
            </w:r>
          </w:p>
        </w:tc>
      </w:tr>
    </w:tbl>
    <w:p>
      <w:pPr>
        <w:spacing w:after="40"/>
      </w:pPr>
    </w:p>
    <w:p>
      <w:pPr>
        <w:spacing w:after="60" w:before="160"/>
      </w:pPr>
      <w:r>
        <w:rPr>
          <w:b/>
          <w:i w:val="0"/>
          <w:color w:val="1C3A36"/>
          <w:sz w:val="22"/>
        </w:rPr>
        <w:t>Global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world_nominal_growth</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Long-run world nominal growth used as the terminal ceiling for the export leg</w:t>
            </w:r>
          </w:p>
        </w:tc>
      </w:tr>
      <w:tr>
        <w:tc>
          <w:tcPr>
            <w:tcW w:type="dxa" w:w="1872"/>
          </w:tcPr>
          <w:p>
            <w:pPr>
              <w:spacing w:after="20"/>
            </w:pPr>
            <w:r>
              <w:rPr>
                <w:color w:val="1C3A36"/>
                <w:sz w:val="15"/>
              </w:rPr>
              <w:t>wacc_usd_rf</w:t>
            </w:r>
          </w:p>
        </w:tc>
        <w:tc>
          <w:tcPr>
            <w:tcW w:type="dxa" w:w="1440"/>
          </w:tcPr>
          <w:p>
            <w:pPr>
              <w:spacing w:after="20"/>
            </w:pPr>
            <w:r>
              <w:rPr>
                <w:color w:val="1C3A36"/>
                <w:sz w:val="15"/>
              </w:rPr>
              <w:t>0.043</w:t>
            </w:r>
          </w:p>
        </w:tc>
        <w:tc>
          <w:tcPr>
            <w:tcW w:type="dxa" w:w="1037"/>
          </w:tcPr>
          <w:p>
            <w:pPr>
              <w:spacing w:after="20"/>
            </w:pPr>
            <w:r>
              <w:rPr>
                <w:color w:val="1C3A36"/>
                <w:sz w:val="15"/>
              </w:rPr>
              <w:t>2026-08-06</w:t>
            </w:r>
          </w:p>
        </w:tc>
        <w:tc>
          <w:tcPr>
            <w:tcW w:type="dxa" w:w="5832"/>
          </w:tcPr>
          <w:p>
            <w:pPr>
              <w:spacing w:after="20"/>
            </w:pPr>
            <w:r>
              <w:rPr>
                <w:color w:val="1C3A36"/>
                <w:sz w:val="15"/>
              </w:rPr>
              <w:t>US 10-year Treasury yield used in the currency-of-discounting alternative</w:t>
            </w:r>
          </w:p>
        </w:tc>
      </w:tr>
      <w:tr>
        <w:tc>
          <w:tcPr>
            <w:tcW w:type="dxa" w:w="1872"/>
          </w:tcPr>
          <w:p>
            <w:pPr>
              <w:spacing w:after="20"/>
            </w:pPr>
            <w:r>
              <w:rPr>
                <w:color w:val="1C3A36"/>
                <w:sz w:val="15"/>
              </w:rPr>
              <w:t>wacc_usd_erp</w:t>
            </w:r>
          </w:p>
        </w:tc>
        <w:tc>
          <w:tcPr>
            <w:tcW w:type="dxa" w:w="1440"/>
          </w:tcPr>
          <w:p>
            <w:pPr>
              <w:spacing w:after="20"/>
            </w:pPr>
            <w:r>
              <w:rPr>
                <w:color w:val="1C3A36"/>
                <w:sz w:val="15"/>
              </w:rPr>
              <w:t>0.075</w:t>
            </w:r>
          </w:p>
        </w:tc>
        <w:tc>
          <w:tcPr>
            <w:tcW w:type="dxa" w:w="1037"/>
          </w:tcPr>
          <w:p>
            <w:pPr>
              <w:spacing w:after="20"/>
            </w:pPr>
            <w:r>
              <w:rPr>
                <w:color w:val="1C3A36"/>
                <w:sz w:val="15"/>
              </w:rPr>
              <w:t>2026-08-06</w:t>
            </w:r>
          </w:p>
        </w:tc>
        <w:tc>
          <w:tcPr>
            <w:tcW w:type="dxa" w:w="5832"/>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440"/>
        <w:gridCol w:w="1037"/>
        <w:gridCol w:w="5832"/>
      </w:tblGrid>
      <w:tr>
        <w:tc>
          <w:tcPr>
            <w:tcW w:type="dxa" w:w="1872"/>
            <w:shd w:val="clear" w:color="auto" w:fill="EAF0EE"/>
          </w:tcPr>
          <w:p>
            <w:pPr>
              <w:spacing w:after="20"/>
            </w:pPr>
            <w:r>
              <w:rPr>
                <w:b/>
                <w:color w:val="1C3A36"/>
                <w:sz w:val="15"/>
              </w:rPr>
              <w:t>Input</w:t>
            </w:r>
          </w:p>
        </w:tc>
        <w:tc>
          <w:tcPr>
            <w:tcW w:type="dxa" w:w="1440"/>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5832"/>
            <w:shd w:val="clear" w:color="auto" w:fill="EAF0EE"/>
          </w:tcPr>
          <w:p>
            <w:pPr>
              <w:spacing w:after="20"/>
            </w:pPr>
            <w:r>
              <w:rPr>
                <w:b/>
                <w:color w:val="1C3A36"/>
                <w:sz w:val="15"/>
              </w:rPr>
              <w:t>Source and reasoning</w:t>
            </w:r>
          </w:p>
        </w:tc>
      </w:tr>
      <w:tr>
        <w:tc>
          <w:tcPr>
            <w:tcW w:type="dxa" w:w="1872"/>
          </w:tcPr>
          <w:p>
            <w:pPr>
              <w:spacing w:after="20"/>
            </w:pPr>
            <w:r>
              <w:rPr>
                <w:color w:val="1C3A36"/>
                <w:sz w:val="15"/>
              </w:rPr>
              <w:t>fx_path</w:t>
            </w:r>
          </w:p>
        </w:tc>
        <w:tc>
          <w:tcPr>
            <w:tcW w:type="dxa" w:w="1440"/>
          </w:tcPr>
          <w:p>
            <w:pPr>
              <w:spacing w:after="20"/>
            </w:pPr>
            <w:r>
              <w:rPr>
                <w:color w:val="1C3A36"/>
                <w:sz w:val="15"/>
              </w:rPr>
              <w:t>50.9, 53.4, 55.8, 58, 60.1</w:t>
            </w:r>
          </w:p>
        </w:tc>
        <w:tc>
          <w:tcPr>
            <w:tcW w:type="dxa" w:w="1037"/>
          </w:tcPr>
          <w:p>
            <w:pPr>
              <w:spacing w:after="20"/>
            </w:pPr>
            <w:r>
              <w:rPr>
                <w:color w:val="1C3A36"/>
                <w:sz w:val="15"/>
              </w:rPr>
              <w:t>2026-08-06</w:t>
            </w:r>
          </w:p>
        </w:tc>
        <w:tc>
          <w:tcPr>
            <w:tcW w:type="dxa" w:w="5832"/>
          </w:tcPr>
          <w:p>
            <w:pPr>
              <w:spacing w:after="20"/>
            </w:pPr>
            <w:r>
              <w:rPr>
                <w:color w:val="1C3A36"/>
                <w:sz w:val="15"/>
              </w:rPr>
              <w:t>USD/EGP average-rate path, about 4.5% a year of depreciation from the 2025 average. Below the inflation differential, on the view that the post-float regime and the reserve build slow the pass-through — this is a genuine driver: both revenue legs are priced off dollar product benchmarks</w:t>
            </w:r>
          </w:p>
        </w:tc>
      </w:tr>
      <w:tr>
        <w:tc>
          <w:tcPr>
            <w:tcW w:type="dxa" w:w="1872"/>
          </w:tcPr>
          <w:p>
            <w:pPr>
              <w:spacing w:after="20"/>
            </w:pPr>
            <w:r>
              <w:rPr>
                <w:color w:val="1C3A36"/>
                <w:sz w:val="15"/>
              </w:rPr>
              <w:t>egypt_nominal_growth</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Long-run Egyptian nominal growth used as the terminal ceiling for the domestic leg</w:t>
            </w:r>
          </w:p>
        </w:tc>
      </w:tr>
      <w:tr>
        <w:tc>
          <w:tcPr>
            <w:tcW w:type="dxa" w:w="1872"/>
          </w:tcPr>
          <w:p>
            <w:pPr>
              <w:spacing w:after="20"/>
            </w:pPr>
            <w:r>
              <w:rPr>
                <w:color w:val="1C3A36"/>
                <w:sz w:val="15"/>
              </w:rPr>
              <w:t>beta</w:t>
            </w:r>
          </w:p>
        </w:tc>
        <w:tc>
          <w:tcPr>
            <w:tcW w:type="dxa" w:w="1440"/>
          </w:tcPr>
          <w:p>
            <w:pPr>
              <w:spacing w:after="20"/>
            </w:pPr>
            <w:r>
              <w:rPr>
                <w:color w:val="1C3A36"/>
                <w:sz w:val="15"/>
              </w:rPr>
              <w:t>0.9405</w:t>
            </w:r>
          </w:p>
        </w:tc>
        <w:tc>
          <w:tcPr>
            <w:tcW w:type="dxa" w:w="1037"/>
          </w:tcPr>
          <w:p>
            <w:pPr>
              <w:spacing w:after="20"/>
            </w:pPr>
            <w:r>
              <w:rPr>
                <w:color w:val="1C3A36"/>
                <w:sz w:val="15"/>
              </w:rPr>
              <w:t>2026-08-06</w:t>
            </w:r>
          </w:p>
        </w:tc>
        <w:tc>
          <w:tcPr>
            <w:tcW w:type="dxa" w:w="5832"/>
          </w:tcPr>
          <w:p>
            <w:pPr>
              <w:spacing w:after="20"/>
            </w:pPr>
            <w:r>
              <w:rPr>
                <w:color w:val="1C3A36"/>
                <w:sz w:val="15"/>
              </w:rPr>
              <w:t>Own-stock tier-1 regression: AMOC weekly log-returns against a 33-name equal-weight Egyptian Exchange composite built from the full covered library, five-year window. R-squared 0.312, n = 257, standard error 0.087, 90% confidence interval [0.797, 1.084]. Passes the usability gate comfortably and is NOT a weak instrument: the interval spans 0.29x the point estimate, well inside the 2x flag</w:t>
            </w:r>
          </w:p>
        </w:tc>
      </w:tr>
      <w:tr>
        <w:tc>
          <w:tcPr>
            <w:tcW w:type="dxa" w:w="1872"/>
          </w:tcPr>
          <w:p>
            <w:pPr>
              <w:spacing w:after="20"/>
            </w:pPr>
            <w:r>
              <w:rPr>
                <w:color w:val="1C3A36"/>
                <w:sz w:val="15"/>
              </w:rPr>
              <w:t>tax_eff</w:t>
            </w:r>
          </w:p>
        </w:tc>
        <w:tc>
          <w:tcPr>
            <w:tcW w:type="dxa" w:w="1440"/>
          </w:tcPr>
          <w:p>
            <w:pPr>
              <w:spacing w:after="20"/>
            </w:pPr>
            <w:r>
              <w:rPr>
                <w:color w:val="1C3A36"/>
                <w:sz w:val="15"/>
              </w:rPr>
              <w:t>0.235</w:t>
            </w:r>
          </w:p>
        </w:tc>
        <w:tc>
          <w:tcPr>
            <w:tcW w:type="dxa" w:w="1037"/>
          </w:tcPr>
          <w:p>
            <w:pPr>
              <w:spacing w:after="20"/>
            </w:pPr>
            <w:r>
              <w:rPr>
                <w:color w:val="1C3A36"/>
                <w:sz w:val="15"/>
              </w:rPr>
              <w:t>2026-08-06</w:t>
            </w:r>
          </w:p>
        </w:tc>
        <w:tc>
          <w:tcPr>
            <w:tcW w:type="dxa" w:w="5832"/>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1872"/>
          </w:tcPr>
          <w:p>
            <w:pPr>
              <w:spacing w:after="20"/>
            </w:pPr>
            <w:r>
              <w:rPr>
                <w:color w:val="1C3A36"/>
                <w:sz w:val="15"/>
              </w:rPr>
              <w:t>nci_share</w:t>
            </w:r>
          </w:p>
        </w:tc>
        <w:tc>
          <w:tcPr>
            <w:tcW w:type="dxa" w:w="1440"/>
          </w:tcPr>
          <w:p>
            <w:pPr>
              <w:spacing w:after="20"/>
            </w:pPr>
            <w:r>
              <w:rPr>
                <w:color w:val="1C3A36"/>
                <w:sz w:val="15"/>
              </w:rPr>
              <w:t>0.03</w:t>
            </w:r>
          </w:p>
        </w:tc>
        <w:tc>
          <w:tcPr>
            <w:tcW w:type="dxa" w:w="1037"/>
          </w:tcPr>
          <w:p>
            <w:pPr>
              <w:spacing w:after="20"/>
            </w:pPr>
            <w:r>
              <w:rPr>
                <w:color w:val="1C3A36"/>
                <w:sz w:val="15"/>
              </w:rPr>
              <w:t>2026-08-06</w:t>
            </w:r>
          </w:p>
        </w:tc>
        <w:tc>
          <w:tcPr>
            <w:tcW w:type="dxa" w:w="5832"/>
          </w:tcPr>
          <w:p>
            <w:pPr>
              <w:spacing w:after="20"/>
            </w:pPr>
            <w:r>
              <w:rPr>
                <w:color w:val="1C3A36"/>
                <w:sz w:val="15"/>
              </w:rPr>
              <w:t>Minority interests' share of group profit. Consolidated FY2024/25 profit of EGP 1,550mn against standalone EGP 1,490mn means non-parent entities contribute EGP 60mn, about 3.9% of the group; the minority slice of that is smaller again. Held at 3.0% and sensitised</w:t>
            </w:r>
          </w:p>
        </w:tc>
      </w:tr>
      <w:tr>
        <w:tc>
          <w:tcPr>
            <w:tcW w:type="dxa" w:w="1872"/>
          </w:tcPr>
          <w:p>
            <w:pPr>
              <w:spacing w:after="20"/>
            </w:pPr>
            <w:r>
              <w:rPr>
                <w:color w:val="1C3A36"/>
                <w:sz w:val="15"/>
              </w:rPr>
              <w:t>recv_days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1872"/>
          </w:tcPr>
          <w:p>
            <w:pPr>
              <w:spacing w:after="20"/>
            </w:pPr>
            <w:r>
              <w:rPr>
                <w:color w:val="1C3A36"/>
                <w:sz w:val="15"/>
              </w:rPr>
              <w:t>inv_days</w:t>
            </w:r>
          </w:p>
        </w:tc>
        <w:tc>
          <w:tcPr>
            <w:tcW w:type="dxa" w:w="1440"/>
          </w:tcPr>
          <w:p>
            <w:pPr>
              <w:spacing w:after="20"/>
            </w:pPr>
            <w:r>
              <w:rPr>
                <w:color w:val="1C3A36"/>
                <w:sz w:val="15"/>
              </w:rPr>
              <w:t>14</w:t>
            </w:r>
          </w:p>
        </w:tc>
        <w:tc>
          <w:tcPr>
            <w:tcW w:type="dxa" w:w="1037"/>
          </w:tcPr>
          <w:p>
            <w:pPr>
              <w:spacing w:after="20"/>
            </w:pPr>
            <w:r>
              <w:rPr>
                <w:color w:val="1C3A36"/>
                <w:sz w:val="15"/>
              </w:rPr>
              <w:t>2026-08-06</w:t>
            </w:r>
          </w:p>
        </w:tc>
        <w:tc>
          <w:tcPr>
            <w:tcW w:type="dxa" w:w="5832"/>
          </w:tcPr>
          <w:p>
            <w:pPr>
              <w:spacing w:after="20"/>
            </w:pPr>
            <w:r>
              <w:rPr>
                <w:color w:val="1C3A36"/>
                <w:sz w:val="15"/>
              </w:rPr>
              <w:t>Inventory days on cost of sales. Feedstock is drawn from the adjacent refining complex rather than imported and stocked</w:t>
            </w:r>
          </w:p>
        </w:tc>
      </w:tr>
      <w:tr>
        <w:tc>
          <w:tcPr>
            <w:tcW w:type="dxa" w:w="1872"/>
          </w:tcPr>
          <w:p>
            <w:pPr>
              <w:spacing w:after="20"/>
            </w:pPr>
            <w:r>
              <w:rPr>
                <w:color w:val="1C3A36"/>
                <w:sz w:val="15"/>
              </w:rPr>
              <w:t>pay_days</w:t>
            </w:r>
          </w:p>
        </w:tc>
        <w:tc>
          <w:tcPr>
            <w:tcW w:type="dxa" w:w="1440"/>
          </w:tcPr>
          <w:p>
            <w:pPr>
              <w:spacing w:after="20"/>
            </w:pPr>
            <w:r>
              <w:rPr>
                <w:color w:val="1C3A36"/>
                <w:sz w:val="15"/>
              </w:rPr>
              <w:t>24</w:t>
            </w:r>
          </w:p>
        </w:tc>
        <w:tc>
          <w:tcPr>
            <w:tcW w:type="dxa" w:w="1037"/>
          </w:tcPr>
          <w:p>
            <w:pPr>
              <w:spacing w:after="20"/>
            </w:pPr>
            <w:r>
              <w:rPr>
                <w:color w:val="1C3A36"/>
                <w:sz w:val="15"/>
              </w:rPr>
              <w:t>2026-08-06</w:t>
            </w:r>
          </w:p>
        </w:tc>
        <w:tc>
          <w:tcPr>
            <w:tcW w:type="dxa" w:w="5832"/>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1872"/>
          </w:tcPr>
          <w:p>
            <w:pPr>
              <w:spacing w:after="20"/>
            </w:pPr>
            <w:r>
              <w:rPr>
                <w:color w:val="1C3A36"/>
                <w:sz w:val="15"/>
              </w:rPr>
              <w:t>other_ca</w:t>
            </w:r>
          </w:p>
        </w:tc>
        <w:tc>
          <w:tcPr>
            <w:tcW w:type="dxa" w:w="1440"/>
          </w:tcPr>
          <w:p>
            <w:pPr>
              <w:spacing w:after="20"/>
            </w:pPr>
            <w:r>
              <w:rPr>
                <w:color w:val="1C3A36"/>
                <w:sz w:val="15"/>
              </w:rPr>
              <w:t>300.0</w:t>
            </w:r>
          </w:p>
        </w:tc>
        <w:tc>
          <w:tcPr>
            <w:tcW w:type="dxa" w:w="1037"/>
          </w:tcPr>
          <w:p>
            <w:pPr>
              <w:spacing w:after="20"/>
            </w:pPr>
            <w:r>
              <w:rPr>
                <w:color w:val="1C3A36"/>
                <w:sz w:val="15"/>
              </w:rPr>
              <w:t>2026-08-06</w:t>
            </w:r>
          </w:p>
        </w:tc>
        <w:tc>
          <w:tcPr>
            <w:tcW w:type="dxa" w:w="5832"/>
          </w:tcPr>
          <w:p>
            <w:pPr>
              <w:spacing w:after="20"/>
            </w:pPr>
            <w:r>
              <w:rPr>
                <w:color w:val="1C3A36"/>
                <w:sz w:val="15"/>
              </w:rPr>
              <w:t>Other current assets, EGP mn, held flat</w:t>
            </w:r>
          </w:p>
        </w:tc>
      </w:tr>
      <w:tr>
        <w:tc>
          <w:tcPr>
            <w:tcW w:type="dxa" w:w="1872"/>
          </w:tcPr>
          <w:p>
            <w:pPr>
              <w:spacing w:after="20"/>
            </w:pPr>
            <w:r>
              <w:rPr>
                <w:color w:val="1C3A36"/>
                <w:sz w:val="15"/>
              </w:rPr>
              <w:t>dna_pct</w:t>
            </w:r>
          </w:p>
        </w:tc>
        <w:tc>
          <w:tcPr>
            <w:tcW w:type="dxa" w:w="1440"/>
          </w:tcPr>
          <w:p>
            <w:pPr>
              <w:spacing w:after="20"/>
            </w:pPr>
            <w:r>
              <w:rPr>
                <w:color w:val="1C3A36"/>
                <w:sz w:val="15"/>
              </w:rPr>
              <w:t>0.011</w:t>
            </w:r>
          </w:p>
        </w:tc>
        <w:tc>
          <w:tcPr>
            <w:tcW w:type="dxa" w:w="1037"/>
          </w:tcPr>
          <w:p>
            <w:pPr>
              <w:spacing w:after="20"/>
            </w:pPr>
            <w:r>
              <w:rPr>
                <w:color w:val="1C3A36"/>
                <w:sz w:val="15"/>
              </w:rPr>
              <w:t>2026-08-06</w:t>
            </w:r>
          </w:p>
        </w:tc>
        <w:tc>
          <w:tcPr>
            <w:tcW w:type="dxa" w:w="5832"/>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1872"/>
          </w:tcPr>
          <w:p>
            <w:pPr>
              <w:spacing w:after="20"/>
            </w:pPr>
            <w:r>
              <w:rPr>
                <w:color w:val="1C3A36"/>
                <w:sz w:val="15"/>
              </w:rPr>
              <w:t>capex_pct</w:t>
            </w:r>
          </w:p>
        </w:tc>
        <w:tc>
          <w:tcPr>
            <w:tcW w:type="dxa" w:w="1440"/>
          </w:tcPr>
          <w:p>
            <w:pPr>
              <w:spacing w:after="20"/>
            </w:pPr>
            <w:r>
              <w:rPr>
                <w:color w:val="1C3A36"/>
                <w:sz w:val="15"/>
              </w:rPr>
              <w:t>0.0145, 0.014, 0.0135, 0.013, 0.0125</w:t>
            </w:r>
          </w:p>
        </w:tc>
        <w:tc>
          <w:tcPr>
            <w:tcW w:type="dxa" w:w="1037"/>
          </w:tcPr>
          <w:p>
            <w:pPr>
              <w:spacing w:after="20"/>
            </w:pPr>
            <w:r>
              <w:rPr>
                <w:color w:val="1C3A36"/>
                <w:sz w:val="15"/>
              </w:rPr>
              <w:t>2026-08-06</w:t>
            </w:r>
          </w:p>
        </w:tc>
        <w:tc>
          <w:tcPr>
            <w:tcW w:type="dxa" w:w="5832"/>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1872"/>
          </w:tcPr>
          <w:p>
            <w:pPr>
              <w:spacing w:after="20"/>
            </w:pPr>
            <w:r>
              <w:rPr>
                <w:color w:val="1C3A36"/>
                <w:sz w:val="15"/>
              </w:rPr>
              <w:t>opex_pct</w:t>
            </w:r>
          </w:p>
        </w:tc>
        <w:tc>
          <w:tcPr>
            <w:tcW w:type="dxa" w:w="1440"/>
          </w:tcPr>
          <w:p>
            <w:pPr>
              <w:spacing w:after="20"/>
            </w:pPr>
            <w:r>
              <w:rPr>
                <w:color w:val="1C3A36"/>
                <w:sz w:val="15"/>
              </w:rPr>
              <w:t>0.0125, 0.0125, 0.0126, 0.0127, 0.0128</w:t>
            </w:r>
          </w:p>
        </w:tc>
        <w:tc>
          <w:tcPr>
            <w:tcW w:type="dxa" w:w="1037"/>
          </w:tcPr>
          <w:p>
            <w:pPr>
              <w:spacing w:after="20"/>
            </w:pPr>
            <w:r>
              <w:rPr>
                <w:color w:val="1C3A36"/>
                <w:sz w:val="15"/>
              </w:rPr>
              <w:t>2026-08-06</w:t>
            </w:r>
          </w:p>
        </w:tc>
        <w:tc>
          <w:tcPr>
            <w:tcW w:type="dxa" w:w="5832"/>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1872"/>
          </w:tcPr>
          <w:p>
            <w:pPr>
              <w:spacing w:after="20"/>
            </w:pPr>
            <w:r>
              <w:rPr>
                <w:color w:val="1C3A36"/>
                <w:sz w:val="15"/>
              </w:rPr>
              <w:t>vol_growth</w:t>
            </w:r>
          </w:p>
        </w:tc>
        <w:tc>
          <w:tcPr>
            <w:tcW w:type="dxa" w:w="1440"/>
          </w:tcPr>
          <w:p>
            <w:pPr>
              <w:spacing w:after="20"/>
            </w:pPr>
            <w:r>
              <w:rPr>
                <w:color w:val="1C3A36"/>
                <w:sz w:val="15"/>
              </w:rPr>
              <w:t>0.055, 0.04, 0.035, 0.03, 0.025</w:t>
            </w:r>
          </w:p>
        </w:tc>
        <w:tc>
          <w:tcPr>
            <w:tcW w:type="dxa" w:w="1037"/>
          </w:tcPr>
          <w:p>
            <w:pPr>
              <w:spacing w:after="20"/>
            </w:pPr>
            <w:r>
              <w:rPr>
                <w:color w:val="1C3A36"/>
                <w:sz w:val="15"/>
              </w:rPr>
              <w:t>2026-08-06</w:t>
            </w:r>
          </w:p>
        </w:tc>
        <w:tc>
          <w:tcPr>
            <w:tcW w:type="dxa" w:w="5832"/>
          </w:tcPr>
          <w:p>
            <w:pPr>
              <w:spacing w:after="20"/>
            </w:pPr>
            <w:r>
              <w:rPr>
                <w:color w:val="1C3A36"/>
                <w:sz w:val="15"/>
              </w:rPr>
              <w:t>Total throughput growth. The transition period ran 808kt in six months, an annualised 1.616mn tonnes against 1.26mn in FY2024/25 — the step-change is already IN the base year, so the forecast carries only the residual utilisation gain, tapering to maintenance growth</w:t>
            </w:r>
          </w:p>
        </w:tc>
      </w:tr>
      <w:tr>
        <w:tc>
          <w:tcPr>
            <w:tcW w:type="dxa" w:w="1872"/>
          </w:tcPr>
          <w:p>
            <w:pPr>
              <w:spacing w:after="20"/>
            </w:pPr>
            <w:r>
              <w:rPr>
                <w:color w:val="1C3A36"/>
                <w:sz w:val="15"/>
              </w:rPr>
              <w:t>spec_vol_growth</w:t>
            </w:r>
          </w:p>
        </w:tc>
        <w:tc>
          <w:tcPr>
            <w:tcW w:type="dxa" w:w="1440"/>
          </w:tcPr>
          <w:p>
            <w:pPr>
              <w:spacing w:after="20"/>
            </w:pPr>
            <w:r>
              <w:rPr>
                <w:color w:val="1C3A36"/>
                <w:sz w:val="15"/>
              </w:rPr>
              <w:t>0.09, 0.07, 0.055, 0.045, 0.04</w:t>
            </w:r>
          </w:p>
        </w:tc>
        <w:tc>
          <w:tcPr>
            <w:tcW w:type="dxa" w:w="1037"/>
          </w:tcPr>
          <w:p>
            <w:pPr>
              <w:spacing w:after="20"/>
            </w:pPr>
            <w:r>
              <w:rPr>
                <w:color w:val="1C3A36"/>
                <w:sz w:val="15"/>
              </w:rPr>
              <w:t>2026-08-06</w:t>
            </w:r>
          </w:p>
        </w:tc>
        <w:tc>
          <w:tcPr>
            <w:tcW w:type="dxa" w:w="5832"/>
          </w:tcPr>
          <w:p>
            <w:pPr>
              <w:spacing w:after="20"/>
            </w:pPr>
            <w:r>
              <w:rPr>
                <w:color w:val="1C3A36"/>
                <w:sz w:val="15"/>
              </w:rPr>
              <w:t>Specialty-leg volume growth, faster than the total on the export push: exports of oils and waxes rose 40% year on year in the transition period on entry into new markets</w:t>
            </w:r>
          </w:p>
        </w:tc>
      </w:tr>
      <w:tr>
        <w:tc>
          <w:tcPr>
            <w:tcW w:type="dxa" w:w="1872"/>
          </w:tcPr>
          <w:p>
            <w:pPr>
              <w:spacing w:after="20"/>
            </w:pPr>
            <w:r>
              <w:rPr>
                <w:color w:val="1C3A36"/>
                <w:sz w:val="15"/>
              </w:rPr>
              <w:t>gm_hist</w:t>
            </w:r>
          </w:p>
        </w:tc>
        <w:tc>
          <w:tcPr>
            <w:tcW w:type="dxa" w:w="1440"/>
          </w:tcPr>
          <w:p>
            <w:pPr>
              <w:spacing w:after="20"/>
            </w:pPr>
            <w:r>
              <w:rPr>
                <w:color w:val="1C3A36"/>
                <w:sz w:val="15"/>
              </w:rPr>
              <w:t>0.0576, 0.06, 0.062, 0.064</w:t>
            </w:r>
          </w:p>
        </w:tc>
        <w:tc>
          <w:tcPr>
            <w:tcW w:type="dxa" w:w="1037"/>
          </w:tcPr>
          <w:p>
            <w:pPr>
              <w:spacing w:after="20"/>
            </w:pPr>
            <w:r>
              <w:rPr>
                <w:color w:val="1C3A36"/>
                <w:sz w:val="15"/>
              </w:rPr>
              <w:t>2026-08-06</w:t>
            </w:r>
          </w:p>
        </w:tc>
        <w:tc>
          <w:tcPr>
            <w:tcW w:type="dxa" w:w="5832"/>
          </w:tcPr>
          <w:p>
            <w:pPr>
              <w:spacing w:after="20"/>
            </w:pPr>
            <w:r>
              <w:rPr>
                <w:color w:val="1C3A36"/>
                <w:sz w:val="15"/>
              </w:rPr>
              <w:t>Gross margin for the four historical periods. The FY2022/23 figure is DISCLOSED (cost of sales EGP 21,218.64mn against gross profit EGP 1,297.01mn); the later three are a house path rising gently on the specialty mix shift. They cannot be closed from reported profit, because reported pre-tax profit in these years contains substantial NON-OPERATING income — chiefly exchange gains on export receivables through the 2022-24 devaluation sequence — which is isolated on its own line rather than buried in the operating result</w:t>
            </w:r>
          </w:p>
        </w:tc>
      </w:tr>
      <w:tr>
        <w:tc>
          <w:tcPr>
            <w:tcW w:type="dxa" w:w="1872"/>
          </w:tcPr>
          <w:p>
            <w:pPr>
              <w:spacing w:after="20"/>
            </w:pPr>
            <w:r>
              <w:rPr>
                <w:color w:val="1C3A36"/>
                <w:sz w:val="15"/>
              </w:rPr>
              <w:t>gm_path</w:t>
            </w:r>
          </w:p>
        </w:tc>
        <w:tc>
          <w:tcPr>
            <w:tcW w:type="dxa" w:w="1440"/>
          </w:tcPr>
          <w:p>
            <w:pPr>
              <w:spacing w:after="20"/>
            </w:pPr>
            <w:r>
              <w:rPr>
                <w:color w:val="1C3A36"/>
                <w:sz w:val="15"/>
              </w:rPr>
              <w:t>0.065, 0.0665, 0.0675, 0.0682, 0.0688</w:t>
            </w:r>
          </w:p>
        </w:tc>
        <w:tc>
          <w:tcPr>
            <w:tcW w:type="dxa" w:w="1037"/>
          </w:tcPr>
          <w:p>
            <w:pPr>
              <w:spacing w:after="20"/>
            </w:pPr>
            <w:r>
              <w:rPr>
                <w:color w:val="1C3A36"/>
                <w:sz w:val="15"/>
              </w:rPr>
              <w:t>2026-08-06</w:t>
            </w:r>
          </w:p>
        </w:tc>
        <w:tc>
          <w:tcPr>
            <w:tcW w:type="dxa" w:w="5832"/>
          </w:tcPr>
          <w:p>
            <w:pPr>
              <w:spacing w:after="20"/>
            </w:pPr>
            <w:r>
              <w:rPr>
                <w:color w:val="1C3A36"/>
                <w:sz w:val="15"/>
              </w:rPr>
              <w:t>Gross margin path. FY2022/23 printed 5.76% on disclosed cost of sales and gross profit; the 2025 base year closes at a higher level on mix. The path widens gently on the specialty share and then flattens — deliberately BELOW what the six months to June 2026 would imply, because that print has not been corroborated by a second source</w:t>
            </w:r>
          </w:p>
        </w:tc>
      </w:tr>
      <w:tr>
        <w:tc>
          <w:tcPr>
            <w:tcW w:type="dxa" w:w="1872"/>
          </w:tcPr>
          <w:p>
            <w:pPr>
              <w:spacing w:after="20"/>
            </w:pPr>
            <w:r>
              <w:rPr>
                <w:color w:val="1C3A36"/>
                <w:sz w:val="15"/>
              </w:rPr>
              <w:t>cash_yield</w:t>
            </w:r>
          </w:p>
        </w:tc>
        <w:tc>
          <w:tcPr>
            <w:tcW w:type="dxa" w:w="1440"/>
          </w:tcPr>
          <w:p>
            <w:pPr>
              <w:spacing w:after="20"/>
            </w:pPr>
            <w:r>
              <w:rPr>
                <w:color w:val="1C3A36"/>
                <w:sz w:val="15"/>
              </w:rPr>
              <w:t>0.17</w:t>
            </w:r>
          </w:p>
        </w:tc>
        <w:tc>
          <w:tcPr>
            <w:tcW w:type="dxa" w:w="1037"/>
          </w:tcPr>
          <w:p>
            <w:pPr>
              <w:spacing w:after="20"/>
            </w:pPr>
            <w:r>
              <w:rPr>
                <w:color w:val="1C3A36"/>
                <w:sz w:val="15"/>
              </w:rPr>
              <w:t>2026-08-06</w:t>
            </w:r>
          </w:p>
        </w:tc>
        <w:tc>
          <w:tcPr>
            <w:tcW w:type="dxa" w:w="5832"/>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1872"/>
          </w:tcPr>
          <w:p>
            <w:pPr>
              <w:spacing w:after="20"/>
            </w:pPr>
            <w:r>
              <w:rPr>
                <w:color w:val="1C3A36"/>
                <w:sz w:val="15"/>
              </w:rPr>
              <w:t>cash_yield_path</w:t>
            </w:r>
          </w:p>
        </w:tc>
        <w:tc>
          <w:tcPr>
            <w:tcW w:type="dxa" w:w="1440"/>
          </w:tcPr>
          <w:p>
            <w:pPr>
              <w:spacing w:after="20"/>
            </w:pPr>
            <w:r>
              <w:rPr>
                <w:color w:val="1C3A36"/>
                <w:sz w:val="15"/>
              </w:rPr>
              <w:t>0.17, 0.15, 0.135, 0.125, 0.118</w:t>
            </w:r>
          </w:p>
        </w:tc>
        <w:tc>
          <w:tcPr>
            <w:tcW w:type="dxa" w:w="1037"/>
          </w:tcPr>
          <w:p>
            <w:pPr>
              <w:spacing w:after="20"/>
            </w:pPr>
            <w:r>
              <w:rPr>
                <w:color w:val="1C3A36"/>
                <w:sz w:val="15"/>
              </w:rPr>
              <w:t>2026-08-06</w:t>
            </w:r>
          </w:p>
        </w:tc>
        <w:tc>
          <w:tcPr>
            <w:tcW w:type="dxa" w:w="5832"/>
          </w:tcPr>
          <w:p>
            <w:pPr>
              <w:spacing w:after="20"/>
            </w:pPr>
            <w:r>
              <w:rPr>
                <w:color w:val="1C3A36"/>
                <w:sz w:val="15"/>
              </w:rPr>
              <w:t>Forward path for the deposit yield, easing with the policy rate</w:t>
            </w:r>
          </w:p>
        </w:tc>
      </w:tr>
      <w:tr>
        <w:tc>
          <w:tcPr>
            <w:tcW w:type="dxa" w:w="1872"/>
          </w:tcPr>
          <w:p>
            <w:pPr>
              <w:spacing w:after="20"/>
            </w:pPr>
            <w:r>
              <w:rPr>
                <w:color w:val="1C3A36"/>
                <w:sz w:val="15"/>
              </w:rPr>
              <w:t>kd</w:t>
            </w:r>
          </w:p>
        </w:tc>
        <w:tc>
          <w:tcPr>
            <w:tcW w:type="dxa" w:w="1440"/>
          </w:tcPr>
          <w:p>
            <w:pPr>
              <w:spacing w:after="20"/>
            </w:pPr>
            <w:r>
              <w:rPr>
                <w:color w:val="1C3A36"/>
                <w:sz w:val="15"/>
              </w:rPr>
              <w:t>0.22</w:t>
            </w:r>
          </w:p>
        </w:tc>
        <w:tc>
          <w:tcPr>
            <w:tcW w:type="dxa" w:w="1037"/>
          </w:tcPr>
          <w:p>
            <w:pPr>
              <w:spacing w:after="20"/>
            </w:pPr>
            <w:r>
              <w:rPr>
                <w:color w:val="1C3A36"/>
                <w:sz w:val="15"/>
              </w:rPr>
              <w:t>2026-08-06</w:t>
            </w:r>
          </w:p>
        </w:tc>
        <w:tc>
          <w:tcPr>
            <w:tcW w:type="dxa" w:w="5832"/>
          </w:tcPr>
          <w:p>
            <w:pPr>
              <w:spacing w:after="20"/>
            </w:pPr>
            <w:r>
              <w:rPr>
                <w:color w:val="1C3A36"/>
                <w:sz w:val="15"/>
              </w:rPr>
              <w:t>Marginal cost of debt. The gross book is EGP 25mn — 0.06% of revenue — of short-dated Egyptian-pound facilities, so the rate is taken at the corridor lending rate of 20.00% plus a 200bp corporate spread rather than pretended to be observable. The integrity gate below computes what this input is actually WORTH to the answer</w:t>
            </w:r>
          </w:p>
        </w:tc>
      </w:tr>
      <w:tr>
        <w:tc>
          <w:tcPr>
            <w:tcW w:type="dxa" w:w="1872"/>
          </w:tcPr>
          <w:p>
            <w:pPr>
              <w:spacing w:after="20"/>
            </w:pPr>
            <w:r>
              <w:rPr>
                <w:color w:val="1C3A36"/>
                <w:sz w:val="15"/>
              </w:rPr>
              <w:t>kd_path</w:t>
            </w:r>
          </w:p>
        </w:tc>
        <w:tc>
          <w:tcPr>
            <w:tcW w:type="dxa" w:w="1440"/>
          </w:tcPr>
          <w:p>
            <w:pPr>
              <w:spacing w:after="20"/>
            </w:pPr>
            <w:r>
              <w:rPr>
                <w:color w:val="1C3A36"/>
                <w:sz w:val="15"/>
              </w:rPr>
              <w:t>0.22, 0.195, 0.175, 0.16, 0.15</w:t>
            </w:r>
          </w:p>
        </w:tc>
        <w:tc>
          <w:tcPr>
            <w:tcW w:type="dxa" w:w="1037"/>
          </w:tcPr>
          <w:p>
            <w:pPr>
              <w:spacing w:after="20"/>
            </w:pPr>
            <w:r>
              <w:rPr>
                <w:color w:val="1C3A36"/>
                <w:sz w:val="15"/>
              </w:rPr>
              <w:t>2026-08-06</w:t>
            </w:r>
          </w:p>
        </w:tc>
        <w:tc>
          <w:tcPr>
            <w:tcW w:type="dxa" w:w="5832"/>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1872"/>
          </w:tcPr>
          <w:p>
            <w:pPr>
              <w:spacing w:after="20"/>
            </w:pPr>
            <w:r>
              <w:rPr>
                <w:color w:val="1C3A36"/>
                <w:sz w:val="15"/>
              </w:rPr>
              <w:t>kd_term</w:t>
            </w:r>
          </w:p>
        </w:tc>
        <w:tc>
          <w:tcPr>
            <w:tcW w:type="dxa" w:w="1440"/>
          </w:tcPr>
          <w:p>
            <w:pPr>
              <w:spacing w:after="20"/>
            </w:pPr>
            <w:r>
              <w:rPr>
                <w:color w:val="1C3A36"/>
                <w:sz w:val="15"/>
              </w:rPr>
              <w:t>0.15</w:t>
            </w:r>
          </w:p>
        </w:tc>
        <w:tc>
          <w:tcPr>
            <w:tcW w:type="dxa" w:w="1037"/>
          </w:tcPr>
          <w:p>
            <w:pPr>
              <w:spacing w:after="20"/>
            </w:pPr>
            <w:r>
              <w:rPr>
                <w:color w:val="1C3A36"/>
                <w:sz w:val="15"/>
              </w:rPr>
              <w:t>2026-08-06</w:t>
            </w:r>
          </w:p>
        </w:tc>
        <w:tc>
          <w:tcPr>
            <w:tcW w:type="dxa" w:w="5832"/>
          </w:tcPr>
          <w:p>
            <w:pPr>
              <w:spacing w:after="20"/>
            </w:pPr>
            <w:r>
              <w:rPr>
                <w:color w:val="1C3A36"/>
                <w:sz w:val="15"/>
              </w:rPr>
              <w:t>Terminal cost of debt: the midpoint of the 14-16% long-run Egyptian corporate-borrowing norm, with no name-specific reason to deviate</w:t>
            </w:r>
          </w:p>
        </w:tc>
      </w:tr>
      <w:tr>
        <w:tc>
          <w:tcPr>
            <w:tcW w:type="dxa" w:w="1872"/>
          </w:tcPr>
          <w:p>
            <w:pPr>
              <w:spacing w:after="20"/>
            </w:pPr>
            <w:r>
              <w:rPr>
                <w:color w:val="1C3A36"/>
                <w:sz w:val="15"/>
              </w:rPr>
              <w:t>rf_term</w:t>
            </w:r>
          </w:p>
        </w:tc>
        <w:tc>
          <w:tcPr>
            <w:tcW w:type="dxa" w:w="1440"/>
          </w:tcPr>
          <w:p>
            <w:pPr>
              <w:spacing w:after="20"/>
            </w:pPr>
            <w:r>
              <w:rPr>
                <w:color w:val="1C3A36"/>
                <w:sz w:val="15"/>
              </w:rPr>
              <w:t>0.105</w:t>
            </w:r>
          </w:p>
        </w:tc>
        <w:tc>
          <w:tcPr>
            <w:tcW w:type="dxa" w:w="1037"/>
          </w:tcPr>
          <w:p>
            <w:pPr>
              <w:spacing w:after="20"/>
            </w:pPr>
            <w:r>
              <w:rPr>
                <w:color w:val="1C3A36"/>
                <w:sz w:val="15"/>
              </w:rPr>
              <w:t>2026-08-06</w:t>
            </w:r>
          </w:p>
        </w:tc>
        <w:tc>
          <w:tcPr>
            <w:tcW w:type="dxa" w:w="5832"/>
          </w:tcPr>
          <w:p>
            <w:pPr>
              <w:spacing w:after="20"/>
            </w:pPr>
            <w:r>
              <w:rPr>
                <w:color w:val="1C3A36"/>
                <w:sz w:val="15"/>
              </w:rPr>
              <w:t>Terminal risk-free rate, norm-built: the central bank's own stated medium-term inflation target of 5% plus the standard ~5.5pp emerging-market real-rate convention. Never a raw historical average and never backed out of a price</w:t>
            </w:r>
          </w:p>
        </w:tc>
      </w:tr>
      <w:tr>
        <w:tc>
          <w:tcPr>
            <w:tcW w:type="dxa" w:w="1872"/>
          </w:tcPr>
          <w:p>
            <w:pPr>
              <w:spacing w:after="20"/>
            </w:pPr>
            <w:r>
              <w:rPr>
                <w:color w:val="1C3A36"/>
                <w:sz w:val="15"/>
              </w:rPr>
              <w:t>erp_term</w:t>
            </w:r>
          </w:p>
        </w:tc>
        <w:tc>
          <w:tcPr>
            <w:tcW w:type="dxa" w:w="1440"/>
          </w:tcPr>
          <w:p>
            <w:pPr>
              <w:spacing w:after="20"/>
            </w:pPr>
            <w:r>
              <w:rPr>
                <w:color w:val="1C3A36"/>
                <w:sz w:val="15"/>
              </w:rPr>
              <w:t>0.07</w:t>
            </w:r>
          </w:p>
        </w:tc>
        <w:tc>
          <w:tcPr>
            <w:tcW w:type="dxa" w:w="1037"/>
          </w:tcPr>
          <w:p>
            <w:pPr>
              <w:spacing w:after="20"/>
            </w:pPr>
            <w:r>
              <w:rPr>
                <w:color w:val="1C3A36"/>
                <w:sz w:val="15"/>
              </w:rPr>
              <w:t>2026-08-06</w:t>
            </w:r>
          </w:p>
        </w:tc>
        <w:tc>
          <w:tcPr>
            <w:tcW w:type="dxa" w:w="5832"/>
          </w:tcPr>
          <w:p>
            <w:pPr>
              <w:spacing w:after="20"/>
            </w:pPr>
            <w:r>
              <w:rPr>
                <w:color w:val="1C3A36"/>
                <w:sz w:val="15"/>
              </w:rPr>
              <w:t>Terminal equity risk premium, normalised below the currently elevated crisis-era level toward the rating-class norm; never held flat into perpetuity</w:t>
            </w:r>
          </w:p>
        </w:tc>
      </w:tr>
      <w:tr>
        <w:tc>
          <w:tcPr>
            <w:tcW w:type="dxa" w:w="1872"/>
          </w:tcPr>
          <w:p>
            <w:pPr>
              <w:spacing w:after="20"/>
            </w:pPr>
            <w:r>
              <w:rPr>
                <w:color w:val="1C3A36"/>
                <w:sz w:val="15"/>
              </w:rPr>
              <w:t>wd_term</w:t>
            </w:r>
          </w:p>
        </w:tc>
        <w:tc>
          <w:tcPr>
            <w:tcW w:type="dxa" w:w="1440"/>
          </w:tcPr>
          <w:p>
            <w:pPr>
              <w:spacing w:after="20"/>
            </w:pPr>
            <w:r>
              <w:rPr>
                <w:color w:val="1C3A36"/>
                <w:sz w:val="15"/>
              </w:rPr>
              <w:t>0.1</w:t>
            </w:r>
          </w:p>
        </w:tc>
        <w:tc>
          <w:tcPr>
            <w:tcW w:type="dxa" w:w="1037"/>
          </w:tcPr>
          <w:p>
            <w:pPr>
              <w:spacing w:after="20"/>
            </w:pPr>
            <w:r>
              <w:rPr>
                <w:color w:val="1C3A36"/>
                <w:sz w:val="15"/>
              </w:rPr>
              <w:t>2026-08-06</w:t>
            </w:r>
          </w:p>
        </w:tc>
        <w:tc>
          <w:tcPr>
            <w:tcW w:type="dxa" w:w="5832"/>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1872"/>
          </w:tcPr>
          <w:p>
            <w:pPr>
              <w:spacing w:after="20"/>
            </w:pPr>
            <w:r>
              <w:rPr>
                <w:color w:val="1C3A36"/>
                <w:sz w:val="15"/>
              </w:rPr>
              <w:t>g_term</w:t>
            </w:r>
          </w:p>
        </w:tc>
        <w:tc>
          <w:tcPr>
            <w:tcW w:type="dxa" w:w="1440"/>
          </w:tcPr>
          <w:p>
            <w:pPr>
              <w:spacing w:after="20"/>
            </w:pPr>
            <w:r>
              <w:rPr>
                <w:color w:val="1C3A36"/>
                <w:sz w:val="15"/>
              </w:rPr>
              <w:t>0.05</w:t>
            </w:r>
          </w:p>
        </w:tc>
        <w:tc>
          <w:tcPr>
            <w:tcW w:type="dxa" w:w="1037"/>
          </w:tcPr>
          <w:p>
            <w:pPr>
              <w:spacing w:after="20"/>
            </w:pPr>
            <w:r>
              <w:rPr>
                <w:color w:val="1C3A36"/>
                <w:sz w:val="15"/>
              </w:rPr>
              <w:t>2026-08-06</w:t>
            </w:r>
          </w:p>
        </w:tc>
        <w:tc>
          <w:tcPr>
            <w:tcW w:type="dxa" w:w="5832"/>
          </w:tcPr>
          <w:p>
            <w:pPr>
              <w:spacing w:after="20"/>
            </w:pPr>
            <w:r>
              <w:rPr>
                <w:color w:val="1C3A36"/>
                <w:sz w:val="15"/>
              </w:rPr>
              <w:t>Terminal growth, 5% — the standing centre for established names in this market once currency turbulence has passed, sensitised 3-7%. An EGP-nominal rate struck against an EGP-nominal terminal risk-free rate</w:t>
            </w:r>
          </w:p>
        </w:tc>
      </w:tr>
      <w:tr>
        <w:tc>
          <w:tcPr>
            <w:tcW w:type="dxa" w:w="1872"/>
          </w:tcPr>
          <w:p>
            <w:pPr>
              <w:spacing w:after="20"/>
            </w:pPr>
            <w:r>
              <w:rPr>
                <w:color w:val="1C3A36"/>
                <w:sz w:val="15"/>
              </w:rPr>
              <w:t>ev_ebitda_just</w:t>
            </w:r>
          </w:p>
        </w:tc>
        <w:tc>
          <w:tcPr>
            <w:tcW w:type="dxa" w:w="1440"/>
          </w:tcPr>
          <w:p>
            <w:pPr>
              <w:spacing w:after="20"/>
            </w:pPr>
            <w:r>
              <w:rPr>
                <w:color w:val="1C3A36"/>
                <w:sz w:val="15"/>
              </w:rPr>
              <w:t>4.5</w:t>
            </w:r>
          </w:p>
        </w:tc>
        <w:tc>
          <w:tcPr>
            <w:tcW w:type="dxa" w:w="1037"/>
          </w:tcPr>
          <w:p>
            <w:pPr>
              <w:spacing w:after="20"/>
            </w:pPr>
            <w:r>
              <w:rPr>
                <w:color w:val="1C3A36"/>
                <w:sz w:val="15"/>
              </w:rPr>
              <w:t>2026-08-06</w:t>
            </w:r>
          </w:p>
        </w:tc>
        <w:tc>
          <w:tcPr>
            <w:tcW w:type="dxa" w:w="5832"/>
          </w:tcPr>
          <w:p>
            <w:pPr>
              <w:spacing w:after="20"/>
            </w:pPr>
            <w:r>
              <w:rPr>
                <w:color w:val="1C3A36"/>
                <w:sz w:val="15"/>
              </w:rPr>
              <w:t>Justified enterprise-value-to-EBITDA multiple on mid-cycle 2028E EBITDA. The company's own trailing multiple is around 4.6x on the constructed 2025 base. Group I base-oil refiners and independent lube processors trade 4-6x; 4.5x holds the name at its own trailing level rather than assuming a re-rating. Bear 3.5x / bull 6.0x</w:t>
            </w:r>
          </w:p>
        </w:tc>
      </w:tr>
      <w:tr>
        <w:tc>
          <w:tcPr>
            <w:tcW w:type="dxa" w:w="1872"/>
          </w:tcPr>
          <w:p>
            <w:pPr>
              <w:spacing w:after="20"/>
            </w:pPr>
            <w:r>
              <w:rPr>
                <w:color w:val="1C3A36"/>
                <w:sz w:val="15"/>
              </w:rPr>
              <w:t>pe_just</w:t>
            </w:r>
          </w:p>
        </w:tc>
        <w:tc>
          <w:tcPr>
            <w:tcW w:type="dxa" w:w="1440"/>
          </w:tcPr>
          <w:p>
            <w:pPr>
              <w:spacing w:after="20"/>
            </w:pPr>
            <w:r>
              <w:rPr>
                <w:color w:val="1C3A36"/>
                <w:sz w:val="15"/>
              </w:rPr>
              <w:t>7.5</w:t>
            </w:r>
          </w:p>
        </w:tc>
        <w:tc>
          <w:tcPr>
            <w:tcW w:type="dxa" w:w="1037"/>
          </w:tcPr>
          <w:p>
            <w:pPr>
              <w:spacing w:after="20"/>
            </w:pPr>
            <w:r>
              <w:rPr>
                <w:color w:val="1C3A36"/>
                <w:sz w:val="15"/>
              </w:rPr>
              <w:t>2026-08-06</w:t>
            </w:r>
          </w:p>
        </w:tc>
        <w:tc>
          <w:tcPr>
            <w:tcW w:type="dxa" w:w="5832"/>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1872"/>
          </w:tcPr>
          <w:p>
            <w:pPr>
              <w:spacing w:after="20"/>
            </w:pPr>
            <w:r>
              <w:rPr>
                <w:color w:val="1C3A36"/>
                <w:sz w:val="15"/>
              </w:rPr>
              <w:t>roe_sust</w:t>
            </w:r>
          </w:p>
        </w:tc>
        <w:tc>
          <w:tcPr>
            <w:tcW w:type="dxa" w:w="1440"/>
          </w:tcPr>
          <w:p>
            <w:pPr>
              <w:spacing w:after="20"/>
            </w:pPr>
            <w:r>
              <w:rPr>
                <w:color w:val="1C3A36"/>
                <w:sz w:val="15"/>
              </w:rPr>
              <w:t>0.28</w:t>
            </w:r>
          </w:p>
        </w:tc>
        <w:tc>
          <w:tcPr>
            <w:tcW w:type="dxa" w:w="1037"/>
          </w:tcPr>
          <w:p>
            <w:pPr>
              <w:spacing w:after="20"/>
            </w:pPr>
            <w:r>
              <w:rPr>
                <w:color w:val="1C3A36"/>
                <w:sz w:val="15"/>
              </w:rPr>
              <w:t>2026-08-06</w:t>
            </w:r>
          </w:p>
        </w:tc>
        <w:tc>
          <w:tcPr>
            <w:tcW w:type="dxa" w:w="5832"/>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r>
        <w:tc>
          <w:tcPr>
            <w:tcW w:type="dxa" w:w="1872"/>
          </w:tcPr>
          <w:p>
            <w:pPr>
              <w:spacing w:after="20"/>
            </w:pPr>
            <w:r>
              <w:rPr>
                <w:color w:val="1C3A36"/>
                <w:sz w:val="15"/>
              </w:rPr>
              <w:t>lens_weights</w:t>
            </w:r>
          </w:p>
        </w:tc>
        <w:tc>
          <w:tcPr>
            <w:tcW w:type="dxa" w:w="1440"/>
          </w:tcPr>
          <w:p>
            <w:pPr>
              <w:spacing w:after="20"/>
            </w:pPr>
            <w:r>
              <w:rPr>
                <w:color w:val="1C3A36"/>
                <w:sz w:val="15"/>
              </w:rPr>
              <w:t>dcf: 0.45; relative: 0.2; normalized: 0.2; book: 0.15</w:t>
            </w:r>
          </w:p>
        </w:tc>
        <w:tc>
          <w:tcPr>
            <w:tcW w:type="dxa" w:w="1037"/>
          </w:tcPr>
          <w:p>
            <w:pPr>
              <w:spacing w:after="20"/>
            </w:pPr>
            <w:r>
              <w:rPr>
                <w:color w:val="1C3A36"/>
                <w:sz w:val="15"/>
              </w:rPr>
              <w:t>2026-08-06</w:t>
            </w:r>
          </w:p>
        </w:tc>
        <w:tc>
          <w:tcPr>
            <w:tcW w:type="dxa" w:w="5832"/>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024"/>
        <w:gridCol w:w="4176"/>
      </w:tblGrid>
      <w:tr>
        <w:tc>
          <w:tcPr>
            <w:tcW w:type="dxa" w:w="2808"/>
            <w:shd w:val="clear" w:color="auto" w:fill="EAF0EE"/>
          </w:tcPr>
          <w:p>
            <w:pPr>
              <w:spacing w:after="20"/>
            </w:pPr>
            <w:r>
              <w:rPr>
                <w:b/>
                <w:color w:val="1C3A36"/>
                <w:sz w:val="15"/>
              </w:rPr>
              <w:t>What was sought</w:t>
            </w:r>
          </w:p>
        </w:tc>
        <w:tc>
          <w:tcPr>
            <w:tcW w:type="dxa" w:w="3024"/>
            <w:shd w:val="clear" w:color="auto" w:fill="EAF0EE"/>
          </w:tcPr>
          <w:p>
            <w:pPr>
              <w:spacing w:after="20"/>
            </w:pPr>
            <w:r>
              <w:rPr>
                <w:b/>
                <w:color w:val="1C3A36"/>
                <w:sz w:val="15"/>
              </w:rPr>
              <w:t>Why it matters</w:t>
            </w:r>
          </w:p>
        </w:tc>
        <w:tc>
          <w:tcPr>
            <w:tcW w:type="dxa" w:w="4176"/>
            <w:shd w:val="clear" w:color="auto" w:fill="EAF0EE"/>
          </w:tcPr>
          <w:p>
            <w:pPr>
              <w:spacing w:after="20"/>
            </w:pPr>
            <w:r>
              <w:rPr>
                <w:b/>
                <w:color w:val="1C3A36"/>
                <w:sz w:val="15"/>
              </w:rPr>
              <w:t>Outcome</w:t>
            </w:r>
          </w:p>
        </w:tc>
      </w:tr>
      <w:tr>
        <w:tc>
          <w:tcPr>
            <w:tcW w:type="dxa" w:w="2808"/>
          </w:tcPr>
          <w:p>
            <w:pPr>
              <w:spacing w:after="20"/>
            </w:pPr>
            <w:r>
              <w:rPr>
                <w:color w:val="1C3A36"/>
                <w:sz w:val="15"/>
              </w:rPr>
              <w:t>The audited consolidated financial statements for the year to 30 June 2025 and the transition period to 31 December 2025</w:t>
            </w:r>
          </w:p>
        </w:tc>
        <w:tc>
          <w:tcPr>
            <w:tcW w:type="dxa" w:w="3024"/>
          </w:tcPr>
          <w:p>
            <w:pPr>
              <w:spacing w:after="20"/>
            </w:pPr>
            <w:r>
              <w:rPr>
                <w:color w:val="1C3A36"/>
                <w:sz w:val="15"/>
              </w:rPr>
              <w:t>Would replace the entire reconstructed balance sheet and the closed income statement with disclosed lines</w:t>
            </w:r>
          </w:p>
        </w:tc>
        <w:tc>
          <w:tcPr>
            <w:tcW w:type="dxa" w:w="4176"/>
          </w:tcPr>
          <w:p>
            <w:pPr>
              <w:spacing w:after="20"/>
            </w:pPr>
            <w:r>
              <w:rPr>
                <w:color w:val="1C3A36"/>
                <w:sz w:val="15"/>
              </w:rPr>
              <w:t>NOT REACHED. The company's investor-relations site and its published statement PDFs refused connection under the network policy in force</w:t>
            </w:r>
          </w:p>
        </w:tc>
      </w:tr>
      <w:tr>
        <w:tc>
          <w:tcPr>
            <w:tcW w:type="dxa" w:w="2808"/>
          </w:tcPr>
          <w:p>
            <w:pPr>
              <w:spacing w:after="20"/>
            </w:pPr>
            <w:r>
              <w:rPr>
                <w:color w:val="1C3A36"/>
                <w:sz w:val="15"/>
              </w:rPr>
              <w:t>The exchange's own disclosure pages for the company</w:t>
            </w:r>
          </w:p>
        </w:tc>
        <w:tc>
          <w:tcPr>
            <w:tcW w:type="dxa" w:w="3024"/>
          </w:tcPr>
          <w:p>
            <w:pPr>
              <w:spacing w:after="20"/>
            </w:pPr>
            <w:r>
              <w:rPr>
                <w:color w:val="1C3A36"/>
                <w:sz w:val="15"/>
              </w:rPr>
              <w:t>Would confirm the transition-period filing and the year-end change directly rather than through reporting of them</w:t>
            </w:r>
          </w:p>
        </w:tc>
        <w:tc>
          <w:tcPr>
            <w:tcW w:type="dxa" w:w="4176"/>
          </w:tcPr>
          <w:p>
            <w:pPr>
              <w:spacing w:after="20"/>
            </w:pPr>
            <w:r>
              <w:rPr>
                <w:color w:val="1C3A36"/>
                <w:sz w:val="15"/>
              </w:rPr>
              <w:t>NOT REACHED. Same cause</w:t>
            </w:r>
          </w:p>
        </w:tc>
      </w:tr>
      <w:tr>
        <w:tc>
          <w:tcPr>
            <w:tcW w:type="dxa" w:w="2808"/>
          </w:tcPr>
          <w:p>
            <w:pPr>
              <w:spacing w:after="20"/>
            </w:pPr>
            <w:r>
              <w:rPr>
                <w:color w:val="1C3A36"/>
                <w:sz w:val="15"/>
              </w:rPr>
              <w:t>A segmental or product-line revenue disclosure</w:t>
            </w:r>
          </w:p>
        </w:tc>
        <w:tc>
          <w:tcPr>
            <w:tcW w:type="dxa" w:w="3024"/>
          </w:tcPr>
          <w:p>
            <w:pPr>
              <w:spacing w:after="20"/>
            </w:pPr>
            <w:r>
              <w:rPr>
                <w:color w:val="1C3A36"/>
                <w:sz w:val="15"/>
              </w:rPr>
              <w:t>The two-leg split used here is built from a disclosed tonnage figure and a calibrated specialty price, not from a segment note</w:t>
            </w:r>
          </w:p>
        </w:tc>
        <w:tc>
          <w:tcPr>
            <w:tcW w:type="dxa" w:w="4176"/>
          </w:tcPr>
          <w:p>
            <w:pPr>
              <w:spacing w:after="20"/>
            </w:pPr>
            <w:r>
              <w:rPr>
                <w:color w:val="1C3A36"/>
                <w:sz w:val="15"/>
              </w:rPr>
              <w:t>NOT FOUND. The split is therefore checked against a plausible implied fuel realisation of about USD 438 a tonne rather than against a disclosure</w:t>
            </w:r>
          </w:p>
        </w:tc>
      </w:tr>
      <w:tr>
        <w:tc>
          <w:tcPr>
            <w:tcW w:type="dxa" w:w="2808"/>
          </w:tcPr>
          <w:p>
            <w:pPr>
              <w:spacing w:after="20"/>
            </w:pPr>
            <w:r>
              <w:rPr>
                <w:color w:val="1C3A36"/>
                <w:sz w:val="15"/>
              </w:rPr>
              <w:t>A disclosed non-controlling-interest balance or profit share</w:t>
            </w:r>
          </w:p>
        </w:tc>
        <w:tc>
          <w:tcPr>
            <w:tcW w:type="dxa" w:w="3024"/>
          </w:tcPr>
          <w:p>
            <w:pPr>
              <w:spacing w:after="20"/>
            </w:pPr>
            <w:r>
              <w:rPr>
                <w:color w:val="1C3A36"/>
                <w:sz w:val="15"/>
              </w:rPr>
              <w:t>The minority deduction in the bridge is inferred from the gap between consolidated and standalone profit</w:t>
            </w:r>
          </w:p>
        </w:tc>
        <w:tc>
          <w:tcPr>
            <w:tcW w:type="dxa" w:w="4176"/>
          </w:tcPr>
          <w:p>
            <w:pPr>
              <w:spacing w:after="20"/>
            </w:pPr>
            <w:r>
              <w:rPr>
                <w:color w:val="1C3A36"/>
                <w:sz w:val="15"/>
              </w:rPr>
              <w:t>NOT FOUND. Held at 3.0% and sensitised to 6%, which moves the answer by -3.1%</w:t>
            </w:r>
          </w:p>
        </w:tc>
      </w:tr>
      <w:tr>
        <w:tc>
          <w:tcPr>
            <w:tcW w:type="dxa" w:w="2808"/>
          </w:tcPr>
          <w:p>
            <w:pPr>
              <w:spacing w:after="20"/>
            </w:pPr>
            <w:r>
              <w:rPr>
                <w:color w:val="1C3A36"/>
                <w:sz w:val="15"/>
              </w:rPr>
              <w:t>A disclosed depreciation charge, capital-expenditure actual, or property, plant and equipment balance</w:t>
            </w:r>
          </w:p>
        </w:tc>
        <w:tc>
          <w:tcPr>
            <w:tcW w:type="dxa" w:w="3024"/>
          </w:tcPr>
          <w:p>
            <w:pPr>
              <w:spacing w:after="20"/>
            </w:pPr>
            <w:r>
              <w:rPr>
                <w:color w:val="1C3A36"/>
                <w:sz w:val="15"/>
              </w:rPr>
              <w:t>All three are drivers of the free-cash-flow waterfall</w:t>
            </w:r>
          </w:p>
        </w:tc>
        <w:tc>
          <w:tcPr>
            <w:tcW w:type="dxa" w:w="417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2808"/>
          </w:tcPr>
          <w:p>
            <w:pPr>
              <w:spacing w:after="20"/>
            </w:pPr>
            <w:r>
              <w:rPr>
                <w:color w:val="1C3A36"/>
                <w:sz w:val="15"/>
              </w:rPr>
              <w:t>A traded credit-default-swap quote for Egypt as at August 2026</w:t>
            </w:r>
          </w:p>
        </w:tc>
        <w:tc>
          <w:tcPr>
            <w:tcW w:type="dxa" w:w="3024"/>
          </w:tcPr>
          <w:p>
            <w:pPr>
              <w:spacing w:after="20"/>
            </w:pPr>
            <w:r>
              <w:rPr>
                <w:color w:val="1C3A36"/>
                <w:sz w:val="15"/>
              </w:rPr>
              <w:t>The sovereign spread netted out of the risk-free rate</w:t>
            </w:r>
          </w:p>
        </w:tc>
        <w:tc>
          <w:tcPr>
            <w:tcW w:type="dxa" w:w="4176"/>
          </w:tcPr>
          <w:p>
            <w:pPr>
              <w:spacing w:after="20"/>
            </w:pPr>
            <w:r>
              <w:rPr>
                <w:color w:val="1C3A36"/>
                <w:sz w:val="15"/>
              </w:rPr>
              <w:t>NOT REACHED live. The January-2026 published country-premium file is used, and the rating-basis alternative is computed and published as a value</w:t>
            </w:r>
          </w:p>
        </w:tc>
      </w:tr>
      <w:tr>
        <w:tc>
          <w:tcPr>
            <w:tcW w:type="dxa" w:w="2808"/>
          </w:tcPr>
          <w:p>
            <w:pPr>
              <w:spacing w:after="20"/>
            </w:pPr>
            <w:r>
              <w:rPr>
                <w:color w:val="1C3A36"/>
                <w:sz w:val="15"/>
              </w:rPr>
              <w:t>Listed peer multiples for Egyptian or regional lubricant base-oil processors</w:t>
            </w:r>
          </w:p>
        </w:tc>
        <w:tc>
          <w:tcPr>
            <w:tcW w:type="dxa" w:w="3024"/>
          </w:tcPr>
          <w:p>
            <w:pPr>
              <w:spacing w:after="20"/>
            </w:pPr>
            <w:r>
              <w:rPr>
                <w:color w:val="1C3A36"/>
                <w:sz w:val="15"/>
              </w:rPr>
              <w:t>The relative lens</w:t>
            </w:r>
          </w:p>
        </w:tc>
        <w:tc>
          <w:tcPr>
            <w:tcW w:type="dxa" w:w="417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