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Alexandria Mineral Oils Company S.A.E. (EGX: AMOC)</w:t>
      </w:r>
    </w:p>
    <w:p>
      <w:pPr>
        <w:spacing w:after="120" w:before="0"/>
      </w:pPr>
      <w:r>
        <w:rPr>
          <w:b w:val="0"/>
          <w:i w:val="0"/>
          <w:color w:val="6E7B77"/>
          <w:sz w:val="20"/>
        </w:rPr>
        <w:t>Downstream petroleum processor — lubricant base oils, fully refined paraffin wax, special oils, gas oil, naphtha, liquefied petroleum gas and fuel-oil blend · Egyptian Exchange · reporting currency EGP · analysis anchored on the closing price of 9.10 on 2026-08-06.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rating and no price target. What it contains is a fair-value range built from disclosed financial statements, a stated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carries no implied timeframe. A share can trade above or below an intrinsic estimate for years.</w:t>
            </w:r>
          </w:p>
          <w:p>
            <w:pPr>
              <w:spacing w:after="100"/>
            </w:pPr>
            <w:r>
              <w:rPr>
                <w:b/>
                <w:color w:val="1C3A36"/>
                <w:sz w:val="19"/>
              </w:rPr>
              <w:t xml:space="preserve">Where the numbers come from. </w:t>
            </w:r>
            <w:r>
              <w:rPr>
                <w:color w:val="1C3A36"/>
                <w:sz w:val="19"/>
              </w:rPr>
              <w:t>Every figure traces to a source recorded in the accompanying source register, which is issued as a separate document. Where a figure is derived rather than disclosed it is labelled as derived and the derivation is shown on the face of the companion model.</w:t>
            </w:r>
          </w:p>
          <w:p>
            <w:pPr>
              <w:spacing w:after="100"/>
            </w:pPr>
            <w:r>
              <w:rPr>
                <w:b/>
                <w:color w:val="1C3A36"/>
                <w:sz w:val="19"/>
              </w:rPr>
              <w:t xml:space="preserve">The single largest uncertainty. </w:t>
            </w:r>
            <w:r>
              <w:rPr>
                <w:color w:val="1C3A36"/>
                <w:sz w:val="19"/>
              </w:rPr>
              <w:t>The company changed its financial year end from 30 June to 31 December during the period under review, and the disclosure available for the resulting stub and transition periods is thinner than for a clean twelve-month year. The base year used here is CONSTRUCTED from two separately disclosed halves rather than taken from a single filing, and the construction is shown in full so a reader can check it.</w:t>
            </w:r>
          </w:p>
        </w:tc>
      </w:tr>
    </w:tbl>
    <w:p>
      <w:pPr>
        <w:spacing w:after="40"/>
      </w:pPr>
    </w:p>
    <w:p>
      <w:pPr>
        <w:spacing w:after="80" w:before="200"/>
      </w:pPr>
      <w:r>
        <w:rPr>
          <w:b/>
          <w:i w:val="0"/>
          <w:color w:val="1C3A36"/>
          <w:sz w:val="24"/>
        </w:rPr>
        <w:t>Headline</w:t>
      </w:r>
    </w:p>
    <w:p>
      <w:pPr>
        <w:spacing w:after="120" w:before="0"/>
      </w:pPr>
      <w:r>
        <w:rPr>
          <w:b w:val="0"/>
          <w:i w:val="0"/>
          <w:color w:val="1C3A36"/>
          <w:sz w:val="21"/>
        </w:rPr>
        <w:t>Alexandria Mineral Oils is the only refinery listed on the Egyptian Exchange. It takes feedstock from the adjacent state petroleum complex at El-Amerya and separates it into two very different product streams: a small, high-value specialty slate — base oils in the SN150, SN500 and SN600 grades, fully refined paraffin wax, transformer and special oils — and a much larger volume of fuel products and by-products. In calendar 2025 the company moved about 1.551mn tonnes and turned over EGP 39,996mn.</w:t>
      </w:r>
    </w:p>
    <w:p>
      <w:pPr>
        <w:spacing w:after="120" w:before="0"/>
      </w:pPr>
      <w:r>
        <w:rPr>
          <w:b w:val="0"/>
          <w:i w:val="0"/>
          <w:color w:val="1C3A36"/>
          <w:sz w:val="21"/>
        </w:rPr>
        <w:t>The economics are those of a thin-margin processor, and the disclosed record says so plainly: in the financial year to June 2023 cost of sales of EGP 21,219mn sat against gross profit of EGP 1,297mn, a gross margin of 5.76%. That is the single most important fact about the company, because it means the value is not in the revenue line — which is largely the pass-through of feedstock at world product prices — but in the tonnage, the slate mix and the spread earned per tonne.</w:t>
      </w:r>
    </w:p>
    <w:p>
      <w:pPr>
        <w:spacing w:after="120" w:before="0"/>
      </w:pPr>
      <w:r>
        <w:rPr>
          <w:b w:val="0"/>
          <w:i w:val="0"/>
          <w:color w:val="1C3A36"/>
          <w:sz w:val="21"/>
        </w:rPr>
        <w:t>Two structural facts shape everything that follows. The first is the year-end change: the exchange approved a move from a 30 June financial year to 31 December, with July to December 2025 filed as a six-month transition period. The second is the balance sheet. Gross borrowings are EGP 25.3mn against cash of EGP 2,464mn — the company is NET CASH to the tune of EGP 2,438mn, which is EGP 1.89 a share, or 21% of the entire market capitalisation.</w:t>
      </w:r>
    </w:p>
    <w:p>
      <w:pPr>
        <w:spacing w:after="120" w:before="0"/>
      </w:pPr>
      <w:r>
        <w:rPr>
          <w:b w:val="0"/>
          <w:i w:val="0"/>
          <w:color w:val="1C3A36"/>
          <w:sz w:val="21"/>
        </w:rPr>
        <w:t>The volume story is real and recent. The transition half alone sold 808 thousand tonnes, +14.5% on the same period a year earlier and an annualised 1.616mn tonnes against 1.3mn in the June-2025 year. Exports of oils and waxes rose about 40% on entry into new markets. The first calendar quarter of 2026 carried it on: consolidated sales of EGP 10,510mn and profit of EGP 635mn, up 37%.</w:t>
      </w:r>
    </w:p>
    <w:p>
      <w:pPr>
        <w:spacing w:after="200" w:before="0"/>
      </w:pPr>
      <w:r>
        <w:rPr>
          <w:b w:val="0"/>
          <w:i w:val="0"/>
          <w:color w:val="1C3A36"/>
          <w:sz w:val="21"/>
        </w:rPr>
        <w:t>On the primary construction the four lenses centre at EGP 9.46 a share against a market price of 9.10 — the central estimate sits about +4% above the market price, which is to say the shares are roughly fairly valued. The lenses do not agree with each other, and that disagreement is the finding rather than a nuisance to be averaged away: the cash-flow lens says EGP 9.91, normalised earnings power says EGP 12.34, and the two lenses anchored on today's market — relative multiples at EGP 7.35 and book value at EGP 7.07 — say less. The spread is what a 31.6% front-end cost of capital does to a business whose growth is real but whose cash arrives over years.</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4176"/>
        <w:gridCol w:w="1526"/>
        <w:gridCol w:w="1037"/>
        <w:gridCol w:w="979"/>
      </w:tblGrid>
      <w:tr>
        <w:tc>
          <w:tcPr>
            <w:tcW w:type="dxa" w:w="2045"/>
            <w:shd w:val="clear" w:color="auto" w:fill="EAF0EE"/>
          </w:tcPr>
          <w:p>
            <w:pPr>
              <w:spacing w:after="20"/>
            </w:pPr>
            <w:r>
              <w:rPr>
                <w:b/>
                <w:color w:val="1C3A36"/>
                <w:sz w:val="16"/>
              </w:rPr>
              <w:t>Read</w:t>
            </w:r>
          </w:p>
        </w:tc>
        <w:tc>
          <w:tcPr>
            <w:tcW w:type="dxa" w:w="4176"/>
            <w:shd w:val="clear" w:color="auto" w:fill="EAF0EE"/>
          </w:tcPr>
          <w:p>
            <w:pPr>
              <w:spacing w:after="20"/>
            </w:pPr>
            <w:r>
              <w:rPr>
                <w:b/>
                <w:color w:val="1C3A36"/>
                <w:sz w:val="16"/>
              </w:rPr>
              <w:t>Basis</w:t>
            </w:r>
          </w:p>
        </w:tc>
        <w:tc>
          <w:tcPr>
            <w:tcW w:type="dxa" w:w="1526"/>
            <w:shd w:val="clear" w:color="auto" w:fill="EAF0EE"/>
          </w:tcPr>
          <w:p>
            <w:pPr>
              <w:spacing w:after="20"/>
            </w:pPr>
            <w:r>
              <w:rPr>
                <w:b/>
                <w:color w:val="1C3A36"/>
                <w:sz w:val="16"/>
              </w:rPr>
              <w:t>Range (EGP)</w:t>
            </w:r>
          </w:p>
        </w:tc>
        <w:tc>
          <w:tcPr>
            <w:tcW w:type="dxa" w:w="1037"/>
            <w:shd w:val="clear" w:color="auto" w:fill="EAF0EE"/>
          </w:tcPr>
          <w:p>
            <w:pPr>
              <w:spacing w:after="20"/>
            </w:pPr>
            <w:r>
              <w:rPr>
                <w:b/>
                <w:color w:val="1C3A36"/>
                <w:sz w:val="16"/>
              </w:rPr>
              <w:t>Central</w:t>
            </w:r>
          </w:p>
        </w:tc>
        <w:tc>
          <w:tcPr>
            <w:tcW w:type="dxa" w:w="979"/>
            <w:shd w:val="clear" w:color="auto" w:fill="EAF0EE"/>
          </w:tcPr>
          <w:p>
            <w:pPr>
              <w:spacing w:after="20"/>
            </w:pPr>
            <w:r>
              <w:rPr>
                <w:b/>
                <w:color w:val="1C3A36"/>
                <w:sz w:val="16"/>
              </w:rPr>
              <w:t>vs spot</w:t>
            </w:r>
          </w:p>
        </w:tc>
      </w:tr>
      <w:tr>
        <w:tc>
          <w:tcPr>
            <w:tcW w:type="dxa" w:w="2045"/>
          </w:tcPr>
          <w:p>
            <w:pPr>
              <w:spacing w:after="20"/>
            </w:pPr>
            <w:r>
              <w:rPr>
                <w:color w:val="1C3A36"/>
                <w:sz w:val="16"/>
              </w:rPr>
              <w:t>Free cash flow to the firm</w:t>
            </w:r>
          </w:p>
        </w:tc>
        <w:tc>
          <w:tcPr>
            <w:tcW w:type="dxa" w:w="4176"/>
          </w:tcPr>
          <w:p>
            <w:pPr>
              <w:spacing w:after="20"/>
            </w:pPr>
            <w:r>
              <w:rPr>
                <w:color w:val="1C3A36"/>
                <w:sz w:val="16"/>
              </w:rPr>
              <w:t>Five-year forecast; cost of capital gliding 31.6% → 16.5%; terminal growth 5%. TERMINAL VALUE = 62.5% OF ENTERPRISE VALUE</w:t>
            </w:r>
          </w:p>
        </w:tc>
        <w:tc>
          <w:tcPr>
            <w:tcW w:type="dxa" w:w="1526"/>
          </w:tcPr>
          <w:p>
            <w:pPr>
              <w:spacing w:after="20"/>
              <w:jc w:val="right"/>
            </w:pPr>
            <w:r>
              <w:rPr>
                <w:color w:val="1C3A36"/>
                <w:sz w:val="16"/>
              </w:rPr>
              <w:t>6.09 – 16.69</w:t>
            </w:r>
          </w:p>
        </w:tc>
        <w:tc>
          <w:tcPr>
            <w:tcW w:type="dxa" w:w="1037"/>
          </w:tcPr>
          <w:p>
            <w:pPr>
              <w:spacing w:after="20"/>
              <w:jc w:val="right"/>
            </w:pPr>
            <w:r>
              <w:rPr>
                <w:color w:val="1C3A36"/>
                <w:sz w:val="16"/>
              </w:rPr>
              <w:t>9.91</w:t>
            </w:r>
          </w:p>
        </w:tc>
        <w:tc>
          <w:tcPr>
            <w:tcW w:type="dxa" w:w="979"/>
          </w:tcPr>
          <w:p>
            <w:pPr>
              <w:spacing w:after="20"/>
              <w:jc w:val="right"/>
            </w:pPr>
            <w:r>
              <w:rPr>
                <w:color w:val="1C3A36"/>
                <w:sz w:val="16"/>
              </w:rPr>
              <w:t>+9%</w:t>
            </w:r>
          </w:p>
        </w:tc>
      </w:tr>
      <w:tr>
        <w:tc>
          <w:tcPr>
            <w:tcW w:type="dxa" w:w="2045"/>
          </w:tcPr>
          <w:p>
            <w:pPr>
              <w:spacing w:after="20"/>
            </w:pPr>
            <w:r>
              <w:rPr>
                <w:color w:val="1C3A36"/>
                <w:sz w:val="16"/>
              </w:rPr>
              <w:t>Relative multiples</w:t>
            </w:r>
          </w:p>
        </w:tc>
        <w:tc>
          <w:tcPr>
            <w:tcW w:type="dxa" w:w="4176"/>
          </w:tcPr>
          <w:p>
            <w:pPr>
              <w:spacing w:after="20"/>
            </w:pPr>
            <w:r>
              <w:rPr>
                <w:color w:val="1C3A36"/>
                <w:sz w:val="16"/>
              </w:rPr>
              <w:t>4.5× enterprise value to 2027E EBITDA, discounted back two years at the model's own factor; trailing multiple 4.5×</w:t>
            </w:r>
          </w:p>
        </w:tc>
        <w:tc>
          <w:tcPr>
            <w:tcW w:type="dxa" w:w="1526"/>
          </w:tcPr>
          <w:p>
            <w:pPr>
              <w:spacing w:after="20"/>
              <w:jc w:val="right"/>
            </w:pPr>
            <w:r>
              <w:rPr>
                <w:color w:val="1C3A36"/>
                <w:sz w:val="16"/>
              </w:rPr>
              <w:t>6.12 – 9.19</w:t>
            </w:r>
          </w:p>
        </w:tc>
        <w:tc>
          <w:tcPr>
            <w:tcW w:type="dxa" w:w="1037"/>
          </w:tcPr>
          <w:p>
            <w:pPr>
              <w:spacing w:after="20"/>
              <w:jc w:val="right"/>
            </w:pPr>
            <w:r>
              <w:rPr>
                <w:color w:val="1C3A36"/>
                <w:sz w:val="16"/>
              </w:rPr>
              <w:t>7.35</w:t>
            </w:r>
          </w:p>
        </w:tc>
        <w:tc>
          <w:tcPr>
            <w:tcW w:type="dxa" w:w="979"/>
          </w:tcPr>
          <w:p>
            <w:pPr>
              <w:spacing w:after="20"/>
              <w:jc w:val="right"/>
            </w:pPr>
            <w:r>
              <w:rPr>
                <w:color w:val="1C3A36"/>
                <w:sz w:val="16"/>
              </w:rPr>
              <w:t>-19%</w:t>
            </w:r>
          </w:p>
        </w:tc>
      </w:tr>
      <w:tr>
        <w:tc>
          <w:tcPr>
            <w:tcW w:type="dxa" w:w="2045"/>
          </w:tcPr>
          <w:p>
            <w:pPr>
              <w:spacing w:after="20"/>
            </w:pPr>
            <w:r>
              <w:rPr>
                <w:color w:val="1C3A36"/>
                <w:sz w:val="16"/>
              </w:rPr>
              <w:t>Normalised earnings power</w:t>
            </w:r>
          </w:p>
        </w:tc>
        <w:tc>
          <w:tcPr>
            <w:tcW w:type="dxa" w:w="4176"/>
          </w:tcPr>
          <w:p>
            <w:pPr>
              <w:spacing w:after="20"/>
            </w:pPr>
            <w:r>
              <w:rPr>
                <w:color w:val="1C3A36"/>
                <w:sz w:val="16"/>
              </w:rPr>
              <w:t>7.5× on 2028E attributable earnings of EGP 1.65 a share; a mid-cycle earnings-power statement, not a discounted present value</w:t>
            </w:r>
          </w:p>
        </w:tc>
        <w:tc>
          <w:tcPr>
            <w:tcW w:type="dxa" w:w="1526"/>
          </w:tcPr>
          <w:p>
            <w:pPr>
              <w:spacing w:after="20"/>
              <w:jc w:val="right"/>
            </w:pPr>
            <w:r>
              <w:rPr>
                <w:color w:val="1C3A36"/>
                <w:sz w:val="16"/>
              </w:rPr>
              <w:t>9.05 – 15.64</w:t>
            </w:r>
          </w:p>
        </w:tc>
        <w:tc>
          <w:tcPr>
            <w:tcW w:type="dxa" w:w="1037"/>
          </w:tcPr>
          <w:p>
            <w:pPr>
              <w:spacing w:after="20"/>
              <w:jc w:val="right"/>
            </w:pPr>
            <w:r>
              <w:rPr>
                <w:color w:val="1C3A36"/>
                <w:sz w:val="16"/>
              </w:rPr>
              <w:t>12.34</w:t>
            </w:r>
          </w:p>
        </w:tc>
        <w:tc>
          <w:tcPr>
            <w:tcW w:type="dxa" w:w="979"/>
          </w:tcPr>
          <w:p>
            <w:pPr>
              <w:spacing w:after="20"/>
              <w:jc w:val="right"/>
            </w:pPr>
            <w:r>
              <w:rPr>
                <w:color w:val="1C3A36"/>
                <w:sz w:val="16"/>
              </w:rPr>
              <w:t>+36%</w:t>
            </w:r>
          </w:p>
        </w:tc>
      </w:tr>
      <w:tr>
        <w:tc>
          <w:tcPr>
            <w:tcW w:type="dxa" w:w="2045"/>
          </w:tcPr>
          <w:p>
            <w:pPr>
              <w:spacing w:after="20"/>
            </w:pPr>
            <w:r>
              <w:rPr>
                <w:color w:val="1C3A36"/>
                <w:sz w:val="16"/>
              </w:rPr>
              <w:t>Book value and sustainable return</w:t>
            </w:r>
          </w:p>
        </w:tc>
        <w:tc>
          <w:tcPr>
            <w:tcW w:type="dxa" w:w="4176"/>
          </w:tcPr>
          <w:p>
            <w:pPr>
              <w:spacing w:after="20"/>
            </w:pPr>
            <w:r>
              <w:rPr>
                <w:color w:val="1C3A36"/>
                <w:sz w:val="16"/>
              </w:rPr>
              <w:t>Justified price-to-book 1.9× on book value of EGP 3.72, at a sustainable return of 28% and the perpetual cost of equity 17.1%</w:t>
            </w:r>
          </w:p>
        </w:tc>
        <w:tc>
          <w:tcPr>
            <w:tcW w:type="dxa" w:w="1526"/>
          </w:tcPr>
          <w:p>
            <w:pPr>
              <w:spacing w:after="20"/>
              <w:jc w:val="right"/>
            </w:pPr>
            <w:r>
              <w:rPr>
                <w:color w:val="1C3A36"/>
                <w:sz w:val="16"/>
              </w:rPr>
              <w:t>3.83 – 7.99</w:t>
            </w:r>
          </w:p>
        </w:tc>
        <w:tc>
          <w:tcPr>
            <w:tcW w:type="dxa" w:w="1037"/>
          </w:tcPr>
          <w:p>
            <w:pPr>
              <w:spacing w:after="20"/>
              <w:jc w:val="right"/>
            </w:pPr>
            <w:r>
              <w:rPr>
                <w:color w:val="1C3A36"/>
                <w:sz w:val="16"/>
              </w:rPr>
              <w:t>7.07</w:t>
            </w:r>
          </w:p>
        </w:tc>
        <w:tc>
          <w:tcPr>
            <w:tcW w:type="dxa" w:w="979"/>
          </w:tcPr>
          <w:p>
            <w:pPr>
              <w:spacing w:after="20"/>
              <w:jc w:val="right"/>
            </w:pPr>
            <w:r>
              <w:rPr>
                <w:color w:val="1C3A36"/>
                <w:sz w:val="16"/>
              </w:rPr>
              <w:t>-22%</w:t>
            </w:r>
          </w:p>
        </w:tc>
      </w:tr>
      <w:tr>
        <w:tc>
          <w:tcPr>
            <w:tcW w:type="dxa" w:w="2045"/>
            <w:shd w:val="clear" w:color="auto" w:fill="F6F1E6"/>
          </w:tcPr>
          <w:p>
            <w:pPr>
              <w:spacing w:after="20"/>
            </w:pPr>
            <w:r>
              <w:rPr>
                <w:b/>
                <w:color w:val="1C3A36"/>
                <w:sz w:val="16"/>
              </w:rPr>
              <w:t>WEIGHTED CENTRAL</w:t>
            </w:r>
          </w:p>
        </w:tc>
        <w:tc>
          <w:tcPr>
            <w:tcW w:type="dxa" w:w="4176"/>
            <w:shd w:val="clear" w:color="auto" w:fill="F6F1E6"/>
          </w:tcPr>
          <w:p>
            <w:pPr>
              <w:spacing w:after="20"/>
            </w:pPr>
            <w:r>
              <w:rPr>
                <w:b/>
                <w:color w:val="1C3A36"/>
                <w:sz w:val="16"/>
              </w:rPr>
              <w:t>Weights 45% / 20% / 20% / 15%</w:t>
            </w:r>
          </w:p>
        </w:tc>
        <w:tc>
          <w:tcPr>
            <w:tcW w:type="dxa" w:w="1526"/>
            <w:shd w:val="clear" w:color="auto" w:fill="F6F1E6"/>
          </w:tcPr>
          <w:p>
            <w:pPr>
              <w:spacing w:after="20"/>
              <w:jc w:val="right"/>
            </w:pPr>
            <w:r>
              <w:rPr>
                <w:b/>
                <w:color w:val="1C3A36"/>
                <w:sz w:val="16"/>
              </w:rPr>
              <w:t>3.83 – 16.69</w:t>
            </w:r>
          </w:p>
        </w:tc>
        <w:tc>
          <w:tcPr>
            <w:tcW w:type="dxa" w:w="1037"/>
            <w:shd w:val="clear" w:color="auto" w:fill="F6F1E6"/>
          </w:tcPr>
          <w:p>
            <w:pPr>
              <w:spacing w:after="20"/>
              <w:jc w:val="right"/>
            </w:pPr>
            <w:r>
              <w:rPr>
                <w:b/>
                <w:color w:val="1C3A36"/>
                <w:sz w:val="16"/>
              </w:rPr>
              <w:t>9.46</w:t>
            </w:r>
          </w:p>
        </w:tc>
        <w:tc>
          <w:tcPr>
            <w:tcW w:type="dxa" w:w="979"/>
            <w:shd w:val="clear" w:color="auto" w:fill="F6F1E6"/>
          </w:tcPr>
          <w:p>
            <w:pPr>
              <w:spacing w:after="20"/>
              <w:jc w:val="right"/>
            </w:pPr>
            <w:r>
              <w:rPr>
                <w:b/>
                <w:color w:val="1C3A36"/>
                <w:sz w:val="16"/>
              </w:rPr>
              <w:t>+4%</w:t>
            </w:r>
          </w:p>
        </w:tc>
      </w:tr>
      <w:tr>
        <w:tc>
          <w:tcPr>
            <w:tcW w:type="dxa" w:w="2045"/>
          </w:tcPr>
          <w:p>
            <w:pPr>
              <w:spacing w:after="20"/>
            </w:pPr>
            <w:r>
              <w:rPr>
                <w:color w:val="1C3A36"/>
                <w:sz w:val="16"/>
              </w:rPr>
              <w:t>Expert panel median</w:t>
            </w:r>
          </w:p>
        </w:tc>
        <w:tc>
          <w:tcPr>
            <w:tcW w:type="dxa" w:w="4176"/>
          </w:tcPr>
          <w:p>
            <w:pPr>
              <w:spacing w:after="20"/>
            </w:pPr>
            <w:r>
              <w:rPr>
                <w:color w:val="1C3A36"/>
                <w:sz w:val="16"/>
              </w:rPr>
              <w:t>Three independent methods, worked in the appendix</w:t>
            </w:r>
          </w:p>
        </w:tc>
        <w:tc>
          <w:tcPr>
            <w:tcW w:type="dxa" w:w="1526"/>
          </w:tcPr>
          <w:p>
            <w:pPr>
              <w:spacing w:after="20"/>
              <w:jc w:val="right"/>
            </w:pPr>
            <w:r>
              <w:rPr>
                <w:color w:val="1C3A36"/>
                <w:sz w:val="16"/>
              </w:rPr>
              <w:t>7.41 – 15.64</w:t>
            </w:r>
          </w:p>
        </w:tc>
        <w:tc>
          <w:tcPr>
            <w:tcW w:type="dxa" w:w="1037"/>
          </w:tcPr>
          <w:p>
            <w:pPr>
              <w:spacing w:after="20"/>
              <w:jc w:val="right"/>
            </w:pPr>
            <w:r>
              <w:rPr>
                <w:color w:val="1C3A36"/>
                <w:sz w:val="16"/>
              </w:rPr>
              <w:t>9.83</w:t>
            </w:r>
          </w:p>
        </w:tc>
        <w:tc>
          <w:tcPr>
            <w:tcW w:type="dxa" w:w="979"/>
          </w:tcPr>
          <w:p>
            <w:pPr>
              <w:spacing w:after="20"/>
              <w:jc w:val="right"/>
            </w:pPr>
            <w:r>
              <w:rPr>
                <w:color w:val="1C3A36"/>
                <w:sz w:val="16"/>
              </w:rPr>
              <w:t>+8%</w:t>
            </w:r>
          </w:p>
        </w:tc>
      </w:tr>
      <w:tr>
        <w:tc>
          <w:tcPr>
            <w:tcW w:type="dxa" w:w="2045"/>
            <w:shd w:val="clear" w:color="auto" w:fill="F6F1E6"/>
          </w:tcPr>
          <w:p>
            <w:pPr>
              <w:spacing w:after="20"/>
            </w:pPr>
            <w:r>
              <w:rPr>
                <w:b/>
                <w:color w:val="1C3A36"/>
                <w:sz w:val="16"/>
              </w:rPr>
              <w:t>Market price</w:t>
            </w:r>
          </w:p>
        </w:tc>
        <w:tc>
          <w:tcPr>
            <w:tcW w:type="dxa" w:w="4176"/>
            <w:shd w:val="clear" w:color="auto" w:fill="F6F1E6"/>
          </w:tcPr>
          <w:p>
            <w:pPr>
              <w:spacing w:after="20"/>
            </w:pPr>
            <w:r>
              <w:rPr>
                <w:b/>
                <w:color w:val="1C3A36"/>
                <w:sz w:val="16"/>
              </w:rPr>
              <w:t>Closing price on 2026-08-06</w:t>
            </w:r>
          </w:p>
        </w:tc>
        <w:tc>
          <w:tcPr>
            <w:tcW w:type="dxa" w:w="1526"/>
            <w:shd w:val="clear" w:color="auto" w:fill="F6F1E6"/>
          </w:tcPr>
          <w:p>
            <w:pPr>
              <w:spacing w:after="20"/>
              <w:jc w:val="right"/>
            </w:pPr>
            <w:r>
              <w:rPr>
                <w:b/>
                <w:color w:val="1C3A36"/>
                <w:sz w:val="16"/>
              </w:rPr>
              <w:t>—</w:t>
            </w:r>
          </w:p>
        </w:tc>
        <w:tc>
          <w:tcPr>
            <w:tcW w:type="dxa" w:w="1037"/>
            <w:shd w:val="clear" w:color="auto" w:fill="F6F1E6"/>
          </w:tcPr>
          <w:p>
            <w:pPr>
              <w:spacing w:after="20"/>
              <w:jc w:val="right"/>
            </w:pPr>
            <w:r>
              <w:rPr>
                <w:b/>
                <w:color w:val="1C3A36"/>
                <w:sz w:val="16"/>
              </w:rPr>
              <w:t>9.10</w:t>
            </w:r>
          </w:p>
        </w:tc>
        <w:tc>
          <w:tcPr>
            <w:tcW w:type="dxa" w:w="979"/>
            <w:shd w:val="clear" w:color="auto" w:fill="F6F1E6"/>
          </w:tcPr>
          <w:p>
            <w:pPr>
              <w:spacing w:after="20"/>
              <w:jc w:val="right"/>
            </w:pPr>
            <w:r>
              <w:rPr>
                <w:b/>
                <w:color w:val="1C3A36"/>
                <w:sz w:val="16"/>
              </w:rPr>
              <w:t>—</w:t>
            </w:r>
          </w:p>
        </w:tc>
      </w:tr>
    </w:tbl>
    <w:p>
      <w:pPr>
        <w:spacing w:after="40"/>
      </w:pPr>
    </w:p>
    <w:p>
      <w:pPr>
        <w:spacing w:after="200" w:before="0"/>
      </w:pPr>
      <w:r>
        <w:rPr>
          <w:b w:val="0"/>
          <w:i/>
          <w:color w:val="6E7B77"/>
          <w:sz w:val="17"/>
        </w:rPr>
        <w:t>Terminal value as a percentage of enterprise value is stated in the first row and again in the enterprise-value bridge in section 1.7. At 62.5% it is a high but not unusual share for a business whose cost of capital is expected to fall by roughly 1,511 basis points over the forecast; the reader should treat the cash-flow lens as a statement about the terminal state at least as much as about the next five years.</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and the weighted central, each shown bear to bull with the base marked. The vertical rule is the market price.</w:t>
      </w:r>
    </w:p>
    <w:p>
      <w:pPr>
        <w:spacing w:after="120" w:before="280"/>
      </w:pPr>
      <w:r>
        <w:rPr>
          <w:b/>
          <w:i w:val="0"/>
          <w:color w:val="1C3A36"/>
          <w:sz w:val="30"/>
        </w:rPr>
        <w:t>The company</w:t>
      </w:r>
    </w:p>
    <w:p>
      <w:pPr>
        <w:spacing w:after="120" w:before="0"/>
      </w:pPr>
      <w:r>
        <w:rPr>
          <w:b w:val="0"/>
          <w:i w:val="0"/>
          <w:color w:val="1C3A36"/>
          <w:sz w:val="21"/>
        </w:rPr>
        <w:t>Alexandria Mineral Oils Company was established in 1997 to meet Egypt's domestic requirement for lubricating base oils and paraffin waxes and to place the surplus into export markets. Its single complex sits at El-Amerya, west of Alexandria, adjacent to the refining assets it draws feedstock from. It is the only refinery listed on the Egyptian Exchange, and the Egyptian General Petroleum Corporation is its second-largest single shareholder with a 20% holding — a fact that matters commercially as well as politically, because the same state complex is both the principal supplier of feedstock and a principal offtaker of product.</w:t>
      </w:r>
    </w:p>
    <w:p>
      <w:pPr>
        <w:spacing w:after="80" w:before="200"/>
      </w:pPr>
      <w:r>
        <w:rPr>
          <w:b/>
          <w:i w:val="0"/>
          <w:color w:val="1C3A36"/>
          <w:sz w:val="24"/>
        </w:rPr>
        <w:t>What it actually sells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3960"/>
        <w:gridCol w:w="1368"/>
        <w:gridCol w:w="1584"/>
        <w:gridCol w:w="1325"/>
      </w:tblGrid>
      <w:tr>
        <w:tc>
          <w:tcPr>
            <w:tcW w:type="dxa" w:w="2088"/>
            <w:shd w:val="clear" w:color="auto" w:fill="EAF0EE"/>
          </w:tcPr>
          <w:p>
            <w:pPr>
              <w:spacing w:after="20"/>
            </w:pPr>
            <w:r>
              <w:rPr>
                <w:b/>
                <w:color w:val="1C3A36"/>
                <w:sz w:val="16"/>
              </w:rPr>
              <w:t>Leg</w:t>
            </w:r>
          </w:p>
        </w:tc>
        <w:tc>
          <w:tcPr>
            <w:tcW w:type="dxa" w:w="3960"/>
            <w:shd w:val="clear" w:color="auto" w:fill="EAF0EE"/>
          </w:tcPr>
          <w:p>
            <w:pPr>
              <w:spacing w:after="20"/>
            </w:pPr>
            <w:r>
              <w:rPr>
                <w:b/>
                <w:color w:val="1C3A36"/>
                <w:sz w:val="16"/>
              </w:rPr>
              <w:t>Products</w:t>
            </w:r>
          </w:p>
        </w:tc>
        <w:tc>
          <w:tcPr>
            <w:tcW w:type="dxa" w:w="1368"/>
            <w:shd w:val="clear" w:color="auto" w:fill="EAF0EE"/>
          </w:tcPr>
          <w:p>
            <w:pPr>
              <w:spacing w:after="20"/>
            </w:pPr>
            <w:r>
              <w:rPr>
                <w:b/>
                <w:color w:val="1C3A36"/>
                <w:sz w:val="16"/>
              </w:rPr>
              <w:t>Volume (mn t)</w:t>
            </w:r>
          </w:p>
        </w:tc>
        <w:tc>
          <w:tcPr>
            <w:tcW w:type="dxa" w:w="1584"/>
            <w:shd w:val="clear" w:color="auto" w:fill="EAF0EE"/>
          </w:tcPr>
          <w:p>
            <w:pPr>
              <w:spacing w:after="20"/>
            </w:pPr>
            <w:r>
              <w:rPr>
                <w:b/>
                <w:color w:val="1C3A36"/>
                <w:sz w:val="16"/>
              </w:rPr>
              <w:t>Revenue (EGP mn)</w:t>
            </w:r>
          </w:p>
        </w:tc>
        <w:tc>
          <w:tcPr>
            <w:tcW w:type="dxa" w:w="1325"/>
            <w:shd w:val="clear" w:color="auto" w:fill="EAF0EE"/>
          </w:tcPr>
          <w:p>
            <w:pPr>
              <w:spacing w:after="20"/>
            </w:pPr>
            <w:r>
              <w:rPr>
                <w:b/>
                <w:color w:val="1C3A36"/>
                <w:sz w:val="16"/>
              </w:rPr>
              <w:t>Share of revenue</w:t>
            </w:r>
          </w:p>
        </w:tc>
      </w:tr>
      <w:tr>
        <w:tc>
          <w:tcPr>
            <w:tcW w:type="dxa" w:w="2088"/>
          </w:tcPr>
          <w:p>
            <w:pPr>
              <w:spacing w:after="20"/>
            </w:pPr>
            <w:r>
              <w:rPr>
                <w:color w:val="1C3A36"/>
                <w:sz w:val="16"/>
              </w:rPr>
              <w:t>Specialty oils and waxes</w:t>
            </w:r>
          </w:p>
        </w:tc>
        <w:tc>
          <w:tcPr>
            <w:tcW w:type="dxa" w:w="3960"/>
          </w:tcPr>
          <w:p>
            <w:pPr>
              <w:spacing w:after="20"/>
            </w:pPr>
            <w:r>
              <w:rPr>
                <w:color w:val="1C3A36"/>
                <w:sz w:val="16"/>
              </w:rPr>
              <w:t>Base oils SN150 / SN500 / SN600, fully refined solid and liquid paraffin wax, uninhibited transformer oil, automatic transmission fluid, spindle oil</w:t>
            </w:r>
          </w:p>
        </w:tc>
        <w:tc>
          <w:tcPr>
            <w:tcW w:type="dxa" w:w="1368"/>
          </w:tcPr>
          <w:p>
            <w:pPr>
              <w:spacing w:after="20"/>
              <w:jc w:val="right"/>
            </w:pPr>
            <w:r>
              <w:rPr>
                <w:color w:val="1C3A36"/>
                <w:sz w:val="16"/>
              </w:rPr>
              <w:t>0.212</w:t>
            </w:r>
          </w:p>
        </w:tc>
        <w:tc>
          <w:tcPr>
            <w:tcW w:type="dxa" w:w="1584"/>
          </w:tcPr>
          <w:p>
            <w:pPr>
              <w:spacing w:after="20"/>
              <w:jc w:val="right"/>
            </w:pPr>
            <w:r>
              <w:rPr>
                <w:color w:val="1C3A36"/>
                <w:sz w:val="16"/>
              </w:rPr>
              <w:t>11,396</w:t>
            </w:r>
          </w:p>
        </w:tc>
        <w:tc>
          <w:tcPr>
            <w:tcW w:type="dxa" w:w="1325"/>
          </w:tcPr>
          <w:p>
            <w:pPr>
              <w:spacing w:after="20"/>
              <w:jc w:val="right"/>
            </w:pPr>
            <w:r>
              <w:rPr>
                <w:color w:val="1C3A36"/>
                <w:sz w:val="16"/>
              </w:rPr>
              <w:t>28.5%</w:t>
            </w:r>
          </w:p>
        </w:tc>
      </w:tr>
      <w:tr>
        <w:tc>
          <w:tcPr>
            <w:tcW w:type="dxa" w:w="2088"/>
          </w:tcPr>
          <w:p>
            <w:pPr>
              <w:spacing w:after="20"/>
            </w:pPr>
            <w:r>
              <w:rPr>
                <w:color w:val="1C3A36"/>
                <w:sz w:val="16"/>
              </w:rPr>
              <w:t>Fuel and by-products</w:t>
            </w:r>
          </w:p>
        </w:tc>
        <w:tc>
          <w:tcPr>
            <w:tcW w:type="dxa" w:w="3960"/>
          </w:tcPr>
          <w:p>
            <w:pPr>
              <w:spacing w:after="20"/>
            </w:pPr>
            <w:r>
              <w:rPr>
                <w:color w:val="1C3A36"/>
                <w:sz w:val="16"/>
              </w:rPr>
              <w:t>Low-sulphur gas oil, naphtha, liquefied petroleum gas, fuel-oil blend, aromatic extract, vacuum residue, sulphur</w:t>
            </w:r>
          </w:p>
        </w:tc>
        <w:tc>
          <w:tcPr>
            <w:tcW w:type="dxa" w:w="1368"/>
          </w:tcPr>
          <w:p>
            <w:pPr>
              <w:spacing w:after="20"/>
              <w:jc w:val="right"/>
            </w:pPr>
            <w:r>
              <w:rPr>
                <w:color w:val="1C3A36"/>
                <w:sz w:val="16"/>
              </w:rPr>
              <w:t>1.340</w:t>
            </w:r>
          </w:p>
        </w:tc>
        <w:tc>
          <w:tcPr>
            <w:tcW w:type="dxa" w:w="1584"/>
          </w:tcPr>
          <w:p>
            <w:pPr>
              <w:spacing w:after="20"/>
              <w:jc w:val="right"/>
            </w:pPr>
            <w:r>
              <w:rPr>
                <w:color w:val="1C3A36"/>
                <w:sz w:val="16"/>
              </w:rPr>
              <w:t>28,599</w:t>
            </w:r>
          </w:p>
        </w:tc>
        <w:tc>
          <w:tcPr>
            <w:tcW w:type="dxa" w:w="1325"/>
          </w:tcPr>
          <w:p>
            <w:pPr>
              <w:spacing w:after="20"/>
              <w:jc w:val="right"/>
            </w:pPr>
            <w:r>
              <w:rPr>
                <w:color w:val="1C3A36"/>
                <w:sz w:val="16"/>
              </w:rPr>
              <w:t>71.5%</w:t>
            </w:r>
          </w:p>
        </w:tc>
      </w:tr>
      <w:tr>
        <w:tc>
          <w:tcPr>
            <w:tcW w:type="dxa" w:w="2088"/>
            <w:shd w:val="clear" w:color="auto" w:fill="F6F1E6"/>
          </w:tcPr>
          <w:p>
            <w:pPr>
              <w:spacing w:after="20"/>
            </w:pPr>
            <w:r>
              <w:rPr>
                <w:b/>
                <w:color w:val="1C3A36"/>
                <w:sz w:val="16"/>
              </w:rPr>
              <w:t>Total</w:t>
            </w:r>
          </w:p>
        </w:tc>
        <w:tc>
          <w:tcPr>
            <w:tcW w:type="dxa" w:w="3960"/>
            <w:shd w:val="clear" w:color="auto" w:fill="F6F1E6"/>
          </w:tcPr>
          <w:p>
            <w:pPr>
              <w:spacing w:after="20"/>
            </w:pPr>
            <w:r>
              <w:rPr>
                <w:b/>
                <w:color w:val="1C3A36"/>
                <w:sz w:val="16"/>
              </w:rPr>
            </w:r>
          </w:p>
        </w:tc>
        <w:tc>
          <w:tcPr>
            <w:tcW w:type="dxa" w:w="1368"/>
            <w:shd w:val="clear" w:color="auto" w:fill="F6F1E6"/>
          </w:tcPr>
          <w:p>
            <w:pPr>
              <w:spacing w:after="20"/>
              <w:jc w:val="right"/>
            </w:pPr>
            <w:r>
              <w:rPr>
                <w:b/>
                <w:color w:val="1C3A36"/>
                <w:sz w:val="16"/>
              </w:rPr>
              <w:t>1.551</w:t>
            </w:r>
          </w:p>
        </w:tc>
        <w:tc>
          <w:tcPr>
            <w:tcW w:type="dxa" w:w="1584"/>
            <w:shd w:val="clear" w:color="auto" w:fill="F6F1E6"/>
          </w:tcPr>
          <w:p>
            <w:pPr>
              <w:spacing w:after="20"/>
              <w:jc w:val="right"/>
            </w:pPr>
            <w:r>
              <w:rPr>
                <w:b/>
                <w:color w:val="1C3A36"/>
                <w:sz w:val="16"/>
              </w:rPr>
              <w:t>39,996</w:t>
            </w:r>
          </w:p>
        </w:tc>
        <w:tc>
          <w:tcPr>
            <w:tcW w:type="dxa" w:w="1325"/>
            <w:shd w:val="clear" w:color="auto" w:fill="F6F1E6"/>
          </w:tcPr>
          <w:p>
            <w:pPr>
              <w:spacing w:after="20"/>
              <w:jc w:val="right"/>
            </w:pPr>
            <w:r>
              <w:rPr>
                <w:b/>
                <w:color w:val="1C3A36"/>
                <w:sz w:val="16"/>
              </w:rPr>
              <w:t>100.0%</w:t>
            </w:r>
          </w:p>
        </w:tc>
      </w:tr>
    </w:tbl>
    <w:p>
      <w:pPr>
        <w:spacing w:after="40"/>
      </w:pPr>
    </w:p>
    <w:p>
      <w:pPr>
        <w:spacing w:after="200" w:before="0"/>
      </w:pPr>
      <w:r>
        <w:rPr>
          <w:b w:val="0"/>
          <w:i/>
          <w:color w:val="6E7B77"/>
          <w:sz w:val="17"/>
        </w:rPr>
        <w:t>The specialty leg is 14% of the tonnage but 28% of the revenue, and a much larger share again of the margin. The implied realisation on the fuel leg works out at about USD 438 a tonne, which is a plausible gas-oil, naphtha and fuel-oil blend against the crude deck — that check is what tells us the split is real rather than fitted to a target.</w:t>
      </w:r>
    </w:p>
    <w:p>
      <w:pPr>
        <w:spacing w:after="80" w:before="200"/>
      </w:pPr>
      <w:r>
        <w:rPr>
          <w:b/>
          <w:i w:val="0"/>
          <w:color w:val="1C3A36"/>
          <w:sz w:val="24"/>
        </w:rPr>
        <w:t>The balance sheet is the unusual part</w:t>
      </w:r>
    </w:p>
    <w:p>
      <w:pPr>
        <w:spacing w:after="120" w:before="0"/>
      </w:pPr>
      <w:r>
        <w:rPr>
          <w:b w:val="0"/>
          <w:i w:val="0"/>
          <w:color w:val="1C3A36"/>
          <w:sz w:val="21"/>
        </w:rPr>
        <w:t>A company turning over EGP 40.0bn runs on a balance sheet of EGP 8.1bn. That is an asset turnover near 4.9 times, extraordinary for a refiner, and it has two causes. The plant was commissioned between 1997 and 2000 and is substantially written down — at the depreciation charge the model carries, the residual book has roughly 5.5 years of life left in it. And the working-capital cycle is effectively funded by the counterparty: net working capital is about 2.0% of revenue, because the feedstock payable to the state petroleum corporation is the company's principal source of short-term funding.</w:t>
      </w:r>
    </w:p>
    <w:p>
      <w:pPr>
        <w:spacing w:after="120" w:before="0"/>
      </w:pPr>
      <w:r>
        <w:rPr>
          <w:b w:val="0"/>
          <w:i w:val="0"/>
          <w:color w:val="1C3A36"/>
          <w:sz w:val="21"/>
        </w:rPr>
        <w:t>The consequence for the valuation is that this is a business with very little invested capital and therefore a very high accounting return on it — 38.6% in the base year on the reconstruction used here. That is a real feature, not an artefact, and it is why the terminal reinvestment the model requires to fund 5% of perpetual growth is only 9.2% of profit. It also carries a warning, which section 7 returns to: a return that high on a plant that old is partly a statement about depreciation, and the capital will eventually have to be replaced at something closer to replacement cost.</w:t>
      </w:r>
    </w:p>
    <w:p>
      <w:pPr>
        <w:spacing w:after="120" w:before="280"/>
      </w:pPr>
      <w:r>
        <w:rPr>
          <w:b/>
          <w:i w:val="0"/>
          <w:color w:val="1C3A36"/>
          <w:sz w:val="30"/>
        </w:rPr>
        <w:t>1  Fundamental valuation</w:t>
      </w:r>
    </w:p>
    <w:p>
      <w:pPr>
        <w:spacing w:after="80" w:before="200"/>
      </w:pPr>
      <w:r>
        <w:rPr>
          <w:b/>
          <w:i w:val="0"/>
          <w:color w:val="1C3A36"/>
          <w:sz w:val="24"/>
        </w:rPr>
        <w:t>1.1  Why this company is valued as an operating company and not as anything else</w:t>
      </w:r>
    </w:p>
    <w:p>
      <w:pPr>
        <w:spacing w:after="120" w:before="0"/>
      </w:pPr>
      <w:r>
        <w:rPr>
          <w:b w:val="0"/>
          <w:i w:val="0"/>
          <w:color w:val="1C3A36"/>
          <w:sz w:val="21"/>
        </w:rPr>
        <w:t>The lens decision is the one that invalidates a study if it is wrong, so the evidence is set out before the arithmetic. Three readings were available: an operating company valued on its own cash flows; a holding company valued by summing its stakes; or a two-leg business requiring both. The evidence points cleanly to the first.</w:t>
      </w:r>
    </w:p>
    <w:p>
      <w:pPr>
        <w:pStyle w:val="ListBullet"/>
        <w:spacing w:after="60"/>
      </w:pPr>
      <w:r>
        <w:rPr>
          <w:b/>
          <w:color w:val="1C3A36"/>
          <w:sz w:val="21"/>
        </w:rPr>
        <w:t xml:space="preserve">Earnings concentration. </w:t>
      </w:r>
      <w:r>
        <w:rPr>
          <w:color w:val="1C3A36"/>
          <w:sz w:val="21"/>
        </w:rPr>
        <w:t>Consolidated profit after tax for the year to June 2025 was EGP 1,550mn against standalone profit of EGP 1,490mn. Everything outside the parent refinery therefore contributes about 4.0% of the group. A holding company is a portfolio whose value is the sum of its stakes; here roughly 96% of the profit comes from one plant.</w:t>
      </w:r>
    </w:p>
    <w:p>
      <w:pPr>
        <w:pStyle w:val="ListBullet"/>
        <w:spacing w:after="60"/>
      </w:pPr>
      <w:r>
        <w:rPr>
          <w:b/>
          <w:color w:val="1C3A36"/>
          <w:sz w:val="21"/>
        </w:rPr>
        <w:t xml:space="preserve">Revenue mix. </w:t>
      </w:r>
      <w:r>
        <w:rPr>
          <w:color w:val="1C3A36"/>
          <w:sz w:val="21"/>
        </w:rPr>
        <w:t>All of it is own-production petroleum product sold by the tonne. There is no financing leg, no captive lender, no development land bank and no recurring-income property — the revenue mix is a product slate, not a set of businesses.</w:t>
      </w:r>
    </w:p>
    <w:p>
      <w:pPr>
        <w:pStyle w:val="ListBullet"/>
        <w:spacing w:after="60"/>
      </w:pPr>
      <w:r>
        <w:rPr>
          <w:b/>
          <w:color w:val="1C3A36"/>
          <w:sz w:val="21"/>
        </w:rPr>
        <w:t xml:space="preserve">Balance-sheet shape. </w:t>
      </w:r>
      <w:r>
        <w:rPr>
          <w:color w:val="1C3A36"/>
          <w:sz w:val="21"/>
        </w:rPr>
        <w:t>Inventory, receivables and payables dominate; the plant is written down and the investment portfolio is immaterial next to the operating assets. A holding company's balance sheet looks the opposite way round.</w:t>
      </w:r>
    </w:p>
    <w:p>
      <w:pPr>
        <w:spacing w:after="120" w:before="0"/>
      </w:pPr>
      <w:r>
        <w:rPr>
          <w:b w:val="0"/>
          <w:i w:val="0"/>
          <w:color w:val="1C3A36"/>
          <w:sz w:val="21"/>
        </w:rPr>
        <w:t>So the primary lens is a discounted free cash flow to the firm, cross-checked by relative multiples, normalised earnings power and book value against a sustainable return. Nothing is split into legs that need different methods, because there are none.</w:t>
      </w:r>
    </w:p>
    <w:p>
      <w:pPr>
        <w:spacing w:after="80" w:before="200"/>
      </w:pPr>
      <w:r>
        <w:rPr>
          <w:b/>
          <w:i w:val="0"/>
          <w:color w:val="1C3A36"/>
          <w:sz w:val="24"/>
        </w:rPr>
        <w:t>1.2  The base year is constructed, and here is the construction</w:t>
      </w:r>
    </w:p>
    <w:p>
      <w:pPr>
        <w:spacing w:after="120" w:before="0"/>
      </w:pPr>
      <w:r>
        <w:rPr>
          <w:b w:val="0"/>
          <w:i w:val="0"/>
          <w:color w:val="1C3A36"/>
          <w:sz w:val="21"/>
        </w:rPr>
        <w:t>The financial year moved from 30 June to 31 December. That leaves no single filed twelve-month period that is both recent and clean, so the base year is built from two separately disclosed halves — neither of them estimated.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1944"/>
        <w:gridCol w:w="1944"/>
        <w:gridCol w:w="1944"/>
      </w:tblGrid>
      <w:tr>
        <w:tc>
          <w:tcPr>
            <w:tcW w:type="dxa" w:w="4392"/>
            <w:shd w:val="clear" w:color="auto" w:fill="EAF0EE"/>
          </w:tcPr>
          <w:p>
            <w:pPr>
              <w:spacing w:after="20"/>
            </w:pPr>
            <w:r>
              <w:rPr>
                <w:b/>
                <w:color w:val="1C3A36"/>
                <w:sz w:val="17"/>
              </w:rPr>
              <w:t>Step</w:t>
            </w:r>
          </w:p>
        </w:tc>
        <w:tc>
          <w:tcPr>
            <w:tcW w:type="dxa" w:w="1944"/>
            <w:shd w:val="clear" w:color="auto" w:fill="EAF0EE"/>
          </w:tcPr>
          <w:p>
            <w:pPr>
              <w:spacing w:after="20"/>
            </w:pPr>
            <w:r>
              <w:rPr>
                <w:b/>
                <w:color w:val="1C3A36"/>
                <w:sz w:val="17"/>
              </w:rPr>
              <w:t>Period</w:t>
            </w:r>
          </w:p>
        </w:tc>
        <w:tc>
          <w:tcPr>
            <w:tcW w:type="dxa" w:w="1944"/>
            <w:shd w:val="clear" w:color="auto" w:fill="EAF0EE"/>
          </w:tcPr>
          <w:p>
            <w:pPr>
              <w:spacing w:after="20"/>
            </w:pPr>
            <w:r>
              <w:rPr>
                <w:b/>
                <w:color w:val="1C3A36"/>
                <w:sz w:val="17"/>
              </w:rPr>
              <w:t>Revenue (EGP mn)</w:t>
            </w:r>
          </w:p>
        </w:tc>
        <w:tc>
          <w:tcPr>
            <w:tcW w:type="dxa" w:w="1944"/>
            <w:shd w:val="clear" w:color="auto" w:fill="EAF0EE"/>
          </w:tcPr>
          <w:p>
            <w:pPr>
              <w:spacing w:after="20"/>
            </w:pPr>
            <w:r>
              <w:rPr>
                <w:b/>
                <w:color w:val="1C3A36"/>
                <w:sz w:val="17"/>
              </w:rPr>
              <w:t>Profit after tax (EGP mn)</w:t>
            </w:r>
          </w:p>
        </w:tc>
      </w:tr>
      <w:tr>
        <w:tc>
          <w:tcPr>
            <w:tcW w:type="dxa" w:w="4392"/>
          </w:tcPr>
          <w:p>
            <w:pPr>
              <w:spacing w:after="20"/>
            </w:pPr>
            <w:r>
              <w:rPr>
                <w:color w:val="1C3A36"/>
                <w:sz w:val="17"/>
              </w:rPr>
              <w:t>Reported June year (average of three disclosed figures)</w:t>
            </w:r>
          </w:p>
        </w:tc>
        <w:tc>
          <w:tcPr>
            <w:tcW w:type="dxa" w:w="1944"/>
          </w:tcPr>
          <w:p>
            <w:pPr>
              <w:spacing w:after="20"/>
            </w:pPr>
            <w:r>
              <w:rPr>
                <w:color w:val="1C3A36"/>
                <w:sz w:val="17"/>
              </w:rPr>
              <w:t>Jul 2024 – Jun 2025</w:t>
            </w:r>
          </w:p>
        </w:tc>
        <w:tc>
          <w:tcPr>
            <w:tcW w:type="dxa" w:w="1944"/>
          </w:tcPr>
          <w:p>
            <w:pPr>
              <w:spacing w:after="20"/>
              <w:jc w:val="right"/>
            </w:pPr>
            <w:r>
              <w:rPr>
                <w:color w:val="1C3A36"/>
                <w:sz w:val="17"/>
              </w:rPr>
              <w:t>37,507</w:t>
            </w:r>
          </w:p>
        </w:tc>
        <w:tc>
          <w:tcPr>
            <w:tcW w:type="dxa" w:w="1944"/>
          </w:tcPr>
          <w:p>
            <w:pPr>
              <w:spacing w:after="20"/>
              <w:jc w:val="right"/>
            </w:pPr>
            <w:r>
              <w:rPr>
                <w:color w:val="1C3A36"/>
                <w:sz w:val="17"/>
              </w:rPr>
              <w:t>1,550</w:t>
            </w:r>
          </w:p>
        </w:tc>
      </w:tr>
      <w:tr>
        <w:tc>
          <w:tcPr>
            <w:tcW w:type="dxa" w:w="4392"/>
          </w:tcPr>
          <w:p>
            <w:pPr>
              <w:spacing w:after="20"/>
            </w:pPr>
            <w:r>
              <w:rPr>
                <w:color w:val="1C3A36"/>
                <w:sz w:val="17"/>
              </w:rPr>
              <w:t>less the disclosed first half</w:t>
            </w:r>
          </w:p>
        </w:tc>
        <w:tc>
          <w:tcPr>
            <w:tcW w:type="dxa" w:w="1944"/>
          </w:tcPr>
          <w:p>
            <w:pPr>
              <w:spacing w:after="20"/>
            </w:pPr>
            <w:r>
              <w:rPr>
                <w:color w:val="1C3A36"/>
                <w:sz w:val="17"/>
              </w:rPr>
              <w:t>Jul – Dec 2024</w:t>
            </w:r>
          </w:p>
        </w:tc>
        <w:tc>
          <w:tcPr>
            <w:tcW w:type="dxa" w:w="1944"/>
          </w:tcPr>
          <w:p>
            <w:pPr>
              <w:spacing w:after="20"/>
              <w:jc w:val="right"/>
            </w:pPr>
            <w:r>
              <w:rPr>
                <w:color w:val="1C3A36"/>
                <w:sz w:val="17"/>
              </w:rPr>
              <w:t>(18,246)</w:t>
            </w:r>
          </w:p>
        </w:tc>
        <w:tc>
          <w:tcPr>
            <w:tcW w:type="dxa" w:w="1944"/>
          </w:tcPr>
          <w:p>
            <w:pPr>
              <w:spacing w:after="20"/>
              <w:jc w:val="right"/>
            </w:pPr>
            <w:r>
              <w:rPr>
                <w:color w:val="1C3A36"/>
                <w:sz w:val="17"/>
              </w:rPr>
              <w:t>(644)</w:t>
            </w:r>
          </w:p>
        </w:tc>
      </w:tr>
      <w:tr>
        <w:tc>
          <w:tcPr>
            <w:tcW w:type="dxa" w:w="4392"/>
          </w:tcPr>
          <w:p>
            <w:pPr>
              <w:spacing w:after="20"/>
            </w:pPr>
            <w:r>
              <w:rPr>
                <w:color w:val="1C3A36"/>
                <w:sz w:val="17"/>
              </w:rPr>
              <w:t>= the second calendar half of 2025 comparative</w:t>
            </w:r>
          </w:p>
        </w:tc>
        <w:tc>
          <w:tcPr>
            <w:tcW w:type="dxa" w:w="1944"/>
          </w:tcPr>
          <w:p>
            <w:pPr>
              <w:spacing w:after="20"/>
            </w:pPr>
            <w:r>
              <w:rPr>
                <w:color w:val="1C3A36"/>
                <w:sz w:val="17"/>
              </w:rPr>
              <w:t>Jan – Jun 2025</w:t>
            </w:r>
          </w:p>
        </w:tc>
        <w:tc>
          <w:tcPr>
            <w:tcW w:type="dxa" w:w="1944"/>
          </w:tcPr>
          <w:p>
            <w:pPr>
              <w:spacing w:after="20"/>
              <w:jc w:val="right"/>
            </w:pPr>
            <w:r>
              <w:rPr>
                <w:color w:val="1C3A36"/>
                <w:sz w:val="17"/>
              </w:rPr>
              <w:t>19,261</w:t>
            </w:r>
          </w:p>
        </w:tc>
        <w:tc>
          <w:tcPr>
            <w:tcW w:type="dxa" w:w="1944"/>
          </w:tcPr>
          <w:p>
            <w:pPr>
              <w:spacing w:after="20"/>
              <w:jc w:val="right"/>
            </w:pPr>
            <w:r>
              <w:rPr>
                <w:color w:val="1C3A36"/>
                <w:sz w:val="17"/>
              </w:rPr>
              <w:t>906</w:t>
            </w:r>
          </w:p>
        </w:tc>
      </w:tr>
      <w:tr>
        <w:tc>
          <w:tcPr>
            <w:tcW w:type="dxa" w:w="4392"/>
          </w:tcPr>
          <w:p>
            <w:pPr>
              <w:spacing w:after="20"/>
            </w:pPr>
            <w:r>
              <w:rPr>
                <w:color w:val="1C3A36"/>
                <w:sz w:val="17"/>
              </w:rPr>
              <w:t>plus the filed transition period</w:t>
            </w:r>
          </w:p>
        </w:tc>
        <w:tc>
          <w:tcPr>
            <w:tcW w:type="dxa" w:w="1944"/>
          </w:tcPr>
          <w:p>
            <w:pPr>
              <w:spacing w:after="20"/>
            </w:pPr>
            <w:r>
              <w:rPr>
                <w:color w:val="1C3A36"/>
                <w:sz w:val="17"/>
              </w:rPr>
              <w:t>Jul – Dec 2025</w:t>
            </w:r>
          </w:p>
        </w:tc>
        <w:tc>
          <w:tcPr>
            <w:tcW w:type="dxa" w:w="1944"/>
          </w:tcPr>
          <w:p>
            <w:pPr>
              <w:spacing w:after="20"/>
              <w:jc w:val="right"/>
            </w:pPr>
            <w:r>
              <w:rPr>
                <w:color w:val="1C3A36"/>
                <w:sz w:val="17"/>
              </w:rPr>
              <w:t>20,735</w:t>
            </w:r>
          </w:p>
        </w:tc>
        <w:tc>
          <w:tcPr>
            <w:tcW w:type="dxa" w:w="1944"/>
          </w:tcPr>
          <w:p>
            <w:pPr>
              <w:spacing w:after="20"/>
              <w:jc w:val="right"/>
            </w:pPr>
            <w:r>
              <w:rPr>
                <w:color w:val="1C3A36"/>
                <w:sz w:val="17"/>
              </w:rPr>
              <w:t>656</w:t>
            </w:r>
          </w:p>
        </w:tc>
      </w:tr>
      <w:tr>
        <w:tc>
          <w:tcPr>
            <w:tcW w:type="dxa" w:w="4392"/>
            <w:shd w:val="clear" w:color="auto" w:fill="F6F1E6"/>
          </w:tcPr>
          <w:p>
            <w:pPr>
              <w:spacing w:after="20"/>
            </w:pPr>
            <w:r>
              <w:rPr>
                <w:b/>
                <w:color w:val="1C3A36"/>
                <w:sz w:val="17"/>
              </w:rPr>
              <w:t>= BASE YEAR</w:t>
            </w:r>
          </w:p>
        </w:tc>
        <w:tc>
          <w:tcPr>
            <w:tcW w:type="dxa" w:w="1944"/>
            <w:shd w:val="clear" w:color="auto" w:fill="F6F1E6"/>
          </w:tcPr>
          <w:p>
            <w:pPr>
              <w:spacing w:after="20"/>
            </w:pPr>
            <w:r>
              <w:rPr>
                <w:b/>
                <w:color w:val="1C3A36"/>
                <w:sz w:val="17"/>
              </w:rPr>
              <w:t>Calendar 2025</w:t>
            </w:r>
          </w:p>
        </w:tc>
        <w:tc>
          <w:tcPr>
            <w:tcW w:type="dxa" w:w="1944"/>
            <w:shd w:val="clear" w:color="auto" w:fill="F6F1E6"/>
          </w:tcPr>
          <w:p>
            <w:pPr>
              <w:spacing w:after="20"/>
              <w:jc w:val="right"/>
            </w:pPr>
            <w:r>
              <w:rPr>
                <w:b/>
                <w:color w:val="1C3A36"/>
                <w:sz w:val="17"/>
              </w:rPr>
              <w:t>39,996</w:t>
            </w:r>
          </w:p>
        </w:tc>
        <w:tc>
          <w:tcPr>
            <w:tcW w:type="dxa" w:w="1944"/>
            <w:shd w:val="clear" w:color="auto" w:fill="F6F1E6"/>
          </w:tcPr>
          <w:p>
            <w:pPr>
              <w:spacing w:after="20"/>
              <w:jc w:val="right"/>
            </w:pPr>
            <w:r>
              <w:rPr>
                <w:b/>
                <w:color w:val="1C3A36"/>
                <w:sz w:val="17"/>
              </w:rPr>
              <w:t>1,563</w:t>
            </w:r>
          </w:p>
        </w:tc>
      </w:tr>
    </w:tbl>
    <w:p>
      <w:pPr>
        <w:spacing w:after="40"/>
      </w:pPr>
    </w:p>
    <w:p>
      <w:pPr>
        <w:spacing w:after="200" w:before="0"/>
      </w:pPr>
      <w:r>
        <w:rPr>
          <w:b w:val="0"/>
          <w:i/>
          <w:color w:val="6E7B77"/>
          <w:sz w:val="17"/>
        </w:rPr>
        <w:t>Net margin on the constructed base year is 3.91%. The construction is carried on the face of the companion model as live formulas, so a reader who disagrees with one of the four disclosed inputs can change it and watch the base move.</w:t>
      </w:r>
    </w:p>
    <w:p>
      <w:pPr>
        <w:spacing w:after="120" w:before="0"/>
      </w:pPr>
      <w:r>
        <w:rPr>
          <w:b w:val="0"/>
          <w:i w:val="0"/>
          <w:color w:val="1C3A36"/>
          <w:sz w:val="21"/>
        </w:rPr>
        <w:t>A separate release covering the six months to 30 June 2026 reports revenue of EGP 26,200mn, up 35%, and profit after tax of EGP 1,900mn, up 109%. Against the January-to-June 2025 half constructed above, those are +36.0% and +109.6% — both reproduce the reported growth rates independently, which is what identifies the period the release covers. It is carried here as corroboration and NOT as the forecast base, for two reasons: it rests on a single source, and the margin it implies is far above anything in the company's own record. The margin path used below is deliberately struck under it.</w:t>
      </w:r>
    </w:p>
    <w:p>
      <w:pPr>
        <w:spacing w:after="80" w:before="200"/>
      </w:pPr>
      <w:r>
        <w:rPr>
          <w:b/>
          <w:i w:val="0"/>
          <w:color w:val="1C3A36"/>
          <w:sz w:val="24"/>
        </w:rPr>
        <w:t>1.3  A line the reported profit hides — and why the forecast leaves it out</w:t>
      </w:r>
    </w:p>
    <w:p>
      <w:pPr>
        <w:spacing w:after="120" w:before="0"/>
      </w:pPr>
      <w:r>
        <w:rPr>
          <w:b w:val="0"/>
          <w:i w:val="0"/>
          <w:color w:val="1C3A36"/>
          <w:sz w:val="21"/>
        </w:rPr>
        <w:t>Building the historical years from the gross margin down, rather than backwards from reported profit, exposes something the headline numbers conceal. Reported pre-tax profit in these years is materially larger than the operating result plus finance income can explain. The residual is other and non-operating income, and it has a shape: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70"/>
        <w:gridCol w:w="1570"/>
        <w:gridCol w:w="1570"/>
        <w:gridCol w:w="1570"/>
      </w:tblGrid>
      <w:tr>
        <w:tc>
          <w:tcPr>
            <w:tcW w:type="dxa" w:w="3672"/>
            <w:shd w:val="clear" w:color="auto" w:fill="EAF0EE"/>
          </w:tcPr>
          <w:p>
            <w:pPr>
              <w:spacing w:after="20"/>
            </w:pPr>
            <w:r>
              <w:rPr>
                <w:b/>
                <w:color w:val="1C3A36"/>
                <w:sz w:val="16"/>
              </w:rPr>
            </w:r>
          </w:p>
        </w:tc>
        <w:tc>
          <w:tcPr>
            <w:tcW w:type="dxa" w:w="1570"/>
            <w:shd w:val="clear" w:color="auto" w:fill="EAF0EE"/>
          </w:tcPr>
          <w:p>
            <w:pPr>
              <w:spacing w:after="20"/>
            </w:pPr>
            <w:r>
              <w:rPr>
                <w:b/>
                <w:color w:val="1C3A36"/>
                <w:sz w:val="16"/>
              </w:rPr>
              <w:t>FY2022/23</w:t>
            </w:r>
          </w:p>
        </w:tc>
        <w:tc>
          <w:tcPr>
            <w:tcW w:type="dxa" w:w="1570"/>
            <w:shd w:val="clear" w:color="auto" w:fill="EAF0EE"/>
          </w:tcPr>
          <w:p>
            <w:pPr>
              <w:spacing w:after="20"/>
            </w:pPr>
            <w:r>
              <w:rPr>
                <w:b/>
                <w:color w:val="1C3A36"/>
                <w:sz w:val="16"/>
              </w:rPr>
              <w:t>FY2023/24</w:t>
            </w:r>
          </w:p>
        </w:tc>
        <w:tc>
          <w:tcPr>
            <w:tcW w:type="dxa" w:w="1570"/>
            <w:shd w:val="clear" w:color="auto" w:fill="EAF0EE"/>
          </w:tcPr>
          <w:p>
            <w:pPr>
              <w:spacing w:after="20"/>
            </w:pPr>
            <w:r>
              <w:rPr>
                <w:b/>
                <w:color w:val="1C3A36"/>
                <w:sz w:val="16"/>
              </w:rPr>
              <w:t>FY2024/25</w:t>
            </w:r>
          </w:p>
        </w:tc>
        <w:tc>
          <w:tcPr>
            <w:tcW w:type="dxa" w:w="1570"/>
            <w:shd w:val="clear" w:color="auto" w:fill="EAF0EE"/>
          </w:tcPr>
          <w:p>
            <w:pPr>
              <w:spacing w:after="20"/>
            </w:pPr>
            <w:r>
              <w:rPr>
                <w:b/>
                <w:color w:val="1C3A36"/>
                <w:sz w:val="16"/>
              </w:rPr>
              <w:t>CY2025</w:t>
            </w:r>
          </w:p>
        </w:tc>
      </w:tr>
      <w:tr>
        <w:tc>
          <w:tcPr>
            <w:tcW w:type="dxa" w:w="3672"/>
          </w:tcPr>
          <w:p>
            <w:pPr>
              <w:spacing w:after="20"/>
            </w:pPr>
            <w:r>
              <w:rPr>
                <w:color w:val="1C3A36"/>
                <w:sz w:val="16"/>
              </w:rPr>
              <w:t>Operating result (EBIT)</w:t>
            </w:r>
          </w:p>
        </w:tc>
        <w:tc>
          <w:tcPr>
            <w:tcW w:type="dxa" w:w="1570"/>
          </w:tcPr>
          <w:p>
            <w:pPr>
              <w:spacing w:after="20"/>
              <w:jc w:val="right"/>
            </w:pPr>
            <w:r>
              <w:rPr>
                <w:color w:val="1C3A36"/>
                <w:sz w:val="16"/>
              </w:rPr>
              <w:t>768</w:t>
            </w:r>
          </w:p>
        </w:tc>
        <w:tc>
          <w:tcPr>
            <w:tcW w:type="dxa" w:w="1570"/>
          </w:tcPr>
          <w:p>
            <w:pPr>
              <w:spacing w:after="20"/>
              <w:jc w:val="right"/>
            </w:pPr>
            <w:r>
              <w:rPr>
                <w:color w:val="1C3A36"/>
                <w:sz w:val="16"/>
              </w:rPr>
              <w:t>1,224</w:t>
            </w:r>
          </w:p>
        </w:tc>
        <w:tc>
          <w:tcPr>
            <w:tcW w:type="dxa" w:w="1570"/>
          </w:tcPr>
          <w:p>
            <w:pPr>
              <w:spacing w:after="20"/>
              <w:jc w:val="right"/>
            </w:pPr>
            <w:r>
              <w:rPr>
                <w:color w:val="1C3A36"/>
                <w:sz w:val="16"/>
              </w:rPr>
              <w:t>1,444</w:t>
            </w:r>
          </w:p>
        </w:tc>
        <w:tc>
          <w:tcPr>
            <w:tcW w:type="dxa" w:w="1570"/>
          </w:tcPr>
          <w:p>
            <w:pPr>
              <w:spacing w:after="20"/>
              <w:jc w:val="right"/>
            </w:pPr>
            <w:r>
              <w:rPr>
                <w:color w:val="1C3A36"/>
                <w:sz w:val="16"/>
              </w:rPr>
              <w:t>1,620</w:t>
            </w:r>
          </w:p>
        </w:tc>
      </w:tr>
      <w:tr>
        <w:tc>
          <w:tcPr>
            <w:tcW w:type="dxa" w:w="3672"/>
          </w:tcPr>
          <w:p>
            <w:pPr>
              <w:spacing w:after="20"/>
            </w:pPr>
            <w:r>
              <w:rPr>
                <w:color w:val="1C3A36"/>
                <w:sz w:val="16"/>
              </w:rPr>
              <w:t>Net finance income</w:t>
            </w:r>
          </w:p>
        </w:tc>
        <w:tc>
          <w:tcPr>
            <w:tcW w:type="dxa" w:w="1570"/>
          </w:tcPr>
          <w:p>
            <w:pPr>
              <w:spacing w:after="20"/>
              <w:jc w:val="right"/>
            </w:pPr>
            <w:r>
              <w:rPr>
                <w:color w:val="1C3A36"/>
                <w:sz w:val="16"/>
              </w:rPr>
              <w:t>198</w:t>
            </w:r>
          </w:p>
        </w:tc>
        <w:tc>
          <w:tcPr>
            <w:tcW w:type="dxa" w:w="1570"/>
          </w:tcPr>
          <w:p>
            <w:pPr>
              <w:spacing w:after="20"/>
              <w:jc w:val="right"/>
            </w:pPr>
            <w:r>
              <w:rPr>
                <w:color w:val="1C3A36"/>
                <w:sz w:val="16"/>
              </w:rPr>
              <w:t>295</w:t>
            </w:r>
          </w:p>
        </w:tc>
        <w:tc>
          <w:tcPr>
            <w:tcW w:type="dxa" w:w="1570"/>
          </w:tcPr>
          <w:p>
            <w:pPr>
              <w:spacing w:after="20"/>
              <w:jc w:val="right"/>
            </w:pPr>
            <w:r>
              <w:rPr>
                <w:color w:val="1C3A36"/>
                <w:sz w:val="16"/>
              </w:rPr>
              <w:t>329</w:t>
            </w:r>
          </w:p>
        </w:tc>
        <w:tc>
          <w:tcPr>
            <w:tcW w:type="dxa" w:w="1570"/>
          </w:tcPr>
          <w:p>
            <w:pPr>
              <w:spacing w:after="20"/>
              <w:jc w:val="right"/>
            </w:pPr>
            <w:r>
              <w:rPr>
                <w:color w:val="1C3A36"/>
                <w:sz w:val="16"/>
              </w:rPr>
              <w:t>413</w:t>
            </w:r>
          </w:p>
        </w:tc>
      </w:tr>
      <w:tr>
        <w:tc>
          <w:tcPr>
            <w:tcW w:type="dxa" w:w="3672"/>
          </w:tcPr>
          <w:p>
            <w:pPr>
              <w:spacing w:after="20"/>
            </w:pPr>
            <w:r>
              <w:rPr>
                <w:color w:val="1C3A36"/>
                <w:sz w:val="16"/>
              </w:rPr>
              <w:t>Other and non-operating income</w:t>
            </w:r>
          </w:p>
        </w:tc>
        <w:tc>
          <w:tcPr>
            <w:tcW w:type="dxa" w:w="1570"/>
          </w:tcPr>
          <w:p>
            <w:pPr>
              <w:spacing w:after="20"/>
              <w:jc w:val="right"/>
            </w:pPr>
            <w:r>
              <w:rPr>
                <w:color w:val="1C3A36"/>
                <w:sz w:val="16"/>
              </w:rPr>
              <w:t>760</w:t>
            </w:r>
          </w:p>
        </w:tc>
        <w:tc>
          <w:tcPr>
            <w:tcW w:type="dxa" w:w="1570"/>
          </w:tcPr>
          <w:p>
            <w:pPr>
              <w:spacing w:after="20"/>
              <w:jc w:val="right"/>
            </w:pPr>
            <w:r>
              <w:rPr>
                <w:color w:val="1C3A36"/>
                <w:sz w:val="16"/>
              </w:rPr>
              <w:t>442</w:t>
            </w:r>
          </w:p>
        </w:tc>
        <w:tc>
          <w:tcPr>
            <w:tcW w:type="dxa" w:w="1570"/>
          </w:tcPr>
          <w:p>
            <w:pPr>
              <w:spacing w:after="20"/>
              <w:jc w:val="right"/>
            </w:pPr>
            <w:r>
              <w:rPr>
                <w:color w:val="1C3A36"/>
                <w:sz w:val="16"/>
              </w:rPr>
              <w:t>253</w:t>
            </w:r>
          </w:p>
        </w:tc>
        <w:tc>
          <w:tcPr>
            <w:tcW w:type="dxa" w:w="1570"/>
          </w:tcPr>
          <w:p>
            <w:pPr>
              <w:spacing w:after="20"/>
              <w:jc w:val="right"/>
            </w:pPr>
            <w:r>
              <w:rPr>
                <w:color w:val="1C3A36"/>
                <w:sz w:val="16"/>
              </w:rPr>
              <w:t>10</w:t>
            </w:r>
          </w:p>
        </w:tc>
      </w:tr>
      <w:tr>
        <w:tc>
          <w:tcPr>
            <w:tcW w:type="dxa" w:w="3672"/>
            <w:shd w:val="clear" w:color="auto" w:fill="F6F1E6"/>
          </w:tcPr>
          <w:p>
            <w:pPr>
              <w:spacing w:after="20"/>
            </w:pPr>
            <w:r>
              <w:rPr>
                <w:b/>
                <w:color w:val="1C3A36"/>
                <w:sz w:val="16"/>
              </w:rPr>
              <w:t>= profit before tax</w:t>
            </w:r>
          </w:p>
        </w:tc>
        <w:tc>
          <w:tcPr>
            <w:tcW w:type="dxa" w:w="1570"/>
            <w:shd w:val="clear" w:color="auto" w:fill="F6F1E6"/>
          </w:tcPr>
          <w:p>
            <w:pPr>
              <w:spacing w:after="20"/>
              <w:jc w:val="right"/>
            </w:pPr>
            <w:r>
              <w:rPr>
                <w:b/>
                <w:color w:val="1C3A36"/>
                <w:sz w:val="16"/>
              </w:rPr>
              <w:t>1,725</w:t>
            </w:r>
          </w:p>
        </w:tc>
        <w:tc>
          <w:tcPr>
            <w:tcW w:type="dxa" w:w="1570"/>
            <w:shd w:val="clear" w:color="auto" w:fill="F6F1E6"/>
          </w:tcPr>
          <w:p>
            <w:pPr>
              <w:spacing w:after="20"/>
              <w:jc w:val="right"/>
            </w:pPr>
            <w:r>
              <w:rPr>
                <w:b/>
                <w:color w:val="1C3A36"/>
                <w:sz w:val="16"/>
              </w:rPr>
              <w:t>1,961</w:t>
            </w:r>
          </w:p>
        </w:tc>
        <w:tc>
          <w:tcPr>
            <w:tcW w:type="dxa" w:w="1570"/>
            <w:shd w:val="clear" w:color="auto" w:fill="F6F1E6"/>
          </w:tcPr>
          <w:p>
            <w:pPr>
              <w:spacing w:after="20"/>
              <w:jc w:val="right"/>
            </w:pPr>
            <w:r>
              <w:rPr>
                <w:b/>
                <w:color w:val="1C3A36"/>
                <w:sz w:val="16"/>
              </w:rPr>
              <w:t>2,026</w:t>
            </w:r>
          </w:p>
        </w:tc>
        <w:tc>
          <w:tcPr>
            <w:tcW w:type="dxa" w:w="1570"/>
            <w:shd w:val="clear" w:color="auto" w:fill="F6F1E6"/>
          </w:tcPr>
          <w:p>
            <w:pPr>
              <w:spacing w:after="20"/>
              <w:jc w:val="right"/>
            </w:pPr>
            <w:r>
              <w:rPr>
                <w:b/>
                <w:color w:val="1C3A36"/>
                <w:sz w:val="16"/>
              </w:rPr>
              <w:t>2,043</w:t>
            </w:r>
          </w:p>
        </w:tc>
      </w:tr>
      <w:tr>
        <w:tc>
          <w:tcPr>
            <w:tcW w:type="dxa" w:w="3672"/>
          </w:tcPr>
          <w:p>
            <w:pPr>
              <w:spacing w:after="20"/>
            </w:pPr>
            <w:r>
              <w:rPr>
                <w:color w:val="1C3A36"/>
                <w:sz w:val="16"/>
              </w:rPr>
              <w:t>Other income as a share of pre-tax profit</w:t>
            </w:r>
          </w:p>
        </w:tc>
        <w:tc>
          <w:tcPr>
            <w:tcW w:type="dxa" w:w="1570"/>
          </w:tcPr>
          <w:p>
            <w:pPr>
              <w:spacing w:after="20"/>
              <w:jc w:val="right"/>
            </w:pPr>
            <w:r>
              <w:rPr>
                <w:color w:val="1C3A36"/>
                <w:sz w:val="16"/>
              </w:rPr>
              <w:t>44.0%</w:t>
            </w:r>
          </w:p>
        </w:tc>
        <w:tc>
          <w:tcPr>
            <w:tcW w:type="dxa" w:w="1570"/>
          </w:tcPr>
          <w:p>
            <w:pPr>
              <w:spacing w:after="20"/>
              <w:jc w:val="right"/>
            </w:pPr>
            <w:r>
              <w:rPr>
                <w:color w:val="1C3A36"/>
                <w:sz w:val="16"/>
              </w:rPr>
              <w:t>22.6%</w:t>
            </w:r>
          </w:p>
        </w:tc>
        <w:tc>
          <w:tcPr>
            <w:tcW w:type="dxa" w:w="1570"/>
          </w:tcPr>
          <w:p>
            <w:pPr>
              <w:spacing w:after="20"/>
              <w:jc w:val="right"/>
            </w:pPr>
            <w:r>
              <w:rPr>
                <w:color w:val="1C3A36"/>
                <w:sz w:val="16"/>
              </w:rPr>
              <w:t>12.5%</w:t>
            </w:r>
          </w:p>
        </w:tc>
        <w:tc>
          <w:tcPr>
            <w:tcW w:type="dxa" w:w="1570"/>
          </w:tcPr>
          <w:p>
            <w:pPr>
              <w:spacing w:after="20"/>
              <w:jc w:val="right"/>
            </w:pPr>
            <w:r>
              <w:rPr>
                <w:color w:val="1C3A36"/>
                <w:sz w:val="16"/>
              </w:rPr>
              <w:t>0.5%</w:t>
            </w:r>
          </w:p>
        </w:tc>
      </w:tr>
    </w:tbl>
    <w:p>
      <w:pPr>
        <w:spacing w:after="40"/>
      </w:pPr>
    </w:p>
    <w:p>
      <w:pPr>
        <w:spacing w:after="120" w:before="0"/>
      </w:pPr>
      <w:r>
        <w:rPr>
          <w:b w:val="0"/>
          <w:i w:val="0"/>
          <w:color w:val="1C3A36"/>
          <w:sz w:val="21"/>
        </w:rPr>
        <w:t>EGP 760mn in the year to June 2023, 442mn, 253mn, and effectively nothing by calendar 2025. That is the profile of exchange gains on dollar export receivables through the 2022-to-2024 devaluation sequence, washing out as the pound stabilised. It explains the otherwise puzzling record of the last three years — revenue compounding hard while reported profit barely moved — because the operating result was rising as the currency windfall drained away.</w:t>
      </w:r>
    </w:p>
    <w:p>
      <w:pPr>
        <w:spacing w:after="120" w:before="0"/>
      </w:pPr>
      <w:r>
        <w:rPr>
          <w:b w:val="0"/>
          <w:i w:val="0"/>
          <w:color w:val="1C3A36"/>
          <w:sz w:val="21"/>
        </w:rPr>
        <w:t>The forecast carries NONE of it. Every year from 2026 onward assumes zero other income. That is deliberately conservative, and a reader who expects further pound weakness should regard the forecast profit line as understated by whatever they think that windfall is worth. It also means the fair value here is a valuation of the refinery, not of a currency position.</w:t>
      </w:r>
    </w:p>
    <w:p>
      <w:pPr>
        <w:spacing w:after="80" w:before="200"/>
      </w:pPr>
      <w:r>
        <w:rPr>
          <w:b/>
          <w:i w:val="0"/>
          <w:color w:val="1C3A36"/>
          <w:sz w:val="24"/>
        </w:rPr>
        <w:t>1.4  How revenue is built</w:t>
      </w:r>
    </w:p>
    <w:p>
      <w:pPr>
        <w:spacing w:after="120" w:before="0"/>
      </w:pPr>
      <w:r>
        <w:rPr>
          <w:b w:val="0"/>
          <w:i w:val="0"/>
          <w:color w:val="1C3A36"/>
          <w:sz w:val="21"/>
        </w:rPr>
        <w:t>Not as one growth rate. A refiner's revenue is tonnes times a realised price, and the two legs have entirely different economics, so they are forecast separately and in dollars — both legs price off dollar product benchmarks even when the sale is domestic — and then translated at an explicit exchange-rate path.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224"/>
        <w:gridCol w:w="1224"/>
        <w:gridCol w:w="1224"/>
        <w:gridCol w:w="1224"/>
        <w:gridCol w:w="1224"/>
        <w:gridCol w:w="1224"/>
      </w:tblGrid>
      <w:tr>
        <w:tc>
          <w:tcPr>
            <w:tcW w:type="dxa" w:w="2736"/>
            <w:shd w:val="clear" w:color="auto" w:fill="EAF0EE"/>
          </w:tcPr>
          <w:p>
            <w:pPr>
              <w:spacing w:after="20"/>
            </w:pPr>
            <w:r>
              <w:rPr>
                <w:b/>
                <w:color w:val="1C3A36"/>
                <w:sz w:val="16"/>
              </w:rPr>
            </w:r>
          </w:p>
        </w:tc>
        <w:tc>
          <w:tcPr>
            <w:tcW w:type="dxa" w:w="1224"/>
            <w:shd w:val="clear" w:color="auto" w:fill="EAF0EE"/>
          </w:tcPr>
          <w:p>
            <w:pPr>
              <w:spacing w:after="20"/>
            </w:pPr>
            <w:r>
              <w:rPr>
                <w:b/>
                <w:color w:val="1C3A36"/>
                <w:sz w:val="16"/>
              </w:rPr>
              <w:t>CY2025</w:t>
            </w:r>
          </w:p>
        </w:tc>
        <w:tc>
          <w:tcPr>
            <w:tcW w:type="dxa" w:w="1224"/>
            <w:shd w:val="clear" w:color="auto" w:fill="EAF0EE"/>
          </w:tcPr>
          <w:p>
            <w:pPr>
              <w:spacing w:after="20"/>
            </w:pPr>
            <w:r>
              <w:rPr>
                <w:b/>
                <w:color w:val="1C3A36"/>
                <w:sz w:val="16"/>
              </w:rPr>
              <w:t>2026</w:t>
            </w:r>
          </w:p>
        </w:tc>
        <w:tc>
          <w:tcPr>
            <w:tcW w:type="dxa" w:w="1224"/>
            <w:shd w:val="clear" w:color="auto" w:fill="EAF0EE"/>
          </w:tcPr>
          <w:p>
            <w:pPr>
              <w:spacing w:after="20"/>
            </w:pPr>
            <w:r>
              <w:rPr>
                <w:b/>
                <w:color w:val="1C3A36"/>
                <w:sz w:val="16"/>
              </w:rPr>
              <w:t>2027</w:t>
            </w:r>
          </w:p>
        </w:tc>
        <w:tc>
          <w:tcPr>
            <w:tcW w:type="dxa" w:w="1224"/>
            <w:shd w:val="clear" w:color="auto" w:fill="EAF0EE"/>
          </w:tcPr>
          <w:p>
            <w:pPr>
              <w:spacing w:after="20"/>
            </w:pPr>
            <w:r>
              <w:rPr>
                <w:b/>
                <w:color w:val="1C3A36"/>
                <w:sz w:val="16"/>
              </w:rPr>
              <w:t>2028</w:t>
            </w:r>
          </w:p>
        </w:tc>
        <w:tc>
          <w:tcPr>
            <w:tcW w:type="dxa" w:w="1224"/>
            <w:shd w:val="clear" w:color="auto" w:fill="EAF0EE"/>
          </w:tcPr>
          <w:p>
            <w:pPr>
              <w:spacing w:after="20"/>
            </w:pPr>
            <w:r>
              <w:rPr>
                <w:b/>
                <w:color w:val="1C3A36"/>
                <w:sz w:val="16"/>
              </w:rPr>
              <w:t>2029</w:t>
            </w:r>
          </w:p>
        </w:tc>
        <w:tc>
          <w:tcPr>
            <w:tcW w:type="dxa" w:w="1224"/>
            <w:shd w:val="clear" w:color="auto" w:fill="EAF0EE"/>
          </w:tcPr>
          <w:p>
            <w:pPr>
              <w:spacing w:after="20"/>
            </w:pPr>
            <w:r>
              <w:rPr>
                <w:b/>
                <w:color w:val="1C3A36"/>
                <w:sz w:val="16"/>
              </w:rPr>
              <w:t>2030</w:t>
            </w:r>
          </w:p>
        </w:tc>
      </w:tr>
      <w:tr>
        <w:tc>
          <w:tcPr>
            <w:tcW w:type="dxa" w:w="2736"/>
          </w:tcPr>
          <w:p>
            <w:pPr>
              <w:spacing w:after="20"/>
            </w:pPr>
            <w:r>
              <w:rPr>
                <w:color w:val="1C3A36"/>
                <w:sz w:val="16"/>
              </w:rPr>
              <w:t>Total volume (mn tonnes)</w:t>
            </w:r>
          </w:p>
        </w:tc>
        <w:tc>
          <w:tcPr>
            <w:tcW w:type="dxa" w:w="1224"/>
          </w:tcPr>
          <w:p>
            <w:pPr>
              <w:spacing w:after="20"/>
              <w:jc w:val="right"/>
            </w:pPr>
            <w:r>
              <w:rPr>
                <w:color w:val="1C3A36"/>
                <w:sz w:val="16"/>
              </w:rPr>
              <w:t>1.551</w:t>
            </w:r>
          </w:p>
        </w:tc>
        <w:tc>
          <w:tcPr>
            <w:tcW w:type="dxa" w:w="1224"/>
          </w:tcPr>
          <w:p>
            <w:pPr>
              <w:spacing w:after="20"/>
              <w:jc w:val="right"/>
            </w:pPr>
            <w:r>
              <w:rPr>
                <w:color w:val="1C3A36"/>
                <w:sz w:val="16"/>
              </w:rPr>
              <w:t>1.637</w:t>
            </w:r>
          </w:p>
        </w:tc>
        <w:tc>
          <w:tcPr>
            <w:tcW w:type="dxa" w:w="1224"/>
          </w:tcPr>
          <w:p>
            <w:pPr>
              <w:spacing w:after="20"/>
              <w:jc w:val="right"/>
            </w:pPr>
            <w:r>
              <w:rPr>
                <w:color w:val="1C3A36"/>
                <w:sz w:val="16"/>
              </w:rPr>
              <w:t>1.702</w:t>
            </w:r>
          </w:p>
        </w:tc>
        <w:tc>
          <w:tcPr>
            <w:tcW w:type="dxa" w:w="1224"/>
          </w:tcPr>
          <w:p>
            <w:pPr>
              <w:spacing w:after="20"/>
              <w:jc w:val="right"/>
            </w:pPr>
            <w:r>
              <w:rPr>
                <w:color w:val="1C3A36"/>
                <w:sz w:val="16"/>
              </w:rPr>
              <w:t>1.762</w:t>
            </w:r>
          </w:p>
        </w:tc>
        <w:tc>
          <w:tcPr>
            <w:tcW w:type="dxa" w:w="1224"/>
          </w:tcPr>
          <w:p>
            <w:pPr>
              <w:spacing w:after="20"/>
              <w:jc w:val="right"/>
            </w:pPr>
            <w:r>
              <w:rPr>
                <w:color w:val="1C3A36"/>
                <w:sz w:val="16"/>
              </w:rPr>
              <w:t>1.815</w:t>
            </w:r>
          </w:p>
        </w:tc>
        <w:tc>
          <w:tcPr>
            <w:tcW w:type="dxa" w:w="1224"/>
          </w:tcPr>
          <w:p>
            <w:pPr>
              <w:spacing w:after="20"/>
              <w:jc w:val="right"/>
            </w:pPr>
            <w:r>
              <w:rPr>
                <w:color w:val="1C3A36"/>
                <w:sz w:val="16"/>
              </w:rPr>
              <w:t>1.860</w:t>
            </w:r>
          </w:p>
        </w:tc>
      </w:tr>
      <w:tr>
        <w:tc>
          <w:tcPr>
            <w:tcW w:type="dxa" w:w="2736"/>
          </w:tcPr>
          <w:p>
            <w:pPr>
              <w:spacing w:after="20"/>
            </w:pPr>
            <w:r>
              <w:rPr>
                <w:color w:val="1C3A36"/>
                <w:sz w:val="16"/>
              </w:rPr>
              <w:t>Specialty volume (mn tonnes)</w:t>
            </w:r>
          </w:p>
        </w:tc>
        <w:tc>
          <w:tcPr>
            <w:tcW w:type="dxa" w:w="1224"/>
          </w:tcPr>
          <w:p>
            <w:pPr>
              <w:spacing w:after="20"/>
              <w:jc w:val="right"/>
            </w:pPr>
            <w:r>
              <w:rPr>
                <w:color w:val="1C3A36"/>
                <w:sz w:val="16"/>
              </w:rPr>
              <w:t>0.212</w:t>
            </w:r>
          </w:p>
        </w:tc>
        <w:tc>
          <w:tcPr>
            <w:tcW w:type="dxa" w:w="1224"/>
          </w:tcPr>
          <w:p>
            <w:pPr>
              <w:spacing w:after="20"/>
              <w:jc w:val="right"/>
            </w:pPr>
            <w:r>
              <w:rPr>
                <w:color w:val="1C3A36"/>
                <w:sz w:val="16"/>
              </w:rPr>
              <w:t>0.231</w:t>
            </w:r>
          </w:p>
        </w:tc>
        <w:tc>
          <w:tcPr>
            <w:tcW w:type="dxa" w:w="1224"/>
          </w:tcPr>
          <w:p>
            <w:pPr>
              <w:spacing w:after="20"/>
              <w:jc w:val="right"/>
            </w:pPr>
            <w:r>
              <w:rPr>
                <w:color w:val="1C3A36"/>
                <w:sz w:val="16"/>
              </w:rPr>
              <w:t>0.247</w:t>
            </w:r>
          </w:p>
        </w:tc>
        <w:tc>
          <w:tcPr>
            <w:tcW w:type="dxa" w:w="1224"/>
          </w:tcPr>
          <w:p>
            <w:pPr>
              <w:spacing w:after="20"/>
              <w:jc w:val="right"/>
            </w:pPr>
            <w:r>
              <w:rPr>
                <w:color w:val="1C3A36"/>
                <w:sz w:val="16"/>
              </w:rPr>
              <w:t>0.261</w:t>
            </w:r>
          </w:p>
        </w:tc>
        <w:tc>
          <w:tcPr>
            <w:tcW w:type="dxa" w:w="1224"/>
          </w:tcPr>
          <w:p>
            <w:pPr>
              <w:spacing w:after="20"/>
              <w:jc w:val="right"/>
            </w:pPr>
            <w:r>
              <w:rPr>
                <w:color w:val="1C3A36"/>
                <w:sz w:val="16"/>
              </w:rPr>
              <w:t>0.272</w:t>
            </w:r>
          </w:p>
        </w:tc>
        <w:tc>
          <w:tcPr>
            <w:tcW w:type="dxa" w:w="1224"/>
          </w:tcPr>
          <w:p>
            <w:pPr>
              <w:spacing w:after="20"/>
              <w:jc w:val="right"/>
            </w:pPr>
            <w:r>
              <w:rPr>
                <w:color w:val="1C3A36"/>
                <w:sz w:val="16"/>
              </w:rPr>
              <w:t>0.283</w:t>
            </w:r>
          </w:p>
        </w:tc>
      </w:tr>
      <w:tr>
        <w:tc>
          <w:tcPr>
            <w:tcW w:type="dxa" w:w="2736"/>
          </w:tcPr>
          <w:p>
            <w:pPr>
              <w:spacing w:after="20"/>
            </w:pPr>
            <w:r>
              <w:rPr>
                <w:color w:val="1C3A36"/>
                <w:sz w:val="16"/>
              </w:rPr>
              <w:t>Specialty price (USD / tonne)</w:t>
            </w:r>
          </w:p>
        </w:tc>
        <w:tc>
          <w:tcPr>
            <w:tcW w:type="dxa" w:w="1224"/>
          </w:tcPr>
          <w:p>
            <w:pPr>
              <w:spacing w:after="20"/>
              <w:jc w:val="right"/>
            </w:pPr>
            <w:r>
              <w:rPr>
                <w:color w:val="1C3A36"/>
                <w:sz w:val="16"/>
              </w:rPr>
              <w:t>1,105</w:t>
            </w:r>
          </w:p>
        </w:tc>
        <w:tc>
          <w:tcPr>
            <w:tcW w:type="dxa" w:w="1224"/>
          </w:tcPr>
          <w:p>
            <w:pPr>
              <w:spacing w:after="20"/>
              <w:jc w:val="right"/>
            </w:pPr>
            <w:r>
              <w:rPr>
                <w:color w:val="1C3A36"/>
                <w:sz w:val="16"/>
              </w:rPr>
              <w:t>1,127</w:t>
            </w:r>
          </w:p>
        </w:tc>
        <w:tc>
          <w:tcPr>
            <w:tcW w:type="dxa" w:w="1224"/>
          </w:tcPr>
          <w:p>
            <w:pPr>
              <w:spacing w:after="20"/>
              <w:jc w:val="right"/>
            </w:pPr>
            <w:r>
              <w:rPr>
                <w:color w:val="1C3A36"/>
                <w:sz w:val="16"/>
              </w:rPr>
              <w:t>1,150</w:t>
            </w:r>
          </w:p>
        </w:tc>
        <w:tc>
          <w:tcPr>
            <w:tcW w:type="dxa" w:w="1224"/>
          </w:tcPr>
          <w:p>
            <w:pPr>
              <w:spacing w:after="20"/>
              <w:jc w:val="right"/>
            </w:pPr>
            <w:r>
              <w:rPr>
                <w:color w:val="1C3A36"/>
                <w:sz w:val="16"/>
              </w:rPr>
              <w:t>1,173</w:t>
            </w:r>
          </w:p>
        </w:tc>
        <w:tc>
          <w:tcPr>
            <w:tcW w:type="dxa" w:w="1224"/>
          </w:tcPr>
          <w:p>
            <w:pPr>
              <w:spacing w:after="20"/>
              <w:jc w:val="right"/>
            </w:pPr>
            <w:r>
              <w:rPr>
                <w:color w:val="1C3A36"/>
                <w:sz w:val="16"/>
              </w:rPr>
              <w:t>1,196</w:t>
            </w:r>
          </w:p>
        </w:tc>
        <w:tc>
          <w:tcPr>
            <w:tcW w:type="dxa" w:w="1224"/>
          </w:tcPr>
          <w:p>
            <w:pPr>
              <w:spacing w:after="20"/>
              <w:jc w:val="right"/>
            </w:pPr>
            <w:r>
              <w:rPr>
                <w:color w:val="1C3A36"/>
                <w:sz w:val="16"/>
              </w:rPr>
              <w:t>1,220</w:t>
            </w:r>
          </w:p>
        </w:tc>
      </w:tr>
      <w:tr>
        <w:tc>
          <w:tcPr>
            <w:tcW w:type="dxa" w:w="2736"/>
          </w:tcPr>
          <w:p>
            <w:pPr>
              <w:spacing w:after="20"/>
            </w:pPr>
            <w:r>
              <w:rPr>
                <w:color w:val="1C3A36"/>
                <w:sz w:val="16"/>
              </w:rPr>
              <w:t>Fuel price (USD / tonne)</w:t>
            </w:r>
          </w:p>
        </w:tc>
        <w:tc>
          <w:tcPr>
            <w:tcW w:type="dxa" w:w="1224"/>
          </w:tcPr>
          <w:p>
            <w:pPr>
              <w:spacing w:after="20"/>
              <w:jc w:val="right"/>
            </w:pPr>
            <w:r>
              <w:rPr>
                <w:color w:val="1C3A36"/>
                <w:sz w:val="16"/>
              </w:rPr>
              <w:t>438</w:t>
            </w:r>
          </w:p>
        </w:tc>
        <w:tc>
          <w:tcPr>
            <w:tcW w:type="dxa" w:w="1224"/>
          </w:tcPr>
          <w:p>
            <w:pPr>
              <w:spacing w:after="20"/>
              <w:jc w:val="right"/>
            </w:pPr>
            <w:r>
              <w:rPr>
                <w:color w:val="1C3A36"/>
                <w:sz w:val="16"/>
              </w:rPr>
              <w:t>443</w:t>
            </w:r>
          </w:p>
        </w:tc>
        <w:tc>
          <w:tcPr>
            <w:tcW w:type="dxa" w:w="1224"/>
          </w:tcPr>
          <w:p>
            <w:pPr>
              <w:spacing w:after="20"/>
              <w:jc w:val="right"/>
            </w:pPr>
            <w:r>
              <w:rPr>
                <w:color w:val="1C3A36"/>
                <w:sz w:val="16"/>
              </w:rPr>
              <w:t>452</w:t>
            </w:r>
          </w:p>
        </w:tc>
        <w:tc>
          <w:tcPr>
            <w:tcW w:type="dxa" w:w="1224"/>
          </w:tcPr>
          <w:p>
            <w:pPr>
              <w:spacing w:after="20"/>
              <w:jc w:val="right"/>
            </w:pPr>
            <w:r>
              <w:rPr>
                <w:color w:val="1C3A36"/>
                <w:sz w:val="16"/>
              </w:rPr>
              <w:t>461</w:t>
            </w:r>
          </w:p>
        </w:tc>
        <w:tc>
          <w:tcPr>
            <w:tcW w:type="dxa" w:w="1224"/>
          </w:tcPr>
          <w:p>
            <w:pPr>
              <w:spacing w:after="20"/>
              <w:jc w:val="right"/>
            </w:pPr>
            <w:r>
              <w:rPr>
                <w:color w:val="1C3A36"/>
                <w:sz w:val="16"/>
              </w:rPr>
              <w:t>470</w:t>
            </w:r>
          </w:p>
        </w:tc>
        <w:tc>
          <w:tcPr>
            <w:tcW w:type="dxa" w:w="1224"/>
          </w:tcPr>
          <w:p>
            <w:pPr>
              <w:spacing w:after="20"/>
              <w:jc w:val="right"/>
            </w:pPr>
            <w:r>
              <w:rPr>
                <w:color w:val="1C3A36"/>
                <w:sz w:val="16"/>
              </w:rPr>
              <w:t>479</w:t>
            </w:r>
          </w:p>
        </w:tc>
      </w:tr>
      <w:tr>
        <w:tc>
          <w:tcPr>
            <w:tcW w:type="dxa" w:w="2736"/>
          </w:tcPr>
          <w:p>
            <w:pPr>
              <w:spacing w:after="20"/>
            </w:pPr>
            <w:r>
              <w:rPr>
                <w:color w:val="1C3A36"/>
                <w:sz w:val="16"/>
              </w:rPr>
              <w:t>USD / EGP average</w:t>
            </w:r>
          </w:p>
        </w:tc>
        <w:tc>
          <w:tcPr>
            <w:tcW w:type="dxa" w:w="1224"/>
          </w:tcPr>
          <w:p>
            <w:pPr>
              <w:spacing w:after="20"/>
              <w:jc w:val="right"/>
            </w:pPr>
            <w:r>
              <w:rPr>
                <w:color w:val="1C3A36"/>
                <w:sz w:val="16"/>
              </w:rPr>
              <w:t>48.7</w:t>
            </w:r>
          </w:p>
        </w:tc>
        <w:tc>
          <w:tcPr>
            <w:tcW w:type="dxa" w:w="1224"/>
          </w:tcPr>
          <w:p>
            <w:pPr>
              <w:spacing w:after="20"/>
              <w:jc w:val="right"/>
            </w:pPr>
            <w:r>
              <w:rPr>
                <w:color w:val="1C3A36"/>
                <w:sz w:val="16"/>
              </w:rPr>
              <w:t>50.9</w:t>
            </w:r>
          </w:p>
        </w:tc>
        <w:tc>
          <w:tcPr>
            <w:tcW w:type="dxa" w:w="1224"/>
          </w:tcPr>
          <w:p>
            <w:pPr>
              <w:spacing w:after="20"/>
              <w:jc w:val="right"/>
            </w:pPr>
            <w:r>
              <w:rPr>
                <w:color w:val="1C3A36"/>
                <w:sz w:val="16"/>
              </w:rPr>
              <w:t>53.4</w:t>
            </w:r>
          </w:p>
        </w:tc>
        <w:tc>
          <w:tcPr>
            <w:tcW w:type="dxa" w:w="1224"/>
          </w:tcPr>
          <w:p>
            <w:pPr>
              <w:spacing w:after="20"/>
              <w:jc w:val="right"/>
            </w:pPr>
            <w:r>
              <w:rPr>
                <w:color w:val="1C3A36"/>
                <w:sz w:val="16"/>
              </w:rPr>
              <w:t>55.8</w:t>
            </w:r>
          </w:p>
        </w:tc>
        <w:tc>
          <w:tcPr>
            <w:tcW w:type="dxa" w:w="1224"/>
          </w:tcPr>
          <w:p>
            <w:pPr>
              <w:spacing w:after="20"/>
              <w:jc w:val="right"/>
            </w:pPr>
            <w:r>
              <w:rPr>
                <w:color w:val="1C3A36"/>
                <w:sz w:val="16"/>
              </w:rPr>
              <w:t>58.0</w:t>
            </w:r>
          </w:p>
        </w:tc>
        <w:tc>
          <w:tcPr>
            <w:tcW w:type="dxa" w:w="1224"/>
          </w:tcPr>
          <w:p>
            <w:pPr>
              <w:spacing w:after="20"/>
              <w:jc w:val="right"/>
            </w:pPr>
            <w:r>
              <w:rPr>
                <w:color w:val="1C3A36"/>
                <w:sz w:val="16"/>
              </w:rPr>
              <w:t>60.1</w:t>
            </w:r>
          </w:p>
        </w:tc>
      </w:tr>
      <w:tr>
        <w:tc>
          <w:tcPr>
            <w:tcW w:type="dxa" w:w="2736"/>
          </w:tcPr>
          <w:p>
            <w:pPr>
              <w:spacing w:after="20"/>
            </w:pPr>
            <w:r>
              <w:rPr>
                <w:color w:val="1C3A36"/>
                <w:sz w:val="16"/>
              </w:rPr>
              <w:t>Specialty revenue (EGP mn)</w:t>
            </w:r>
          </w:p>
        </w:tc>
        <w:tc>
          <w:tcPr>
            <w:tcW w:type="dxa" w:w="1224"/>
          </w:tcPr>
          <w:p>
            <w:pPr>
              <w:spacing w:after="20"/>
              <w:jc w:val="right"/>
            </w:pPr>
            <w:r>
              <w:rPr>
                <w:color w:val="1C3A36"/>
                <w:sz w:val="16"/>
              </w:rPr>
              <w:t>11,396</w:t>
            </w:r>
          </w:p>
        </w:tc>
        <w:tc>
          <w:tcPr>
            <w:tcW w:type="dxa" w:w="1224"/>
          </w:tcPr>
          <w:p>
            <w:pPr>
              <w:spacing w:after="20"/>
              <w:jc w:val="right"/>
            </w:pPr>
            <w:r>
              <w:rPr>
                <w:color w:val="1C3A36"/>
                <w:sz w:val="16"/>
              </w:rPr>
              <w:t>13,243</w:t>
            </w:r>
          </w:p>
        </w:tc>
        <w:tc>
          <w:tcPr>
            <w:tcW w:type="dxa" w:w="1224"/>
          </w:tcPr>
          <w:p>
            <w:pPr>
              <w:spacing w:after="20"/>
              <w:jc w:val="right"/>
            </w:pPr>
            <w:r>
              <w:rPr>
                <w:color w:val="1C3A36"/>
                <w:sz w:val="16"/>
              </w:rPr>
              <w:t>15,163</w:t>
            </w:r>
          </w:p>
        </w:tc>
        <w:tc>
          <w:tcPr>
            <w:tcW w:type="dxa" w:w="1224"/>
          </w:tcPr>
          <w:p>
            <w:pPr>
              <w:spacing w:after="20"/>
              <w:jc w:val="right"/>
            </w:pPr>
            <w:r>
              <w:rPr>
                <w:color w:val="1C3A36"/>
                <w:sz w:val="16"/>
              </w:rPr>
              <w:t>17,050</w:t>
            </w:r>
          </w:p>
        </w:tc>
        <w:tc>
          <w:tcPr>
            <w:tcW w:type="dxa" w:w="1224"/>
          </w:tcPr>
          <w:p>
            <w:pPr>
              <w:spacing w:after="20"/>
              <w:jc w:val="right"/>
            </w:pPr>
            <w:r>
              <w:rPr>
                <w:color w:val="1C3A36"/>
                <w:sz w:val="16"/>
              </w:rPr>
              <w:t>18,890</w:t>
            </w:r>
          </w:p>
        </w:tc>
        <w:tc>
          <w:tcPr>
            <w:tcW w:type="dxa" w:w="1224"/>
          </w:tcPr>
          <w:p>
            <w:pPr>
              <w:spacing w:after="20"/>
              <w:jc w:val="right"/>
            </w:pPr>
            <w:r>
              <w:rPr>
                <w:color w:val="1C3A36"/>
                <w:sz w:val="16"/>
              </w:rPr>
              <w:t>20,764</w:t>
            </w:r>
          </w:p>
        </w:tc>
      </w:tr>
      <w:tr>
        <w:tc>
          <w:tcPr>
            <w:tcW w:type="dxa" w:w="2736"/>
          </w:tcPr>
          <w:p>
            <w:pPr>
              <w:spacing w:after="20"/>
            </w:pPr>
            <w:r>
              <w:rPr>
                <w:color w:val="1C3A36"/>
                <w:sz w:val="16"/>
              </w:rPr>
              <w:t>Fuel revenue (EGP mn)</w:t>
            </w:r>
          </w:p>
        </w:tc>
        <w:tc>
          <w:tcPr>
            <w:tcW w:type="dxa" w:w="1224"/>
          </w:tcPr>
          <w:p>
            <w:pPr>
              <w:spacing w:after="20"/>
              <w:jc w:val="right"/>
            </w:pPr>
            <w:r>
              <w:rPr>
                <w:color w:val="1C3A36"/>
                <w:sz w:val="16"/>
              </w:rPr>
              <w:t>28,599</w:t>
            </w:r>
          </w:p>
        </w:tc>
        <w:tc>
          <w:tcPr>
            <w:tcW w:type="dxa" w:w="1224"/>
          </w:tcPr>
          <w:p>
            <w:pPr>
              <w:spacing w:after="20"/>
              <w:jc w:val="right"/>
            </w:pPr>
            <w:r>
              <w:rPr>
                <w:color w:val="1C3A36"/>
                <w:sz w:val="16"/>
              </w:rPr>
              <w:t>31,684</w:t>
            </w:r>
          </w:p>
        </w:tc>
        <w:tc>
          <w:tcPr>
            <w:tcW w:type="dxa" w:w="1224"/>
          </w:tcPr>
          <w:p>
            <w:pPr>
              <w:spacing w:after="20"/>
              <w:jc w:val="right"/>
            </w:pPr>
            <w:r>
              <w:rPr>
                <w:color w:val="1C3A36"/>
                <w:sz w:val="16"/>
              </w:rPr>
              <w:t>35,094</w:t>
            </w:r>
          </w:p>
        </w:tc>
        <w:tc>
          <w:tcPr>
            <w:tcW w:type="dxa" w:w="1224"/>
          </w:tcPr>
          <w:p>
            <w:pPr>
              <w:spacing w:after="20"/>
              <w:jc w:val="right"/>
            </w:pPr>
            <w:r>
              <w:rPr>
                <w:color w:val="1C3A36"/>
                <w:sz w:val="16"/>
              </w:rPr>
              <w:t>38,587</w:t>
            </w:r>
          </w:p>
        </w:tc>
        <w:tc>
          <w:tcPr>
            <w:tcW w:type="dxa" w:w="1224"/>
          </w:tcPr>
          <w:p>
            <w:pPr>
              <w:spacing w:after="20"/>
              <w:jc w:val="right"/>
            </w:pPr>
            <w:r>
              <w:rPr>
                <w:color w:val="1C3A36"/>
                <w:sz w:val="16"/>
              </w:rPr>
              <w:t>42,031</w:t>
            </w:r>
          </w:p>
        </w:tc>
        <w:tc>
          <w:tcPr>
            <w:tcW w:type="dxa" w:w="1224"/>
          </w:tcPr>
          <w:p>
            <w:pPr>
              <w:spacing w:after="20"/>
              <w:jc w:val="right"/>
            </w:pPr>
            <w:r>
              <w:rPr>
                <w:color w:val="1C3A36"/>
                <w:sz w:val="16"/>
              </w:rPr>
              <w:t>45,417</w:t>
            </w:r>
          </w:p>
        </w:tc>
      </w:tr>
      <w:tr>
        <w:tc>
          <w:tcPr>
            <w:tcW w:type="dxa" w:w="2736"/>
            <w:shd w:val="clear" w:color="auto" w:fill="F6F1E6"/>
          </w:tcPr>
          <w:p>
            <w:pPr>
              <w:spacing w:after="20"/>
            </w:pPr>
            <w:r>
              <w:rPr>
                <w:b/>
                <w:color w:val="1C3A36"/>
                <w:sz w:val="16"/>
              </w:rPr>
              <w:t>TOTAL REVENUE (EGP mn)</w:t>
            </w:r>
          </w:p>
        </w:tc>
        <w:tc>
          <w:tcPr>
            <w:tcW w:type="dxa" w:w="1224"/>
            <w:shd w:val="clear" w:color="auto" w:fill="F6F1E6"/>
          </w:tcPr>
          <w:p>
            <w:pPr>
              <w:spacing w:after="20"/>
              <w:jc w:val="right"/>
            </w:pPr>
            <w:r>
              <w:rPr>
                <w:b/>
                <w:color w:val="1C3A36"/>
                <w:sz w:val="16"/>
              </w:rPr>
              <w:t>39,996</w:t>
            </w:r>
          </w:p>
        </w:tc>
        <w:tc>
          <w:tcPr>
            <w:tcW w:type="dxa" w:w="1224"/>
            <w:shd w:val="clear" w:color="auto" w:fill="F6F1E6"/>
          </w:tcPr>
          <w:p>
            <w:pPr>
              <w:spacing w:after="20"/>
              <w:jc w:val="right"/>
            </w:pPr>
            <w:r>
              <w:rPr>
                <w:b/>
                <w:color w:val="1C3A36"/>
                <w:sz w:val="16"/>
              </w:rPr>
              <w:t>44,926</w:t>
            </w:r>
          </w:p>
        </w:tc>
        <w:tc>
          <w:tcPr>
            <w:tcW w:type="dxa" w:w="1224"/>
            <w:shd w:val="clear" w:color="auto" w:fill="F6F1E6"/>
          </w:tcPr>
          <w:p>
            <w:pPr>
              <w:spacing w:after="20"/>
              <w:jc w:val="right"/>
            </w:pPr>
            <w:r>
              <w:rPr>
                <w:b/>
                <w:color w:val="1C3A36"/>
                <w:sz w:val="16"/>
              </w:rPr>
              <w:t>50,257</w:t>
            </w:r>
          </w:p>
        </w:tc>
        <w:tc>
          <w:tcPr>
            <w:tcW w:type="dxa" w:w="1224"/>
            <w:shd w:val="clear" w:color="auto" w:fill="F6F1E6"/>
          </w:tcPr>
          <w:p>
            <w:pPr>
              <w:spacing w:after="20"/>
              <w:jc w:val="right"/>
            </w:pPr>
            <w:r>
              <w:rPr>
                <w:b/>
                <w:color w:val="1C3A36"/>
                <w:sz w:val="16"/>
              </w:rPr>
              <w:t>55,637</w:t>
            </w:r>
          </w:p>
        </w:tc>
        <w:tc>
          <w:tcPr>
            <w:tcW w:type="dxa" w:w="1224"/>
            <w:shd w:val="clear" w:color="auto" w:fill="F6F1E6"/>
          </w:tcPr>
          <w:p>
            <w:pPr>
              <w:spacing w:after="20"/>
              <w:jc w:val="right"/>
            </w:pPr>
            <w:r>
              <w:rPr>
                <w:b/>
                <w:color w:val="1C3A36"/>
                <w:sz w:val="16"/>
              </w:rPr>
              <w:t>60,921</w:t>
            </w:r>
          </w:p>
        </w:tc>
        <w:tc>
          <w:tcPr>
            <w:tcW w:type="dxa" w:w="1224"/>
            <w:shd w:val="clear" w:color="auto" w:fill="F6F1E6"/>
          </w:tcPr>
          <w:p>
            <w:pPr>
              <w:spacing w:after="20"/>
              <w:jc w:val="right"/>
            </w:pPr>
            <w:r>
              <w:rPr>
                <w:b/>
                <w:color w:val="1C3A36"/>
                <w:sz w:val="16"/>
              </w:rPr>
              <w:t>66,181</w:t>
            </w:r>
          </w:p>
        </w:tc>
      </w:tr>
    </w:tbl>
    <w:p>
      <w:pPr>
        <w:spacing w:after="40"/>
      </w:pPr>
    </w:p>
    <w:p>
      <w:pPr>
        <w:spacing w:after="200" w:before="0"/>
      </w:pPr>
      <w:r>
        <w:rPr>
          <w:b w:val="0"/>
          <w:i/>
          <w:color w:val="6E7B77"/>
          <w:sz w:val="17"/>
        </w:rPr>
        <w:t>Volume growth tapers from 5.5% to 2.5%. The step-change is already IN the base year — the transition half annualises to 1.616mn tonnes against 1.3mn in the June-2025 year — so the forecast carries only the residual utilisation gain and then maintenance growth. The specialty leg grows faster on the export push and lifts its share of revenue from 28% to 31%.</w:t>
      </w:r>
    </w:p>
    <w:p>
      <w:pPr>
        <w:spacing w:after="40"/>
        <w:jc w:val="center"/>
      </w:pPr>
      <w:r>
        <w:drawing>
          <wp:inline xmlns:a="http://schemas.openxmlformats.org/drawingml/2006/main" xmlns:pic="http://schemas.openxmlformats.org/drawingml/2006/picture">
            <wp:extent cx="6309360" cy="2676698"/>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2676698"/>
                    </a:xfrm>
                    <a:prstGeom prst="rect"/>
                  </pic:spPr>
                </pic:pic>
              </a:graphicData>
            </a:graphic>
          </wp:inline>
        </w:drawing>
      </w:r>
    </w:p>
    <w:p>
      <w:pPr>
        <w:spacing w:after="200" w:before="0"/>
      </w:pPr>
      <w:r>
        <w:rPr>
          <w:b w:val="0"/>
          <w:i/>
          <w:color w:val="6E7B77"/>
          <w:sz w:val="17"/>
        </w:rPr>
        <w:t>Figure 2 — revenue by product leg with the EBITDA margin on the right axis. The margin widens gently on mix, not on an assumed change in the spread.</w:t>
      </w:r>
    </w:p>
    <w:p>
      <w:pPr>
        <w:spacing w:after="80" w:before="200"/>
      </w:pPr>
      <w:r>
        <w:rPr>
          <w:b/>
          <w:i w:val="0"/>
          <w:color w:val="1C3A36"/>
          <w:sz w:val="24"/>
        </w:rPr>
        <w:t>1.5  The cost of capital, built rather than asserted</w:t>
      </w:r>
    </w:p>
    <w:p>
      <w:pPr>
        <w:spacing w:after="120" w:before="0"/>
      </w:pPr>
      <w:r>
        <w:rPr>
          <w:b w:val="0"/>
          <w:i w:val="0"/>
          <w:color w:val="1C3A36"/>
          <w:sz w:val="21"/>
        </w:rPr>
        <w:t>Egypt is a market in monetary transition, so a single flat rate applied to both the explicit years and a perpetuity would assert that the cost of capital never normalises — a claim the central bank's own published disinflation path contradicts. The schedule below therefore slides from an explicit-window rate to a terminal rate, and the terminal value is discounted at exactly the same cumulative factor as year-five cash flow. One date, one price of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368"/>
        <w:gridCol w:w="1181"/>
        <w:gridCol w:w="4838"/>
      </w:tblGrid>
      <w:tr>
        <w:tc>
          <w:tcPr>
            <w:tcW w:type="dxa" w:w="2333"/>
            <w:shd w:val="clear" w:color="auto" w:fill="EAF0EE"/>
          </w:tcPr>
          <w:p>
            <w:pPr>
              <w:spacing w:after="20"/>
            </w:pPr>
            <w:r>
              <w:rPr>
                <w:b/>
                <w:color w:val="1C3A36"/>
                <w:sz w:val="16"/>
              </w:rPr>
              <w:t>Component</w:t>
            </w:r>
          </w:p>
        </w:tc>
        <w:tc>
          <w:tcPr>
            <w:tcW w:type="dxa" w:w="1368"/>
            <w:shd w:val="clear" w:color="auto" w:fill="EAF0EE"/>
          </w:tcPr>
          <w:p>
            <w:pPr>
              <w:spacing w:after="20"/>
            </w:pPr>
            <w:r>
              <w:rPr>
                <w:b/>
                <w:color w:val="1C3A36"/>
                <w:sz w:val="16"/>
              </w:rPr>
              <w:t>Explicit window</w:t>
            </w:r>
          </w:p>
        </w:tc>
        <w:tc>
          <w:tcPr>
            <w:tcW w:type="dxa" w:w="1181"/>
            <w:shd w:val="clear" w:color="auto" w:fill="EAF0EE"/>
          </w:tcPr>
          <w:p>
            <w:pPr>
              <w:spacing w:after="20"/>
            </w:pPr>
            <w:r>
              <w:rPr>
                <w:b/>
                <w:color w:val="1C3A36"/>
                <w:sz w:val="16"/>
              </w:rPr>
              <w:t>Terminal</w:t>
            </w:r>
          </w:p>
        </w:tc>
        <w:tc>
          <w:tcPr>
            <w:tcW w:type="dxa" w:w="4838"/>
            <w:shd w:val="clear" w:color="auto" w:fill="EAF0EE"/>
          </w:tcPr>
          <w:p>
            <w:pPr>
              <w:spacing w:after="20"/>
            </w:pPr>
            <w:r>
              <w:rPr>
                <w:b/>
                <w:color w:val="1C3A36"/>
                <w:sz w:val="16"/>
              </w:rPr>
              <w:t>Note</w:t>
            </w:r>
          </w:p>
        </w:tc>
      </w:tr>
      <w:tr>
        <w:tc>
          <w:tcPr>
            <w:tcW w:type="dxa" w:w="2333"/>
          </w:tcPr>
          <w:p>
            <w:pPr>
              <w:spacing w:after="20"/>
            </w:pPr>
            <w:r>
              <w:rPr>
                <w:color w:val="1C3A36"/>
                <w:sz w:val="16"/>
              </w:rPr>
              <w:t>Risk-free rate</w:t>
            </w:r>
          </w:p>
        </w:tc>
        <w:tc>
          <w:tcPr>
            <w:tcW w:type="dxa" w:w="1368"/>
          </w:tcPr>
          <w:p>
            <w:pPr>
              <w:spacing w:after="20"/>
              <w:jc w:val="right"/>
            </w:pPr>
            <w:r>
              <w:rPr>
                <w:color w:val="1C3A36"/>
                <w:sz w:val="16"/>
              </w:rPr>
              <w:t>22.3%</w:t>
            </w:r>
          </w:p>
        </w:tc>
        <w:tc>
          <w:tcPr>
            <w:tcW w:type="dxa" w:w="1181"/>
          </w:tcPr>
          <w:p>
            <w:pPr>
              <w:spacing w:after="20"/>
              <w:jc w:val="right"/>
            </w:pPr>
            <w:r>
              <w:rPr>
                <w:color w:val="1C3A36"/>
                <w:sz w:val="16"/>
              </w:rPr>
              <w:t>10.5%</w:t>
            </w:r>
          </w:p>
        </w:tc>
        <w:tc>
          <w:tcPr>
            <w:tcW w:type="dxa" w:w="4838"/>
          </w:tcPr>
          <w:p>
            <w:pPr>
              <w:spacing w:after="20"/>
            </w:pPr>
            <w:r>
              <w:rPr>
                <w:color w:val="1C3A36"/>
                <w:sz w:val="16"/>
              </w:rPr>
              <w:t>10-year local-currency government bond today; the terminal rate is norm-built from the central bank's own 5% medium-term inflation target plus a 5.5-point emerging-market real-rate convention</w:t>
            </w:r>
          </w:p>
        </w:tc>
      </w:tr>
      <w:tr>
        <w:tc>
          <w:tcPr>
            <w:tcW w:type="dxa" w:w="2333"/>
          </w:tcPr>
          <w:p>
            <w:pPr>
              <w:spacing w:after="20"/>
            </w:pPr>
            <w:r>
              <w:rPr>
                <w:color w:val="1C3A36"/>
                <w:sz w:val="16"/>
              </w:rPr>
              <w:t>less sovereign default spread</w:t>
            </w:r>
          </w:p>
        </w:tc>
        <w:tc>
          <w:tcPr>
            <w:tcW w:type="dxa" w:w="1368"/>
          </w:tcPr>
          <w:p>
            <w:pPr>
              <w:spacing w:after="20"/>
              <w:jc w:val="right"/>
            </w:pPr>
            <w:r>
              <w:rPr>
                <w:color w:val="1C3A36"/>
                <w:sz w:val="16"/>
              </w:rPr>
              <w:t>(3.4%)</w:t>
            </w:r>
          </w:p>
        </w:tc>
        <w:tc>
          <w:tcPr>
            <w:tcW w:type="dxa" w:w="1181"/>
          </w:tcPr>
          <w:p>
            <w:pPr>
              <w:spacing w:after="20"/>
              <w:jc w:val="right"/>
            </w:pPr>
            <w:r>
              <w:rPr>
                <w:color w:val="1C3A36"/>
                <w:sz w:val="16"/>
              </w:rPr>
              <w:t>—</w:t>
            </w:r>
          </w:p>
        </w:tc>
        <w:tc>
          <w:tcPr>
            <w:tcW w:type="dxa" w:w="4838"/>
          </w:tcPr>
          <w:p>
            <w:pPr>
              <w:spacing w:after="20"/>
            </w:pPr>
            <w:r>
              <w:rPr>
                <w:color w:val="1C3A36"/>
                <w:sz w:val="16"/>
              </w:rPr>
              <w:t>netted out so Egypt’s default risk is not charged twice — once inside the pound yield and again in the country premium</w:t>
            </w:r>
          </w:p>
        </w:tc>
      </w:tr>
      <w:tr>
        <w:tc>
          <w:tcPr>
            <w:tcW w:type="dxa" w:w="2333"/>
          </w:tcPr>
          <w:p>
            <w:pPr>
              <w:spacing w:after="20"/>
            </w:pPr>
            <w:r>
              <w:rPr>
                <w:color w:val="1C3A36"/>
                <w:sz w:val="16"/>
              </w:rPr>
              <w:t>Beta</w:t>
            </w:r>
          </w:p>
        </w:tc>
        <w:tc>
          <w:tcPr>
            <w:tcW w:type="dxa" w:w="1368"/>
          </w:tcPr>
          <w:p>
            <w:pPr>
              <w:spacing w:after="20"/>
              <w:jc w:val="right"/>
            </w:pPr>
            <w:r>
              <w:rPr>
                <w:color w:val="1C3A36"/>
                <w:sz w:val="16"/>
              </w:rPr>
              <w:t>0.941</w:t>
            </w:r>
          </w:p>
        </w:tc>
        <w:tc>
          <w:tcPr>
            <w:tcW w:type="dxa" w:w="1181"/>
          </w:tcPr>
          <w:p>
            <w:pPr>
              <w:spacing w:after="20"/>
              <w:jc w:val="right"/>
            </w:pPr>
            <w:r>
              <w:rPr>
                <w:color w:val="1C3A36"/>
                <w:sz w:val="16"/>
              </w:rPr>
              <w:t>0.941</w:t>
            </w:r>
          </w:p>
        </w:tc>
        <w:tc>
          <w:tcPr>
            <w:tcW w:type="dxa" w:w="4838"/>
          </w:tcPr>
          <w:p>
            <w:pPr>
              <w:spacing w:after="20"/>
            </w:pPr>
            <w:r>
              <w:rPr>
                <w:color w:val="1C3A36"/>
                <w:sz w:val="16"/>
              </w:rPr>
              <w:t>own-stock regression, R-squared 31.2%, n = 257</w:t>
            </w:r>
          </w:p>
        </w:tc>
      </w:tr>
      <w:tr>
        <w:tc>
          <w:tcPr>
            <w:tcW w:type="dxa" w:w="2333"/>
          </w:tcPr>
          <w:p>
            <w:pPr>
              <w:spacing w:after="20"/>
            </w:pPr>
            <w:r>
              <w:rPr>
                <w:color w:val="1C3A36"/>
                <w:sz w:val="16"/>
              </w:rPr>
              <w:t>Equity risk premium</w:t>
            </w:r>
          </w:p>
        </w:tc>
        <w:tc>
          <w:tcPr>
            <w:tcW w:type="dxa" w:w="1368"/>
          </w:tcPr>
          <w:p>
            <w:pPr>
              <w:spacing w:after="20"/>
              <w:jc w:val="right"/>
            </w:pPr>
            <w:r>
              <w:rPr>
                <w:color w:val="1C3A36"/>
                <w:sz w:val="16"/>
              </w:rPr>
              <w:t>9.4%</w:t>
            </w:r>
          </w:p>
        </w:tc>
        <w:tc>
          <w:tcPr>
            <w:tcW w:type="dxa" w:w="1181"/>
          </w:tcPr>
          <w:p>
            <w:pPr>
              <w:spacing w:after="20"/>
              <w:jc w:val="right"/>
            </w:pPr>
            <w:r>
              <w:rPr>
                <w:color w:val="1C3A36"/>
                <w:sz w:val="16"/>
              </w:rPr>
              <w:t>7.0%</w:t>
            </w:r>
          </w:p>
        </w:tc>
        <w:tc>
          <w:tcPr>
            <w:tcW w:type="dxa" w:w="4838"/>
          </w:tcPr>
          <w:p>
            <w:pPr>
              <w:spacing w:after="20"/>
            </w:pPr>
            <w:r>
              <w:rPr>
                <w:color w:val="1C3A36"/>
                <w:sz w:val="16"/>
              </w:rPr>
              <w:t>total premium on the credit-default-swap basis; normalised below the crisis-era level into perpetuity</w:t>
            </w:r>
          </w:p>
        </w:tc>
      </w:tr>
      <w:tr>
        <w:tc>
          <w:tcPr>
            <w:tcW w:type="dxa" w:w="2333"/>
            <w:shd w:val="clear" w:color="auto" w:fill="F6F1E6"/>
          </w:tcPr>
          <w:p>
            <w:pPr>
              <w:spacing w:after="20"/>
            </w:pPr>
            <w:r>
              <w:rPr>
                <w:b/>
                <w:color w:val="1C3A36"/>
                <w:sz w:val="16"/>
              </w:rPr>
              <w:t>COST OF EQUITY</w:t>
            </w:r>
          </w:p>
        </w:tc>
        <w:tc>
          <w:tcPr>
            <w:tcW w:type="dxa" w:w="1368"/>
            <w:shd w:val="clear" w:color="auto" w:fill="F6F1E6"/>
          </w:tcPr>
          <w:p>
            <w:pPr>
              <w:spacing w:after="20"/>
              <w:jc w:val="right"/>
            </w:pPr>
            <w:r>
              <w:rPr>
                <w:b/>
                <w:color w:val="1C3A36"/>
                <w:sz w:val="16"/>
              </w:rPr>
              <w:t>27.8%</w:t>
            </w:r>
          </w:p>
        </w:tc>
        <w:tc>
          <w:tcPr>
            <w:tcW w:type="dxa" w:w="1181"/>
            <w:shd w:val="clear" w:color="auto" w:fill="F6F1E6"/>
          </w:tcPr>
          <w:p>
            <w:pPr>
              <w:spacing w:after="20"/>
              <w:jc w:val="right"/>
            </w:pPr>
            <w:r>
              <w:rPr>
                <w:b/>
                <w:color w:val="1C3A36"/>
                <w:sz w:val="16"/>
              </w:rPr>
              <w:t>17.1%</w:t>
            </w:r>
          </w:p>
        </w:tc>
        <w:tc>
          <w:tcPr>
            <w:tcW w:type="dxa" w:w="4838"/>
            <w:shd w:val="clear" w:color="auto" w:fill="F6F1E6"/>
          </w:tcPr>
          <w:p>
            <w:pPr>
              <w:spacing w:after="20"/>
            </w:pPr>
            <w:r>
              <w:rPr>
                <w:b/>
                <w:color w:val="1C3A36"/>
                <w:sz w:val="16"/>
              </w:rPr>
            </w:r>
          </w:p>
        </w:tc>
      </w:tr>
      <w:tr>
        <w:tc>
          <w:tcPr>
            <w:tcW w:type="dxa" w:w="2333"/>
          </w:tcPr>
          <w:p>
            <w:pPr>
              <w:spacing w:after="20"/>
            </w:pPr>
            <w:r>
              <w:rPr>
                <w:color w:val="1C3A36"/>
                <w:sz w:val="16"/>
              </w:rPr>
              <w:t>Cost of net debt, after tax</w:t>
            </w:r>
          </w:p>
        </w:tc>
        <w:tc>
          <w:tcPr>
            <w:tcW w:type="dxa" w:w="1368"/>
          </w:tcPr>
          <w:p>
            <w:pPr>
              <w:spacing w:after="20"/>
              <w:jc w:val="right"/>
            </w:pPr>
            <w:r>
              <w:rPr>
                <w:color w:val="1C3A36"/>
                <w:sz w:val="16"/>
              </w:rPr>
              <w:t>13.0%</w:t>
            </w:r>
          </w:p>
        </w:tc>
        <w:tc>
          <w:tcPr>
            <w:tcW w:type="dxa" w:w="1181"/>
          </w:tcPr>
          <w:p>
            <w:pPr>
              <w:spacing w:after="20"/>
              <w:jc w:val="right"/>
            </w:pPr>
            <w:r>
              <w:rPr>
                <w:color w:val="1C3A36"/>
                <w:sz w:val="16"/>
              </w:rPr>
              <w:t>11.5%</w:t>
            </w:r>
          </w:p>
        </w:tc>
        <w:tc>
          <w:tcPr>
            <w:tcW w:type="dxa" w:w="4838"/>
          </w:tcPr>
          <w:p>
            <w:pPr>
              <w:spacing w:after="20"/>
            </w:pPr>
            <w:r>
              <w:rPr>
                <w:color w:val="1C3A36"/>
                <w:sz w:val="16"/>
              </w:rPr>
              <w:t>blend of what the borrowing costs and what the cash earns</w:t>
            </w:r>
          </w:p>
        </w:tc>
      </w:tr>
      <w:tr>
        <w:tc>
          <w:tcPr>
            <w:tcW w:type="dxa" w:w="2333"/>
          </w:tcPr>
          <w:p>
            <w:pPr>
              <w:spacing w:after="20"/>
            </w:pPr>
            <w:r>
              <w:rPr>
                <w:color w:val="1C3A36"/>
                <w:sz w:val="16"/>
              </w:rPr>
              <w:t>Debt weight</w:t>
            </w:r>
          </w:p>
        </w:tc>
        <w:tc>
          <w:tcPr>
            <w:tcW w:type="dxa" w:w="1368"/>
          </w:tcPr>
          <w:p>
            <w:pPr>
              <w:spacing w:after="20"/>
              <w:jc w:val="right"/>
            </w:pPr>
            <w:r>
              <w:rPr>
                <w:color w:val="1C3A36"/>
                <w:sz w:val="16"/>
              </w:rPr>
              <w:t>-26.2%</w:t>
            </w:r>
          </w:p>
        </w:tc>
        <w:tc>
          <w:tcPr>
            <w:tcW w:type="dxa" w:w="1181"/>
          </w:tcPr>
          <w:p>
            <w:pPr>
              <w:spacing w:after="20"/>
              <w:jc w:val="right"/>
            </w:pPr>
            <w:r>
              <w:rPr>
                <w:color w:val="1C3A36"/>
                <w:sz w:val="16"/>
              </w:rPr>
              <w:t>10%</w:t>
            </w:r>
          </w:p>
        </w:tc>
        <w:tc>
          <w:tcPr>
            <w:tcW w:type="dxa" w:w="4838"/>
          </w:tcPr>
          <w:p>
            <w:pPr>
              <w:spacing w:after="20"/>
            </w:pPr>
            <w:r>
              <w:rPr>
                <w:color w:val="1C3A36"/>
                <w:sz w:val="16"/>
              </w:rPr>
              <w:t>NEGATIVE today, because the company is net cash</w:t>
            </w:r>
          </w:p>
        </w:tc>
      </w:tr>
      <w:tr>
        <w:tc>
          <w:tcPr>
            <w:tcW w:type="dxa" w:w="2333"/>
            <w:shd w:val="clear" w:color="auto" w:fill="F6F1E6"/>
          </w:tcPr>
          <w:p>
            <w:pPr>
              <w:spacing w:after="20"/>
            </w:pPr>
            <w:r>
              <w:rPr>
                <w:b/>
                <w:color w:val="1C3A36"/>
                <w:sz w:val="16"/>
              </w:rPr>
              <w:t>WEIGHTED COST OF CAPITAL</w:t>
            </w:r>
          </w:p>
        </w:tc>
        <w:tc>
          <w:tcPr>
            <w:tcW w:type="dxa" w:w="1368"/>
            <w:shd w:val="clear" w:color="auto" w:fill="F6F1E6"/>
          </w:tcPr>
          <w:p>
            <w:pPr>
              <w:spacing w:after="20"/>
              <w:jc w:val="right"/>
            </w:pPr>
            <w:r>
              <w:rPr>
                <w:b/>
                <w:color w:val="1C3A36"/>
                <w:sz w:val="16"/>
              </w:rPr>
              <w:t>31.6%</w:t>
            </w:r>
          </w:p>
        </w:tc>
        <w:tc>
          <w:tcPr>
            <w:tcW w:type="dxa" w:w="1181"/>
            <w:shd w:val="clear" w:color="auto" w:fill="F6F1E6"/>
          </w:tcPr>
          <w:p>
            <w:pPr>
              <w:spacing w:after="20"/>
              <w:jc w:val="right"/>
            </w:pPr>
            <w:r>
              <w:rPr>
                <w:b/>
                <w:color w:val="1C3A36"/>
                <w:sz w:val="16"/>
              </w:rPr>
              <w:t>16.5%</w:t>
            </w:r>
          </w:p>
        </w:tc>
        <w:tc>
          <w:tcPr>
            <w:tcW w:type="dxa" w:w="4838"/>
            <w:shd w:val="clear" w:color="auto" w:fill="F6F1E6"/>
          </w:tcPr>
          <w:p>
            <w:pPr>
              <w:spacing w:after="20"/>
            </w:pPr>
            <w:r>
              <w:rPr>
                <w:b/>
                <w:color w:val="1C3A36"/>
                <w:sz w:val="16"/>
              </w:rPr>
            </w:r>
          </w:p>
        </w:tc>
      </w:tr>
    </w:tbl>
    <w:p>
      <w:pPr>
        <w:spacing w:after="40"/>
      </w:pPr>
    </w:p>
    <w:p>
      <w:pPr>
        <w:spacing w:after="120" w:before="0"/>
      </w:pPr>
      <w:r>
        <w:rPr>
          <w:b w:val="0"/>
          <w:i w:val="0"/>
          <w:color w:val="1C3A36"/>
          <w:sz w:val="21"/>
        </w:rPr>
        <w:t>The weighting deserves a paragraph, because it runs the opposite way to the intuition most readers bring. Net debt is negative, so the debt weight is -26.2% and the equity weight 126.2%. The cost of that negative debt is the blend of what the EGP 25.3mn of borrowing costs and what the EGP 2,464mn cash pile EARNS — 13.0% after tax, essentially the after-tax deposit yield. The result, 31.6%, sits ABOVE the 27.8% cost of equity rather than below it. That is the point of the construction: a company holding 21% of its market capitalisation in near-riskless cash has an observed equity cost that UNDERSTATES the risk of its operating assets, and unlevering for the cash is what recovers the operating rate. The identity closes exactly — enterprise value over market capitalisation times the operating rate, plus cash over market capitalisation times the cash cost, recombines to the cost of equity.</w:t>
      </w:r>
    </w:p>
    <w:p>
      <w:pPr>
        <w:spacing w:after="120" w:before="0"/>
      </w:pPr>
      <w:r>
        <w:rPr>
          <w:b w:val="0"/>
          <w:i w:val="0"/>
          <w:color w:val="1C3A36"/>
          <w:sz w:val="21"/>
        </w:rPr>
        <w:t>On a gross-debt basis the rate would be 27.7% and the answer EGP 10.43 a share, +5.2% higher. That construction discounts the operating cash flows at a rate the cash has already depressed and then adds the same cash back in the bridge — counting it twice. The net basis is primary and is the more conservative of the two by 390 basis points.</w:t>
      </w:r>
    </w:p>
    <w:p>
      <w:pPr>
        <w:spacing w:after="80" w:before="200"/>
      </w:pPr>
      <w:r>
        <w:rPr>
          <w:b/>
          <w:i w:val="0"/>
          <w:color w:val="1C3A36"/>
          <w:sz w:val="24"/>
        </w:rPr>
        <w:t>1.6  The discount-rate schedule, year by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Cost of debt path</w:t>
            </w:r>
          </w:p>
        </w:tc>
        <w:tc>
          <w:tcPr>
            <w:tcW w:type="dxa" w:w="1325"/>
          </w:tcPr>
          <w:p>
            <w:pPr>
              <w:spacing w:after="20"/>
              <w:jc w:val="right"/>
            </w:pPr>
            <w:r>
              <w:rPr>
                <w:color w:val="1C3A36"/>
                <w:sz w:val="16"/>
              </w:rPr>
              <w:t>22.0%</w:t>
            </w:r>
          </w:p>
        </w:tc>
        <w:tc>
          <w:tcPr>
            <w:tcW w:type="dxa" w:w="1325"/>
          </w:tcPr>
          <w:p>
            <w:pPr>
              <w:spacing w:after="20"/>
              <w:jc w:val="right"/>
            </w:pPr>
            <w:r>
              <w:rPr>
                <w:color w:val="1C3A36"/>
                <w:sz w:val="16"/>
              </w:rPr>
              <w:t>19.5%</w:t>
            </w:r>
          </w:p>
        </w:tc>
        <w:tc>
          <w:tcPr>
            <w:tcW w:type="dxa" w:w="1325"/>
          </w:tcPr>
          <w:p>
            <w:pPr>
              <w:spacing w:after="20"/>
              <w:jc w:val="right"/>
            </w:pPr>
            <w:r>
              <w:rPr>
                <w:color w:val="1C3A36"/>
                <w:sz w:val="16"/>
              </w:rPr>
              <w:t>17.5%</w:t>
            </w:r>
          </w:p>
        </w:tc>
        <w:tc>
          <w:tcPr>
            <w:tcW w:type="dxa" w:w="1325"/>
          </w:tcPr>
          <w:p>
            <w:pPr>
              <w:spacing w:after="20"/>
              <w:jc w:val="right"/>
            </w:pPr>
            <w:r>
              <w:rPr>
                <w:color w:val="1C3A36"/>
                <w:sz w:val="16"/>
              </w:rPr>
              <w:t>16.0%</w:t>
            </w:r>
          </w:p>
        </w:tc>
        <w:tc>
          <w:tcPr>
            <w:tcW w:type="dxa" w:w="1325"/>
          </w:tcPr>
          <w:p>
            <w:pPr>
              <w:spacing w:after="20"/>
              <w:jc w:val="right"/>
            </w:pPr>
            <w:r>
              <w:rPr>
                <w:color w:val="1C3A36"/>
                <w:sz w:val="16"/>
              </w:rPr>
              <w:t>15.0%</w:t>
            </w:r>
          </w:p>
        </w:tc>
      </w:tr>
      <w:tr>
        <w:tc>
          <w:tcPr>
            <w:tcW w:type="dxa" w:w="3384"/>
          </w:tcPr>
          <w:p>
            <w:pPr>
              <w:spacing w:after="20"/>
            </w:pPr>
            <w:r>
              <w:rPr>
                <w:color w:val="1C3A36"/>
                <w:sz w:val="16"/>
              </w:rPr>
              <w:t>Cumulative progress along that path</w:t>
            </w:r>
          </w:p>
        </w:tc>
        <w:tc>
          <w:tcPr>
            <w:tcW w:type="dxa" w:w="1325"/>
          </w:tcPr>
          <w:p>
            <w:pPr>
              <w:spacing w:after="20"/>
              <w:jc w:val="right"/>
            </w:pPr>
            <w:r>
              <w:rPr>
                <w:color w:val="1C3A36"/>
                <w:sz w:val="16"/>
              </w:rPr>
              <w:t>0.000</w:t>
            </w:r>
          </w:p>
        </w:tc>
        <w:tc>
          <w:tcPr>
            <w:tcW w:type="dxa" w:w="1325"/>
          </w:tcPr>
          <w:p>
            <w:pPr>
              <w:spacing w:after="20"/>
              <w:jc w:val="right"/>
            </w:pPr>
            <w:r>
              <w:rPr>
                <w:color w:val="1C3A36"/>
                <w:sz w:val="16"/>
              </w:rPr>
              <w:t>0.357</w:t>
            </w:r>
          </w:p>
        </w:tc>
        <w:tc>
          <w:tcPr>
            <w:tcW w:type="dxa" w:w="1325"/>
          </w:tcPr>
          <w:p>
            <w:pPr>
              <w:spacing w:after="20"/>
              <w:jc w:val="right"/>
            </w:pPr>
            <w:r>
              <w:rPr>
                <w:color w:val="1C3A36"/>
                <w:sz w:val="16"/>
              </w:rPr>
              <w:t>0.643</w:t>
            </w:r>
          </w:p>
        </w:tc>
        <w:tc>
          <w:tcPr>
            <w:tcW w:type="dxa" w:w="1325"/>
          </w:tcPr>
          <w:p>
            <w:pPr>
              <w:spacing w:after="20"/>
              <w:jc w:val="right"/>
            </w:pPr>
            <w:r>
              <w:rPr>
                <w:color w:val="1C3A36"/>
                <w:sz w:val="16"/>
              </w:rPr>
              <w:t>0.857</w:t>
            </w:r>
          </w:p>
        </w:tc>
        <w:tc>
          <w:tcPr>
            <w:tcW w:type="dxa" w:w="1325"/>
          </w:tcPr>
          <w:p>
            <w:pPr>
              <w:spacing w:after="20"/>
              <w:jc w:val="right"/>
            </w:pPr>
            <w:r>
              <w:rPr>
                <w:color w:val="1C3A36"/>
                <w:sz w:val="16"/>
              </w:rPr>
              <w:t>1.000</w:t>
            </w:r>
          </w:p>
        </w:tc>
      </w:tr>
      <w:tr>
        <w:tc>
          <w:tcPr>
            <w:tcW w:type="dxa" w:w="3384"/>
            <w:shd w:val="clear" w:color="auto" w:fill="F6F1E6"/>
          </w:tcPr>
          <w:p>
            <w:pPr>
              <w:spacing w:after="20"/>
            </w:pPr>
            <w:r>
              <w:rPr>
                <w:b/>
                <w:color w:val="1C3A36"/>
                <w:sz w:val="16"/>
              </w:rPr>
              <w:t>Forward cost of capital</w:t>
            </w:r>
          </w:p>
        </w:tc>
        <w:tc>
          <w:tcPr>
            <w:tcW w:type="dxa" w:w="1325"/>
            <w:shd w:val="clear" w:color="auto" w:fill="F6F1E6"/>
          </w:tcPr>
          <w:p>
            <w:pPr>
              <w:spacing w:after="20"/>
              <w:jc w:val="right"/>
            </w:pPr>
            <w:r>
              <w:rPr>
                <w:b/>
                <w:color w:val="1C3A36"/>
                <w:sz w:val="16"/>
              </w:rPr>
              <w:t>31.6%</w:t>
            </w:r>
          </w:p>
        </w:tc>
        <w:tc>
          <w:tcPr>
            <w:tcW w:type="dxa" w:w="1325"/>
            <w:shd w:val="clear" w:color="auto" w:fill="F6F1E6"/>
          </w:tcPr>
          <w:p>
            <w:pPr>
              <w:spacing w:after="20"/>
              <w:jc w:val="right"/>
            </w:pPr>
            <w:r>
              <w:rPr>
                <w:b/>
                <w:color w:val="1C3A36"/>
                <w:sz w:val="16"/>
              </w:rPr>
              <w:t>26.2%</w:t>
            </w:r>
          </w:p>
        </w:tc>
        <w:tc>
          <w:tcPr>
            <w:tcW w:type="dxa" w:w="1325"/>
            <w:shd w:val="clear" w:color="auto" w:fill="F6F1E6"/>
          </w:tcPr>
          <w:p>
            <w:pPr>
              <w:spacing w:after="20"/>
              <w:jc w:val="right"/>
            </w:pPr>
            <w:r>
              <w:rPr>
                <w:b/>
                <w:color w:val="1C3A36"/>
                <w:sz w:val="16"/>
              </w:rPr>
              <w:t>21.9%</w:t>
            </w:r>
          </w:p>
        </w:tc>
        <w:tc>
          <w:tcPr>
            <w:tcW w:type="dxa" w:w="1325"/>
            <w:shd w:val="clear" w:color="auto" w:fill="F6F1E6"/>
          </w:tcPr>
          <w:p>
            <w:pPr>
              <w:spacing w:after="20"/>
              <w:jc w:val="right"/>
            </w:pPr>
            <w:r>
              <w:rPr>
                <w:b/>
                <w:color w:val="1C3A36"/>
                <w:sz w:val="16"/>
              </w:rPr>
              <w:t>18.7%</w:t>
            </w:r>
          </w:p>
        </w:tc>
        <w:tc>
          <w:tcPr>
            <w:tcW w:type="dxa" w:w="1325"/>
            <w:shd w:val="clear" w:color="auto" w:fill="F6F1E6"/>
          </w:tcPr>
          <w:p>
            <w:pPr>
              <w:spacing w:after="20"/>
              <w:jc w:val="right"/>
            </w:pPr>
            <w:r>
              <w:rPr>
                <w:b/>
                <w:color w:val="1C3A36"/>
                <w:sz w:val="16"/>
              </w:rPr>
              <w:t>16.5%</w:t>
            </w:r>
          </w:p>
        </w:tc>
      </w:tr>
      <w:tr>
        <w:tc>
          <w:tcPr>
            <w:tcW w:type="dxa" w:w="3384"/>
            <w:shd w:val="clear" w:color="auto" w:fill="F6F1E6"/>
          </w:tcPr>
          <w:p>
            <w:pPr>
              <w:spacing w:after="20"/>
            </w:pPr>
            <w:r>
              <w:rPr>
                <w:b/>
                <w:color w:val="1C3A36"/>
                <w:sz w:val="16"/>
              </w:rPr>
              <w:t>Cumulative discount factor</w:t>
            </w:r>
          </w:p>
        </w:tc>
        <w:tc>
          <w:tcPr>
            <w:tcW w:type="dxa" w:w="1325"/>
            <w:shd w:val="clear" w:color="auto" w:fill="F6F1E6"/>
          </w:tcPr>
          <w:p>
            <w:pPr>
              <w:spacing w:after="20"/>
              <w:jc w:val="right"/>
            </w:pPr>
            <w:r>
              <w:rPr>
                <w:b/>
                <w:color w:val="1C3A36"/>
                <w:sz w:val="16"/>
              </w:rPr>
              <w:t>0.7597</w:t>
            </w:r>
          </w:p>
        </w:tc>
        <w:tc>
          <w:tcPr>
            <w:tcW w:type="dxa" w:w="1325"/>
            <w:shd w:val="clear" w:color="auto" w:fill="F6F1E6"/>
          </w:tcPr>
          <w:p>
            <w:pPr>
              <w:spacing w:after="20"/>
              <w:jc w:val="right"/>
            </w:pPr>
            <w:r>
              <w:rPr>
                <w:b/>
                <w:color w:val="1C3A36"/>
                <w:sz w:val="16"/>
              </w:rPr>
              <w:t>0.6018</w:t>
            </w:r>
          </w:p>
        </w:tc>
        <w:tc>
          <w:tcPr>
            <w:tcW w:type="dxa" w:w="1325"/>
            <w:shd w:val="clear" w:color="auto" w:fill="F6F1E6"/>
          </w:tcPr>
          <w:p>
            <w:pPr>
              <w:spacing w:after="20"/>
              <w:jc w:val="right"/>
            </w:pPr>
            <w:r>
              <w:rPr>
                <w:b/>
                <w:color w:val="1C3A36"/>
                <w:sz w:val="16"/>
              </w:rPr>
              <w:t>0.4936</w:t>
            </w:r>
          </w:p>
        </w:tc>
        <w:tc>
          <w:tcPr>
            <w:tcW w:type="dxa" w:w="1325"/>
            <w:shd w:val="clear" w:color="auto" w:fill="F6F1E6"/>
          </w:tcPr>
          <w:p>
            <w:pPr>
              <w:spacing w:after="20"/>
              <w:jc w:val="right"/>
            </w:pPr>
            <w:r>
              <w:rPr>
                <w:b/>
                <w:color w:val="1C3A36"/>
                <w:sz w:val="16"/>
              </w:rPr>
              <w:t>0.4159</w:t>
            </w:r>
          </w:p>
        </w:tc>
        <w:tc>
          <w:tcPr>
            <w:tcW w:type="dxa" w:w="1325"/>
            <w:shd w:val="clear" w:color="auto" w:fill="F6F1E6"/>
          </w:tcPr>
          <w:p>
            <w:pPr>
              <w:spacing w:after="20"/>
              <w:jc w:val="right"/>
            </w:pPr>
            <w:r>
              <w:rPr>
                <w:b/>
                <w:color w:val="1C3A36"/>
                <w:sz w:val="16"/>
              </w:rPr>
              <w:t>0.3569</w:t>
            </w:r>
          </w:p>
        </w:tc>
      </w:tr>
    </w:tbl>
    <w:p>
      <w:pPr>
        <w:spacing w:after="40"/>
      </w:pPr>
    </w:p>
    <w:p>
      <w:pPr>
        <w:spacing w:after="200" w:before="0"/>
      </w:pPr>
      <w:r>
        <w:rPr>
          <w:b w:val="0"/>
          <w:i/>
          <w:color w:val="6E7B77"/>
          <w:sz w:val="17"/>
        </w:rPr>
        <w:t>The glide fractions are the cost-of-debt path’s own cumulative progress, so the front-loaded shape is inherited from one assumed easing calendar rather than being a second free parameter chosen separately. The terminal value is brought home on the year-five factor of 0.3569, the same factor that discounts year-five cash flow.</w:t>
      </w:r>
    </w:p>
    <w:p>
      <w:pPr>
        <w:spacing w:after="80" w:before="200"/>
      </w:pPr>
      <w:r>
        <w:rPr>
          <w:b/>
          <w:i w:val="0"/>
          <w:color w:val="1C3A36"/>
          <w:sz w:val="24"/>
        </w:rPr>
        <w:t>1.7  The free-cash-flow waterfall and the enterprise-value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t>EGP mn</w:t>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Revenue</w:t>
            </w:r>
          </w:p>
        </w:tc>
        <w:tc>
          <w:tcPr>
            <w:tcW w:type="dxa" w:w="1325"/>
          </w:tcPr>
          <w:p>
            <w:pPr>
              <w:spacing w:after="20"/>
              <w:jc w:val="right"/>
            </w:pPr>
            <w:r>
              <w:rPr>
                <w:color w:val="1C3A36"/>
                <w:sz w:val="16"/>
              </w:rPr>
              <w:t>44,926</w:t>
            </w:r>
          </w:p>
        </w:tc>
        <w:tc>
          <w:tcPr>
            <w:tcW w:type="dxa" w:w="1325"/>
          </w:tcPr>
          <w:p>
            <w:pPr>
              <w:spacing w:after="20"/>
              <w:jc w:val="right"/>
            </w:pPr>
            <w:r>
              <w:rPr>
                <w:color w:val="1C3A36"/>
                <w:sz w:val="16"/>
              </w:rPr>
              <w:t>50,257</w:t>
            </w:r>
          </w:p>
        </w:tc>
        <w:tc>
          <w:tcPr>
            <w:tcW w:type="dxa" w:w="1325"/>
          </w:tcPr>
          <w:p>
            <w:pPr>
              <w:spacing w:after="20"/>
              <w:jc w:val="right"/>
            </w:pPr>
            <w:r>
              <w:rPr>
                <w:color w:val="1C3A36"/>
                <w:sz w:val="16"/>
              </w:rPr>
              <w:t>55,637</w:t>
            </w:r>
          </w:p>
        </w:tc>
        <w:tc>
          <w:tcPr>
            <w:tcW w:type="dxa" w:w="1325"/>
          </w:tcPr>
          <w:p>
            <w:pPr>
              <w:spacing w:after="20"/>
              <w:jc w:val="right"/>
            </w:pPr>
            <w:r>
              <w:rPr>
                <w:color w:val="1C3A36"/>
                <w:sz w:val="16"/>
              </w:rPr>
              <w:t>60,921</w:t>
            </w:r>
          </w:p>
        </w:tc>
        <w:tc>
          <w:tcPr>
            <w:tcW w:type="dxa" w:w="1325"/>
          </w:tcPr>
          <w:p>
            <w:pPr>
              <w:spacing w:after="20"/>
              <w:jc w:val="right"/>
            </w:pPr>
            <w:r>
              <w:rPr>
                <w:color w:val="1C3A36"/>
                <w:sz w:val="16"/>
              </w:rPr>
              <w:t>66,181</w:t>
            </w:r>
          </w:p>
        </w:tc>
      </w:tr>
      <w:tr>
        <w:tc>
          <w:tcPr>
            <w:tcW w:type="dxa" w:w="3384"/>
          </w:tcPr>
          <w:p>
            <w:pPr>
              <w:spacing w:after="20"/>
            </w:pPr>
            <w:r>
              <w:rPr>
                <w:color w:val="1C3A36"/>
                <w:sz w:val="16"/>
              </w:rPr>
              <w:t>EBITDA</w:t>
            </w:r>
          </w:p>
        </w:tc>
        <w:tc>
          <w:tcPr>
            <w:tcW w:type="dxa" w:w="1325"/>
          </w:tcPr>
          <w:p>
            <w:pPr>
              <w:spacing w:after="20"/>
              <w:jc w:val="right"/>
            </w:pPr>
            <w:r>
              <w:rPr>
                <w:color w:val="1C3A36"/>
                <w:sz w:val="16"/>
              </w:rPr>
              <w:t>2,359</w:t>
            </w:r>
          </w:p>
        </w:tc>
        <w:tc>
          <w:tcPr>
            <w:tcW w:type="dxa" w:w="1325"/>
          </w:tcPr>
          <w:p>
            <w:pPr>
              <w:spacing w:after="20"/>
              <w:jc w:val="right"/>
            </w:pPr>
            <w:r>
              <w:rPr>
                <w:color w:val="1C3A36"/>
                <w:sz w:val="16"/>
              </w:rPr>
              <w:t>2,714</w:t>
            </w:r>
          </w:p>
        </w:tc>
        <w:tc>
          <w:tcPr>
            <w:tcW w:type="dxa" w:w="1325"/>
          </w:tcPr>
          <w:p>
            <w:pPr>
              <w:spacing w:after="20"/>
              <w:jc w:val="right"/>
            </w:pPr>
            <w:r>
              <w:rPr>
                <w:color w:val="1C3A36"/>
                <w:sz w:val="16"/>
              </w:rPr>
              <w:t>3,054</w:t>
            </w:r>
          </w:p>
        </w:tc>
        <w:tc>
          <w:tcPr>
            <w:tcW w:type="dxa" w:w="1325"/>
          </w:tcPr>
          <w:p>
            <w:pPr>
              <w:spacing w:after="20"/>
              <w:jc w:val="right"/>
            </w:pPr>
            <w:r>
              <w:rPr>
                <w:color w:val="1C3A36"/>
                <w:sz w:val="16"/>
              </w:rPr>
              <w:t>3,381</w:t>
            </w:r>
          </w:p>
        </w:tc>
        <w:tc>
          <w:tcPr>
            <w:tcW w:type="dxa" w:w="1325"/>
          </w:tcPr>
          <w:p>
            <w:pPr>
              <w:spacing w:after="20"/>
              <w:jc w:val="right"/>
            </w:pPr>
            <w:r>
              <w:rPr>
                <w:color w:val="1C3A36"/>
                <w:sz w:val="16"/>
              </w:rPr>
              <w:t>3,706</w:t>
            </w:r>
          </w:p>
        </w:tc>
      </w:tr>
      <w:tr>
        <w:tc>
          <w:tcPr>
            <w:tcW w:type="dxa" w:w="3384"/>
          </w:tcPr>
          <w:p>
            <w:pPr>
              <w:spacing w:after="20"/>
            </w:pPr>
            <w:r>
              <w:rPr>
                <w:color w:val="1C3A36"/>
                <w:sz w:val="16"/>
              </w:rPr>
              <w:t>EBITDA margin</w:t>
            </w:r>
          </w:p>
        </w:tc>
        <w:tc>
          <w:tcPr>
            <w:tcW w:type="dxa" w:w="1325"/>
          </w:tcPr>
          <w:p>
            <w:pPr>
              <w:spacing w:after="20"/>
              <w:jc w:val="right"/>
            </w:pPr>
            <w:r>
              <w:rPr>
                <w:color w:val="1C3A36"/>
                <w:sz w:val="16"/>
              </w:rPr>
              <w:t>5.25%</w:t>
            </w:r>
          </w:p>
        </w:tc>
        <w:tc>
          <w:tcPr>
            <w:tcW w:type="dxa" w:w="1325"/>
          </w:tcPr>
          <w:p>
            <w:pPr>
              <w:spacing w:after="20"/>
              <w:jc w:val="right"/>
            </w:pPr>
            <w:r>
              <w:rPr>
                <w:color w:val="1C3A36"/>
                <w:sz w:val="16"/>
              </w:rPr>
              <w:t>5.40%</w:t>
            </w:r>
          </w:p>
        </w:tc>
        <w:tc>
          <w:tcPr>
            <w:tcW w:type="dxa" w:w="1325"/>
          </w:tcPr>
          <w:p>
            <w:pPr>
              <w:spacing w:after="20"/>
              <w:jc w:val="right"/>
            </w:pPr>
            <w:r>
              <w:rPr>
                <w:color w:val="1C3A36"/>
                <w:sz w:val="16"/>
              </w:rPr>
              <w:t>5.49%</w:t>
            </w:r>
          </w:p>
        </w:tc>
        <w:tc>
          <w:tcPr>
            <w:tcW w:type="dxa" w:w="1325"/>
          </w:tcPr>
          <w:p>
            <w:pPr>
              <w:spacing w:after="20"/>
              <w:jc w:val="right"/>
            </w:pPr>
            <w:r>
              <w:rPr>
                <w:color w:val="1C3A36"/>
                <w:sz w:val="16"/>
              </w:rPr>
              <w:t>5.55%</w:t>
            </w:r>
          </w:p>
        </w:tc>
        <w:tc>
          <w:tcPr>
            <w:tcW w:type="dxa" w:w="1325"/>
          </w:tcPr>
          <w:p>
            <w:pPr>
              <w:spacing w:after="20"/>
              <w:jc w:val="right"/>
            </w:pPr>
            <w:r>
              <w:rPr>
                <w:color w:val="1C3A36"/>
                <w:sz w:val="16"/>
              </w:rPr>
              <w:t>5.60%</w:t>
            </w:r>
          </w:p>
        </w:tc>
      </w:tr>
      <w:tr>
        <w:tc>
          <w:tcPr>
            <w:tcW w:type="dxa" w:w="3384"/>
          </w:tcPr>
          <w:p>
            <w:pPr>
              <w:spacing w:after="20"/>
            </w:pPr>
            <w:r>
              <w:rPr>
                <w:color w:val="1C3A36"/>
                <w:sz w:val="16"/>
              </w:rPr>
              <w:t>less depreciation and amortisation</w:t>
            </w:r>
          </w:p>
        </w:tc>
        <w:tc>
          <w:tcPr>
            <w:tcW w:type="dxa" w:w="1325"/>
          </w:tcPr>
          <w:p>
            <w:pPr>
              <w:spacing w:after="20"/>
              <w:jc w:val="right"/>
            </w:pPr>
            <w:r>
              <w:rPr>
                <w:color w:val="1C3A36"/>
                <w:sz w:val="16"/>
              </w:rPr>
              <w:t>(494)</w:t>
            </w:r>
          </w:p>
        </w:tc>
        <w:tc>
          <w:tcPr>
            <w:tcW w:type="dxa" w:w="1325"/>
          </w:tcPr>
          <w:p>
            <w:pPr>
              <w:spacing w:after="20"/>
              <w:jc w:val="right"/>
            </w:pPr>
            <w:r>
              <w:rPr>
                <w:color w:val="1C3A36"/>
                <w:sz w:val="16"/>
              </w:rPr>
              <w:t>(553)</w:t>
            </w:r>
          </w:p>
        </w:tc>
        <w:tc>
          <w:tcPr>
            <w:tcW w:type="dxa" w:w="1325"/>
          </w:tcPr>
          <w:p>
            <w:pPr>
              <w:spacing w:after="20"/>
              <w:jc w:val="right"/>
            </w:pPr>
            <w:r>
              <w:rPr>
                <w:color w:val="1C3A36"/>
                <w:sz w:val="16"/>
              </w:rPr>
              <w:t>(612)</w:t>
            </w:r>
          </w:p>
        </w:tc>
        <w:tc>
          <w:tcPr>
            <w:tcW w:type="dxa" w:w="1325"/>
          </w:tcPr>
          <w:p>
            <w:pPr>
              <w:spacing w:after="20"/>
              <w:jc w:val="right"/>
            </w:pPr>
            <w:r>
              <w:rPr>
                <w:color w:val="1C3A36"/>
                <w:sz w:val="16"/>
              </w:rPr>
              <w:t>(670)</w:t>
            </w:r>
          </w:p>
        </w:tc>
        <w:tc>
          <w:tcPr>
            <w:tcW w:type="dxa" w:w="1325"/>
          </w:tcPr>
          <w:p>
            <w:pPr>
              <w:spacing w:after="20"/>
              <w:jc w:val="right"/>
            </w:pPr>
            <w:r>
              <w:rPr>
                <w:color w:val="1C3A36"/>
                <w:sz w:val="16"/>
              </w:rPr>
              <w:t>(728)</w:t>
            </w:r>
          </w:p>
        </w:tc>
      </w:tr>
      <w:tr>
        <w:tc>
          <w:tcPr>
            <w:tcW w:type="dxa" w:w="3384"/>
          </w:tcPr>
          <w:p>
            <w:pPr>
              <w:spacing w:after="20"/>
            </w:pPr>
            <w:r>
              <w:rPr>
                <w:color w:val="1C3A36"/>
                <w:sz w:val="16"/>
              </w:rPr>
              <w:t>EBIT</w:t>
            </w:r>
          </w:p>
        </w:tc>
        <w:tc>
          <w:tcPr>
            <w:tcW w:type="dxa" w:w="1325"/>
          </w:tcPr>
          <w:p>
            <w:pPr>
              <w:spacing w:after="20"/>
              <w:jc w:val="right"/>
            </w:pPr>
            <w:r>
              <w:rPr>
                <w:color w:val="1C3A36"/>
                <w:sz w:val="16"/>
              </w:rPr>
              <w:t>1,864</w:t>
            </w:r>
          </w:p>
        </w:tc>
        <w:tc>
          <w:tcPr>
            <w:tcW w:type="dxa" w:w="1325"/>
          </w:tcPr>
          <w:p>
            <w:pPr>
              <w:spacing w:after="20"/>
              <w:jc w:val="right"/>
            </w:pPr>
            <w:r>
              <w:rPr>
                <w:color w:val="1C3A36"/>
                <w:sz w:val="16"/>
              </w:rPr>
              <w:t>2,161</w:t>
            </w:r>
          </w:p>
        </w:tc>
        <w:tc>
          <w:tcPr>
            <w:tcW w:type="dxa" w:w="1325"/>
          </w:tcPr>
          <w:p>
            <w:pPr>
              <w:spacing w:after="20"/>
              <w:jc w:val="right"/>
            </w:pPr>
            <w:r>
              <w:rPr>
                <w:color w:val="1C3A36"/>
                <w:sz w:val="16"/>
              </w:rPr>
              <w:t>2,442</w:t>
            </w:r>
          </w:p>
        </w:tc>
        <w:tc>
          <w:tcPr>
            <w:tcW w:type="dxa" w:w="1325"/>
          </w:tcPr>
          <w:p>
            <w:pPr>
              <w:spacing w:after="20"/>
              <w:jc w:val="right"/>
            </w:pPr>
            <w:r>
              <w:rPr>
                <w:color w:val="1C3A36"/>
                <w:sz w:val="16"/>
              </w:rPr>
              <w:t>2,711</w:t>
            </w:r>
          </w:p>
        </w:tc>
        <w:tc>
          <w:tcPr>
            <w:tcW w:type="dxa" w:w="1325"/>
          </w:tcPr>
          <w:p>
            <w:pPr>
              <w:spacing w:after="20"/>
              <w:jc w:val="right"/>
            </w:pPr>
            <w:r>
              <w:rPr>
                <w:color w:val="1C3A36"/>
                <w:sz w:val="16"/>
              </w:rPr>
              <w:t>2,978</w:t>
            </w:r>
          </w:p>
        </w:tc>
      </w:tr>
      <w:tr>
        <w:tc>
          <w:tcPr>
            <w:tcW w:type="dxa" w:w="3384"/>
          </w:tcPr>
          <w:p>
            <w:pPr>
              <w:spacing w:after="20"/>
            </w:pPr>
            <w:r>
              <w:rPr>
                <w:color w:val="1C3A36"/>
                <w:sz w:val="16"/>
              </w:rPr>
              <w:t>NOPAT = EBIT × (1 − 23.5%)</w:t>
            </w:r>
          </w:p>
        </w:tc>
        <w:tc>
          <w:tcPr>
            <w:tcW w:type="dxa" w:w="1325"/>
          </w:tcPr>
          <w:p>
            <w:pPr>
              <w:spacing w:after="20"/>
              <w:jc w:val="right"/>
            </w:pPr>
            <w:r>
              <w:rPr>
                <w:color w:val="1C3A36"/>
                <w:sz w:val="16"/>
              </w:rPr>
              <w:t>1,426</w:t>
            </w:r>
          </w:p>
        </w:tc>
        <w:tc>
          <w:tcPr>
            <w:tcW w:type="dxa" w:w="1325"/>
          </w:tcPr>
          <w:p>
            <w:pPr>
              <w:spacing w:after="20"/>
              <w:jc w:val="right"/>
            </w:pPr>
            <w:r>
              <w:rPr>
                <w:color w:val="1C3A36"/>
                <w:sz w:val="16"/>
              </w:rPr>
              <w:t>1,653</w:t>
            </w:r>
          </w:p>
        </w:tc>
        <w:tc>
          <w:tcPr>
            <w:tcW w:type="dxa" w:w="1325"/>
          </w:tcPr>
          <w:p>
            <w:pPr>
              <w:spacing w:after="20"/>
              <w:jc w:val="right"/>
            </w:pPr>
            <w:r>
              <w:rPr>
                <w:color w:val="1C3A36"/>
                <w:sz w:val="16"/>
              </w:rPr>
              <w:t>1,868</w:t>
            </w:r>
          </w:p>
        </w:tc>
        <w:tc>
          <w:tcPr>
            <w:tcW w:type="dxa" w:w="1325"/>
          </w:tcPr>
          <w:p>
            <w:pPr>
              <w:spacing w:after="20"/>
              <w:jc w:val="right"/>
            </w:pPr>
            <w:r>
              <w:rPr>
                <w:color w:val="1C3A36"/>
                <w:sz w:val="16"/>
              </w:rPr>
              <w:t>2,074</w:t>
            </w:r>
          </w:p>
        </w:tc>
        <w:tc>
          <w:tcPr>
            <w:tcW w:type="dxa" w:w="1325"/>
          </w:tcPr>
          <w:p>
            <w:pPr>
              <w:spacing w:after="20"/>
              <w:jc w:val="right"/>
            </w:pPr>
            <w:r>
              <w:rPr>
                <w:color w:val="1C3A36"/>
                <w:sz w:val="16"/>
              </w:rPr>
              <w:t>2,278</w:t>
            </w:r>
          </w:p>
        </w:tc>
      </w:tr>
      <w:tr>
        <w:tc>
          <w:tcPr>
            <w:tcW w:type="dxa" w:w="3384"/>
          </w:tcPr>
          <w:p>
            <w:pPr>
              <w:spacing w:after="20"/>
            </w:pPr>
            <w:r>
              <w:rPr>
                <w:color w:val="1C3A36"/>
                <w:sz w:val="16"/>
              </w:rPr>
              <w:t>add back depreciation and amortisation</w:t>
            </w:r>
          </w:p>
        </w:tc>
        <w:tc>
          <w:tcPr>
            <w:tcW w:type="dxa" w:w="1325"/>
          </w:tcPr>
          <w:p>
            <w:pPr>
              <w:spacing w:after="20"/>
              <w:jc w:val="right"/>
            </w:pPr>
            <w:r>
              <w:rPr>
                <w:color w:val="1C3A36"/>
                <w:sz w:val="16"/>
              </w:rPr>
              <w:t>494</w:t>
            </w:r>
          </w:p>
        </w:tc>
        <w:tc>
          <w:tcPr>
            <w:tcW w:type="dxa" w:w="1325"/>
          </w:tcPr>
          <w:p>
            <w:pPr>
              <w:spacing w:after="20"/>
              <w:jc w:val="right"/>
            </w:pPr>
            <w:r>
              <w:rPr>
                <w:color w:val="1C3A36"/>
                <w:sz w:val="16"/>
              </w:rPr>
              <w:t>553</w:t>
            </w:r>
          </w:p>
        </w:tc>
        <w:tc>
          <w:tcPr>
            <w:tcW w:type="dxa" w:w="1325"/>
          </w:tcPr>
          <w:p>
            <w:pPr>
              <w:spacing w:after="20"/>
              <w:jc w:val="right"/>
            </w:pPr>
            <w:r>
              <w:rPr>
                <w:color w:val="1C3A36"/>
                <w:sz w:val="16"/>
              </w:rPr>
              <w:t>612</w:t>
            </w:r>
          </w:p>
        </w:tc>
        <w:tc>
          <w:tcPr>
            <w:tcW w:type="dxa" w:w="1325"/>
          </w:tcPr>
          <w:p>
            <w:pPr>
              <w:spacing w:after="20"/>
              <w:jc w:val="right"/>
            </w:pPr>
            <w:r>
              <w:rPr>
                <w:color w:val="1C3A36"/>
                <w:sz w:val="16"/>
              </w:rPr>
              <w:t>670</w:t>
            </w:r>
          </w:p>
        </w:tc>
        <w:tc>
          <w:tcPr>
            <w:tcW w:type="dxa" w:w="1325"/>
          </w:tcPr>
          <w:p>
            <w:pPr>
              <w:spacing w:after="20"/>
              <w:jc w:val="right"/>
            </w:pPr>
            <w:r>
              <w:rPr>
                <w:color w:val="1C3A36"/>
                <w:sz w:val="16"/>
              </w:rPr>
              <w:t>728</w:t>
            </w:r>
          </w:p>
        </w:tc>
      </w:tr>
      <w:tr>
        <w:tc>
          <w:tcPr>
            <w:tcW w:type="dxa" w:w="3384"/>
          </w:tcPr>
          <w:p>
            <w:pPr>
              <w:spacing w:after="20"/>
            </w:pPr>
            <w:r>
              <w:rPr>
                <w:color w:val="1C3A36"/>
                <w:sz w:val="16"/>
              </w:rPr>
              <w:t>less capital expenditure</w:t>
            </w:r>
          </w:p>
        </w:tc>
        <w:tc>
          <w:tcPr>
            <w:tcW w:type="dxa" w:w="1325"/>
          </w:tcPr>
          <w:p>
            <w:pPr>
              <w:spacing w:after="20"/>
              <w:jc w:val="right"/>
            </w:pPr>
            <w:r>
              <w:rPr>
                <w:color w:val="1C3A36"/>
                <w:sz w:val="16"/>
              </w:rPr>
              <w:t>(651)</w:t>
            </w:r>
          </w:p>
        </w:tc>
        <w:tc>
          <w:tcPr>
            <w:tcW w:type="dxa" w:w="1325"/>
          </w:tcPr>
          <w:p>
            <w:pPr>
              <w:spacing w:after="20"/>
              <w:jc w:val="right"/>
            </w:pPr>
            <w:r>
              <w:rPr>
                <w:color w:val="1C3A36"/>
                <w:sz w:val="16"/>
              </w:rPr>
              <w:t>(704)</w:t>
            </w:r>
          </w:p>
        </w:tc>
        <w:tc>
          <w:tcPr>
            <w:tcW w:type="dxa" w:w="1325"/>
          </w:tcPr>
          <w:p>
            <w:pPr>
              <w:spacing w:after="20"/>
              <w:jc w:val="right"/>
            </w:pPr>
            <w:r>
              <w:rPr>
                <w:color w:val="1C3A36"/>
                <w:sz w:val="16"/>
              </w:rPr>
              <w:t>(751)</w:t>
            </w:r>
          </w:p>
        </w:tc>
        <w:tc>
          <w:tcPr>
            <w:tcW w:type="dxa" w:w="1325"/>
          </w:tcPr>
          <w:p>
            <w:pPr>
              <w:spacing w:after="20"/>
              <w:jc w:val="right"/>
            </w:pPr>
            <w:r>
              <w:rPr>
                <w:color w:val="1C3A36"/>
                <w:sz w:val="16"/>
              </w:rPr>
              <w:t>(792)</w:t>
            </w:r>
          </w:p>
        </w:tc>
        <w:tc>
          <w:tcPr>
            <w:tcW w:type="dxa" w:w="1325"/>
          </w:tcPr>
          <w:p>
            <w:pPr>
              <w:spacing w:after="20"/>
              <w:jc w:val="right"/>
            </w:pPr>
            <w:r>
              <w:rPr>
                <w:color w:val="1C3A36"/>
                <w:sz w:val="16"/>
              </w:rPr>
              <w:t>(827)</w:t>
            </w:r>
          </w:p>
        </w:tc>
      </w:tr>
      <w:tr>
        <w:tc>
          <w:tcPr>
            <w:tcW w:type="dxa" w:w="3384"/>
          </w:tcPr>
          <w:p>
            <w:pPr>
              <w:spacing w:after="20"/>
            </w:pPr>
            <w:r>
              <w:rPr>
                <w:color w:val="1C3A36"/>
                <w:sz w:val="16"/>
              </w:rPr>
              <w:t>less change in net working capital</w:t>
            </w:r>
          </w:p>
        </w:tc>
        <w:tc>
          <w:tcPr>
            <w:tcW w:type="dxa" w:w="1325"/>
          </w:tcPr>
          <w:p>
            <w:pPr>
              <w:spacing w:after="20"/>
              <w:jc w:val="right"/>
            </w:pPr>
            <w:r>
              <w:rPr>
                <w:color w:val="1C3A36"/>
                <w:sz w:val="16"/>
              </w:rPr>
              <w:t>(100)</w:t>
            </w:r>
          </w:p>
        </w:tc>
        <w:tc>
          <w:tcPr>
            <w:tcW w:type="dxa" w:w="1325"/>
          </w:tcPr>
          <w:p>
            <w:pPr>
              <w:spacing w:after="20"/>
              <w:jc w:val="right"/>
            </w:pPr>
            <w:r>
              <w:rPr>
                <w:color w:val="1C3A36"/>
                <w:sz w:val="16"/>
              </w:rPr>
              <w:t>(108)</w:t>
            </w:r>
          </w:p>
        </w:tc>
        <w:tc>
          <w:tcPr>
            <w:tcW w:type="dxa" w:w="1325"/>
          </w:tcPr>
          <w:p>
            <w:pPr>
              <w:spacing w:after="20"/>
              <w:jc w:val="right"/>
            </w:pPr>
            <w:r>
              <w:rPr>
                <w:color w:val="1C3A36"/>
                <w:sz w:val="16"/>
              </w:rPr>
              <w:t>(109)</w:t>
            </w:r>
          </w:p>
        </w:tc>
        <w:tc>
          <w:tcPr>
            <w:tcW w:type="dxa" w:w="1325"/>
          </w:tcPr>
          <w:p>
            <w:pPr>
              <w:spacing w:after="20"/>
              <w:jc w:val="right"/>
            </w:pPr>
            <w:r>
              <w:rPr>
                <w:color w:val="1C3A36"/>
                <w:sz w:val="16"/>
              </w:rPr>
              <w:t>(107)</w:t>
            </w:r>
          </w:p>
        </w:tc>
        <w:tc>
          <w:tcPr>
            <w:tcW w:type="dxa" w:w="1325"/>
          </w:tcPr>
          <w:p>
            <w:pPr>
              <w:spacing w:after="20"/>
              <w:jc w:val="right"/>
            </w:pPr>
            <w:r>
              <w:rPr>
                <w:color w:val="1C3A36"/>
                <w:sz w:val="16"/>
              </w:rPr>
              <w:t>(106)</w:t>
            </w:r>
          </w:p>
        </w:tc>
      </w:tr>
      <w:tr>
        <w:tc>
          <w:tcPr>
            <w:tcW w:type="dxa" w:w="3384"/>
            <w:shd w:val="clear" w:color="auto" w:fill="F6F1E6"/>
          </w:tcPr>
          <w:p>
            <w:pPr>
              <w:spacing w:after="20"/>
            </w:pPr>
            <w:r>
              <w:rPr>
                <w:b/>
                <w:color w:val="1C3A36"/>
                <w:sz w:val="16"/>
              </w:rPr>
              <w:t>FREE CASH FLOW TO THE FIRM</w:t>
            </w:r>
          </w:p>
        </w:tc>
        <w:tc>
          <w:tcPr>
            <w:tcW w:type="dxa" w:w="1325"/>
            <w:shd w:val="clear" w:color="auto" w:fill="F6F1E6"/>
          </w:tcPr>
          <w:p>
            <w:pPr>
              <w:spacing w:after="20"/>
              <w:jc w:val="right"/>
            </w:pPr>
            <w:r>
              <w:rPr>
                <w:b/>
                <w:color w:val="1C3A36"/>
                <w:sz w:val="16"/>
              </w:rPr>
              <w:t>1,169</w:t>
            </w:r>
          </w:p>
        </w:tc>
        <w:tc>
          <w:tcPr>
            <w:tcW w:type="dxa" w:w="1325"/>
            <w:shd w:val="clear" w:color="auto" w:fill="F6F1E6"/>
          </w:tcPr>
          <w:p>
            <w:pPr>
              <w:spacing w:after="20"/>
              <w:jc w:val="right"/>
            </w:pPr>
            <w:r>
              <w:rPr>
                <w:b/>
                <w:color w:val="1C3A36"/>
                <w:sz w:val="16"/>
              </w:rPr>
              <w:t>1,395</w:t>
            </w:r>
          </w:p>
        </w:tc>
        <w:tc>
          <w:tcPr>
            <w:tcW w:type="dxa" w:w="1325"/>
            <w:shd w:val="clear" w:color="auto" w:fill="F6F1E6"/>
          </w:tcPr>
          <w:p>
            <w:pPr>
              <w:spacing w:after="20"/>
              <w:jc w:val="right"/>
            </w:pPr>
            <w:r>
              <w:rPr>
                <w:b/>
                <w:color w:val="1C3A36"/>
                <w:sz w:val="16"/>
              </w:rPr>
              <w:t>1,621</w:t>
            </w:r>
          </w:p>
        </w:tc>
        <w:tc>
          <w:tcPr>
            <w:tcW w:type="dxa" w:w="1325"/>
            <w:shd w:val="clear" w:color="auto" w:fill="F6F1E6"/>
          </w:tcPr>
          <w:p>
            <w:pPr>
              <w:spacing w:after="20"/>
              <w:jc w:val="right"/>
            </w:pPr>
            <w:r>
              <w:rPr>
                <w:b/>
                <w:color w:val="1C3A36"/>
                <w:sz w:val="16"/>
              </w:rPr>
              <w:t>1,845</w:t>
            </w:r>
          </w:p>
        </w:tc>
        <w:tc>
          <w:tcPr>
            <w:tcW w:type="dxa" w:w="1325"/>
            <w:shd w:val="clear" w:color="auto" w:fill="F6F1E6"/>
          </w:tcPr>
          <w:p>
            <w:pPr>
              <w:spacing w:after="20"/>
              <w:jc w:val="right"/>
            </w:pPr>
            <w:r>
              <w:rPr>
                <w:b/>
                <w:color w:val="1C3A36"/>
                <w:sz w:val="16"/>
              </w:rPr>
              <w:t>2,073</w:t>
            </w:r>
          </w:p>
        </w:tc>
      </w:tr>
      <w:tr>
        <w:tc>
          <w:tcPr>
            <w:tcW w:type="dxa" w:w="3384"/>
          </w:tcPr>
          <w:p>
            <w:pPr>
              <w:spacing w:after="20"/>
            </w:pPr>
            <w:r>
              <w:rPr>
                <w:color w:val="1C3A36"/>
                <w:sz w:val="16"/>
              </w:rPr>
              <w:t>Discount factor</w:t>
            </w:r>
          </w:p>
        </w:tc>
        <w:tc>
          <w:tcPr>
            <w:tcW w:type="dxa" w:w="1325"/>
          </w:tcPr>
          <w:p>
            <w:pPr>
              <w:spacing w:after="20"/>
              <w:jc w:val="right"/>
            </w:pPr>
            <w:r>
              <w:rPr>
                <w:color w:val="1C3A36"/>
                <w:sz w:val="16"/>
              </w:rPr>
              <w:t>0.7597</w:t>
            </w:r>
          </w:p>
        </w:tc>
        <w:tc>
          <w:tcPr>
            <w:tcW w:type="dxa" w:w="1325"/>
          </w:tcPr>
          <w:p>
            <w:pPr>
              <w:spacing w:after="20"/>
              <w:jc w:val="right"/>
            </w:pPr>
            <w:r>
              <w:rPr>
                <w:color w:val="1C3A36"/>
                <w:sz w:val="16"/>
              </w:rPr>
              <w:t>0.6018</w:t>
            </w:r>
          </w:p>
        </w:tc>
        <w:tc>
          <w:tcPr>
            <w:tcW w:type="dxa" w:w="1325"/>
          </w:tcPr>
          <w:p>
            <w:pPr>
              <w:spacing w:after="20"/>
              <w:jc w:val="right"/>
            </w:pPr>
            <w:r>
              <w:rPr>
                <w:color w:val="1C3A36"/>
                <w:sz w:val="16"/>
              </w:rPr>
              <w:t>0.4936</w:t>
            </w:r>
          </w:p>
        </w:tc>
        <w:tc>
          <w:tcPr>
            <w:tcW w:type="dxa" w:w="1325"/>
          </w:tcPr>
          <w:p>
            <w:pPr>
              <w:spacing w:after="20"/>
              <w:jc w:val="right"/>
            </w:pPr>
            <w:r>
              <w:rPr>
                <w:color w:val="1C3A36"/>
                <w:sz w:val="16"/>
              </w:rPr>
              <w:t>0.4159</w:t>
            </w:r>
          </w:p>
        </w:tc>
        <w:tc>
          <w:tcPr>
            <w:tcW w:type="dxa" w:w="1325"/>
          </w:tcPr>
          <w:p>
            <w:pPr>
              <w:spacing w:after="20"/>
              <w:jc w:val="right"/>
            </w:pPr>
            <w:r>
              <w:rPr>
                <w:color w:val="1C3A36"/>
                <w:sz w:val="16"/>
              </w:rPr>
              <w:t>0.3569</w:t>
            </w:r>
          </w:p>
        </w:tc>
      </w:tr>
      <w:tr>
        <w:tc>
          <w:tcPr>
            <w:tcW w:type="dxa" w:w="3384"/>
            <w:shd w:val="clear" w:color="auto" w:fill="F6F1E6"/>
          </w:tcPr>
          <w:p>
            <w:pPr>
              <w:spacing w:after="20"/>
            </w:pPr>
            <w:r>
              <w:rPr>
                <w:b/>
                <w:color w:val="1C3A36"/>
                <w:sz w:val="16"/>
              </w:rPr>
              <w:t>PRESENT VALUE OF FREE CASH FLOW</w:t>
            </w:r>
          </w:p>
        </w:tc>
        <w:tc>
          <w:tcPr>
            <w:tcW w:type="dxa" w:w="1325"/>
            <w:shd w:val="clear" w:color="auto" w:fill="F6F1E6"/>
          </w:tcPr>
          <w:p>
            <w:pPr>
              <w:spacing w:after="20"/>
              <w:jc w:val="right"/>
            </w:pPr>
            <w:r>
              <w:rPr>
                <w:b/>
                <w:color w:val="1C3A36"/>
                <w:sz w:val="16"/>
              </w:rPr>
              <w:t>888</w:t>
            </w:r>
          </w:p>
        </w:tc>
        <w:tc>
          <w:tcPr>
            <w:tcW w:type="dxa" w:w="1325"/>
            <w:shd w:val="clear" w:color="auto" w:fill="F6F1E6"/>
          </w:tcPr>
          <w:p>
            <w:pPr>
              <w:spacing w:after="20"/>
              <w:jc w:val="right"/>
            </w:pPr>
            <w:r>
              <w:rPr>
                <w:b/>
                <w:color w:val="1C3A36"/>
                <w:sz w:val="16"/>
              </w:rPr>
              <w:t>839</w:t>
            </w:r>
          </w:p>
        </w:tc>
        <w:tc>
          <w:tcPr>
            <w:tcW w:type="dxa" w:w="1325"/>
            <w:shd w:val="clear" w:color="auto" w:fill="F6F1E6"/>
          </w:tcPr>
          <w:p>
            <w:pPr>
              <w:spacing w:after="20"/>
              <w:jc w:val="right"/>
            </w:pPr>
            <w:r>
              <w:rPr>
                <w:b/>
                <w:color w:val="1C3A36"/>
                <w:sz w:val="16"/>
              </w:rPr>
              <w:t>800</w:t>
            </w:r>
          </w:p>
        </w:tc>
        <w:tc>
          <w:tcPr>
            <w:tcW w:type="dxa" w:w="1325"/>
            <w:shd w:val="clear" w:color="auto" w:fill="F6F1E6"/>
          </w:tcPr>
          <w:p>
            <w:pPr>
              <w:spacing w:after="20"/>
              <w:jc w:val="right"/>
            </w:pPr>
            <w:r>
              <w:rPr>
                <w:b/>
                <w:color w:val="1C3A36"/>
                <w:sz w:val="16"/>
              </w:rPr>
              <w:t>767</w:t>
            </w:r>
          </w:p>
        </w:tc>
        <w:tc>
          <w:tcPr>
            <w:tcW w:type="dxa" w:w="1325"/>
            <w:shd w:val="clear" w:color="auto" w:fill="F6F1E6"/>
          </w:tcPr>
          <w:p>
            <w:pPr>
              <w:spacing w:after="20"/>
              <w:jc w:val="right"/>
            </w:pPr>
            <w:r>
              <w:rPr>
                <w:b/>
                <w:color w:val="1C3A36"/>
                <w:sz w:val="16"/>
              </w:rPr>
              <w:t>740</w:t>
            </w:r>
          </w:p>
        </w:tc>
      </w:tr>
    </w:tbl>
    <w:p>
      <w:pPr>
        <w:spacing w:after="40"/>
      </w:pPr>
    </w:p>
    <w:p>
      <w:pPr>
        <w:spacing w:after="200" w:before="0"/>
      </w:pPr>
      <w:r>
        <w:rPr>
          <w:b w:val="0"/>
          <w:i/>
          <w:color w:val="6E7B77"/>
          <w:sz w:val="17"/>
        </w:rPr>
        <w:t>The full build is shown to the present value of free cash flow rather than stopping at the cash-flow line, so every step between the margin and the discounted number is visible and checkable.</w:t>
      </w:r>
    </w:p>
    <w:p>
      <w:pPr>
        <w:spacing w:after="40"/>
        <w:jc w:val="center"/>
      </w:pPr>
      <w:r>
        <w:drawing>
          <wp:inline xmlns:a="http://schemas.openxmlformats.org/drawingml/2006/main" xmlns:pic="http://schemas.openxmlformats.org/drawingml/2006/picture">
            <wp:extent cx="6035040" cy="2621280"/>
            <wp:docPr id="3" name="Picture 3"/>
            <wp:cNvGraphicFramePr>
              <a:graphicFrameLocks noChangeAspect="1"/>
            </wp:cNvGraphicFramePr>
            <a:graphic>
              <a:graphicData uri="http://schemas.openxmlformats.org/drawingml/2006/picture">
                <pic:pic>
                  <pic:nvPicPr>
                    <pic:cNvPr id="0" name="fig8_waterfall.png"/>
                    <pic:cNvPicPr/>
                  </pic:nvPicPr>
                  <pic:blipFill>
                    <a:blip r:embed="rId11"/>
                    <a:stretch>
                      <a:fillRect/>
                    </a:stretch>
                  </pic:blipFill>
                  <pic:spPr>
                    <a:xfrm>
                      <a:off x="0" y="0"/>
                      <a:ext cx="6035040" cy="2621280"/>
                    </a:xfrm>
                    <a:prstGeom prst="rect"/>
                  </pic:spPr>
                </pic:pic>
              </a:graphicData>
            </a:graphic>
          </wp:inline>
        </w:drawing>
      </w:r>
    </w:p>
    <w:p>
      <w:pPr>
        <w:spacing w:after="200" w:before="0"/>
      </w:pPr>
      <w:r>
        <w:rPr>
          <w:b w:val="0"/>
          <w:i/>
          <w:color w:val="6E7B77"/>
          <w:sz w:val="17"/>
        </w:rPr>
        <w:t>Figure 3 — the same waterfall for the first forecast year, drawn to scale.</w:t>
      </w:r>
    </w:p>
    <w:p>
      <w:pPr>
        <w:spacing w:after="80" w:before="200"/>
      </w:pPr>
      <w:r>
        <w:rPr>
          <w:b/>
          <w:i w:val="0"/>
          <w:color w:val="1C3A36"/>
          <w:sz w:val="24"/>
        </w:rPr>
        <w:t>1.8  The terminal block</w:t>
      </w:r>
    </w:p>
    <w:p>
      <w:pPr>
        <w:spacing w:after="120" w:before="0"/>
      </w:pPr>
      <w:r>
        <w:rPr>
          <w:b w:val="0"/>
          <w:i w:val="0"/>
          <w:color w:val="1C3A36"/>
          <w:sz w:val="21"/>
        </w:rPr>
        <w:t>Growth in perpetuity has to be paid for with capital. The reinvestment rate is therefore not a free choice: it is forced to satisfy growth = return × reinvestment exactly. At a terminal return on invested capital of 54.3% — next year's profit over closing invested capital, the standard convention — funding 5% of growth requires reinvesting 9.2% of profit, and the rest is available to the providers of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544"/>
        <w:gridCol w:w="2088"/>
        <w:gridCol w:w="1872"/>
      </w:tblGrid>
      <w:tr>
        <w:tc>
          <w:tcPr>
            <w:tcW w:type="dxa" w:w="5544"/>
            <w:shd w:val="clear" w:color="auto" w:fill="EAF0EE"/>
          </w:tcPr>
          <w:p>
            <w:pPr>
              <w:spacing w:after="20"/>
            </w:pPr>
            <w:r>
              <w:rPr>
                <w:b/>
                <w:color w:val="1C3A36"/>
                <w:sz w:val="17"/>
              </w:rPr>
              <w:t>Enterprise value to equity, and what makes it up</w:t>
            </w:r>
          </w:p>
        </w:tc>
        <w:tc>
          <w:tcPr>
            <w:tcW w:type="dxa" w:w="2088"/>
            <w:shd w:val="clear" w:color="auto" w:fill="EAF0EE"/>
          </w:tcPr>
          <w:p>
            <w:pPr>
              <w:spacing w:after="20"/>
            </w:pPr>
            <w:r>
              <w:rPr>
                <w:b/>
                <w:color w:val="1C3A36"/>
                <w:sz w:val="17"/>
              </w:rPr>
              <w:t>EGP mn</w:t>
            </w:r>
          </w:p>
        </w:tc>
        <w:tc>
          <w:tcPr>
            <w:tcW w:type="dxa" w:w="1872"/>
            <w:shd w:val="clear" w:color="auto" w:fill="EAF0EE"/>
          </w:tcPr>
          <w:p>
            <w:pPr>
              <w:spacing w:after="20"/>
            </w:pPr>
            <w:r>
              <w:rPr>
                <w:b/>
                <w:color w:val="1C3A36"/>
                <w:sz w:val="17"/>
              </w:rPr>
              <w:t>EGP / share</w:t>
            </w:r>
          </w:p>
        </w:tc>
      </w:tr>
      <w:tr>
        <w:tc>
          <w:tcPr>
            <w:tcW w:type="dxa" w:w="5544"/>
          </w:tcPr>
          <w:p>
            <w:pPr>
              <w:spacing w:after="20"/>
            </w:pPr>
            <w:r>
              <w:rPr>
                <w:color w:val="1C3A36"/>
                <w:sz w:val="17"/>
              </w:rPr>
              <w:t>Present value of the explicit five years</w:t>
            </w:r>
          </w:p>
        </w:tc>
        <w:tc>
          <w:tcPr>
            <w:tcW w:type="dxa" w:w="2088"/>
          </w:tcPr>
          <w:p>
            <w:pPr>
              <w:spacing w:after="20"/>
              <w:jc w:val="right"/>
            </w:pPr>
            <w:r>
              <w:rPr>
                <w:color w:val="1C3A36"/>
                <w:sz w:val="17"/>
              </w:rPr>
              <w:t>4,035</w:t>
            </w:r>
          </w:p>
        </w:tc>
        <w:tc>
          <w:tcPr>
            <w:tcW w:type="dxa" w:w="1872"/>
          </w:tcPr>
          <w:p>
            <w:pPr>
              <w:spacing w:after="20"/>
              <w:jc w:val="right"/>
            </w:pPr>
            <w:r>
              <w:rPr>
                <w:color w:val="1C3A36"/>
                <w:sz w:val="17"/>
              </w:rPr>
              <w:t>3.12</w:t>
            </w:r>
          </w:p>
        </w:tc>
      </w:tr>
      <w:tr>
        <w:tc>
          <w:tcPr>
            <w:tcW w:type="dxa" w:w="5544"/>
          </w:tcPr>
          <w:p>
            <w:pPr>
              <w:spacing w:after="20"/>
            </w:pPr>
            <w:r>
              <w:rPr>
                <w:color w:val="1C3A36"/>
                <w:sz w:val="17"/>
              </w:rPr>
              <w:t>Present value of the terminal value</w:t>
            </w:r>
          </w:p>
        </w:tc>
        <w:tc>
          <w:tcPr>
            <w:tcW w:type="dxa" w:w="2088"/>
          </w:tcPr>
          <w:p>
            <w:pPr>
              <w:spacing w:after="20"/>
              <w:jc w:val="right"/>
            </w:pPr>
            <w:r>
              <w:rPr>
                <w:color w:val="1C3A36"/>
                <w:sz w:val="17"/>
              </w:rPr>
              <w:t>6,727</w:t>
            </w:r>
          </w:p>
        </w:tc>
        <w:tc>
          <w:tcPr>
            <w:tcW w:type="dxa" w:w="1872"/>
          </w:tcPr>
          <w:p>
            <w:pPr>
              <w:spacing w:after="20"/>
              <w:jc w:val="right"/>
            </w:pPr>
            <w:r>
              <w:rPr>
                <w:color w:val="1C3A36"/>
                <w:sz w:val="17"/>
              </w:rPr>
              <w:t>5.21</w:t>
            </w:r>
          </w:p>
        </w:tc>
      </w:tr>
      <w:tr>
        <w:tc>
          <w:tcPr>
            <w:tcW w:type="dxa" w:w="5544"/>
            <w:shd w:val="clear" w:color="auto" w:fill="F6F1E6"/>
          </w:tcPr>
          <w:p>
            <w:pPr>
              <w:spacing w:after="20"/>
            </w:pPr>
            <w:r>
              <w:rPr>
                <w:b/>
                <w:color w:val="1C3A36"/>
                <w:sz w:val="17"/>
              </w:rPr>
              <w:t>TERMINAL VALUE AS A PERCENTAGE OF ENTERPRISE VALUE</w:t>
            </w:r>
          </w:p>
        </w:tc>
        <w:tc>
          <w:tcPr>
            <w:tcW w:type="dxa" w:w="2088"/>
            <w:shd w:val="clear" w:color="auto" w:fill="F6F1E6"/>
          </w:tcPr>
          <w:p>
            <w:pPr>
              <w:spacing w:after="20"/>
              <w:jc w:val="right"/>
            </w:pPr>
            <w:r>
              <w:rPr>
                <w:b/>
                <w:color w:val="1C3A36"/>
                <w:sz w:val="17"/>
              </w:rPr>
              <w:t>62.5%</w:t>
            </w:r>
          </w:p>
        </w:tc>
        <w:tc>
          <w:tcPr>
            <w:tcW w:type="dxa" w:w="1872"/>
            <w:shd w:val="clear" w:color="auto" w:fill="F6F1E6"/>
          </w:tcPr>
          <w:p>
            <w:pPr>
              <w:spacing w:after="20"/>
              <w:jc w:val="right"/>
            </w:pPr>
            <w:r>
              <w:rPr>
                <w:b/>
                <w:color w:val="1C3A36"/>
                <w:sz w:val="17"/>
              </w:rPr>
            </w:r>
          </w:p>
        </w:tc>
      </w:tr>
      <w:tr>
        <w:tc>
          <w:tcPr>
            <w:tcW w:type="dxa" w:w="5544"/>
            <w:shd w:val="clear" w:color="auto" w:fill="F6F1E6"/>
          </w:tcPr>
          <w:p>
            <w:pPr>
              <w:spacing w:after="20"/>
            </w:pPr>
            <w:r>
              <w:rPr>
                <w:b/>
                <w:color w:val="1C3A36"/>
                <w:sz w:val="17"/>
              </w:rPr>
              <w:t>ENTERPRISE VALUE</w:t>
            </w:r>
          </w:p>
        </w:tc>
        <w:tc>
          <w:tcPr>
            <w:tcW w:type="dxa" w:w="2088"/>
            <w:shd w:val="clear" w:color="auto" w:fill="F6F1E6"/>
          </w:tcPr>
          <w:p>
            <w:pPr>
              <w:spacing w:after="20"/>
              <w:jc w:val="right"/>
            </w:pPr>
            <w:r>
              <w:rPr>
                <w:b/>
                <w:color w:val="1C3A36"/>
                <w:sz w:val="17"/>
              </w:rPr>
              <w:t>10,762</w:t>
            </w:r>
          </w:p>
        </w:tc>
        <w:tc>
          <w:tcPr>
            <w:tcW w:type="dxa" w:w="1872"/>
            <w:shd w:val="clear" w:color="auto" w:fill="F6F1E6"/>
          </w:tcPr>
          <w:p>
            <w:pPr>
              <w:spacing w:after="20"/>
              <w:jc w:val="right"/>
            </w:pPr>
            <w:r>
              <w:rPr>
                <w:b/>
                <w:color w:val="1C3A36"/>
                <w:sz w:val="17"/>
              </w:rPr>
              <w:t>8.33</w:t>
            </w:r>
          </w:p>
        </w:tc>
      </w:tr>
      <w:tr>
        <w:tc>
          <w:tcPr>
            <w:tcW w:type="dxa" w:w="5544"/>
          </w:tcPr>
          <w:p>
            <w:pPr>
              <w:spacing w:after="20"/>
            </w:pPr>
            <w:r>
              <w:rPr>
                <w:color w:val="1C3A36"/>
                <w:sz w:val="17"/>
              </w:rPr>
              <w:t>less net debt (negative — net cash is ADDED)</w:t>
            </w:r>
          </w:p>
        </w:tc>
        <w:tc>
          <w:tcPr>
            <w:tcW w:type="dxa" w:w="2088"/>
          </w:tcPr>
          <w:p>
            <w:pPr>
              <w:spacing w:after="20"/>
              <w:jc w:val="right"/>
            </w:pPr>
            <w:r>
              <w:rPr>
                <w:color w:val="1C3A36"/>
                <w:sz w:val="17"/>
              </w:rPr>
              <w:t>-2,438</w:t>
            </w:r>
          </w:p>
        </w:tc>
        <w:tc>
          <w:tcPr>
            <w:tcW w:type="dxa" w:w="1872"/>
          </w:tcPr>
          <w:p>
            <w:pPr>
              <w:spacing w:after="20"/>
              <w:jc w:val="right"/>
            </w:pPr>
            <w:r>
              <w:rPr>
                <w:color w:val="1C3A36"/>
                <w:sz w:val="17"/>
              </w:rPr>
              <w:t>-1.89</w:t>
            </w:r>
          </w:p>
        </w:tc>
      </w:tr>
      <w:tr>
        <w:tc>
          <w:tcPr>
            <w:tcW w:type="dxa" w:w="5544"/>
          </w:tcPr>
          <w:p>
            <w:pPr>
              <w:spacing w:after="20"/>
            </w:pPr>
            <w:r>
              <w:rPr>
                <w:color w:val="1C3A36"/>
                <w:sz w:val="17"/>
              </w:rPr>
              <w:t>= equity value before minority interests</w:t>
            </w:r>
          </w:p>
        </w:tc>
        <w:tc>
          <w:tcPr>
            <w:tcW w:type="dxa" w:w="2088"/>
          </w:tcPr>
          <w:p>
            <w:pPr>
              <w:spacing w:after="20"/>
              <w:jc w:val="right"/>
            </w:pPr>
            <w:r>
              <w:rPr>
                <w:color w:val="1C3A36"/>
                <w:sz w:val="17"/>
              </w:rPr>
              <w:t>13,201</w:t>
            </w:r>
          </w:p>
        </w:tc>
        <w:tc>
          <w:tcPr>
            <w:tcW w:type="dxa" w:w="1872"/>
          </w:tcPr>
          <w:p>
            <w:pPr>
              <w:spacing w:after="20"/>
              <w:jc w:val="right"/>
            </w:pPr>
            <w:r>
              <w:rPr>
                <w:color w:val="1C3A36"/>
                <w:sz w:val="17"/>
              </w:rPr>
              <w:t>10.22</w:t>
            </w:r>
          </w:p>
        </w:tc>
      </w:tr>
      <w:tr>
        <w:tc>
          <w:tcPr>
            <w:tcW w:type="dxa" w:w="5544"/>
          </w:tcPr>
          <w:p>
            <w:pPr>
              <w:spacing w:after="20"/>
            </w:pPr>
            <w:r>
              <w:rPr>
                <w:color w:val="1C3A36"/>
                <w:sz w:val="17"/>
              </w:rPr>
              <w:t>less minority interests at 3.0% of group profit</w:t>
            </w:r>
          </w:p>
        </w:tc>
        <w:tc>
          <w:tcPr>
            <w:tcW w:type="dxa" w:w="2088"/>
          </w:tcPr>
          <w:p>
            <w:pPr>
              <w:spacing w:after="20"/>
              <w:jc w:val="right"/>
            </w:pPr>
            <w:r>
              <w:rPr>
                <w:color w:val="1C3A36"/>
                <w:sz w:val="17"/>
              </w:rPr>
              <w:t>(396)</w:t>
            </w:r>
          </w:p>
        </w:tc>
        <w:tc>
          <w:tcPr>
            <w:tcW w:type="dxa" w:w="1872"/>
          </w:tcPr>
          <w:p>
            <w:pPr>
              <w:spacing w:after="20"/>
              <w:jc w:val="right"/>
            </w:pPr>
            <w:r>
              <w:rPr>
                <w:color w:val="1C3A36"/>
                <w:sz w:val="17"/>
              </w:rPr>
              <w:t>(0.31)</w:t>
            </w:r>
          </w:p>
        </w:tc>
      </w:tr>
      <w:tr>
        <w:tc>
          <w:tcPr>
            <w:tcW w:type="dxa" w:w="5544"/>
            <w:shd w:val="clear" w:color="auto" w:fill="F6F1E6"/>
          </w:tcPr>
          <w:p>
            <w:pPr>
              <w:spacing w:after="20"/>
            </w:pPr>
            <w:r>
              <w:rPr>
                <w:b/>
                <w:color w:val="1C3A36"/>
                <w:sz w:val="17"/>
              </w:rPr>
              <w:t>EQUITY ATTRIBUTABLE TO SHAREHOLDERS</w:t>
            </w:r>
          </w:p>
        </w:tc>
        <w:tc>
          <w:tcPr>
            <w:tcW w:type="dxa" w:w="2088"/>
            <w:shd w:val="clear" w:color="auto" w:fill="F6F1E6"/>
          </w:tcPr>
          <w:p>
            <w:pPr>
              <w:spacing w:after="20"/>
              <w:jc w:val="right"/>
            </w:pPr>
            <w:r>
              <w:rPr>
                <w:b/>
                <w:color w:val="1C3A36"/>
                <w:sz w:val="17"/>
              </w:rPr>
              <w:t>12,805</w:t>
            </w:r>
          </w:p>
        </w:tc>
        <w:tc>
          <w:tcPr>
            <w:tcW w:type="dxa" w:w="1872"/>
            <w:shd w:val="clear" w:color="auto" w:fill="F6F1E6"/>
          </w:tcPr>
          <w:p>
            <w:pPr>
              <w:spacing w:after="20"/>
              <w:jc w:val="right"/>
            </w:pPr>
            <w:r>
              <w:rPr>
                <w:b/>
                <w:color w:val="1C3A36"/>
                <w:sz w:val="17"/>
              </w:rPr>
              <w:t>9.91</w:t>
            </w:r>
          </w:p>
        </w:tc>
      </w:tr>
      <w:tr>
        <w:tc>
          <w:tcPr>
            <w:tcW w:type="dxa" w:w="5544"/>
          </w:tcPr>
          <w:p>
            <w:pPr>
              <w:spacing w:after="20"/>
            </w:pPr>
            <w:r>
              <w:rPr>
                <w:color w:val="1C3A36"/>
                <w:sz w:val="17"/>
              </w:rPr>
              <w:t>Market price</w:t>
            </w:r>
          </w:p>
        </w:tc>
        <w:tc>
          <w:tcPr>
            <w:tcW w:type="dxa" w:w="2088"/>
          </w:tcPr>
          <w:p>
            <w:pPr>
              <w:spacing w:after="20"/>
              <w:jc w:val="right"/>
            </w:pPr>
            <w:r>
              <w:rPr>
                <w:color w:val="1C3A36"/>
                <w:sz w:val="17"/>
              </w:rPr>
            </w:r>
          </w:p>
        </w:tc>
        <w:tc>
          <w:tcPr>
            <w:tcW w:type="dxa" w:w="1872"/>
          </w:tcPr>
          <w:p>
            <w:pPr>
              <w:spacing w:after="20"/>
              <w:jc w:val="right"/>
            </w:pPr>
            <w:r>
              <w:rPr>
                <w:color w:val="1C3A36"/>
                <w:sz w:val="17"/>
              </w:rPr>
              <w:t>9.10</w:t>
            </w:r>
          </w:p>
        </w:tc>
      </w:tr>
    </w:tbl>
    <w:p>
      <w:pPr>
        <w:spacing w:after="40"/>
      </w:pPr>
    </w:p>
    <w:p>
      <w:pPr>
        <w:spacing w:after="200" w:before="0"/>
      </w:pPr>
      <w:r>
        <w:rPr>
          <w:b w:val="0"/>
          <w:i/>
          <w:color w:val="6E7B77"/>
          <w:sz w:val="17"/>
        </w:rPr>
        <w:t>Terminal value is 62.5% of enterprise value. The minority deduction is taken AFTER net debt, so the minority does not carry a share of the parent's cash.</w:t>
      </w:r>
    </w:p>
    <w:p>
      <w:pPr>
        <w:spacing w:after="80" w:before="200"/>
      </w:pPr>
      <w:r>
        <w:rPr>
          <w:b/>
          <w:i w:val="0"/>
          <w:color w:val="1C3A36"/>
          <w:sz w:val="24"/>
        </w:rPr>
        <w:t>1.9  Terminal growth, reconciled against the company’s own record</w:t>
      </w:r>
    </w:p>
    <w:p>
      <w:pPr>
        <w:spacing w:after="120" w:before="0"/>
      </w:pPr>
      <w:r>
        <w:rPr>
          <w:b w:val="0"/>
          <w:i w:val="0"/>
          <w:color w:val="1C3A36"/>
          <w:sz w:val="21"/>
        </w:rPr>
        <w:t>A terminal rate is the single easiest place to manufacture a valuation, so it is checked against what the business has actually done rather than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85"/>
        <w:gridCol w:w="1570"/>
        <w:gridCol w:w="1570"/>
        <w:gridCol w:w="1570"/>
        <w:gridCol w:w="1570"/>
      </w:tblGrid>
      <w:tr>
        <w:tc>
          <w:tcPr>
            <w:tcW w:type="dxa" w:w="3485"/>
            <w:shd w:val="clear" w:color="auto" w:fill="EAF0EE"/>
          </w:tcPr>
          <w:p>
            <w:pPr>
              <w:spacing w:after="20"/>
            </w:pPr>
            <w:r>
              <w:rPr>
                <w:b/>
                <w:color w:val="1C3A36"/>
                <w:sz w:val="16"/>
              </w:rPr>
            </w:r>
          </w:p>
        </w:tc>
        <w:tc>
          <w:tcPr>
            <w:tcW w:type="dxa" w:w="1570"/>
            <w:shd w:val="clear" w:color="auto" w:fill="EAF0EE"/>
          </w:tcPr>
          <w:p>
            <w:pPr>
              <w:spacing w:after="20"/>
            </w:pPr>
            <w:r>
              <w:rPr>
                <w:b/>
                <w:color w:val="1C3A36"/>
                <w:sz w:val="16"/>
              </w:rPr>
              <w:t>FY2022/23</w:t>
            </w:r>
          </w:p>
        </w:tc>
        <w:tc>
          <w:tcPr>
            <w:tcW w:type="dxa" w:w="1570"/>
            <w:shd w:val="clear" w:color="auto" w:fill="EAF0EE"/>
          </w:tcPr>
          <w:p>
            <w:pPr>
              <w:spacing w:after="20"/>
            </w:pPr>
            <w:r>
              <w:rPr>
                <w:b/>
                <w:color w:val="1C3A36"/>
                <w:sz w:val="16"/>
              </w:rPr>
              <w:t>FY2023/24</w:t>
            </w:r>
          </w:p>
        </w:tc>
        <w:tc>
          <w:tcPr>
            <w:tcW w:type="dxa" w:w="1570"/>
            <w:shd w:val="clear" w:color="auto" w:fill="EAF0EE"/>
          </w:tcPr>
          <w:p>
            <w:pPr>
              <w:spacing w:after="20"/>
            </w:pPr>
            <w:r>
              <w:rPr>
                <w:b/>
                <w:color w:val="1C3A36"/>
                <w:sz w:val="16"/>
              </w:rPr>
              <w:t>FY2024/25</w:t>
            </w:r>
          </w:p>
        </w:tc>
        <w:tc>
          <w:tcPr>
            <w:tcW w:type="dxa" w:w="1570"/>
            <w:shd w:val="clear" w:color="auto" w:fill="EAF0EE"/>
          </w:tcPr>
          <w:p>
            <w:pPr>
              <w:spacing w:after="20"/>
            </w:pPr>
            <w:r>
              <w:rPr>
                <w:b/>
                <w:color w:val="1C3A36"/>
                <w:sz w:val="16"/>
              </w:rPr>
              <w:t>CY2025</w:t>
            </w:r>
          </w:p>
        </w:tc>
      </w:tr>
      <w:tr>
        <w:tc>
          <w:tcPr>
            <w:tcW w:type="dxa" w:w="3485"/>
          </w:tcPr>
          <w:p>
            <w:pPr>
              <w:spacing w:after="20"/>
            </w:pPr>
            <w:r>
              <w:rPr>
                <w:color w:val="1C3A36"/>
                <w:sz w:val="16"/>
              </w:rPr>
              <w:t>NOPAT (EGP mn)</w:t>
            </w:r>
          </w:p>
        </w:tc>
        <w:tc>
          <w:tcPr>
            <w:tcW w:type="dxa" w:w="1570"/>
          </w:tcPr>
          <w:p>
            <w:pPr>
              <w:spacing w:after="20"/>
              <w:jc w:val="right"/>
            </w:pPr>
            <w:r>
              <w:rPr>
                <w:color w:val="1C3A36"/>
                <w:sz w:val="16"/>
              </w:rPr>
              <w:t>587</w:t>
            </w:r>
          </w:p>
        </w:tc>
        <w:tc>
          <w:tcPr>
            <w:tcW w:type="dxa" w:w="1570"/>
          </w:tcPr>
          <w:p>
            <w:pPr>
              <w:spacing w:after="20"/>
              <w:jc w:val="right"/>
            </w:pPr>
            <w:r>
              <w:rPr>
                <w:color w:val="1C3A36"/>
                <w:sz w:val="16"/>
              </w:rPr>
              <w:t>936</w:t>
            </w:r>
          </w:p>
        </w:tc>
        <w:tc>
          <w:tcPr>
            <w:tcW w:type="dxa" w:w="1570"/>
          </w:tcPr>
          <w:p>
            <w:pPr>
              <w:spacing w:after="20"/>
              <w:jc w:val="right"/>
            </w:pPr>
            <w:r>
              <w:rPr>
                <w:color w:val="1C3A36"/>
                <w:sz w:val="16"/>
              </w:rPr>
              <w:t>1,105</w:t>
            </w:r>
          </w:p>
        </w:tc>
        <w:tc>
          <w:tcPr>
            <w:tcW w:type="dxa" w:w="1570"/>
          </w:tcPr>
          <w:p>
            <w:pPr>
              <w:spacing w:after="20"/>
              <w:jc w:val="right"/>
            </w:pPr>
            <w:r>
              <w:rPr>
                <w:color w:val="1C3A36"/>
                <w:sz w:val="16"/>
              </w:rPr>
              <w:t>1,239</w:t>
            </w:r>
          </w:p>
        </w:tc>
      </w:tr>
      <w:tr>
        <w:tc>
          <w:tcPr>
            <w:tcW w:type="dxa" w:w="3485"/>
          </w:tcPr>
          <w:p>
            <w:pPr>
              <w:spacing w:after="20"/>
            </w:pPr>
            <w:r>
              <w:rPr>
                <w:color w:val="1C3A36"/>
                <w:sz w:val="16"/>
              </w:rPr>
              <w:t>Invested capital (EGP mn)</w:t>
            </w:r>
          </w:p>
        </w:tc>
        <w:tc>
          <w:tcPr>
            <w:tcW w:type="dxa" w:w="1570"/>
          </w:tcPr>
          <w:p>
            <w:pPr>
              <w:spacing w:after="20"/>
              <w:jc w:val="right"/>
            </w:pPr>
            <w:r>
              <w:rPr>
                <w:color w:val="1C3A36"/>
                <w:sz w:val="16"/>
              </w:rPr>
              <w:t>2,385</w:t>
            </w:r>
          </w:p>
        </w:tc>
        <w:tc>
          <w:tcPr>
            <w:tcW w:type="dxa" w:w="1570"/>
          </w:tcPr>
          <w:p>
            <w:pPr>
              <w:spacing w:after="20"/>
              <w:jc w:val="right"/>
            </w:pPr>
            <w:r>
              <w:rPr>
                <w:color w:val="1C3A36"/>
                <w:sz w:val="16"/>
              </w:rPr>
              <w:t>2,923</w:t>
            </w:r>
          </w:p>
        </w:tc>
        <w:tc>
          <w:tcPr>
            <w:tcW w:type="dxa" w:w="1570"/>
          </w:tcPr>
          <w:p>
            <w:pPr>
              <w:spacing w:after="20"/>
              <w:jc w:val="right"/>
            </w:pPr>
            <w:r>
              <w:rPr>
                <w:color w:val="1C3A36"/>
                <w:sz w:val="16"/>
              </w:rPr>
              <w:t>3,102</w:t>
            </w:r>
          </w:p>
        </w:tc>
        <w:tc>
          <w:tcPr>
            <w:tcW w:type="dxa" w:w="1570"/>
          </w:tcPr>
          <w:p>
            <w:pPr>
              <w:spacing w:after="20"/>
              <w:jc w:val="right"/>
            </w:pPr>
            <w:r>
              <w:rPr>
                <w:color w:val="1C3A36"/>
                <w:sz w:val="16"/>
              </w:rPr>
              <w:t>3,211</w:t>
            </w:r>
          </w:p>
        </w:tc>
      </w:tr>
      <w:tr>
        <w:tc>
          <w:tcPr>
            <w:tcW w:type="dxa" w:w="3485"/>
          </w:tcPr>
          <w:p>
            <w:pPr>
              <w:spacing w:after="20"/>
            </w:pPr>
            <w:r>
              <w:rPr>
                <w:color w:val="1C3A36"/>
                <w:sz w:val="16"/>
              </w:rPr>
              <w:t>Return on invested capital</w:t>
            </w:r>
          </w:p>
        </w:tc>
        <w:tc>
          <w:tcPr>
            <w:tcW w:type="dxa" w:w="1570"/>
          </w:tcPr>
          <w:p>
            <w:pPr>
              <w:spacing w:after="20"/>
              <w:jc w:val="right"/>
            </w:pPr>
            <w:r>
              <w:rPr>
                <w:color w:val="1C3A36"/>
                <w:sz w:val="16"/>
              </w:rPr>
              <w:t>24.6%</w:t>
            </w:r>
          </w:p>
        </w:tc>
        <w:tc>
          <w:tcPr>
            <w:tcW w:type="dxa" w:w="1570"/>
          </w:tcPr>
          <w:p>
            <w:pPr>
              <w:spacing w:after="20"/>
              <w:jc w:val="right"/>
            </w:pPr>
            <w:r>
              <w:rPr>
                <w:color w:val="1C3A36"/>
                <w:sz w:val="16"/>
              </w:rPr>
              <w:t>32.0%</w:t>
            </w:r>
          </w:p>
        </w:tc>
        <w:tc>
          <w:tcPr>
            <w:tcW w:type="dxa" w:w="1570"/>
          </w:tcPr>
          <w:p>
            <w:pPr>
              <w:spacing w:after="20"/>
              <w:jc w:val="right"/>
            </w:pPr>
            <w:r>
              <w:rPr>
                <w:color w:val="1C3A36"/>
                <w:sz w:val="16"/>
              </w:rPr>
              <w:t>35.6%</w:t>
            </w:r>
          </w:p>
        </w:tc>
        <w:tc>
          <w:tcPr>
            <w:tcW w:type="dxa" w:w="1570"/>
          </w:tcPr>
          <w:p>
            <w:pPr>
              <w:spacing w:after="20"/>
              <w:jc w:val="right"/>
            </w:pPr>
            <w:r>
              <w:rPr>
                <w:color w:val="1C3A36"/>
                <w:sz w:val="16"/>
              </w:rPr>
              <w:t>38.6%</w:t>
            </w:r>
          </w:p>
        </w:tc>
      </w:tr>
      <w:tr>
        <w:tc>
          <w:tcPr>
            <w:tcW w:type="dxa" w:w="3485"/>
          </w:tcPr>
          <w:p>
            <w:pPr>
              <w:spacing w:after="20"/>
            </w:pPr>
            <w:r>
              <w:rPr>
                <w:color w:val="1C3A36"/>
                <w:sz w:val="16"/>
              </w:rPr>
              <w:t>Capital expenditure (EGP mn)</w:t>
            </w:r>
          </w:p>
        </w:tc>
        <w:tc>
          <w:tcPr>
            <w:tcW w:type="dxa" w:w="1570"/>
          </w:tcPr>
          <w:p>
            <w:pPr>
              <w:spacing w:after="20"/>
              <w:jc w:val="right"/>
            </w:pPr>
            <w:r>
              <w:rPr>
                <w:color w:val="1C3A36"/>
                <w:sz w:val="16"/>
              </w:rPr>
              <w:t>326</w:t>
            </w:r>
          </w:p>
        </w:tc>
        <w:tc>
          <w:tcPr>
            <w:tcW w:type="dxa" w:w="1570"/>
          </w:tcPr>
          <w:p>
            <w:pPr>
              <w:spacing w:after="20"/>
              <w:jc w:val="right"/>
            </w:pPr>
            <w:r>
              <w:rPr>
                <w:color w:val="1C3A36"/>
                <w:sz w:val="16"/>
              </w:rPr>
              <w:t>486</w:t>
            </w:r>
          </w:p>
        </w:tc>
        <w:tc>
          <w:tcPr>
            <w:tcW w:type="dxa" w:w="1570"/>
          </w:tcPr>
          <w:p>
            <w:pPr>
              <w:spacing w:after="20"/>
              <w:jc w:val="right"/>
            </w:pPr>
            <w:r>
              <w:rPr>
                <w:color w:val="1C3A36"/>
                <w:sz w:val="16"/>
              </w:rPr>
              <w:t>544</w:t>
            </w:r>
          </w:p>
        </w:tc>
        <w:tc>
          <w:tcPr>
            <w:tcW w:type="dxa" w:w="1570"/>
          </w:tcPr>
          <w:p>
            <w:pPr>
              <w:spacing w:after="20"/>
              <w:jc w:val="right"/>
            </w:pPr>
            <w:r>
              <w:rPr>
                <w:color w:val="1C3A36"/>
                <w:sz w:val="16"/>
              </w:rPr>
              <w:t>580</w:t>
            </w:r>
          </w:p>
        </w:tc>
      </w:tr>
      <w:tr>
        <w:tc>
          <w:tcPr>
            <w:tcW w:type="dxa" w:w="3485"/>
          </w:tcPr>
          <w:p>
            <w:pPr>
              <w:spacing w:after="20"/>
            </w:pPr>
            <w:r>
              <w:rPr>
                <w:color w:val="1C3A36"/>
                <w:sz w:val="16"/>
              </w:rPr>
              <w:t>Reinvestment rate</w:t>
            </w:r>
          </w:p>
        </w:tc>
        <w:tc>
          <w:tcPr>
            <w:tcW w:type="dxa" w:w="1570"/>
          </w:tcPr>
          <w:p>
            <w:pPr>
              <w:spacing w:after="20"/>
              <w:jc w:val="right"/>
            </w:pPr>
            <w:r>
              <w:rPr>
                <w:color w:val="1C3A36"/>
                <w:sz w:val="16"/>
              </w:rPr>
              <w:t>13.4%</w:t>
            </w:r>
          </w:p>
        </w:tc>
        <w:tc>
          <w:tcPr>
            <w:tcW w:type="dxa" w:w="1570"/>
          </w:tcPr>
          <w:p>
            <w:pPr>
              <w:spacing w:after="20"/>
              <w:jc w:val="right"/>
            </w:pPr>
            <w:r>
              <w:rPr>
                <w:color w:val="1C3A36"/>
                <w:sz w:val="16"/>
              </w:rPr>
              <w:t>12.5%</w:t>
            </w:r>
          </w:p>
        </w:tc>
        <w:tc>
          <w:tcPr>
            <w:tcW w:type="dxa" w:w="1570"/>
          </w:tcPr>
          <w:p>
            <w:pPr>
              <w:spacing w:after="20"/>
              <w:jc w:val="right"/>
            </w:pPr>
            <w:r>
              <w:rPr>
                <w:color w:val="1C3A36"/>
                <w:sz w:val="16"/>
              </w:rPr>
              <w:t>11.9%</w:t>
            </w:r>
          </w:p>
        </w:tc>
        <w:tc>
          <w:tcPr>
            <w:tcW w:type="dxa" w:w="1570"/>
          </w:tcPr>
          <w:p>
            <w:pPr>
              <w:spacing w:after="20"/>
              <w:jc w:val="right"/>
            </w:pPr>
            <w:r>
              <w:rPr>
                <w:color w:val="1C3A36"/>
                <w:sz w:val="16"/>
              </w:rPr>
              <w:t>11.3%</w:t>
            </w:r>
          </w:p>
        </w:tc>
      </w:tr>
      <w:tr>
        <w:tc>
          <w:tcPr>
            <w:tcW w:type="dxa" w:w="3485"/>
          </w:tcPr>
          <w:p>
            <w:pPr>
              <w:spacing w:after="20"/>
            </w:pPr>
            <w:r>
              <w:rPr>
                <w:color w:val="1C3A36"/>
                <w:sz w:val="16"/>
              </w:rPr>
              <w:t>Character</w:t>
            </w:r>
          </w:p>
        </w:tc>
        <w:tc>
          <w:tcPr>
            <w:tcW w:type="dxa" w:w="1570"/>
          </w:tcPr>
          <w:p>
            <w:pPr>
              <w:spacing w:after="20"/>
              <w:jc w:val="right"/>
            </w:pPr>
            <w:r>
              <w:rPr>
                <w:color w:val="1C3A36"/>
                <w:sz w:val="16"/>
              </w:rPr>
              <w:t>stable</w:t>
            </w:r>
          </w:p>
        </w:tc>
        <w:tc>
          <w:tcPr>
            <w:tcW w:type="dxa" w:w="1570"/>
          </w:tcPr>
          <w:p>
            <w:pPr>
              <w:spacing w:after="20"/>
              <w:jc w:val="right"/>
            </w:pPr>
            <w:r>
              <w:rPr>
                <w:color w:val="1C3A36"/>
                <w:sz w:val="16"/>
              </w:rPr>
              <w:t>stable</w:t>
            </w:r>
          </w:p>
        </w:tc>
        <w:tc>
          <w:tcPr>
            <w:tcW w:type="dxa" w:w="1570"/>
          </w:tcPr>
          <w:p>
            <w:pPr>
              <w:spacing w:after="20"/>
              <w:jc w:val="right"/>
            </w:pPr>
            <w:r>
              <w:rPr>
                <w:color w:val="1C3A36"/>
                <w:sz w:val="16"/>
              </w:rPr>
              <w:t>stable</w:t>
            </w:r>
          </w:p>
        </w:tc>
        <w:tc>
          <w:tcPr>
            <w:tcW w:type="dxa" w:w="1570"/>
          </w:tcPr>
          <w:p>
            <w:pPr>
              <w:spacing w:after="20"/>
              <w:jc w:val="right"/>
            </w:pPr>
            <w:r>
              <w:rPr>
                <w:color w:val="1C3A36"/>
                <w:sz w:val="16"/>
              </w:rPr>
              <w:t>stable</w:t>
            </w:r>
          </w:p>
        </w:tc>
      </w:tr>
      <w:tr>
        <w:tc>
          <w:tcPr>
            <w:tcW w:type="dxa" w:w="3485"/>
            <w:shd w:val="clear" w:color="auto" w:fill="F6F1E6"/>
          </w:tcPr>
          <w:p>
            <w:pPr>
              <w:spacing w:after="20"/>
            </w:pPr>
            <w:r>
              <w:rPr>
                <w:b/>
                <w:color w:val="1C3A36"/>
                <w:sz w:val="16"/>
              </w:rPr>
              <w:t>Implied growth (return × reinvestment)</w:t>
            </w:r>
          </w:p>
        </w:tc>
        <w:tc>
          <w:tcPr>
            <w:tcW w:type="dxa" w:w="1570"/>
            <w:shd w:val="clear" w:color="auto" w:fill="F6F1E6"/>
          </w:tcPr>
          <w:p>
            <w:pPr>
              <w:spacing w:after="20"/>
              <w:jc w:val="right"/>
            </w:pPr>
            <w:r>
              <w:rPr>
                <w:b/>
                <w:color w:val="1C3A36"/>
                <w:sz w:val="16"/>
              </w:rPr>
              <w:t>3.3%</w:t>
            </w:r>
          </w:p>
        </w:tc>
        <w:tc>
          <w:tcPr>
            <w:tcW w:type="dxa" w:w="1570"/>
            <w:shd w:val="clear" w:color="auto" w:fill="F6F1E6"/>
          </w:tcPr>
          <w:p>
            <w:pPr>
              <w:spacing w:after="20"/>
              <w:jc w:val="right"/>
            </w:pPr>
            <w:r>
              <w:rPr>
                <w:b/>
                <w:color w:val="1C3A36"/>
                <w:sz w:val="16"/>
              </w:rPr>
              <w:t>4.0%</w:t>
            </w:r>
          </w:p>
        </w:tc>
        <w:tc>
          <w:tcPr>
            <w:tcW w:type="dxa" w:w="1570"/>
            <w:shd w:val="clear" w:color="auto" w:fill="F6F1E6"/>
          </w:tcPr>
          <w:p>
            <w:pPr>
              <w:spacing w:after="20"/>
              <w:jc w:val="right"/>
            </w:pPr>
            <w:r>
              <w:rPr>
                <w:b/>
                <w:color w:val="1C3A36"/>
                <w:sz w:val="16"/>
              </w:rPr>
              <w:t>4.2%</w:t>
            </w:r>
          </w:p>
        </w:tc>
        <w:tc>
          <w:tcPr>
            <w:tcW w:type="dxa" w:w="1570"/>
            <w:shd w:val="clear" w:color="auto" w:fill="F6F1E6"/>
          </w:tcPr>
          <w:p>
            <w:pPr>
              <w:spacing w:after="20"/>
              <w:jc w:val="right"/>
            </w:pPr>
            <w:r>
              <w:rPr>
                <w:b/>
                <w:color w:val="1C3A36"/>
                <w:sz w:val="16"/>
              </w:rPr>
              <w:t>4.4%</w:t>
            </w:r>
          </w:p>
        </w:tc>
      </w:tr>
    </w:tbl>
    <w:p>
      <w:pPr>
        <w:spacing w:after="40"/>
      </w:pPr>
    </w:p>
    <w:p>
      <w:pPr>
        <w:spacing w:after="120" w:before="0"/>
      </w:pPr>
      <w:r>
        <w:rPr>
          <w:b w:val="0"/>
          <w:i w:val="0"/>
          <w:color w:val="1C3A36"/>
          <w:sz w:val="21"/>
        </w:rPr>
        <w:t>Two check numbers, stated plainly. Actual compound NOPAT growth from the June-2023 year to the constructed calendar-2025 base was +34.8% a year. The growth implied by return times reinvestment, taken from stable years only — every year here is self-funded, with reinvestment well under 100% of profit — is 4.0%. The adopted terminal rate is 5%, the standing centre for an established name in this market once currency turbulence has passed.</w:t>
      </w:r>
    </w:p>
    <w:p>
      <w:pPr>
        <w:spacing w:after="120" w:before="0"/>
      </w:pPr>
      <w:r>
        <w:rPr>
          <w:b w:val="0"/>
          <w:i w:val="0"/>
          <w:color w:val="1C3A36"/>
          <w:sz w:val="21"/>
        </w:rPr>
        <w:t>Both checks come in BELOW the adopted rate, and the reader should see that rather than have it smoothed over: the 5% assumption sits on the generous side of the company's own record, not the conservative side. The case for keeping it is that the historical window spans the 2022-to-2024 devaluation sequence, which compressed real earnings across the market. The case against is on the table. It is sensitised from 3% to 7% below and the whole grid is on the face of the companion model.</w:t>
      </w:r>
    </w:p>
    <w:p>
      <w:pPr>
        <w:spacing w:after="120" w:before="0"/>
      </w:pPr>
      <w:r>
        <w:rPr>
          <w:b w:val="0"/>
          <w:i w:val="0"/>
          <w:color w:val="1C3A36"/>
          <w:sz w:val="21"/>
        </w:rPr>
        <w:t>The usual crossover test — how long a candidate growth rate would take to make the company larger than the economy it sits in — does NOT bind on this name, and saying so is the honest reading. The recent compound NOPAT rate (+34.8%), the forecast revenue rate (+10.6%) and the adopted terminal rate (5%) all sit below Egyptian nominal growth of about 15%, so the company shrinks relative to the economy at every one of them and there is no finite crossover year to report. The binding constraint here is the reinvestment identity, not the ceiling.</w:t>
      </w:r>
    </w:p>
    <w:p>
      <w:pPr>
        <w:spacing w:after="80" w:before="200"/>
      </w:pPr>
      <w:r>
        <w:rPr>
          <w:b/>
          <w:i w:val="0"/>
          <w:color w:val="1C3A36"/>
          <w:sz w:val="24"/>
        </w:rPr>
        <w:t>1.10  Sensitivities</w:t>
      </w:r>
    </w:p>
    <w:p>
      <w:pPr>
        <w:spacing w:after="40"/>
        <w:jc w:val="center"/>
      </w:pPr>
      <w:r>
        <w:drawing>
          <wp:inline xmlns:a="http://schemas.openxmlformats.org/drawingml/2006/main" xmlns:pic="http://schemas.openxmlformats.org/drawingml/2006/picture">
            <wp:extent cx="5760720" cy="2674620"/>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760720" cy="2674620"/>
                    </a:xfrm>
                    <a:prstGeom prst="rect"/>
                  </pic:spPr>
                </pic:pic>
              </a:graphicData>
            </a:graphic>
          </wp:inline>
        </w:drawing>
      </w:r>
    </w:p>
    <w:p>
      <w:pPr>
        <w:spacing w:after="200" w:before="0"/>
      </w:pPr>
      <w:r>
        <w:rPr>
          <w:b w:val="0"/>
          <w:i/>
          <w:color w:val="6E7B77"/>
          <w:sz w:val="17"/>
        </w:rPr>
        <w:t>Figure 4 — fair value across the terminal cost of capital and the terminal growth rate. Bold entries sit within half a pound of the market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952"/>
        <w:gridCol w:w="4392"/>
      </w:tblGrid>
      <w:tr>
        <w:tc>
          <w:tcPr>
            <w:tcW w:type="dxa" w:w="2664"/>
            <w:shd w:val="clear" w:color="auto" w:fill="EAF0EE"/>
          </w:tcPr>
          <w:p>
            <w:pPr>
              <w:spacing w:after="20"/>
            </w:pPr>
            <w:r>
              <w:rPr>
                <w:b/>
                <w:color w:val="1C3A36"/>
                <w:sz w:val="16"/>
              </w:rPr>
              <w:t>Driver</w:t>
            </w:r>
          </w:p>
        </w:tc>
        <w:tc>
          <w:tcPr>
            <w:tcW w:type="dxa" w:w="2952"/>
            <w:shd w:val="clear" w:color="auto" w:fill="EAF0EE"/>
          </w:tcPr>
          <w:p>
            <w:pPr>
              <w:spacing w:after="20"/>
            </w:pPr>
            <w:r>
              <w:rPr>
                <w:b/>
                <w:color w:val="1C3A36"/>
                <w:sz w:val="16"/>
              </w:rPr>
              <w:t>Range tested</w:t>
            </w:r>
          </w:p>
        </w:tc>
        <w:tc>
          <w:tcPr>
            <w:tcW w:type="dxa" w:w="4392"/>
            <w:shd w:val="clear" w:color="auto" w:fill="EAF0EE"/>
          </w:tcPr>
          <w:p>
            <w:pPr>
              <w:spacing w:after="20"/>
            </w:pPr>
            <w:r>
              <w:rPr>
                <w:b/>
                <w:color w:val="1C3A36"/>
                <w:sz w:val="16"/>
              </w:rPr>
              <w:t>Fair value across the range (EGP)</w:t>
            </w:r>
          </w:p>
        </w:tc>
      </w:tr>
      <w:tr>
        <w:tc>
          <w:tcPr>
            <w:tcW w:type="dxa" w:w="2664"/>
          </w:tcPr>
          <w:p>
            <w:pPr>
              <w:spacing w:after="20"/>
            </w:pPr>
            <w:r>
              <w:rPr>
                <w:color w:val="1C3A36"/>
                <w:sz w:val="16"/>
              </w:rPr>
              <w:t>Terminal cost of capital</w:t>
            </w:r>
          </w:p>
        </w:tc>
        <w:tc>
          <w:tcPr>
            <w:tcW w:type="dxa" w:w="2952"/>
          </w:tcPr>
          <w:p>
            <w:pPr>
              <w:spacing w:after="20"/>
            </w:pPr>
            <w:r>
              <w:rPr>
                <w:color w:val="1C3A36"/>
                <w:sz w:val="16"/>
              </w:rPr>
              <w:t>14.5% – 18.5%</w:t>
            </w:r>
          </w:p>
        </w:tc>
        <w:tc>
          <w:tcPr>
            <w:tcW w:type="dxa" w:w="4392"/>
          </w:tcPr>
          <w:p>
            <w:pPr>
              <w:spacing w:after="20"/>
            </w:pPr>
            <w:r>
              <w:rPr>
                <w:color w:val="1C3A36"/>
                <w:sz w:val="16"/>
              </w:rPr>
              <w:t>11.34 · 10.56 · 9.91 · 9.37 · 8.91</w:t>
            </w:r>
          </w:p>
        </w:tc>
      </w:tr>
      <w:tr>
        <w:tc>
          <w:tcPr>
            <w:tcW w:type="dxa" w:w="2664"/>
          </w:tcPr>
          <w:p>
            <w:pPr>
              <w:spacing w:after="20"/>
            </w:pPr>
            <w:r>
              <w:rPr>
                <w:color w:val="1C3A36"/>
                <w:sz w:val="16"/>
              </w:rPr>
              <w:t>Terminal growth</w:t>
            </w:r>
          </w:p>
        </w:tc>
        <w:tc>
          <w:tcPr>
            <w:tcW w:type="dxa" w:w="2952"/>
          </w:tcPr>
          <w:p>
            <w:pPr>
              <w:spacing w:after="20"/>
            </w:pPr>
            <w:r>
              <w:rPr>
                <w:color w:val="1C3A36"/>
                <w:sz w:val="16"/>
              </w:rPr>
              <w:t>3% – 7%</w:t>
            </w:r>
          </w:p>
        </w:tc>
        <w:tc>
          <w:tcPr>
            <w:tcW w:type="dxa" w:w="4392"/>
          </w:tcPr>
          <w:p>
            <w:pPr>
              <w:spacing w:after="20"/>
            </w:pPr>
            <w:r>
              <w:rPr>
                <w:color w:val="1C3A36"/>
                <w:sz w:val="16"/>
              </w:rPr>
              <w:t>9.25 · 9.56 · 9.91 · 10.34 · 10.86</w:t>
            </w:r>
          </w:p>
        </w:tc>
      </w:tr>
      <w:tr>
        <w:tc>
          <w:tcPr>
            <w:tcW w:type="dxa" w:w="2664"/>
          </w:tcPr>
          <w:p>
            <w:pPr>
              <w:spacing w:after="20"/>
            </w:pPr>
            <w:r>
              <w:rPr>
                <w:color w:val="1C3A36"/>
                <w:sz w:val="16"/>
              </w:rPr>
              <w:t>Explicit-window cost of capital</w:t>
            </w:r>
          </w:p>
        </w:tc>
        <w:tc>
          <w:tcPr>
            <w:tcW w:type="dxa" w:w="2952"/>
          </w:tcPr>
          <w:p>
            <w:pPr>
              <w:spacing w:after="20"/>
            </w:pPr>
            <w:r>
              <w:rPr>
                <w:color w:val="1C3A36"/>
                <w:sz w:val="16"/>
              </w:rPr>
              <w:t>28.6% – 34.6%</w:t>
            </w:r>
          </w:p>
        </w:tc>
        <w:tc>
          <w:tcPr>
            <w:tcW w:type="dxa" w:w="4392"/>
          </w:tcPr>
          <w:p>
            <w:pPr>
              <w:spacing w:after="20"/>
            </w:pPr>
            <w:r>
              <w:rPr>
                <w:color w:val="1C3A36"/>
                <w:sz w:val="16"/>
              </w:rPr>
              <w:t>10.31 · 10.11 · 9.91 · 9.73 · 9.55</w:t>
            </w:r>
          </w:p>
        </w:tc>
      </w:tr>
      <w:tr>
        <w:tc>
          <w:tcPr>
            <w:tcW w:type="dxa" w:w="2664"/>
          </w:tcPr>
          <w:p>
            <w:pPr>
              <w:spacing w:after="20"/>
            </w:pPr>
            <w:r>
              <w:rPr>
                <w:color w:val="1C3A36"/>
                <w:sz w:val="16"/>
              </w:rPr>
              <w:t>Beta</w:t>
            </w:r>
          </w:p>
        </w:tc>
        <w:tc>
          <w:tcPr>
            <w:tcW w:type="dxa" w:w="2952"/>
          </w:tcPr>
          <w:p>
            <w:pPr>
              <w:spacing w:after="20"/>
            </w:pPr>
            <w:r>
              <w:rPr>
                <w:color w:val="1C3A36"/>
                <w:sz w:val="16"/>
              </w:rPr>
              <w:t>0.60 – 1.30</w:t>
            </w:r>
          </w:p>
        </w:tc>
        <w:tc>
          <w:tcPr>
            <w:tcW w:type="dxa" w:w="4392"/>
          </w:tcPr>
          <w:p>
            <w:pPr>
              <w:spacing w:after="20"/>
            </w:pPr>
            <w:r>
              <w:rPr>
                <w:color w:val="1C3A36"/>
                <w:sz w:val="16"/>
              </w:rPr>
              <w:t>12.28 · 10.85 · 10.04 · 9.05 · 8.46</w:t>
            </w:r>
          </w:p>
        </w:tc>
      </w:tr>
      <w:tr>
        <w:tc>
          <w:tcPr>
            <w:tcW w:type="dxa" w:w="2664"/>
          </w:tcPr>
          <w:p>
            <w:pPr>
              <w:spacing w:after="20"/>
            </w:pPr>
            <w:r>
              <w:rPr>
                <w:color w:val="1C3A36"/>
                <w:sz w:val="16"/>
              </w:rPr>
              <w:t>Gross margin shift</w:t>
            </w:r>
          </w:p>
        </w:tc>
        <w:tc>
          <w:tcPr>
            <w:tcW w:type="dxa" w:w="2952"/>
          </w:tcPr>
          <w:p>
            <w:pPr>
              <w:spacing w:after="20"/>
            </w:pPr>
            <w:r>
              <w:rPr>
                <w:color w:val="1C3A36"/>
                <w:sz w:val="16"/>
              </w:rPr>
              <w:t>-1.0% – +1.0% on the whole path</w:t>
            </w:r>
          </w:p>
        </w:tc>
        <w:tc>
          <w:tcPr>
            <w:tcW w:type="dxa" w:w="4392"/>
          </w:tcPr>
          <w:p>
            <w:pPr>
              <w:spacing w:after="20"/>
            </w:pPr>
            <w:r>
              <w:rPr>
                <w:color w:val="1C3A36"/>
                <w:sz w:val="16"/>
              </w:rPr>
              <w:t>7.87 · 8.89 · 9.91 · 10.94 · 11.96</w:t>
            </w:r>
          </w:p>
        </w:tc>
      </w:tr>
      <w:tr>
        <w:tc>
          <w:tcPr>
            <w:tcW w:type="dxa" w:w="2664"/>
          </w:tcPr>
          <w:p>
            <w:pPr>
              <w:spacing w:after="20"/>
            </w:pPr>
            <w:r>
              <w:rPr>
                <w:color w:val="1C3A36"/>
                <w:sz w:val="16"/>
              </w:rPr>
              <w:t>Volume growth</w:t>
            </w:r>
          </w:p>
        </w:tc>
        <w:tc>
          <w:tcPr>
            <w:tcW w:type="dxa" w:w="2952"/>
          </w:tcPr>
          <w:p>
            <w:pPr>
              <w:spacing w:after="20"/>
            </w:pPr>
            <w:r>
              <w:rPr>
                <w:color w:val="1C3A36"/>
                <w:sz w:val="16"/>
              </w:rPr>
              <w:t>zero to double the assumed path</w:t>
            </w:r>
          </w:p>
        </w:tc>
        <w:tc>
          <w:tcPr>
            <w:tcW w:type="dxa" w:w="4392"/>
          </w:tcPr>
          <w:p>
            <w:pPr>
              <w:spacing w:after="20"/>
            </w:pPr>
            <w:r>
              <w:rPr>
                <w:color w:val="1C3A36"/>
                <w:sz w:val="16"/>
              </w:rPr>
              <w:t>8.64 · 9.25 · 9.91 · 10.63 · 11.39</w:t>
            </w:r>
          </w:p>
        </w:tc>
      </w:tr>
      <w:tr>
        <w:tc>
          <w:tcPr>
            <w:tcW w:type="dxa" w:w="2664"/>
          </w:tcPr>
          <w:p>
            <w:pPr>
              <w:spacing w:after="20"/>
            </w:pPr>
            <w:r>
              <w:rPr>
                <w:color w:val="1C3A36"/>
                <w:sz w:val="16"/>
              </w:rPr>
              <w:t>Exchange-rate path</w:t>
            </w:r>
          </w:p>
        </w:tc>
        <w:tc>
          <w:tcPr>
            <w:tcW w:type="dxa" w:w="2952"/>
          </w:tcPr>
          <w:p>
            <w:pPr>
              <w:spacing w:after="20"/>
            </w:pPr>
            <w:r>
              <w:rPr>
                <w:color w:val="1C3A36"/>
                <w:sz w:val="16"/>
              </w:rPr>
              <w:t>−10% to +10% on the assumed path</w:t>
            </w:r>
          </w:p>
        </w:tc>
        <w:tc>
          <w:tcPr>
            <w:tcW w:type="dxa" w:w="4392"/>
          </w:tcPr>
          <w:p>
            <w:pPr>
              <w:spacing w:after="20"/>
            </w:pPr>
            <w:r>
              <w:rPr>
                <w:color w:val="1C3A36"/>
                <w:sz w:val="16"/>
              </w:rPr>
              <w:t>9.12 · 9.52 · 9.91 · 10.31 · 10.70</w:t>
            </w:r>
          </w:p>
        </w:tc>
      </w:tr>
      <w:tr>
        <w:tc>
          <w:tcPr>
            <w:tcW w:type="dxa" w:w="2664"/>
          </w:tcPr>
          <w:p>
            <w:pPr>
              <w:spacing w:after="20"/>
            </w:pPr>
            <w:r>
              <w:rPr>
                <w:color w:val="1C3A36"/>
                <w:sz w:val="16"/>
              </w:rPr>
              <w:t>Net working capital</w:t>
            </w:r>
          </w:p>
        </w:tc>
        <w:tc>
          <w:tcPr>
            <w:tcW w:type="dxa" w:w="2952"/>
          </w:tcPr>
          <w:p>
            <w:pPr>
              <w:spacing w:after="20"/>
            </w:pPr>
            <w:r>
              <w:rPr>
                <w:color w:val="1C3A36"/>
                <w:sz w:val="16"/>
              </w:rPr>
              <w:t>0% – 5% of revenue</w:t>
            </w:r>
          </w:p>
        </w:tc>
        <w:tc>
          <w:tcPr>
            <w:tcW w:type="dxa" w:w="4392"/>
          </w:tcPr>
          <w:p>
            <w:pPr>
              <w:spacing w:after="20"/>
            </w:pPr>
            <w:r>
              <w:rPr>
                <w:color w:val="1C3A36"/>
                <w:sz w:val="16"/>
              </w:rPr>
              <w:t>10.28 · 10.10 · 9.91 · 9.74 · 9.38</w:t>
            </w:r>
          </w:p>
        </w:tc>
      </w:tr>
    </w:tbl>
    <w:p>
      <w:pPr>
        <w:spacing w:after="40"/>
      </w:pPr>
    </w:p>
    <w:p>
      <w:pPr>
        <w:spacing w:after="200" w:before="0"/>
      </w:pPr>
      <w:r>
        <w:rPr>
          <w:b w:val="0"/>
          <w:i/>
          <w:color w:val="6E7B77"/>
          <w:sz w:val="17"/>
        </w:rPr>
        <w:t>The crux is the cost of capital, not the operating assumptions. Doubling the entire volume growth path moves the answer from EGP 9.91 to 11.39; a two-point move in the terminal rate alone moves it across a wider span than that. This is a valuation about Egyptian interest rates at least as much as it is about a refinery.</w:t>
      </w:r>
    </w:p>
    <w:p>
      <w:pPr>
        <w:spacing w:after="80" w:before="200"/>
      </w:pPr>
      <w:r>
        <w:rPr>
          <w:b/>
          <w:i w:val="0"/>
          <w:color w:val="1C3A36"/>
          <w:sz w:val="24"/>
        </w:rPr>
        <w:t>1.11  The three cross-check lenses</w:t>
      </w:r>
    </w:p>
    <w:p>
      <w:pPr>
        <w:spacing w:after="120" w:before="0"/>
      </w:pPr>
      <w:r>
        <w:rPr>
          <w:b w:val="0"/>
          <w:i w:val="0"/>
          <w:color w:val="1C3A36"/>
          <w:sz w:val="21"/>
        </w:rPr>
        <w:t>Relative multiples. Applying 4.5× enterprise value to EBITDA to 2027E EBITDA of EGP 2,714mn gives an enterprise value of EGP 12,212mn AS AT the end of that year. It has to be discounted back before it can be compared to today's price: at the model's own year-two factor of 0.6018 that is EGP 7,349mn today, and EGP 7.35 a share after the bridge. Not discounting a forward enterprise value would have produced EGP 11.00 — the difference between the two is the whole reason multiples and discounted cash flows are so often reconciled badly. The company's own trailing multiples are 4.5× enterprise value to EBITDA and 7.8× earnings.</w:t>
      </w:r>
    </w:p>
    <w:p>
      <w:pPr>
        <w:spacing w:after="120" w:before="0"/>
      </w:pPr>
      <w:r>
        <w:rPr>
          <w:b w:val="0"/>
          <w:i w:val="0"/>
          <w:color w:val="1C3A36"/>
          <w:sz w:val="21"/>
        </w:rPr>
        <w:t>Normalised earnings power. Every component is taken from the same year, 2028E, so the lens is not a blend of different points in the cycle: EBITDA of EGP 3,054mn less depreciation of EGP 612mn, plus net finance income of EGP 422mn, taxed and after minorities, gives EGP 1.65 a share. At 7.5× that is EGP 12.34. This lens is a statement of mid-cycle earnings POWER at a through-cycle multiple, not a discounted present value — which is exactly why it is the most generous of the four and why it carries only 20% of the weight.</w:t>
      </w:r>
    </w:p>
    <w:p>
      <w:pPr>
        <w:spacing w:after="120" w:before="0"/>
      </w:pPr>
      <w:r>
        <w:rPr>
          <w:b w:val="0"/>
          <w:i w:val="0"/>
          <w:color w:val="1C3A36"/>
          <w:sz w:val="21"/>
        </w:rPr>
        <w:t>Book value and sustainable return. The justified price-to-book identity gives 1.9× = (sustainable return 28% less growth 5%) divided by (perpetual cost of equity 17.1% less growth), applied to attributable book value of EGP 3.72 a share, for EGP 7.07. The perpetual rate is the correct one inside a perpetuity identity; using a blend of the explicit and terminal rates would be internally inconsistent. Trailing return on average attributable equity is 32.0%, and the sustainable rate is struck below it because the reported figure is flattered by an asset base that is nearly written off and will have to be renewed.</w:t>
      </w:r>
    </w:p>
    <w:p>
      <w:pPr>
        <w:spacing w:after="80" w:before="200"/>
      </w:pPr>
      <w:r>
        <w:rPr>
          <w:b/>
          <w:i w:val="0"/>
          <w:color w:val="1C3A36"/>
          <w:sz w:val="24"/>
        </w:rPr>
        <w:t>1.12  Contested choices, computed rather than argued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232"/>
        <w:gridCol w:w="3312"/>
        <w:gridCol w:w="1440"/>
        <w:gridCol w:w="1008"/>
      </w:tblGrid>
      <w:tr>
        <w:tc>
          <w:tcPr>
            <w:tcW w:type="dxa" w:w="2232"/>
            <w:shd w:val="clear" w:color="auto" w:fill="EAF0EE"/>
          </w:tcPr>
          <w:p>
            <w:pPr>
              <w:spacing w:after="20"/>
            </w:pPr>
            <w:r>
              <w:rPr>
                <w:b/>
                <w:color w:val="1C3A36"/>
                <w:sz w:val="16"/>
              </w:rPr>
              <w:t>Choice</w:t>
            </w:r>
          </w:p>
        </w:tc>
        <w:tc>
          <w:tcPr>
            <w:tcW w:type="dxa" w:w="2232"/>
            <w:shd w:val="clear" w:color="auto" w:fill="EAF0EE"/>
          </w:tcPr>
          <w:p>
            <w:pPr>
              <w:spacing w:after="20"/>
            </w:pPr>
            <w:r>
              <w:rPr>
                <w:b/>
                <w:color w:val="1C3A36"/>
                <w:sz w:val="16"/>
              </w:rPr>
              <w:t>This study</w:t>
            </w:r>
          </w:p>
        </w:tc>
        <w:tc>
          <w:tcPr>
            <w:tcW w:type="dxa" w:w="3312"/>
            <w:shd w:val="clear" w:color="auto" w:fill="EAF0EE"/>
          </w:tcPr>
          <w:p>
            <w:pPr>
              <w:spacing w:after="20"/>
            </w:pPr>
            <w:r>
              <w:rPr>
                <w:b/>
                <w:color w:val="1C3A36"/>
                <w:sz w:val="16"/>
              </w:rPr>
              <w:t>The alternative</w:t>
            </w:r>
          </w:p>
        </w:tc>
        <w:tc>
          <w:tcPr>
            <w:tcW w:type="dxa" w:w="1440"/>
            <w:shd w:val="clear" w:color="auto" w:fill="EAF0EE"/>
          </w:tcPr>
          <w:p>
            <w:pPr>
              <w:spacing w:after="20"/>
            </w:pPr>
            <w:r>
              <w:rPr>
                <w:b/>
                <w:color w:val="1C3A36"/>
                <w:sz w:val="16"/>
              </w:rPr>
              <w:t>Fair value on the alternative</w:t>
            </w:r>
          </w:p>
        </w:tc>
        <w:tc>
          <w:tcPr>
            <w:tcW w:type="dxa" w:w="1008"/>
            <w:shd w:val="clear" w:color="auto" w:fill="EAF0EE"/>
          </w:tcPr>
          <w:p>
            <w:pPr>
              <w:spacing w:after="20"/>
            </w:pPr>
            <w:r>
              <w:rPr>
                <w:b/>
                <w:color w:val="1C3A36"/>
                <w:sz w:val="16"/>
              </w:rPr>
              <w:t>Effect</w:t>
            </w:r>
          </w:p>
        </w:tc>
      </w:tr>
      <w:tr>
        <w:tc>
          <w:tcPr>
            <w:tcW w:type="dxa" w:w="2232"/>
          </w:tcPr>
          <w:p>
            <w:pPr>
              <w:spacing w:after="20"/>
            </w:pPr>
            <w:r>
              <w:rPr>
                <w:color w:val="1C3A36"/>
                <w:sz w:val="16"/>
              </w:rPr>
              <w:t>Country risk basis</w:t>
            </w:r>
          </w:p>
        </w:tc>
        <w:tc>
          <w:tcPr>
            <w:tcW w:type="dxa" w:w="2232"/>
          </w:tcPr>
          <w:p>
            <w:pPr>
              <w:spacing w:after="20"/>
            </w:pPr>
            <w:r>
              <w:rPr>
                <w:color w:val="1C3A36"/>
                <w:sz w:val="16"/>
              </w:rPr>
              <w:t>Credit-default-swap column</w:t>
            </w:r>
          </w:p>
        </w:tc>
        <w:tc>
          <w:tcPr>
            <w:tcW w:type="dxa" w:w="3312"/>
          </w:tcPr>
          <w:p>
            <w:pPr>
              <w:spacing w:after="20"/>
            </w:pPr>
            <w:r>
              <w:rPr>
                <w:color w:val="1C3A36"/>
                <w:sz w:val="16"/>
              </w:rPr>
              <w:t>Rating basis: cost of capital 32.2% explicit / 20.3% terminal</w:t>
            </w:r>
          </w:p>
        </w:tc>
        <w:tc>
          <w:tcPr>
            <w:tcW w:type="dxa" w:w="1440"/>
          </w:tcPr>
          <w:p>
            <w:pPr>
              <w:spacing w:after="20"/>
              <w:jc w:val="right"/>
            </w:pPr>
            <w:r>
              <w:rPr>
                <w:color w:val="1C3A36"/>
                <w:sz w:val="16"/>
              </w:rPr>
              <w:t>8.17</w:t>
            </w:r>
          </w:p>
        </w:tc>
        <w:tc>
          <w:tcPr>
            <w:tcW w:type="dxa" w:w="1008"/>
          </w:tcPr>
          <w:p>
            <w:pPr>
              <w:spacing w:after="20"/>
              <w:jc w:val="right"/>
            </w:pPr>
            <w:r>
              <w:rPr>
                <w:color w:val="1C3A36"/>
                <w:sz w:val="16"/>
              </w:rPr>
              <w:t>-17.6%</w:t>
            </w:r>
          </w:p>
        </w:tc>
      </w:tr>
      <w:tr>
        <w:tc>
          <w:tcPr>
            <w:tcW w:type="dxa" w:w="2232"/>
          </w:tcPr>
          <w:p>
            <w:pPr>
              <w:spacing w:after="20"/>
            </w:pPr>
            <w:r>
              <w:rPr>
                <w:color w:val="1C3A36"/>
                <w:sz w:val="16"/>
              </w:rPr>
              <w:t>Capital-structure weights</w:t>
            </w:r>
          </w:p>
        </w:tc>
        <w:tc>
          <w:tcPr>
            <w:tcW w:type="dxa" w:w="2232"/>
          </w:tcPr>
          <w:p>
            <w:pPr>
              <w:spacing w:after="20"/>
            </w:pPr>
            <w:r>
              <w:rPr>
                <w:color w:val="1C3A36"/>
                <w:sz w:val="16"/>
              </w:rPr>
              <w:t>Net debt (negative)</w:t>
            </w:r>
          </w:p>
        </w:tc>
        <w:tc>
          <w:tcPr>
            <w:tcW w:type="dxa" w:w="3312"/>
          </w:tcPr>
          <w:p>
            <w:pPr>
              <w:spacing w:after="20"/>
            </w:pPr>
            <w:r>
              <w:rPr>
                <w:color w:val="1C3A36"/>
                <w:sz w:val="16"/>
              </w:rPr>
              <w:t>Gross debt</w:t>
            </w:r>
          </w:p>
        </w:tc>
        <w:tc>
          <w:tcPr>
            <w:tcW w:type="dxa" w:w="1440"/>
          </w:tcPr>
          <w:p>
            <w:pPr>
              <w:spacing w:after="20"/>
              <w:jc w:val="right"/>
            </w:pPr>
            <w:r>
              <w:rPr>
                <w:color w:val="1C3A36"/>
                <w:sz w:val="16"/>
              </w:rPr>
              <w:t>10.43</w:t>
            </w:r>
          </w:p>
        </w:tc>
        <w:tc>
          <w:tcPr>
            <w:tcW w:type="dxa" w:w="1008"/>
          </w:tcPr>
          <w:p>
            <w:pPr>
              <w:spacing w:after="20"/>
              <w:jc w:val="right"/>
            </w:pPr>
            <w:r>
              <w:rPr>
                <w:color w:val="1C3A36"/>
                <w:sz w:val="16"/>
              </w:rPr>
              <w:t>+5.2%</w:t>
            </w:r>
          </w:p>
        </w:tc>
      </w:tr>
      <w:tr>
        <w:tc>
          <w:tcPr>
            <w:tcW w:type="dxa" w:w="2232"/>
          </w:tcPr>
          <w:p>
            <w:pPr>
              <w:spacing w:after="20"/>
            </w:pPr>
            <w:r>
              <w:rPr>
                <w:color w:val="1C3A36"/>
                <w:sz w:val="16"/>
              </w:rPr>
              <w:t>Minority share of group profit</w:t>
            </w:r>
          </w:p>
        </w:tc>
        <w:tc>
          <w:tcPr>
            <w:tcW w:type="dxa" w:w="2232"/>
          </w:tcPr>
          <w:p>
            <w:pPr>
              <w:spacing w:after="20"/>
            </w:pPr>
            <w:r>
              <w:rPr>
                <w:color w:val="1C3A36"/>
                <w:sz w:val="16"/>
              </w:rPr>
              <w:t>3.0%</w:t>
            </w:r>
          </w:p>
        </w:tc>
        <w:tc>
          <w:tcPr>
            <w:tcW w:type="dxa" w:w="3312"/>
          </w:tcPr>
          <w:p>
            <w:pPr>
              <w:spacing w:after="20"/>
            </w:pPr>
            <w:r>
              <w:rPr>
                <w:color w:val="1C3A36"/>
                <w:sz w:val="16"/>
              </w:rPr>
              <w:t>Doubled to 6%</w:t>
            </w:r>
          </w:p>
        </w:tc>
        <w:tc>
          <w:tcPr>
            <w:tcW w:type="dxa" w:w="1440"/>
          </w:tcPr>
          <w:p>
            <w:pPr>
              <w:spacing w:after="20"/>
              <w:jc w:val="right"/>
            </w:pPr>
            <w:r>
              <w:rPr>
                <w:color w:val="1C3A36"/>
                <w:sz w:val="16"/>
              </w:rPr>
              <w:t>9.61</w:t>
            </w:r>
          </w:p>
        </w:tc>
        <w:tc>
          <w:tcPr>
            <w:tcW w:type="dxa" w:w="1008"/>
          </w:tcPr>
          <w:p>
            <w:pPr>
              <w:spacing w:after="20"/>
              <w:jc w:val="right"/>
            </w:pPr>
            <w:r>
              <w:rPr>
                <w:color w:val="1C3A36"/>
                <w:sz w:val="16"/>
              </w:rPr>
              <w:t>-3.1%</w:t>
            </w:r>
          </w:p>
        </w:tc>
      </w:tr>
      <w:tr>
        <w:tc>
          <w:tcPr>
            <w:tcW w:type="dxa" w:w="2232"/>
          </w:tcPr>
          <w:p>
            <w:pPr>
              <w:spacing w:after="20"/>
            </w:pPr>
            <w:r>
              <w:rPr>
                <w:color w:val="1C3A36"/>
                <w:sz w:val="16"/>
              </w:rPr>
              <w:t>Currency of discounting</w:t>
            </w:r>
          </w:p>
        </w:tc>
        <w:tc>
          <w:tcPr>
            <w:tcW w:type="dxa" w:w="2232"/>
          </w:tcPr>
          <w:p>
            <w:pPr>
              <w:spacing w:after="20"/>
            </w:pPr>
            <w:r>
              <w:rPr>
                <w:color w:val="1C3A36"/>
                <w:sz w:val="16"/>
              </w:rPr>
              <w:t>Egyptian pound throughout</w:t>
            </w:r>
          </w:p>
        </w:tc>
        <w:tc>
          <w:tcPr>
            <w:tcW w:type="dxa" w:w="3312"/>
          </w:tcPr>
          <w:p>
            <w:pPr>
              <w:spacing w:after="20"/>
            </w:pPr>
            <w:r>
              <w:rPr>
                <w:color w:val="1C3A36"/>
                <w:sz w:val="16"/>
              </w:rPr>
              <w:t>Export leg deflated to dollars and discounted at 10.7%</w:t>
            </w:r>
          </w:p>
        </w:tc>
        <w:tc>
          <w:tcPr>
            <w:tcW w:type="dxa" w:w="1440"/>
          </w:tcPr>
          <w:p>
            <w:pPr>
              <w:spacing w:after="20"/>
              <w:jc w:val="right"/>
            </w:pPr>
            <w:r>
              <w:rPr>
                <w:color w:val="1C3A36"/>
                <w:sz w:val="16"/>
              </w:rPr>
              <w:t>10.71</w:t>
            </w:r>
          </w:p>
        </w:tc>
        <w:tc>
          <w:tcPr>
            <w:tcW w:type="dxa" w:w="1008"/>
          </w:tcPr>
          <w:p>
            <w:pPr>
              <w:spacing w:after="20"/>
              <w:jc w:val="right"/>
            </w:pPr>
            <w:r>
              <w:rPr>
                <w:color w:val="1C3A36"/>
                <w:sz w:val="16"/>
              </w:rPr>
              <w:t>+8.0%</w:t>
            </w:r>
          </w:p>
        </w:tc>
      </w:tr>
    </w:tbl>
    <w:p>
      <w:pPr>
        <w:spacing w:after="40"/>
      </w:pPr>
    </w:p>
    <w:p>
      <w:pPr>
        <w:spacing w:after="200" w:before="0"/>
      </w:pPr>
      <w:r>
        <w:rPr>
          <w:b w:val="0"/>
          <w:i/>
          <w:color w:val="6E7B77"/>
          <w:sz w:val="17"/>
        </w:rPr>
        <w:t>Each alternative is run through the whole model and reported as a VALUE, not described. The currency alternative deflates the export cash flows to dollars at each year’s exchange rate before discounting them at a dollar rate, and only then translates back — discounting a pound cash flow already inflated by the assumed depreciation path directly at a dollar rate would count the currency benefit twice.</w:t>
      </w:r>
    </w:p>
    <w:p>
      <w:pPr>
        <w:spacing w:after="120" w:before="280"/>
      </w:pPr>
      <w:r>
        <w:rPr>
          <w:b/>
          <w:i w:val="0"/>
          <w:color w:val="1C3A36"/>
          <w:sz w:val="30"/>
        </w:rPr>
        <w:t>2  The price record</w:t>
      </w:r>
    </w:p>
    <w:p>
      <w:pPr>
        <w:spacing w:after="40"/>
        <w:jc w:val="center"/>
      </w:pPr>
      <w:r>
        <w:drawing>
          <wp:inline xmlns:a="http://schemas.openxmlformats.org/drawingml/2006/main" xmlns:pic="http://schemas.openxmlformats.org/drawingml/2006/picture">
            <wp:extent cx="6309360" cy="2463654"/>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463654"/>
                    </a:xfrm>
                    <a:prstGeom prst="rect"/>
                  </pic:spPr>
                </pic:pic>
              </a:graphicData>
            </a:graphic>
          </wp:inline>
        </w:drawing>
      </w:r>
    </w:p>
    <w:p>
      <w:pPr>
        <w:spacing w:after="200" w:before="0"/>
      </w:pPr>
      <w:r>
        <w:rPr>
          <w:b w:val="0"/>
          <w:i/>
          <w:color w:val="6E7B77"/>
          <w:sz w:val="17"/>
        </w:rPr>
        <w:t>Figure 5 — the closing price against its 20, 50, 100 and 200-session moving averages over the last twelve months of trading.</w:t>
      </w:r>
    </w:p>
    <w:p>
      <w:pPr>
        <w:spacing w:after="120" w:before="0"/>
      </w:pPr>
      <w:r>
        <w:rPr>
          <w:b w:val="0"/>
          <w:i w:val="0"/>
          <w:color w:val="1C3A36"/>
          <w:sz w:val="21"/>
        </w:rPr>
        <w:t>The series used throughout this study runs from 2022 and covers 3,754 clean sessions over 15.6 years at 240.8 sessions a year, which matches the exchange's own trading calendar. It was screened before use: one row carrying a non-positive price was removed, and the largest single-session move in the whole history is 0.181 in log terms against an exchange daily price limit that makes anything beyond 0.290 unreachable by trading — so there is no unadjusted corporate action hiding in the series and no block of pre-listing placeholder rows.</w:t>
      </w:r>
    </w:p>
    <w:p>
      <w:pPr>
        <w:spacing w:after="120" w:before="280"/>
      </w:pPr>
      <w:r>
        <w:rPr>
          <w:b/>
          <w:i w:val="0"/>
          <w:color w:val="1C3A36"/>
          <w:sz w:val="30"/>
        </w:rPr>
        <w:t>3  Where the price could trade</w:t>
      </w:r>
    </w:p>
    <w:p>
      <w:pPr>
        <w:spacing w:after="120" w:before="0"/>
      </w:pPr>
      <w:r>
        <w:rPr>
          <w:b w:val="0"/>
          <w:i w:val="0"/>
          <w:color w:val="1C3A36"/>
          <w:sz w:val="21"/>
        </w:rPr>
        <w:t>This section is a different object from the valuation above and is never blended with it. It is a probability map of the share price over one and three months, produced by simulating 50,000 paths from the cleaned price history with a volatility model fitted on the whole Egyptian market rather than on this name alone.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forward price cone to three months. The dashed rule is the fundamental central estimate; the dotted rule is the market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448"/>
        <w:gridCol w:w="2448"/>
      </w:tblGrid>
      <w:tr>
        <w:tc>
          <w:tcPr>
            <w:tcW w:type="dxa" w:w="4608"/>
            <w:shd w:val="clear" w:color="auto" w:fill="EAF0EE"/>
          </w:tcPr>
          <w:p>
            <w:pPr>
              <w:spacing w:after="20"/>
            </w:pPr>
            <w:r>
              <w:rPr>
                <w:b/>
                <w:color w:val="1C3A36"/>
                <w:sz w:val="17"/>
              </w:rPr>
            </w:r>
          </w:p>
        </w:tc>
        <w:tc>
          <w:tcPr>
            <w:tcW w:type="dxa" w:w="2448"/>
            <w:shd w:val="clear" w:color="auto" w:fill="EAF0EE"/>
          </w:tcPr>
          <w:p>
            <w:pPr>
              <w:spacing w:after="20"/>
            </w:pPr>
            <w:r>
              <w:rPr>
                <w:b/>
                <w:color w:val="1C3A36"/>
                <w:sz w:val="17"/>
              </w:rPr>
              <w:t>One month</w:t>
            </w:r>
          </w:p>
        </w:tc>
        <w:tc>
          <w:tcPr>
            <w:tcW w:type="dxa" w:w="2448"/>
            <w:shd w:val="clear" w:color="auto" w:fill="EAF0EE"/>
          </w:tcPr>
          <w:p>
            <w:pPr>
              <w:spacing w:after="20"/>
            </w:pPr>
            <w:r>
              <w:rPr>
                <w:b/>
                <w:color w:val="1C3A36"/>
                <w:sz w:val="17"/>
              </w:rPr>
              <w:t>Three months</w:t>
            </w:r>
          </w:p>
        </w:tc>
      </w:tr>
      <w:tr>
        <w:tc>
          <w:tcPr>
            <w:tcW w:type="dxa" w:w="4608"/>
          </w:tcPr>
          <w:p>
            <w:pPr>
              <w:spacing w:after="20"/>
            </w:pPr>
            <w:r>
              <w:rPr>
                <w:color w:val="1C3A36"/>
                <w:sz w:val="17"/>
              </w:rPr>
              <w:t>Check date</w:t>
            </w:r>
          </w:p>
        </w:tc>
        <w:tc>
          <w:tcPr>
            <w:tcW w:type="dxa" w:w="2448"/>
          </w:tcPr>
          <w:p>
            <w:pPr>
              <w:spacing w:after="20"/>
              <w:jc w:val="right"/>
            </w:pPr>
            <w:r>
              <w:rPr>
                <w:color w:val="1C3A36"/>
                <w:sz w:val="17"/>
              </w:rPr>
              <w:t>2026-09-06</w:t>
            </w:r>
          </w:p>
        </w:tc>
        <w:tc>
          <w:tcPr>
            <w:tcW w:type="dxa" w:w="2448"/>
          </w:tcPr>
          <w:p>
            <w:pPr>
              <w:spacing w:after="20"/>
              <w:jc w:val="right"/>
            </w:pPr>
            <w:r>
              <w:rPr>
                <w:color w:val="1C3A36"/>
                <w:sz w:val="17"/>
              </w:rPr>
              <w:t>2026-11-08</w:t>
            </w:r>
          </w:p>
        </w:tc>
      </w:tr>
      <w:tr>
        <w:tc>
          <w:tcPr>
            <w:tcW w:type="dxa" w:w="4608"/>
          </w:tcPr>
          <w:p>
            <w:pPr>
              <w:spacing w:after="20"/>
            </w:pPr>
            <w:r>
              <w:rPr>
                <w:color w:val="1C3A36"/>
                <w:sz w:val="17"/>
              </w:rPr>
              <w:t>5th percentile</w:t>
            </w:r>
          </w:p>
        </w:tc>
        <w:tc>
          <w:tcPr>
            <w:tcW w:type="dxa" w:w="2448"/>
          </w:tcPr>
          <w:p>
            <w:pPr>
              <w:spacing w:after="20"/>
              <w:jc w:val="right"/>
            </w:pPr>
            <w:r>
              <w:rPr>
                <w:color w:val="1C3A36"/>
                <w:sz w:val="17"/>
              </w:rPr>
              <w:t>7.71</w:t>
            </w:r>
          </w:p>
        </w:tc>
        <w:tc>
          <w:tcPr>
            <w:tcW w:type="dxa" w:w="2448"/>
          </w:tcPr>
          <w:p>
            <w:pPr>
              <w:spacing w:after="20"/>
              <w:jc w:val="right"/>
            </w:pPr>
            <w:r>
              <w:rPr>
                <w:color w:val="1C3A36"/>
                <w:sz w:val="17"/>
              </w:rPr>
              <w:t>6.90</w:t>
            </w:r>
          </w:p>
        </w:tc>
      </w:tr>
      <w:tr>
        <w:tc>
          <w:tcPr>
            <w:tcW w:type="dxa" w:w="4608"/>
          </w:tcPr>
          <w:p>
            <w:pPr>
              <w:spacing w:after="20"/>
            </w:pPr>
            <w:r>
              <w:rPr>
                <w:color w:val="1C3A36"/>
                <w:sz w:val="17"/>
              </w:rPr>
              <w:t>25th percentile</w:t>
            </w:r>
          </w:p>
        </w:tc>
        <w:tc>
          <w:tcPr>
            <w:tcW w:type="dxa" w:w="2448"/>
          </w:tcPr>
          <w:p>
            <w:pPr>
              <w:spacing w:after="20"/>
              <w:jc w:val="right"/>
            </w:pPr>
            <w:r>
              <w:rPr>
                <w:color w:val="1C3A36"/>
                <w:sz w:val="17"/>
              </w:rPr>
              <w:t>8.60</w:t>
            </w:r>
          </w:p>
        </w:tc>
        <w:tc>
          <w:tcPr>
            <w:tcW w:type="dxa" w:w="2448"/>
          </w:tcPr>
          <w:p>
            <w:pPr>
              <w:spacing w:after="20"/>
              <w:jc w:val="right"/>
            </w:pPr>
            <w:r>
              <w:rPr>
                <w:color w:val="1C3A36"/>
                <w:sz w:val="17"/>
              </w:rPr>
              <w:t>8.34</w:t>
            </w:r>
          </w:p>
        </w:tc>
      </w:tr>
      <w:tr>
        <w:tc>
          <w:tcPr>
            <w:tcW w:type="dxa" w:w="4608"/>
          </w:tcPr>
          <w:p>
            <w:pPr>
              <w:spacing w:after="20"/>
            </w:pPr>
            <w:r>
              <w:rPr>
                <w:color w:val="1C3A36"/>
                <w:sz w:val="17"/>
              </w:rPr>
              <w:t>Median</w:t>
            </w:r>
          </w:p>
        </w:tc>
        <w:tc>
          <w:tcPr>
            <w:tcW w:type="dxa" w:w="2448"/>
          </w:tcPr>
          <w:p>
            <w:pPr>
              <w:spacing w:after="20"/>
              <w:jc w:val="right"/>
            </w:pPr>
            <w:r>
              <w:rPr>
                <w:color w:val="1C3A36"/>
                <w:sz w:val="17"/>
              </w:rPr>
              <w:t>9.17</w:t>
            </w:r>
          </w:p>
        </w:tc>
        <w:tc>
          <w:tcPr>
            <w:tcW w:type="dxa" w:w="2448"/>
          </w:tcPr>
          <w:p>
            <w:pPr>
              <w:spacing w:after="20"/>
              <w:jc w:val="right"/>
            </w:pPr>
            <w:r>
              <w:rPr>
                <w:color w:val="1C3A36"/>
                <w:sz w:val="17"/>
              </w:rPr>
              <w:t>9.33</w:t>
            </w:r>
          </w:p>
        </w:tc>
      </w:tr>
      <w:tr>
        <w:tc>
          <w:tcPr>
            <w:tcW w:type="dxa" w:w="4608"/>
          </w:tcPr>
          <w:p>
            <w:pPr>
              <w:spacing w:after="20"/>
            </w:pPr>
            <w:r>
              <w:rPr>
                <w:color w:val="1C3A36"/>
                <w:sz w:val="17"/>
              </w:rPr>
              <w:t>75th percentile</w:t>
            </w:r>
          </w:p>
        </w:tc>
        <w:tc>
          <w:tcPr>
            <w:tcW w:type="dxa" w:w="2448"/>
          </w:tcPr>
          <w:p>
            <w:pPr>
              <w:spacing w:after="20"/>
              <w:jc w:val="right"/>
            </w:pPr>
            <w:r>
              <w:rPr>
                <w:color w:val="1C3A36"/>
                <w:sz w:val="17"/>
              </w:rPr>
              <w:t>9.79</w:t>
            </w:r>
          </w:p>
        </w:tc>
        <w:tc>
          <w:tcPr>
            <w:tcW w:type="dxa" w:w="2448"/>
          </w:tcPr>
          <w:p>
            <w:pPr>
              <w:spacing w:after="20"/>
              <w:jc w:val="right"/>
            </w:pPr>
            <w:r>
              <w:rPr>
                <w:color w:val="1C3A36"/>
                <w:sz w:val="17"/>
              </w:rPr>
              <w:t>10.42</w:t>
            </w:r>
          </w:p>
        </w:tc>
      </w:tr>
      <w:tr>
        <w:tc>
          <w:tcPr>
            <w:tcW w:type="dxa" w:w="4608"/>
          </w:tcPr>
          <w:p>
            <w:pPr>
              <w:spacing w:after="20"/>
            </w:pPr>
            <w:r>
              <w:rPr>
                <w:color w:val="1C3A36"/>
                <w:sz w:val="17"/>
              </w:rPr>
              <w:t>95th percentile</w:t>
            </w:r>
          </w:p>
        </w:tc>
        <w:tc>
          <w:tcPr>
            <w:tcW w:type="dxa" w:w="2448"/>
          </w:tcPr>
          <w:p>
            <w:pPr>
              <w:spacing w:after="20"/>
              <w:jc w:val="right"/>
            </w:pPr>
            <w:r>
              <w:rPr>
                <w:color w:val="1C3A36"/>
                <w:sz w:val="17"/>
              </w:rPr>
              <w:t>10.91</w:t>
            </w:r>
          </w:p>
        </w:tc>
        <w:tc>
          <w:tcPr>
            <w:tcW w:type="dxa" w:w="2448"/>
          </w:tcPr>
          <w:p>
            <w:pPr>
              <w:spacing w:after="20"/>
              <w:jc w:val="right"/>
            </w:pPr>
            <w:r>
              <w:rPr>
                <w:color w:val="1C3A36"/>
                <w:sz w:val="17"/>
              </w:rPr>
              <w:t>12.60</w:t>
            </w:r>
          </w:p>
        </w:tc>
      </w:tr>
      <w:tr>
        <w:tc>
          <w:tcPr>
            <w:tcW w:type="dxa" w:w="4608"/>
          </w:tcPr>
          <w:p>
            <w:pPr>
              <w:spacing w:after="20"/>
            </w:pPr>
            <w:r>
              <w:rPr>
                <w:color w:val="1C3A36"/>
                <w:sz w:val="17"/>
              </w:rPr>
              <w:t>Probability above today’s price</w:t>
            </w:r>
          </w:p>
        </w:tc>
        <w:tc>
          <w:tcPr>
            <w:tcW w:type="dxa" w:w="2448"/>
          </w:tcPr>
          <w:p>
            <w:pPr>
              <w:spacing w:after="20"/>
              <w:jc w:val="right"/>
            </w:pPr>
            <w:r>
              <w:rPr>
                <w:color w:val="1C3A36"/>
                <w:sz w:val="17"/>
              </w:rPr>
              <w:t>53.3%</w:t>
            </w:r>
          </w:p>
        </w:tc>
        <w:tc>
          <w:tcPr>
            <w:tcW w:type="dxa" w:w="2448"/>
          </w:tcPr>
          <w:p>
            <w:pPr>
              <w:spacing w:after="20"/>
              <w:jc w:val="right"/>
            </w:pPr>
            <w:r>
              <w:rPr>
                <w:color w:val="1C3A36"/>
                <w:sz w:val="17"/>
              </w:rPr>
              <w:t>56.0%</w:t>
            </w:r>
          </w:p>
        </w:tc>
      </w:tr>
      <w:tr>
        <w:tc>
          <w:tcPr>
            <w:tcW w:type="dxa" w:w="4608"/>
          </w:tcPr>
          <w:p>
            <w:pPr>
              <w:spacing w:after="20"/>
            </w:pPr>
            <w:r>
              <w:rPr>
                <w:color w:val="1C3A36"/>
                <w:sz w:val="17"/>
              </w:rPr>
              <w:t>Probability 10% or more up</w:t>
            </w:r>
          </w:p>
        </w:tc>
        <w:tc>
          <w:tcPr>
            <w:tcW w:type="dxa" w:w="2448"/>
          </w:tcPr>
          <w:p>
            <w:pPr>
              <w:spacing w:after="20"/>
              <w:jc w:val="right"/>
            </w:pPr>
            <w:r>
              <w:rPr>
                <w:color w:val="1C3A36"/>
                <w:sz w:val="17"/>
              </w:rPr>
              <w:t>18.3%</w:t>
            </w:r>
          </w:p>
        </w:tc>
        <w:tc>
          <w:tcPr>
            <w:tcW w:type="dxa" w:w="2448"/>
          </w:tcPr>
          <w:p>
            <w:pPr>
              <w:spacing w:after="20"/>
              <w:jc w:val="right"/>
            </w:pPr>
            <w:r>
              <w:rPr>
                <w:color w:val="1C3A36"/>
                <w:sz w:val="17"/>
              </w:rPr>
              <w:t>33.2%</w:t>
            </w:r>
          </w:p>
        </w:tc>
      </w:tr>
      <w:tr>
        <w:tc>
          <w:tcPr>
            <w:tcW w:type="dxa" w:w="4608"/>
          </w:tcPr>
          <w:p>
            <w:pPr>
              <w:spacing w:after="20"/>
            </w:pPr>
            <w:r>
              <w:rPr>
                <w:color w:val="1C3A36"/>
                <w:sz w:val="17"/>
              </w:rPr>
              <w:t>Probability 10% or more down</w:t>
            </w:r>
          </w:p>
        </w:tc>
        <w:tc>
          <w:tcPr>
            <w:tcW w:type="dxa" w:w="2448"/>
          </w:tcPr>
          <w:p>
            <w:pPr>
              <w:spacing w:after="20"/>
              <w:jc w:val="right"/>
            </w:pPr>
            <w:r>
              <w:rPr>
                <w:color w:val="1C3A36"/>
                <w:sz w:val="17"/>
              </w:rPr>
              <w:t>12.7%</w:t>
            </w:r>
          </w:p>
        </w:tc>
        <w:tc>
          <w:tcPr>
            <w:tcW w:type="dxa" w:w="2448"/>
          </w:tcPr>
          <w:p>
            <w:pPr>
              <w:spacing w:after="20"/>
              <w:jc w:val="right"/>
            </w:pPr>
            <w:r>
              <w:rPr>
                <w:color w:val="1C3A36"/>
                <w:sz w:val="17"/>
              </w:rPr>
              <w:t>21.6%</w:t>
            </w:r>
          </w:p>
        </w:tc>
      </w:tr>
      <w:tr>
        <w:tc>
          <w:tcPr>
            <w:tcW w:type="dxa" w:w="4608"/>
          </w:tcPr>
          <w:p>
            <w:pPr>
              <w:spacing w:after="20"/>
            </w:pPr>
            <w:r>
              <w:rPr>
                <w:color w:val="1C3A36"/>
                <w:sz w:val="17"/>
              </w:rPr>
              <w:t>Probability of touching +10% at any point</w:t>
            </w:r>
          </w:p>
        </w:tc>
        <w:tc>
          <w:tcPr>
            <w:tcW w:type="dxa" w:w="2448"/>
          </w:tcPr>
          <w:p>
            <w:pPr>
              <w:spacing w:after="20"/>
              <w:jc w:val="right"/>
            </w:pPr>
            <w:r>
              <w:rPr>
                <w:color w:val="1C3A36"/>
                <w:sz w:val="17"/>
              </w:rPr>
              <w:t>30.0%</w:t>
            </w:r>
          </w:p>
        </w:tc>
        <w:tc>
          <w:tcPr>
            <w:tcW w:type="dxa" w:w="2448"/>
          </w:tcPr>
          <w:p>
            <w:pPr>
              <w:spacing w:after="20"/>
              <w:jc w:val="right"/>
            </w:pPr>
            <w:r>
              <w:rPr>
                <w:color w:val="1C3A36"/>
                <w:sz w:val="17"/>
              </w:rPr>
              <w:t>56.4%</w:t>
            </w:r>
          </w:p>
        </w:tc>
      </w:tr>
      <w:tr>
        <w:tc>
          <w:tcPr>
            <w:tcW w:type="dxa" w:w="4608"/>
          </w:tcPr>
          <w:p>
            <w:pPr>
              <w:spacing w:after="20"/>
            </w:pPr>
            <w:r>
              <w:rPr>
                <w:color w:val="1C3A36"/>
                <w:sz w:val="17"/>
              </w:rPr>
              <w:t>Probability of touching −10% at any point</w:t>
            </w:r>
          </w:p>
        </w:tc>
        <w:tc>
          <w:tcPr>
            <w:tcW w:type="dxa" w:w="2448"/>
          </w:tcPr>
          <w:p>
            <w:pPr>
              <w:spacing w:after="20"/>
              <w:jc w:val="right"/>
            </w:pPr>
            <w:r>
              <w:rPr>
                <w:color w:val="1C3A36"/>
                <w:sz w:val="17"/>
              </w:rPr>
              <w:t>21.7%</w:t>
            </w:r>
          </w:p>
        </w:tc>
        <w:tc>
          <w:tcPr>
            <w:tcW w:type="dxa" w:w="2448"/>
          </w:tcPr>
          <w:p>
            <w:pPr>
              <w:spacing w:after="20"/>
              <w:jc w:val="right"/>
            </w:pPr>
            <w:r>
              <w:rPr>
                <w:color w:val="1C3A36"/>
                <w:sz w:val="17"/>
              </w:rPr>
              <w:t>42.9%</w:t>
            </w:r>
          </w:p>
        </w:tc>
      </w:tr>
      <w:tr>
        <w:tc>
          <w:tcPr>
            <w:tcW w:type="dxa" w:w="4608"/>
          </w:tcPr>
          <w:p>
            <w:pPr>
              <w:spacing w:after="20"/>
            </w:pPr>
            <w:r>
              <w:rPr>
                <w:color w:val="1C3A36"/>
                <w:sz w:val="17"/>
              </w:rPr>
              <w:t>Annualised volatility at the anchor</w:t>
            </w:r>
          </w:p>
        </w:tc>
        <w:tc>
          <w:tcPr>
            <w:tcW w:type="dxa" w:w="2448"/>
          </w:tcPr>
          <w:p>
            <w:pPr>
              <w:spacing w:after="20"/>
              <w:jc w:val="right"/>
            </w:pPr>
            <w:r>
              <w:rPr>
                <w:color w:val="1C3A36"/>
                <w:sz w:val="17"/>
              </w:rPr>
              <w:t>41.8%</w:t>
            </w:r>
          </w:p>
        </w:tc>
        <w:tc>
          <w:tcPr>
            <w:tcW w:type="dxa" w:w="2448"/>
          </w:tcPr>
          <w:p>
            <w:pPr>
              <w:spacing w:after="20"/>
              <w:jc w:val="right"/>
            </w:pPr>
            <w:r>
              <w:rPr>
                <w:color w:val="1C3A36"/>
                <w:sz w:val="17"/>
              </w:rPr>
              <w:t>40.9%</w:t>
            </w:r>
          </w:p>
        </w:tc>
      </w:tr>
    </w:tbl>
    <w:p>
      <w:pPr>
        <w:spacing w:after="40"/>
      </w:pPr>
    </w:p>
    <w:p>
      <w:pPr>
        <w:spacing w:after="40"/>
        <w:jc w:val="center"/>
      </w:pPr>
      <w:r>
        <w:drawing>
          <wp:inline xmlns:a="http://schemas.openxmlformats.org/drawingml/2006/main" xmlns:pic="http://schemas.openxmlformats.org/drawingml/2006/picture">
            <wp:extent cx="4937760" cy="2468880"/>
            <wp:docPr id="7" name="Picture 7"/>
            <wp:cNvGraphicFramePr>
              <a:graphicFrameLocks noChangeAspect="1"/>
            </wp:cNvGraphicFramePr>
            <a:graphic>
              <a:graphicData uri="http://schemas.openxmlformats.org/drawingml/2006/picture">
                <pic:pic>
                  <pic:nvPicPr>
                    <pic:cNvPr id="0" name="fig5_dist.png"/>
                    <pic:cNvPicPr/>
                  </pic:nvPicPr>
                  <pic:blipFill>
                    <a:blip r:embed="rId15"/>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7 — the simulated price distribution at one month.</w:t>
      </w:r>
    </w:p>
    <w:p>
      <w:pPr>
        <w:spacing w:after="40"/>
        <w:jc w:val="center"/>
      </w:pPr>
      <w:r>
        <w:drawing>
          <wp:inline xmlns:a="http://schemas.openxmlformats.org/drawingml/2006/main" xmlns:pic="http://schemas.openxmlformats.org/drawingml/2006/picture">
            <wp:extent cx="4937760" cy="2468880"/>
            <wp:docPr id="8" name="Picture 8"/>
            <wp:cNvGraphicFramePr>
              <a:graphicFrameLocks noChangeAspect="1"/>
            </wp:cNvGraphicFramePr>
            <a:graphic>
              <a:graphicData uri="http://schemas.openxmlformats.org/drawingml/2006/picture">
                <pic:pic>
                  <pic:nvPicPr>
                    <pic:cNvPr id="0" name="fig6_dist.png"/>
                    <pic:cNvPicPr/>
                  </pic:nvPicPr>
                  <pic:blipFill>
                    <a:blip r:embed="rId16"/>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8 — the same at three months.</w:t>
      </w:r>
    </w:p>
    <w:p>
      <w:pPr>
        <w:spacing w:after="120" w:before="0"/>
      </w:pPr>
      <w:r>
        <w:rPr>
          <w:b w:val="0"/>
          <w:i w:val="0"/>
          <w:color w:val="1C3A36"/>
          <w:sz w:val="21"/>
        </w:rPr>
        <w:t>Is the cone credible? It is tested against the honest null — a random walk anchored on the carry, so the test cannot be won simply by pointing at the direction interest rates push a price. Over the last five years of origins the cone beats that benchmark by +0.92% on the continuous ranked probability score, and the probability-integral transform is close to uniform (chi-square p = 0.861, Kolmogorov-Smirnov p = 0.624), meaning the cone is neither systematically too wide nor too narrow nor off-centre. Over the full cleaned history the margin is +1.32% with a confidence interval entirely above zero. Coverage of the stated 90% band runs at 95%, and the cone is 1.0 times the benchmark's width — it earns its accuracy from being better centred, not from being wider.</w:t>
      </w:r>
    </w:p>
    <w:p>
      <w:pPr>
        <w:spacing w:after="120" w:before="280"/>
      </w:pPr>
      <w:r>
        <w:rPr>
          <w:b/>
          <w:i w:val="0"/>
          <w:color w:val="1C3A36"/>
          <w:sz w:val="30"/>
        </w:rPr>
        <w:t>4  The two answers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4824"/>
        <w:gridCol w:w="1728"/>
      </w:tblGrid>
      <w:tr>
        <w:tc>
          <w:tcPr>
            <w:tcW w:type="dxa" w:w="3384"/>
            <w:shd w:val="clear" w:color="auto" w:fill="EAF0EE"/>
          </w:tcPr>
          <w:p>
            <w:pPr>
              <w:spacing w:after="20"/>
            </w:pPr>
            <w:r>
              <w:rPr>
                <w:b/>
                <w:color w:val="1C3A36"/>
                <w:sz w:val="17"/>
              </w:rPr>
            </w:r>
          </w:p>
        </w:tc>
        <w:tc>
          <w:tcPr>
            <w:tcW w:type="dxa" w:w="4824"/>
            <w:shd w:val="clear" w:color="auto" w:fill="EAF0EE"/>
          </w:tcPr>
          <w:p>
            <w:pPr>
              <w:spacing w:after="20"/>
            </w:pPr>
            <w:r>
              <w:rPr>
                <w:b/>
                <w:color w:val="1C3A36"/>
                <w:sz w:val="17"/>
              </w:rPr>
              <w:t>What it says</w:t>
            </w:r>
          </w:p>
        </w:tc>
        <w:tc>
          <w:tcPr>
            <w:tcW w:type="dxa" w:w="1728"/>
            <w:shd w:val="clear" w:color="auto" w:fill="EAF0EE"/>
          </w:tcPr>
          <w:p>
            <w:pPr>
              <w:spacing w:after="20"/>
            </w:pPr>
            <w:r>
              <w:rPr>
                <w:b/>
                <w:color w:val="1C3A36"/>
                <w:sz w:val="17"/>
              </w:rPr>
              <w:t>Value</w:t>
            </w:r>
          </w:p>
        </w:tc>
      </w:tr>
      <w:tr>
        <w:tc>
          <w:tcPr>
            <w:tcW w:type="dxa" w:w="3384"/>
          </w:tcPr>
          <w:p>
            <w:pPr>
              <w:spacing w:after="20"/>
            </w:pPr>
            <w:r>
              <w:rPr>
                <w:color w:val="1C3A36"/>
                <w:sz w:val="17"/>
              </w:rPr>
              <w:t>Fundamental central</w:t>
            </w:r>
          </w:p>
        </w:tc>
        <w:tc>
          <w:tcPr>
            <w:tcW w:type="dxa" w:w="4824"/>
          </w:tcPr>
          <w:p>
            <w:pPr>
              <w:spacing w:after="20"/>
            </w:pPr>
            <w:r>
              <w:rPr>
                <w:color w:val="1C3A36"/>
                <w:sz w:val="17"/>
              </w:rPr>
              <w:t>What the business appears to be worth on the assumptions here</w:t>
            </w:r>
          </w:p>
        </w:tc>
        <w:tc>
          <w:tcPr>
            <w:tcW w:type="dxa" w:w="1728"/>
          </w:tcPr>
          <w:p>
            <w:pPr>
              <w:spacing w:after="20"/>
              <w:jc w:val="right"/>
            </w:pPr>
            <w:r>
              <w:rPr>
                <w:color w:val="1C3A36"/>
                <w:sz w:val="17"/>
              </w:rPr>
              <w:t>9.46</w:t>
            </w:r>
          </w:p>
        </w:tc>
      </w:tr>
      <w:tr>
        <w:tc>
          <w:tcPr>
            <w:tcW w:type="dxa" w:w="3384"/>
          </w:tcPr>
          <w:p>
            <w:pPr>
              <w:spacing w:after="20"/>
            </w:pPr>
            <w:r>
              <w:rPr>
                <w:color w:val="1C3A36"/>
                <w:sz w:val="17"/>
              </w:rPr>
              <w:t>Market price</w:t>
            </w:r>
          </w:p>
        </w:tc>
        <w:tc>
          <w:tcPr>
            <w:tcW w:type="dxa" w:w="4824"/>
          </w:tcPr>
          <w:p>
            <w:pPr>
              <w:spacing w:after="20"/>
            </w:pPr>
            <w:r>
              <w:rPr>
                <w:color w:val="1C3A36"/>
                <w:sz w:val="17"/>
              </w:rPr>
              <w:t>What it costs today</w:t>
            </w:r>
          </w:p>
        </w:tc>
        <w:tc>
          <w:tcPr>
            <w:tcW w:type="dxa" w:w="1728"/>
          </w:tcPr>
          <w:p>
            <w:pPr>
              <w:spacing w:after="20"/>
              <w:jc w:val="right"/>
            </w:pPr>
            <w:r>
              <w:rPr>
                <w:color w:val="1C3A36"/>
                <w:sz w:val="17"/>
              </w:rPr>
              <w:t>9.10</w:t>
            </w:r>
          </w:p>
        </w:tc>
      </w:tr>
      <w:tr>
        <w:tc>
          <w:tcPr>
            <w:tcW w:type="dxa" w:w="3384"/>
          </w:tcPr>
          <w:p>
            <w:pPr>
              <w:spacing w:after="20"/>
            </w:pPr>
            <w:r>
              <w:rPr>
                <w:color w:val="1C3A36"/>
                <w:sz w:val="17"/>
              </w:rPr>
              <w:t>Gap</w:t>
            </w:r>
          </w:p>
        </w:tc>
        <w:tc>
          <w:tcPr>
            <w:tcW w:type="dxa" w:w="4824"/>
          </w:tcPr>
          <w:p>
            <w:pPr>
              <w:spacing w:after="20"/>
            </w:pPr>
            <w:r>
              <w:rPr>
                <w:color w:val="1C3A36"/>
                <w:sz w:val="17"/>
              </w:rPr>
              <w:t>Fundamental against market</w:t>
            </w:r>
          </w:p>
        </w:tc>
        <w:tc>
          <w:tcPr>
            <w:tcW w:type="dxa" w:w="1728"/>
          </w:tcPr>
          <w:p>
            <w:pPr>
              <w:spacing w:after="20"/>
              <w:jc w:val="right"/>
            </w:pPr>
            <w:r>
              <w:rPr>
                <w:color w:val="1C3A36"/>
                <w:sz w:val="17"/>
              </w:rPr>
              <w:t>+4.0%</w:t>
            </w:r>
          </w:p>
        </w:tc>
      </w:tr>
      <w:tr>
        <w:tc>
          <w:tcPr>
            <w:tcW w:type="dxa" w:w="3384"/>
          </w:tcPr>
          <w:p>
            <w:pPr>
              <w:spacing w:after="20"/>
            </w:pPr>
            <w:r>
              <w:rPr>
                <w:color w:val="1C3A36"/>
                <w:sz w:val="17"/>
              </w:rPr>
              <w:t>Three-month median of the price map</w:t>
            </w:r>
          </w:p>
        </w:tc>
        <w:tc>
          <w:tcPr>
            <w:tcW w:type="dxa" w:w="4824"/>
          </w:tcPr>
          <w:p>
            <w:pPr>
              <w:spacing w:after="20"/>
            </w:pPr>
            <w:r>
              <w:rPr>
                <w:color w:val="1C3A36"/>
                <w:sz w:val="17"/>
              </w:rPr>
              <w:t>The centre of the simulated distribution, which is anchored on today’s price and knows nothing about the valuation</w:t>
            </w:r>
          </w:p>
        </w:tc>
        <w:tc>
          <w:tcPr>
            <w:tcW w:type="dxa" w:w="1728"/>
          </w:tcPr>
          <w:p>
            <w:pPr>
              <w:spacing w:after="20"/>
              <w:jc w:val="right"/>
            </w:pPr>
            <w:r>
              <w:rPr>
                <w:color w:val="1C3A36"/>
                <w:sz w:val="17"/>
              </w:rPr>
              <w:t>9.33</w:t>
            </w:r>
          </w:p>
        </w:tc>
      </w:tr>
      <w:tr>
        <w:tc>
          <w:tcPr>
            <w:tcW w:type="dxa" w:w="3384"/>
          </w:tcPr>
          <w:p>
            <w:pPr>
              <w:spacing w:after="20"/>
            </w:pPr>
            <w:r>
              <w:rPr>
                <w:color w:val="1C3A36"/>
                <w:sz w:val="17"/>
              </w:rPr>
              <w:t>Probability the price is above the fundamental central in three months</w:t>
            </w:r>
          </w:p>
        </w:tc>
        <w:tc>
          <w:tcPr>
            <w:tcW w:type="dxa" w:w="4824"/>
          </w:tcPr>
          <w:p>
            <w:pPr>
              <w:spacing w:after="20"/>
            </w:pPr>
            <w:r>
              <w:rPr>
                <w:color w:val="1C3A36"/>
                <w:sz w:val="17"/>
              </w:rPr>
              <w:t>Read directly off the simulated distribution</w:t>
            </w:r>
          </w:p>
        </w:tc>
        <w:tc>
          <w:tcPr>
            <w:tcW w:type="dxa" w:w="1728"/>
          </w:tcPr>
          <w:p>
            <w:pPr>
              <w:spacing w:after="20"/>
              <w:jc w:val="right"/>
            </w:pPr>
            <w:r>
              <w:rPr>
                <w:color w:val="1C3A36"/>
                <w:sz w:val="17"/>
              </w:rPr>
              <w:t>46.2%</w:t>
            </w:r>
          </w:p>
        </w:tc>
      </w:tr>
    </w:tbl>
    <w:p>
      <w:pPr>
        <w:spacing w:after="40"/>
      </w:pPr>
    </w:p>
    <w:p>
      <w:pPr>
        <w:spacing w:after="200" w:before="0"/>
      </w:pPr>
      <w:r>
        <w:rPr>
          <w:b w:val="0"/>
          <w:i/>
          <w:color w:val="6E7B77"/>
          <w:sz w:val="17"/>
        </w:rPr>
        <w:t>The valuation and the price map are produced by entirely separate machinery and are presented side by side rather than reconciled. Where they disagree, that disagreement is information.</w:t>
      </w:r>
    </w:p>
    <w:p>
      <w:pPr>
        <w:spacing w:after="120" w:before="280"/>
      </w:pPr>
      <w:r>
        <w:rPr>
          <w:b/>
          <w:i w:val="0"/>
          <w:color w:val="1C3A36"/>
          <w:sz w:val="30"/>
        </w:rPr>
        <w:t>5  What would move the answer</w:t>
      </w:r>
    </w:p>
    <w:p>
      <w:pPr>
        <w:pStyle w:val="ListBullet"/>
        <w:spacing w:after="60"/>
      </w:pPr>
      <w:r>
        <w:rPr>
          <w:b/>
          <w:color w:val="1C3A36"/>
          <w:sz w:val="21"/>
        </w:rPr>
        <w:t xml:space="preserve">Whether the 2026 margin holds. </w:t>
      </w:r>
      <w:r>
        <w:rPr>
          <w:color w:val="1C3A36"/>
          <w:sz w:val="21"/>
        </w:rPr>
        <w:t>The margin path is the operating crux. The six months to June 2026 imply a margin far above anything in the record, and this study deliberately forecasts under it. If that print proves to be a durable step rather than a spread windfall, the cash-flow lens is too low. A half-point on the gross margin across the whole path is worth roughly EGP 1.02 a share.</w:t>
      </w:r>
    </w:p>
    <w:p>
      <w:pPr>
        <w:pStyle w:val="ListBullet"/>
        <w:spacing w:after="60"/>
      </w:pPr>
      <w:r>
        <w:rPr>
          <w:b/>
          <w:color w:val="1C3A36"/>
          <w:sz w:val="21"/>
        </w:rPr>
        <w:t xml:space="preserve">Whether the volume ramp continues. </w:t>
      </w:r>
      <w:r>
        <w:rPr>
          <w:color w:val="1C3A36"/>
          <w:sz w:val="21"/>
        </w:rPr>
        <w:t>Throughput annualises to 1.616mn tonnes on the transition half against 1.3mn in the June-2025 year. The forecast assumes the ramp is largely done and only the residual utilisation gain remains. Doubling the assumed growth path is worth about EGP 1.48 a share; halting it altogether costs about EGP 1.28.</w:t>
      </w:r>
    </w:p>
    <w:p>
      <w:pPr>
        <w:pStyle w:val="ListBullet"/>
        <w:spacing w:after="60"/>
      </w:pPr>
      <w:r>
        <w:rPr>
          <w:b/>
          <w:color w:val="1C3A36"/>
          <w:sz w:val="21"/>
        </w:rPr>
        <w:t xml:space="preserve">The pace of Egyptian disinflation. </w:t>
      </w:r>
      <w:r>
        <w:rPr>
          <w:color w:val="1C3A36"/>
          <w:sz w:val="21"/>
        </w:rPr>
        <w:t>This is the largest single lever in the study. Two points off the terminal cost of capital is worth about EGP 1.42 a share — more than any operating assumption tested. The terminal rate is built from the central bank's own stated medium-term inflation target; if disinflation stalls, that assumption is the one that breaks first.</w:t>
      </w:r>
    </w:p>
    <w:p>
      <w:pPr>
        <w:pStyle w:val="ListBullet"/>
        <w:spacing w:after="60"/>
      </w:pPr>
      <w:r>
        <w:rPr>
          <w:b/>
          <w:color w:val="1C3A36"/>
          <w:sz w:val="21"/>
        </w:rPr>
        <w:t xml:space="preserve">The relationship with the state petroleum complex. </w:t>
      </w:r>
      <w:r>
        <w:rPr>
          <w:color w:val="1C3A36"/>
          <w:sz w:val="21"/>
        </w:rPr>
        <w:t>The state petroleum corporation is both the second-largest shareholder at 20% and the counterparty on both sides of the trade. The feedstock price, the offtake price and the payables that fund the working-capital cycle are all administered relationships rather than arm's-length markets. A change in any of them would move the margin without any change in the external environment.</w:t>
      </w:r>
    </w:p>
    <w:p>
      <w:pPr>
        <w:pStyle w:val="ListBullet"/>
        <w:spacing w:after="60"/>
      </w:pPr>
      <w:r>
        <w:rPr>
          <w:b/>
          <w:color w:val="1C3A36"/>
          <w:sz w:val="21"/>
        </w:rPr>
        <w:t xml:space="preserve">The currency. </w:t>
      </w:r>
      <w:r>
        <w:rPr>
          <w:color w:val="1C3A36"/>
          <w:sz w:val="21"/>
        </w:rPr>
        <w:t>Roughly a third of the specialty leg is exported and both legs price off dollar benchmarks. A ten per cent move on the exchange-rate path is worth about EGP 0.79 a share.</w:t>
      </w:r>
    </w:p>
    <w:p>
      <w:pPr>
        <w:pStyle w:val="ListBullet"/>
        <w:spacing w:after="60"/>
      </w:pPr>
      <w:r>
        <w:rPr>
          <w:b/>
          <w:color w:val="1C3A36"/>
          <w:sz w:val="21"/>
        </w:rPr>
        <w:t xml:space="preserve">What happens to the cash. </w:t>
      </w:r>
      <w:r>
        <w:rPr>
          <w:color w:val="1C3A36"/>
          <w:sz w:val="21"/>
        </w:rPr>
        <w:t>The declared dividend is EGP 0.80 a share, a yield of 8.8% at today's price against a reported payout ratio of 69.4%. With the company already net cash and generating more, the payout policy is a live question — and one the market may care about more than the discounted cash flow.</w:t>
      </w:r>
    </w:p>
    <w:p>
      <w:pPr>
        <w:spacing w:after="120" w:before="280"/>
      </w:pPr>
      <w:r>
        <w:rPr>
          <w:b/>
          <w:i w:val="0"/>
          <w:color w:val="1C3A36"/>
          <w:sz w:val="30"/>
        </w:rPr>
        <w:t>6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160"/>
      </w:tblGrid>
      <w:tr>
        <w:tc>
          <w:tcPr>
            <w:tcW w:type="dxa" w:w="6048"/>
            <w:shd w:val="clear" w:color="auto" w:fill="EAF0EE"/>
          </w:tcPr>
          <w:p>
            <w:pPr>
              <w:spacing w:after="20"/>
            </w:pPr>
            <w:r>
              <w:rPr>
                <w:b/>
                <w:color w:val="1C3A36"/>
                <w:sz w:val="17"/>
              </w:rPr>
              <w:t>Zone at three months</w:t>
            </w:r>
          </w:p>
        </w:tc>
        <w:tc>
          <w:tcPr>
            <w:tcW w:type="dxa" w:w="2160"/>
            <w:shd w:val="clear" w:color="auto" w:fill="EAF0EE"/>
          </w:tcPr>
          <w:p>
            <w:pPr>
              <w:spacing w:after="20"/>
            </w:pPr>
            <w:r>
              <w:rPr>
                <w:b/>
                <w:color w:val="1C3A36"/>
                <w:sz w:val="17"/>
              </w:rPr>
              <w:t>Probability</w:t>
            </w:r>
          </w:p>
        </w:tc>
      </w:tr>
      <w:tr>
        <w:tc>
          <w:tcPr>
            <w:tcW w:type="dxa" w:w="6048"/>
          </w:tcPr>
          <w:p>
            <w:pPr>
              <w:spacing w:after="20"/>
            </w:pPr>
            <w:r>
              <w:rPr>
                <w:color w:val="1C3A36"/>
                <w:sz w:val="17"/>
              </w:rPr>
              <w:t>Below EGP 7.50</w:t>
            </w:r>
          </w:p>
        </w:tc>
        <w:tc>
          <w:tcPr>
            <w:tcW w:type="dxa" w:w="2160"/>
          </w:tcPr>
          <w:p>
            <w:pPr>
              <w:spacing w:after="20"/>
              <w:jc w:val="right"/>
            </w:pPr>
            <w:r>
              <w:rPr>
                <w:color w:val="1C3A36"/>
                <w:sz w:val="17"/>
              </w:rPr>
              <w:t>10.3%</w:t>
            </w:r>
          </w:p>
        </w:tc>
      </w:tr>
      <w:tr>
        <w:tc>
          <w:tcPr>
            <w:tcW w:type="dxa" w:w="6048"/>
          </w:tcPr>
          <w:p>
            <w:pPr>
              <w:spacing w:after="20"/>
            </w:pPr>
            <w:r>
              <w:rPr>
                <w:color w:val="1C3A36"/>
                <w:sz w:val="17"/>
              </w:rPr>
              <w:t>EGP 7.50 – 9.10 (below today)</w:t>
            </w:r>
          </w:p>
        </w:tc>
        <w:tc>
          <w:tcPr>
            <w:tcW w:type="dxa" w:w="2160"/>
          </w:tcPr>
          <w:p>
            <w:pPr>
              <w:spacing w:after="20"/>
              <w:jc w:val="right"/>
            </w:pPr>
            <w:r>
              <w:rPr>
                <w:color w:val="1C3A36"/>
                <w:sz w:val="17"/>
              </w:rPr>
              <w:t>33.7%</w:t>
            </w:r>
          </w:p>
        </w:tc>
      </w:tr>
      <w:tr>
        <w:tc>
          <w:tcPr>
            <w:tcW w:type="dxa" w:w="6048"/>
          </w:tcPr>
          <w:p>
            <w:pPr>
              <w:spacing w:after="20"/>
            </w:pPr>
            <w:r>
              <w:rPr>
                <w:color w:val="1C3A36"/>
                <w:sz w:val="17"/>
              </w:rPr>
              <w:t>EGP 9.10 – 9.69 (today to the central estimate)</w:t>
            </w:r>
          </w:p>
        </w:tc>
        <w:tc>
          <w:tcPr>
            <w:tcW w:type="dxa" w:w="2160"/>
          </w:tcPr>
          <w:p>
            <w:pPr>
              <w:spacing w:after="20"/>
              <w:jc w:val="right"/>
            </w:pPr>
            <w:r>
              <w:rPr>
                <w:color w:val="1C3A36"/>
                <w:sz w:val="17"/>
              </w:rPr>
              <w:t>9.8%</w:t>
            </w:r>
          </w:p>
        </w:tc>
      </w:tr>
      <w:tr>
        <w:tc>
          <w:tcPr>
            <w:tcW w:type="dxa" w:w="6048"/>
          </w:tcPr>
          <w:p>
            <w:pPr>
              <w:spacing w:after="20"/>
            </w:pPr>
            <w:r>
              <w:rPr>
                <w:color w:val="1C3A36"/>
                <w:sz w:val="17"/>
              </w:rPr>
              <w:t>EGP 9.69 – 11.00 (above the central estimate)</w:t>
            </w:r>
          </w:p>
        </w:tc>
        <w:tc>
          <w:tcPr>
            <w:tcW w:type="dxa" w:w="2160"/>
          </w:tcPr>
          <w:p>
            <w:pPr>
              <w:spacing w:after="20"/>
              <w:jc w:val="right"/>
            </w:pPr>
            <w:r>
              <w:rPr>
                <w:color w:val="1C3A36"/>
                <w:sz w:val="17"/>
              </w:rPr>
              <w:t>30.3%</w:t>
            </w:r>
          </w:p>
        </w:tc>
      </w:tr>
      <w:tr>
        <w:tc>
          <w:tcPr>
            <w:tcW w:type="dxa" w:w="6048"/>
          </w:tcPr>
          <w:p>
            <w:pPr>
              <w:spacing w:after="20"/>
            </w:pPr>
            <w:r>
              <w:rPr>
                <w:color w:val="1C3A36"/>
                <w:sz w:val="17"/>
              </w:rPr>
              <w:t>Above EGP 11.00</w:t>
            </w:r>
          </w:p>
        </w:tc>
        <w:tc>
          <w:tcPr>
            <w:tcW w:type="dxa" w:w="2160"/>
          </w:tcPr>
          <w:p>
            <w:pPr>
              <w:spacing w:after="20"/>
              <w:jc w:val="right"/>
            </w:pPr>
            <w:r>
              <w:rPr>
                <w:color w:val="1C3A36"/>
                <w:sz w:val="17"/>
              </w:rPr>
              <w:t>15.9%</w:t>
            </w:r>
          </w:p>
        </w:tc>
      </w:tr>
    </w:tbl>
    <w:p>
      <w:pPr>
        <w:spacing w:after="40"/>
      </w:pPr>
    </w:p>
    <w:p>
      <w:pPr>
        <w:spacing w:after="200" w:before="0"/>
      </w:pPr>
      <w:r>
        <w:rPr>
          <w:b w:val="0"/>
          <w:i/>
          <w:color w:val="6E7B77"/>
          <w:sz w:val="17"/>
        </w:rPr>
        <w:t>Read off the simulated distribution directly. The zones are cut at the market price and at the fundamental central estimate so the reader can see how much of the distribution sits on each side of each.</w:t>
      </w:r>
    </w:p>
    <w:p>
      <w:pPr>
        <w:spacing w:after="120" w:before="280"/>
      </w:pPr>
      <w:r>
        <w:rPr>
          <w:b/>
          <w:i w:val="0"/>
          <w:color w:val="1C3A36"/>
          <w:sz w:val="30"/>
        </w:rPr>
        <w:t>7  Caveats — what is weak in this study</w:t>
      </w:r>
    </w:p>
    <w:p>
      <w:pPr>
        <w:spacing w:after="120" w:before="0"/>
      </w:pPr>
      <w:r>
        <w:rPr>
          <w:b w:val="0"/>
          <w:i w:val="0"/>
          <w:color w:val="1C3A36"/>
          <w:sz w:val="21"/>
        </w:rPr>
        <w:t>Stated at the level of detail a reader would need to disagree with it.</w:t>
      </w:r>
    </w:p>
    <w:p>
      <w:pPr>
        <w:pStyle w:val="ListBullet"/>
        <w:spacing w:after="60"/>
      </w:pPr>
      <w:r>
        <w:rPr>
          <w:b/>
          <w:color w:val="1C3A36"/>
          <w:sz w:val="21"/>
        </w:rPr>
        <w:t xml:space="preserve">The base year is constructed, not filed. </w:t>
      </w:r>
      <w:r>
        <w:rPr>
          <w:color w:val="1C3A36"/>
          <w:sz w:val="21"/>
        </w:rPr>
        <w:t>The company changed its financial year end mid-period, and the disclosure available for the stub periods is thinner than for a clean twelve-month year. The base year here is built from two separately disclosed halves; each half is a filed figure, but the combination is ours and not the company’s.</w:t>
      </w:r>
    </w:p>
    <w:p>
      <w:pPr>
        <w:pStyle w:val="ListBullet"/>
        <w:spacing w:after="60"/>
      </w:pPr>
      <w:r>
        <w:rPr>
          <w:b/>
          <w:color w:val="1C3A36"/>
          <w:sz w:val="21"/>
        </w:rPr>
        <w:t xml:space="preserve">The historical balance sheets are reconstructed. </w:t>
      </w:r>
      <w:r>
        <w:rPr>
          <w:color w:val="1C3A36"/>
          <w:sz w:val="21"/>
        </w:rPr>
        <w:t>Only four balance-sheet lines are available at a single date — total assets, total liabilities, cash and gross debt. Everything else on the balance sheets in Appendix A is built from days drivers and rolled backwards through disclosed profit and dividends. It is checked two ways — the implied remaining asset life of 5.5 years, and share capital plus disclosed reserves against total equity — but it is a reconstruction and is labelled as one wherever it appears.</w:t>
      </w:r>
    </w:p>
    <w:p>
      <w:pPr>
        <w:pStyle w:val="ListBullet"/>
        <w:spacing w:after="60"/>
      </w:pPr>
      <w:r>
        <w:rPr>
          <w:b/>
          <w:color w:val="1C3A36"/>
          <w:sz w:val="21"/>
        </w:rPr>
        <w:t xml:space="preserve">Two revenue figures are triangulated, not disclosed. </w:t>
      </w:r>
      <w:r>
        <w:rPr>
          <w:color w:val="1C3A36"/>
          <w:sz w:val="21"/>
        </w:rPr>
        <w:t>Revenue for two of the historical years is available only through growth-rate disclosures, so each is carried as the AVERAGE of independently sourced methods: 33,770 and 33,303 for the June-2024 year; 36,900, 37,620 and 38,000 for June-2025. The methods and the average are on the face of the companion model rather than asserted here.</w:t>
      </w:r>
    </w:p>
    <w:p>
      <w:pPr>
        <w:pStyle w:val="ListBullet"/>
        <w:spacing w:after="60"/>
      </w:pPr>
      <w:r>
        <w:rPr>
          <w:b/>
          <w:color w:val="1C3A36"/>
          <w:sz w:val="21"/>
        </w:rPr>
        <w:t xml:space="preserve">The most recent print is single-sourced. </w:t>
      </w:r>
      <w:r>
        <w:rPr>
          <w:color w:val="1C3A36"/>
          <w:sz w:val="21"/>
        </w:rPr>
        <w:t>The half-year release covering the six months to June 2026 rests on one source. Its reported growth rates reconcile independently against the constructed comparative, which is why it is used as corroboration; but it is not the forecast base and the margin path is struck under what it implies.</w:t>
      </w:r>
    </w:p>
    <w:p>
      <w:pPr>
        <w:pStyle w:val="ListBullet"/>
        <w:spacing w:after="60"/>
      </w:pPr>
      <w:r>
        <w:rPr>
          <w:b/>
          <w:color w:val="1C3A36"/>
          <w:sz w:val="21"/>
        </w:rPr>
        <w:t xml:space="preserve">The terminal value carries most of the weight. </w:t>
      </w:r>
      <w:r>
        <w:rPr>
          <w:color w:val="1C3A36"/>
          <w:sz w:val="21"/>
        </w:rPr>
        <w:t>63% of enterprise value sits beyond year five. That is what happens when a cost of capital is expected to fall by 1,511 basis points across a forecast, and it means the answer is a statement about the terminal state as much as about the explicit years. Both terminal anchors are house views, disclosed as such, and neither is reverse-engineered from a price.</w:t>
      </w:r>
    </w:p>
    <w:p>
      <w:pPr>
        <w:pStyle w:val="ListBullet"/>
        <w:spacing w:after="60"/>
      </w:pPr>
      <w:r>
        <w:rPr>
          <w:b/>
          <w:color w:val="1C3A36"/>
          <w:sz w:val="21"/>
        </w:rPr>
        <w:t xml:space="preserve">The return on capital may not be repeatable. </w:t>
      </w:r>
      <w:r>
        <w:rPr>
          <w:color w:val="1C3A36"/>
          <w:sz w:val="21"/>
        </w:rPr>
        <w:t>The reported return on invested capital of 38.6% is partly a statement about depreciation on a plant commissioned between 1997 and 2000. The terminal reinvestment rate of 9.2% that this return implies would not survive a replacement cycle at current construction costs. This is the sharpest single criticism available of the cash-flow lens and it is not answered here — it is disclosed.</w:t>
      </w:r>
    </w:p>
    <w:p>
      <w:pPr>
        <w:pStyle w:val="ListBullet"/>
        <w:spacing w:after="60"/>
      </w:pPr>
      <w:r>
        <w:rPr>
          <w:b/>
          <w:color w:val="1C3A36"/>
          <w:sz w:val="21"/>
        </w:rPr>
        <w:t xml:space="preserve">The counterparty is also the shareholder. </w:t>
      </w:r>
      <w:r>
        <w:rPr>
          <w:color w:val="1C3A36"/>
          <w:sz w:val="21"/>
        </w:rPr>
        <w:t>The company neither buys its feedstock nor sells much of its output in an arm's-length market, and the counterparty owns 20% of it. A margin forecast for a business like that is a forecast about an administered relationship.</w:t>
      </w:r>
    </w:p>
    <w:p>
      <w:pPr>
        <w:pStyle w:val="ListBullet"/>
        <w:spacing w:after="60"/>
      </w:pPr>
      <w:r>
        <w:rPr>
          <w:b/>
          <w:color w:val="1C3A36"/>
          <w:sz w:val="21"/>
        </w:rPr>
        <w:t xml:space="preserve">Other income is read as non-recurring, and might not be. </w:t>
      </w:r>
      <w:r>
        <w:rPr>
          <w:color w:val="1C3A36"/>
          <w:sz w:val="21"/>
        </w:rPr>
        <w:t>Reported pre-tax profit in the historical years contains EGP 253mn to 760mn a year of other and non-operating income, which this study reads as devaluation-driven exchange gains and excludes from the forecast entirely. If some of it is in fact recurring — a durable trading or investment stream rather than a currency effect — then the forecast profit line and the normalised-earnings lens are both understated.</w:t>
      </w:r>
    </w:p>
    <w:p>
      <w:pPr>
        <w:pStyle w:val="ListBullet"/>
        <w:spacing w:after="60"/>
      </w:pPr>
      <w:r>
        <w:rPr>
          <w:b/>
          <w:color w:val="1C3A36"/>
          <w:sz w:val="21"/>
        </w:rPr>
        <w:t xml:space="preserve">The minority interest is inferred. </w:t>
      </w:r>
      <w:r>
        <w:rPr>
          <w:color w:val="1C3A36"/>
          <w:sz w:val="21"/>
        </w:rPr>
        <w:t>The minority share of group profit is estimated at 3.0% from the gap between consolidated and standalone profit rather than disclosed directly. Doubling it moves the answer by -3.1%.</w:t>
      </w:r>
    </w:p>
    <w:p>
      <w:pPr>
        <w:spacing w:after="120" w:before="280"/>
      </w:pPr>
      <w:r>
        <w:rPr>
          <w:b/>
          <w:i w:val="0"/>
          <w:color w:val="1C3A36"/>
          <w:sz w:val="30"/>
        </w:rPr>
        <w:t>Appendix A  Financial statements</w:t>
      </w:r>
    </w:p>
    <w:p>
      <w:pPr>
        <w:spacing w:after="80" w:before="200"/>
      </w:pPr>
      <w:r>
        <w:rPr>
          <w:b/>
          <w:i w:val="0"/>
          <w:color w:val="1C3A36"/>
          <w:sz w:val="24"/>
        </w:rPr>
        <w:t>A.1  Income statement — four historical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907"/>
        <w:gridCol w:w="907"/>
        <w:gridCol w:w="907"/>
        <w:gridCol w:w="907"/>
        <w:gridCol w:w="893"/>
        <w:gridCol w:w="893"/>
        <w:gridCol w:w="893"/>
        <w:gridCol w:w="893"/>
        <w:gridCol w:w="893"/>
      </w:tblGrid>
      <w:tr>
        <w:tc>
          <w:tcPr>
            <w:tcW w:type="dxa" w:w="2333"/>
            <w:shd w:val="clear" w:color="auto" w:fill="EAF0EE"/>
          </w:tcPr>
          <w:p>
            <w:pPr>
              <w:spacing w:after="20"/>
            </w:pPr>
            <w:r>
              <w:rPr>
                <w:b/>
                <w:color w:val="1C3A36"/>
                <w:sz w:val="15"/>
              </w:rPr>
              <w:t>EGP mn</w:t>
            </w:r>
          </w:p>
        </w:tc>
        <w:tc>
          <w:tcPr>
            <w:tcW w:type="dxa" w:w="907"/>
            <w:shd w:val="clear" w:color="auto" w:fill="EAF0EE"/>
          </w:tcPr>
          <w:p>
            <w:pPr>
              <w:spacing w:after="20"/>
            </w:pPr>
            <w:r>
              <w:rPr>
                <w:b/>
                <w:color w:val="1C3A36"/>
                <w:sz w:val="15"/>
              </w:rPr>
              <w:t>Jun-23</w:t>
            </w:r>
          </w:p>
        </w:tc>
        <w:tc>
          <w:tcPr>
            <w:tcW w:type="dxa" w:w="907"/>
            <w:shd w:val="clear" w:color="auto" w:fill="EAF0EE"/>
          </w:tcPr>
          <w:p>
            <w:pPr>
              <w:spacing w:after="20"/>
            </w:pPr>
            <w:r>
              <w:rPr>
                <w:b/>
                <w:color w:val="1C3A36"/>
                <w:sz w:val="15"/>
              </w:rPr>
              <w:t>Jun-24</w:t>
            </w:r>
          </w:p>
        </w:tc>
        <w:tc>
          <w:tcPr>
            <w:tcW w:type="dxa" w:w="907"/>
            <w:shd w:val="clear" w:color="auto" w:fill="EAF0EE"/>
          </w:tcPr>
          <w:p>
            <w:pPr>
              <w:spacing w:after="20"/>
            </w:pPr>
            <w:r>
              <w:rPr>
                <w:b/>
                <w:color w:val="1C3A36"/>
                <w:sz w:val="15"/>
              </w:rPr>
              <w:t>Jun-25</w:t>
            </w:r>
          </w:p>
        </w:tc>
        <w:tc>
          <w:tcPr>
            <w:tcW w:type="dxa" w:w="907"/>
            <w:shd w:val="clear" w:color="auto" w:fill="EAF0EE"/>
          </w:tcPr>
          <w:p>
            <w:pPr>
              <w:spacing w:after="20"/>
            </w:pPr>
            <w:r>
              <w:rPr>
                <w:b/>
                <w:color w:val="1C3A36"/>
                <w:sz w:val="15"/>
              </w:rPr>
              <w:t>CY2025</w:t>
            </w:r>
          </w:p>
        </w:tc>
        <w:tc>
          <w:tcPr>
            <w:tcW w:type="dxa" w:w="893"/>
            <w:shd w:val="clear" w:color="auto" w:fill="EAF0EE"/>
          </w:tcPr>
          <w:p>
            <w:pPr>
              <w:spacing w:after="20"/>
            </w:pPr>
            <w:r>
              <w:rPr>
                <w:b/>
                <w:color w:val="1C3A36"/>
                <w:sz w:val="15"/>
              </w:rPr>
              <w:t>2026E</w:t>
            </w:r>
          </w:p>
        </w:tc>
        <w:tc>
          <w:tcPr>
            <w:tcW w:type="dxa" w:w="893"/>
            <w:shd w:val="clear" w:color="auto" w:fill="EAF0EE"/>
          </w:tcPr>
          <w:p>
            <w:pPr>
              <w:spacing w:after="20"/>
            </w:pPr>
            <w:r>
              <w:rPr>
                <w:b/>
                <w:color w:val="1C3A36"/>
                <w:sz w:val="15"/>
              </w:rPr>
              <w:t>2027E</w:t>
            </w:r>
          </w:p>
        </w:tc>
        <w:tc>
          <w:tcPr>
            <w:tcW w:type="dxa" w:w="893"/>
            <w:shd w:val="clear" w:color="auto" w:fill="EAF0EE"/>
          </w:tcPr>
          <w:p>
            <w:pPr>
              <w:spacing w:after="20"/>
            </w:pPr>
            <w:r>
              <w:rPr>
                <w:b/>
                <w:color w:val="1C3A36"/>
                <w:sz w:val="15"/>
              </w:rPr>
              <w:t>2028E</w:t>
            </w:r>
          </w:p>
        </w:tc>
        <w:tc>
          <w:tcPr>
            <w:tcW w:type="dxa" w:w="893"/>
            <w:shd w:val="clear" w:color="auto" w:fill="EAF0EE"/>
          </w:tcPr>
          <w:p>
            <w:pPr>
              <w:spacing w:after="20"/>
            </w:pPr>
            <w:r>
              <w:rPr>
                <w:b/>
                <w:color w:val="1C3A36"/>
                <w:sz w:val="15"/>
              </w:rPr>
              <w:t>2029E</w:t>
            </w:r>
          </w:p>
        </w:tc>
        <w:tc>
          <w:tcPr>
            <w:tcW w:type="dxa" w:w="893"/>
            <w:shd w:val="clear" w:color="auto" w:fill="EAF0EE"/>
          </w:tcPr>
          <w:p>
            <w:pPr>
              <w:spacing w:after="20"/>
            </w:pPr>
            <w:r>
              <w:rPr>
                <w:b/>
                <w:color w:val="1C3A36"/>
                <w:sz w:val="15"/>
              </w:rPr>
              <w:t>2030E</w:t>
            </w:r>
          </w:p>
        </w:tc>
      </w:tr>
      <w:tr>
        <w:tc>
          <w:tcPr>
            <w:tcW w:type="dxa" w:w="2333"/>
          </w:tcPr>
          <w:p>
            <w:pPr>
              <w:spacing w:after="20"/>
            </w:pPr>
            <w:r>
              <w:rPr>
                <w:color w:val="1C3A36"/>
                <w:sz w:val="15"/>
              </w:rPr>
              <w:t>Revenue</w:t>
            </w:r>
          </w:p>
        </w:tc>
        <w:tc>
          <w:tcPr>
            <w:tcW w:type="dxa" w:w="907"/>
          </w:tcPr>
          <w:p>
            <w:pPr>
              <w:spacing w:after="20"/>
              <w:jc w:val="right"/>
            </w:pPr>
            <w:r>
              <w:rPr>
                <w:color w:val="1C3A36"/>
                <w:sz w:val="15"/>
              </w:rPr>
              <w:t>22,516</w:t>
            </w:r>
          </w:p>
        </w:tc>
        <w:tc>
          <w:tcPr>
            <w:tcW w:type="dxa" w:w="907"/>
          </w:tcPr>
          <w:p>
            <w:pPr>
              <w:spacing w:after="20"/>
              <w:jc w:val="right"/>
            </w:pPr>
            <w:r>
              <w:rPr>
                <w:color w:val="1C3A36"/>
                <w:sz w:val="15"/>
              </w:rPr>
              <w:t>33,536</w:t>
            </w:r>
          </w:p>
        </w:tc>
        <w:tc>
          <w:tcPr>
            <w:tcW w:type="dxa" w:w="907"/>
          </w:tcPr>
          <w:p>
            <w:pPr>
              <w:spacing w:after="20"/>
              <w:jc w:val="right"/>
            </w:pPr>
            <w:r>
              <w:rPr>
                <w:color w:val="1C3A36"/>
                <w:sz w:val="15"/>
              </w:rPr>
              <w:t>37,507</w:t>
            </w:r>
          </w:p>
        </w:tc>
        <w:tc>
          <w:tcPr>
            <w:tcW w:type="dxa" w:w="907"/>
          </w:tcPr>
          <w:p>
            <w:pPr>
              <w:spacing w:after="20"/>
              <w:jc w:val="right"/>
            </w:pPr>
            <w:r>
              <w:rPr>
                <w:color w:val="1C3A36"/>
                <w:sz w:val="15"/>
              </w:rPr>
              <w:t>39,996</w:t>
            </w:r>
          </w:p>
        </w:tc>
        <w:tc>
          <w:tcPr>
            <w:tcW w:type="dxa" w:w="893"/>
          </w:tcPr>
          <w:p>
            <w:pPr>
              <w:spacing w:after="20"/>
              <w:jc w:val="right"/>
            </w:pPr>
            <w:r>
              <w:rPr>
                <w:color w:val="1C3A36"/>
                <w:sz w:val="15"/>
              </w:rPr>
              <w:t>44,926</w:t>
            </w:r>
          </w:p>
        </w:tc>
        <w:tc>
          <w:tcPr>
            <w:tcW w:type="dxa" w:w="893"/>
          </w:tcPr>
          <w:p>
            <w:pPr>
              <w:spacing w:after="20"/>
              <w:jc w:val="right"/>
            </w:pPr>
            <w:r>
              <w:rPr>
                <w:color w:val="1C3A36"/>
                <w:sz w:val="15"/>
              </w:rPr>
              <w:t>50,257</w:t>
            </w:r>
          </w:p>
        </w:tc>
        <w:tc>
          <w:tcPr>
            <w:tcW w:type="dxa" w:w="893"/>
          </w:tcPr>
          <w:p>
            <w:pPr>
              <w:spacing w:after="20"/>
              <w:jc w:val="right"/>
            </w:pPr>
            <w:r>
              <w:rPr>
                <w:color w:val="1C3A36"/>
                <w:sz w:val="15"/>
              </w:rPr>
              <w:t>55,637</w:t>
            </w:r>
          </w:p>
        </w:tc>
        <w:tc>
          <w:tcPr>
            <w:tcW w:type="dxa" w:w="893"/>
          </w:tcPr>
          <w:p>
            <w:pPr>
              <w:spacing w:after="20"/>
              <w:jc w:val="right"/>
            </w:pPr>
            <w:r>
              <w:rPr>
                <w:color w:val="1C3A36"/>
                <w:sz w:val="15"/>
              </w:rPr>
              <w:t>60,921</w:t>
            </w:r>
          </w:p>
        </w:tc>
        <w:tc>
          <w:tcPr>
            <w:tcW w:type="dxa" w:w="893"/>
          </w:tcPr>
          <w:p>
            <w:pPr>
              <w:spacing w:after="20"/>
              <w:jc w:val="right"/>
            </w:pPr>
            <w:r>
              <w:rPr>
                <w:color w:val="1C3A36"/>
                <w:sz w:val="15"/>
              </w:rPr>
              <w:t>66,181</w:t>
            </w:r>
          </w:p>
        </w:tc>
      </w:tr>
      <w:tr>
        <w:tc>
          <w:tcPr>
            <w:tcW w:type="dxa" w:w="2333"/>
          </w:tcPr>
          <w:p>
            <w:pPr>
              <w:spacing w:after="20"/>
            </w:pPr>
            <w:r>
              <w:rPr>
                <w:color w:val="1C3A36"/>
                <w:sz w:val="15"/>
              </w:rPr>
              <w:t>Gross profit</w:t>
            </w:r>
          </w:p>
        </w:tc>
        <w:tc>
          <w:tcPr>
            <w:tcW w:type="dxa" w:w="907"/>
          </w:tcPr>
          <w:p>
            <w:pPr>
              <w:spacing w:after="20"/>
              <w:jc w:val="right"/>
            </w:pPr>
            <w:r>
              <w:rPr>
                <w:color w:val="1C3A36"/>
                <w:sz w:val="15"/>
              </w:rPr>
              <w:t>1,297</w:t>
            </w:r>
          </w:p>
        </w:tc>
        <w:tc>
          <w:tcPr>
            <w:tcW w:type="dxa" w:w="907"/>
          </w:tcPr>
          <w:p>
            <w:pPr>
              <w:spacing w:after="20"/>
              <w:jc w:val="right"/>
            </w:pPr>
            <w:r>
              <w:rPr>
                <w:color w:val="1C3A36"/>
                <w:sz w:val="15"/>
              </w:rPr>
              <w:t>2,012</w:t>
            </w:r>
          </w:p>
        </w:tc>
        <w:tc>
          <w:tcPr>
            <w:tcW w:type="dxa" w:w="907"/>
          </w:tcPr>
          <w:p>
            <w:pPr>
              <w:spacing w:after="20"/>
              <w:jc w:val="right"/>
            </w:pPr>
            <w:r>
              <w:rPr>
                <w:color w:val="1C3A36"/>
                <w:sz w:val="15"/>
              </w:rPr>
              <w:t>2,325</w:t>
            </w:r>
          </w:p>
        </w:tc>
        <w:tc>
          <w:tcPr>
            <w:tcW w:type="dxa" w:w="907"/>
          </w:tcPr>
          <w:p>
            <w:pPr>
              <w:spacing w:after="20"/>
              <w:jc w:val="right"/>
            </w:pPr>
            <w:r>
              <w:rPr>
                <w:color w:val="1C3A36"/>
                <w:sz w:val="15"/>
              </w:rPr>
              <w:t>2,560</w:t>
            </w:r>
          </w:p>
        </w:tc>
        <w:tc>
          <w:tcPr>
            <w:tcW w:type="dxa" w:w="893"/>
          </w:tcPr>
          <w:p>
            <w:pPr>
              <w:spacing w:after="20"/>
              <w:jc w:val="right"/>
            </w:pPr>
            <w:r>
              <w:rPr>
                <w:color w:val="1C3A36"/>
                <w:sz w:val="15"/>
              </w:rPr>
              <w:t>2,920</w:t>
            </w:r>
          </w:p>
        </w:tc>
        <w:tc>
          <w:tcPr>
            <w:tcW w:type="dxa" w:w="893"/>
          </w:tcPr>
          <w:p>
            <w:pPr>
              <w:spacing w:after="20"/>
              <w:jc w:val="right"/>
            </w:pPr>
            <w:r>
              <w:rPr>
                <w:color w:val="1C3A36"/>
                <w:sz w:val="15"/>
              </w:rPr>
              <w:t>3,342</w:t>
            </w:r>
          </w:p>
        </w:tc>
        <w:tc>
          <w:tcPr>
            <w:tcW w:type="dxa" w:w="893"/>
          </w:tcPr>
          <w:p>
            <w:pPr>
              <w:spacing w:after="20"/>
              <w:jc w:val="right"/>
            </w:pPr>
            <w:r>
              <w:rPr>
                <w:color w:val="1C3A36"/>
                <w:sz w:val="15"/>
              </w:rPr>
              <w:t>3,755</w:t>
            </w:r>
          </w:p>
        </w:tc>
        <w:tc>
          <w:tcPr>
            <w:tcW w:type="dxa" w:w="893"/>
          </w:tcPr>
          <w:p>
            <w:pPr>
              <w:spacing w:after="20"/>
              <w:jc w:val="right"/>
            </w:pPr>
            <w:r>
              <w:rPr>
                <w:color w:val="1C3A36"/>
                <w:sz w:val="15"/>
              </w:rPr>
              <w:t>4,155</w:t>
            </w:r>
          </w:p>
        </w:tc>
        <w:tc>
          <w:tcPr>
            <w:tcW w:type="dxa" w:w="893"/>
          </w:tcPr>
          <w:p>
            <w:pPr>
              <w:spacing w:after="20"/>
              <w:jc w:val="right"/>
            </w:pPr>
            <w:r>
              <w:rPr>
                <w:color w:val="1C3A36"/>
                <w:sz w:val="15"/>
              </w:rPr>
              <w:t>4,553</w:t>
            </w:r>
          </w:p>
        </w:tc>
      </w:tr>
      <w:tr>
        <w:tc>
          <w:tcPr>
            <w:tcW w:type="dxa" w:w="2333"/>
          </w:tcPr>
          <w:p>
            <w:pPr>
              <w:spacing w:after="20"/>
            </w:pPr>
            <w:r>
              <w:rPr>
                <w:color w:val="1C3A36"/>
                <w:sz w:val="15"/>
              </w:rPr>
              <w:t>Gross margin</w:t>
            </w:r>
          </w:p>
        </w:tc>
        <w:tc>
          <w:tcPr>
            <w:tcW w:type="dxa" w:w="907"/>
          </w:tcPr>
          <w:p>
            <w:pPr>
              <w:spacing w:after="20"/>
              <w:jc w:val="right"/>
            </w:pPr>
            <w:r>
              <w:rPr>
                <w:color w:val="1C3A36"/>
                <w:sz w:val="15"/>
              </w:rPr>
              <w:t>5.76%</w:t>
            </w:r>
          </w:p>
        </w:tc>
        <w:tc>
          <w:tcPr>
            <w:tcW w:type="dxa" w:w="907"/>
          </w:tcPr>
          <w:p>
            <w:pPr>
              <w:spacing w:after="20"/>
              <w:jc w:val="right"/>
            </w:pPr>
            <w:r>
              <w:rPr>
                <w:color w:val="1C3A36"/>
                <w:sz w:val="15"/>
              </w:rPr>
              <w:t>6.00%</w:t>
            </w:r>
          </w:p>
        </w:tc>
        <w:tc>
          <w:tcPr>
            <w:tcW w:type="dxa" w:w="907"/>
          </w:tcPr>
          <w:p>
            <w:pPr>
              <w:spacing w:after="20"/>
              <w:jc w:val="right"/>
            </w:pPr>
            <w:r>
              <w:rPr>
                <w:color w:val="1C3A36"/>
                <w:sz w:val="15"/>
              </w:rPr>
              <w:t>6.20%</w:t>
            </w:r>
          </w:p>
        </w:tc>
        <w:tc>
          <w:tcPr>
            <w:tcW w:type="dxa" w:w="907"/>
          </w:tcPr>
          <w:p>
            <w:pPr>
              <w:spacing w:after="20"/>
              <w:jc w:val="right"/>
            </w:pPr>
            <w:r>
              <w:rPr>
                <w:color w:val="1C3A36"/>
                <w:sz w:val="15"/>
              </w:rPr>
              <w:t>6.40%</w:t>
            </w:r>
          </w:p>
        </w:tc>
        <w:tc>
          <w:tcPr>
            <w:tcW w:type="dxa" w:w="893"/>
          </w:tcPr>
          <w:p>
            <w:pPr>
              <w:spacing w:after="20"/>
              <w:jc w:val="right"/>
            </w:pPr>
            <w:r>
              <w:rPr>
                <w:color w:val="1C3A36"/>
                <w:sz w:val="15"/>
              </w:rPr>
              <w:t>6.50%</w:t>
            </w:r>
          </w:p>
        </w:tc>
        <w:tc>
          <w:tcPr>
            <w:tcW w:type="dxa" w:w="893"/>
          </w:tcPr>
          <w:p>
            <w:pPr>
              <w:spacing w:after="20"/>
              <w:jc w:val="right"/>
            </w:pPr>
            <w:r>
              <w:rPr>
                <w:color w:val="1C3A36"/>
                <w:sz w:val="15"/>
              </w:rPr>
              <w:t>6.65%</w:t>
            </w:r>
          </w:p>
        </w:tc>
        <w:tc>
          <w:tcPr>
            <w:tcW w:type="dxa" w:w="893"/>
          </w:tcPr>
          <w:p>
            <w:pPr>
              <w:spacing w:after="20"/>
              <w:jc w:val="right"/>
            </w:pPr>
            <w:r>
              <w:rPr>
                <w:color w:val="1C3A36"/>
                <w:sz w:val="15"/>
              </w:rPr>
              <w:t>6.75%</w:t>
            </w:r>
          </w:p>
        </w:tc>
        <w:tc>
          <w:tcPr>
            <w:tcW w:type="dxa" w:w="893"/>
          </w:tcPr>
          <w:p>
            <w:pPr>
              <w:spacing w:after="20"/>
              <w:jc w:val="right"/>
            </w:pPr>
            <w:r>
              <w:rPr>
                <w:color w:val="1C3A36"/>
                <w:sz w:val="15"/>
              </w:rPr>
              <w:t>6.82%</w:t>
            </w:r>
          </w:p>
        </w:tc>
        <w:tc>
          <w:tcPr>
            <w:tcW w:type="dxa" w:w="893"/>
          </w:tcPr>
          <w:p>
            <w:pPr>
              <w:spacing w:after="20"/>
              <w:jc w:val="right"/>
            </w:pPr>
            <w:r>
              <w:rPr>
                <w:color w:val="1C3A36"/>
                <w:sz w:val="15"/>
              </w:rPr>
              <w:t>6.88%</w:t>
            </w:r>
          </w:p>
        </w:tc>
      </w:tr>
      <w:tr>
        <w:tc>
          <w:tcPr>
            <w:tcW w:type="dxa" w:w="2333"/>
          </w:tcPr>
          <w:p>
            <w:pPr>
              <w:spacing w:after="20"/>
            </w:pPr>
            <w:r>
              <w:rPr>
                <w:color w:val="1C3A36"/>
                <w:sz w:val="15"/>
              </w:rPr>
              <w:t>Operating cost load</w:t>
            </w:r>
          </w:p>
        </w:tc>
        <w:tc>
          <w:tcPr>
            <w:tcW w:type="dxa" w:w="907"/>
          </w:tcPr>
          <w:p>
            <w:pPr>
              <w:spacing w:after="20"/>
              <w:jc w:val="right"/>
            </w:pPr>
            <w:r>
              <w:rPr>
                <w:color w:val="1C3A36"/>
                <w:sz w:val="15"/>
              </w:rPr>
              <w:t>(281)</w:t>
            </w:r>
          </w:p>
        </w:tc>
        <w:tc>
          <w:tcPr>
            <w:tcW w:type="dxa" w:w="907"/>
          </w:tcPr>
          <w:p>
            <w:pPr>
              <w:spacing w:after="20"/>
              <w:jc w:val="right"/>
            </w:pPr>
            <w:r>
              <w:rPr>
                <w:color w:val="1C3A36"/>
                <w:sz w:val="15"/>
              </w:rPr>
              <w:t>(419)</w:t>
            </w:r>
          </w:p>
        </w:tc>
        <w:tc>
          <w:tcPr>
            <w:tcW w:type="dxa" w:w="907"/>
          </w:tcPr>
          <w:p>
            <w:pPr>
              <w:spacing w:after="20"/>
              <w:jc w:val="right"/>
            </w:pPr>
            <w:r>
              <w:rPr>
                <w:color w:val="1C3A36"/>
                <w:sz w:val="15"/>
              </w:rPr>
              <w:t>(469)</w:t>
            </w:r>
          </w:p>
        </w:tc>
        <w:tc>
          <w:tcPr>
            <w:tcW w:type="dxa" w:w="907"/>
          </w:tcPr>
          <w:p>
            <w:pPr>
              <w:spacing w:after="20"/>
              <w:jc w:val="right"/>
            </w:pPr>
            <w:r>
              <w:rPr>
                <w:color w:val="1C3A36"/>
                <w:sz w:val="15"/>
              </w:rPr>
              <w:t>(500)</w:t>
            </w:r>
          </w:p>
        </w:tc>
        <w:tc>
          <w:tcPr>
            <w:tcW w:type="dxa" w:w="893"/>
          </w:tcPr>
          <w:p>
            <w:pPr>
              <w:spacing w:after="20"/>
              <w:jc w:val="right"/>
            </w:pPr>
            <w:r>
              <w:rPr>
                <w:color w:val="1C3A36"/>
                <w:sz w:val="15"/>
              </w:rPr>
              <w:t>(562)</w:t>
            </w:r>
          </w:p>
        </w:tc>
        <w:tc>
          <w:tcPr>
            <w:tcW w:type="dxa" w:w="893"/>
          </w:tcPr>
          <w:p>
            <w:pPr>
              <w:spacing w:after="20"/>
              <w:jc w:val="right"/>
            </w:pPr>
            <w:r>
              <w:rPr>
                <w:color w:val="1C3A36"/>
                <w:sz w:val="15"/>
              </w:rPr>
              <w:t>(628)</w:t>
            </w:r>
          </w:p>
        </w:tc>
        <w:tc>
          <w:tcPr>
            <w:tcW w:type="dxa" w:w="893"/>
          </w:tcPr>
          <w:p>
            <w:pPr>
              <w:spacing w:after="20"/>
              <w:jc w:val="right"/>
            </w:pPr>
            <w:r>
              <w:rPr>
                <w:color w:val="1C3A36"/>
                <w:sz w:val="15"/>
              </w:rPr>
              <w:t>(701)</w:t>
            </w:r>
          </w:p>
        </w:tc>
        <w:tc>
          <w:tcPr>
            <w:tcW w:type="dxa" w:w="893"/>
          </w:tcPr>
          <w:p>
            <w:pPr>
              <w:spacing w:after="20"/>
              <w:jc w:val="right"/>
            </w:pPr>
            <w:r>
              <w:rPr>
                <w:color w:val="1C3A36"/>
                <w:sz w:val="15"/>
              </w:rPr>
              <w:t>(774)</w:t>
            </w:r>
          </w:p>
        </w:tc>
        <w:tc>
          <w:tcPr>
            <w:tcW w:type="dxa" w:w="893"/>
          </w:tcPr>
          <w:p>
            <w:pPr>
              <w:spacing w:after="20"/>
              <w:jc w:val="right"/>
            </w:pPr>
            <w:r>
              <w:rPr>
                <w:color w:val="1C3A36"/>
                <w:sz w:val="15"/>
              </w:rPr>
              <w:t>(847)</w:t>
            </w:r>
          </w:p>
        </w:tc>
      </w:tr>
      <w:tr>
        <w:tc>
          <w:tcPr>
            <w:tcW w:type="dxa" w:w="2333"/>
            <w:shd w:val="clear" w:color="auto" w:fill="F6F1E6"/>
          </w:tcPr>
          <w:p>
            <w:pPr>
              <w:spacing w:after="20"/>
            </w:pPr>
            <w:r>
              <w:rPr>
                <w:b/>
                <w:color w:val="1C3A36"/>
                <w:sz w:val="15"/>
              </w:rPr>
              <w:t>EBITDA</w:t>
            </w:r>
          </w:p>
        </w:tc>
        <w:tc>
          <w:tcPr>
            <w:tcW w:type="dxa" w:w="907"/>
            <w:shd w:val="clear" w:color="auto" w:fill="F6F1E6"/>
          </w:tcPr>
          <w:p>
            <w:pPr>
              <w:spacing w:after="20"/>
              <w:jc w:val="right"/>
            </w:pPr>
            <w:r>
              <w:rPr>
                <w:b/>
                <w:color w:val="1C3A36"/>
                <w:sz w:val="15"/>
              </w:rPr>
              <w:t>1,015</w:t>
            </w:r>
          </w:p>
        </w:tc>
        <w:tc>
          <w:tcPr>
            <w:tcW w:type="dxa" w:w="907"/>
            <w:shd w:val="clear" w:color="auto" w:fill="F6F1E6"/>
          </w:tcPr>
          <w:p>
            <w:pPr>
              <w:spacing w:after="20"/>
              <w:jc w:val="right"/>
            </w:pPr>
            <w:r>
              <w:rPr>
                <w:b/>
                <w:color w:val="1C3A36"/>
                <w:sz w:val="15"/>
              </w:rPr>
              <w:t>1,593</w:t>
            </w:r>
          </w:p>
        </w:tc>
        <w:tc>
          <w:tcPr>
            <w:tcW w:type="dxa" w:w="907"/>
            <w:shd w:val="clear" w:color="auto" w:fill="F6F1E6"/>
          </w:tcPr>
          <w:p>
            <w:pPr>
              <w:spacing w:after="20"/>
              <w:jc w:val="right"/>
            </w:pPr>
            <w:r>
              <w:rPr>
                <w:b/>
                <w:color w:val="1C3A36"/>
                <w:sz w:val="15"/>
              </w:rPr>
              <w:t>1,857</w:t>
            </w:r>
          </w:p>
        </w:tc>
        <w:tc>
          <w:tcPr>
            <w:tcW w:type="dxa" w:w="907"/>
            <w:shd w:val="clear" w:color="auto" w:fill="F6F1E6"/>
          </w:tcPr>
          <w:p>
            <w:pPr>
              <w:spacing w:after="20"/>
              <w:jc w:val="right"/>
            </w:pPr>
            <w:r>
              <w:rPr>
                <w:b/>
                <w:color w:val="1C3A36"/>
                <w:sz w:val="15"/>
              </w:rPr>
              <w:t>2,060</w:t>
            </w:r>
          </w:p>
        </w:tc>
        <w:tc>
          <w:tcPr>
            <w:tcW w:type="dxa" w:w="893"/>
            <w:shd w:val="clear" w:color="auto" w:fill="F6F1E6"/>
          </w:tcPr>
          <w:p>
            <w:pPr>
              <w:spacing w:after="20"/>
              <w:jc w:val="right"/>
            </w:pPr>
            <w:r>
              <w:rPr>
                <w:b/>
                <w:color w:val="1C3A36"/>
                <w:sz w:val="15"/>
              </w:rPr>
              <w:t>2,359</w:t>
            </w:r>
          </w:p>
        </w:tc>
        <w:tc>
          <w:tcPr>
            <w:tcW w:type="dxa" w:w="893"/>
            <w:shd w:val="clear" w:color="auto" w:fill="F6F1E6"/>
          </w:tcPr>
          <w:p>
            <w:pPr>
              <w:spacing w:after="20"/>
              <w:jc w:val="right"/>
            </w:pPr>
            <w:r>
              <w:rPr>
                <w:b/>
                <w:color w:val="1C3A36"/>
                <w:sz w:val="15"/>
              </w:rPr>
              <w:t>2,714</w:t>
            </w:r>
          </w:p>
        </w:tc>
        <w:tc>
          <w:tcPr>
            <w:tcW w:type="dxa" w:w="893"/>
            <w:shd w:val="clear" w:color="auto" w:fill="F6F1E6"/>
          </w:tcPr>
          <w:p>
            <w:pPr>
              <w:spacing w:after="20"/>
              <w:jc w:val="right"/>
            </w:pPr>
            <w:r>
              <w:rPr>
                <w:b/>
                <w:color w:val="1C3A36"/>
                <w:sz w:val="15"/>
              </w:rPr>
              <w:t>3,054</w:t>
            </w:r>
          </w:p>
        </w:tc>
        <w:tc>
          <w:tcPr>
            <w:tcW w:type="dxa" w:w="893"/>
            <w:shd w:val="clear" w:color="auto" w:fill="F6F1E6"/>
          </w:tcPr>
          <w:p>
            <w:pPr>
              <w:spacing w:after="20"/>
              <w:jc w:val="right"/>
            </w:pPr>
            <w:r>
              <w:rPr>
                <w:b/>
                <w:color w:val="1C3A36"/>
                <w:sz w:val="15"/>
              </w:rPr>
              <w:t>3,381</w:t>
            </w:r>
          </w:p>
        </w:tc>
        <w:tc>
          <w:tcPr>
            <w:tcW w:type="dxa" w:w="893"/>
            <w:shd w:val="clear" w:color="auto" w:fill="F6F1E6"/>
          </w:tcPr>
          <w:p>
            <w:pPr>
              <w:spacing w:after="20"/>
              <w:jc w:val="right"/>
            </w:pPr>
            <w:r>
              <w:rPr>
                <w:b/>
                <w:color w:val="1C3A36"/>
                <w:sz w:val="15"/>
              </w:rPr>
              <w:t>3,706</w:t>
            </w:r>
          </w:p>
        </w:tc>
      </w:tr>
      <w:tr>
        <w:tc>
          <w:tcPr>
            <w:tcW w:type="dxa" w:w="2333"/>
          </w:tcPr>
          <w:p>
            <w:pPr>
              <w:spacing w:after="20"/>
            </w:pPr>
            <w:r>
              <w:rPr>
                <w:color w:val="1C3A36"/>
                <w:sz w:val="15"/>
              </w:rPr>
              <w:t>EBITDA margin</w:t>
            </w:r>
          </w:p>
        </w:tc>
        <w:tc>
          <w:tcPr>
            <w:tcW w:type="dxa" w:w="907"/>
          </w:tcPr>
          <w:p>
            <w:pPr>
              <w:spacing w:after="20"/>
              <w:jc w:val="right"/>
            </w:pPr>
            <w:r>
              <w:rPr>
                <w:color w:val="1C3A36"/>
                <w:sz w:val="15"/>
              </w:rPr>
              <w:t>4.51%</w:t>
            </w:r>
          </w:p>
        </w:tc>
        <w:tc>
          <w:tcPr>
            <w:tcW w:type="dxa" w:w="907"/>
          </w:tcPr>
          <w:p>
            <w:pPr>
              <w:spacing w:after="20"/>
              <w:jc w:val="right"/>
            </w:pPr>
            <w:r>
              <w:rPr>
                <w:color w:val="1C3A36"/>
                <w:sz w:val="15"/>
              </w:rPr>
              <w:t>4.75%</w:t>
            </w:r>
          </w:p>
        </w:tc>
        <w:tc>
          <w:tcPr>
            <w:tcW w:type="dxa" w:w="907"/>
          </w:tcPr>
          <w:p>
            <w:pPr>
              <w:spacing w:after="20"/>
              <w:jc w:val="right"/>
            </w:pPr>
            <w:r>
              <w:rPr>
                <w:color w:val="1C3A36"/>
                <w:sz w:val="15"/>
              </w:rPr>
              <w:t>4.95%</w:t>
            </w:r>
          </w:p>
        </w:tc>
        <w:tc>
          <w:tcPr>
            <w:tcW w:type="dxa" w:w="907"/>
          </w:tcPr>
          <w:p>
            <w:pPr>
              <w:spacing w:after="20"/>
              <w:jc w:val="right"/>
            </w:pPr>
            <w:r>
              <w:rPr>
                <w:color w:val="1C3A36"/>
                <w:sz w:val="15"/>
              </w:rPr>
              <w:t>5.15%</w:t>
            </w:r>
          </w:p>
        </w:tc>
        <w:tc>
          <w:tcPr>
            <w:tcW w:type="dxa" w:w="893"/>
          </w:tcPr>
          <w:p>
            <w:pPr>
              <w:spacing w:after="20"/>
              <w:jc w:val="right"/>
            </w:pPr>
            <w:r>
              <w:rPr>
                <w:color w:val="1C3A36"/>
                <w:sz w:val="15"/>
              </w:rPr>
              <w:t>5.25%</w:t>
            </w:r>
          </w:p>
        </w:tc>
        <w:tc>
          <w:tcPr>
            <w:tcW w:type="dxa" w:w="893"/>
          </w:tcPr>
          <w:p>
            <w:pPr>
              <w:spacing w:after="20"/>
              <w:jc w:val="right"/>
            </w:pPr>
            <w:r>
              <w:rPr>
                <w:color w:val="1C3A36"/>
                <w:sz w:val="15"/>
              </w:rPr>
              <w:t>5.40%</w:t>
            </w:r>
          </w:p>
        </w:tc>
        <w:tc>
          <w:tcPr>
            <w:tcW w:type="dxa" w:w="893"/>
          </w:tcPr>
          <w:p>
            <w:pPr>
              <w:spacing w:after="20"/>
              <w:jc w:val="right"/>
            </w:pPr>
            <w:r>
              <w:rPr>
                <w:color w:val="1C3A36"/>
                <w:sz w:val="15"/>
              </w:rPr>
              <w:t>5.49%</w:t>
            </w:r>
          </w:p>
        </w:tc>
        <w:tc>
          <w:tcPr>
            <w:tcW w:type="dxa" w:w="893"/>
          </w:tcPr>
          <w:p>
            <w:pPr>
              <w:spacing w:after="20"/>
              <w:jc w:val="right"/>
            </w:pPr>
            <w:r>
              <w:rPr>
                <w:color w:val="1C3A36"/>
                <w:sz w:val="15"/>
              </w:rPr>
              <w:t>5.55%</w:t>
            </w:r>
          </w:p>
        </w:tc>
        <w:tc>
          <w:tcPr>
            <w:tcW w:type="dxa" w:w="893"/>
          </w:tcPr>
          <w:p>
            <w:pPr>
              <w:spacing w:after="20"/>
              <w:jc w:val="right"/>
            </w:pPr>
            <w:r>
              <w:rPr>
                <w:color w:val="1C3A36"/>
                <w:sz w:val="15"/>
              </w:rPr>
              <w:t>5.60%</w:t>
            </w:r>
          </w:p>
        </w:tc>
      </w:tr>
      <w:tr>
        <w:tc>
          <w:tcPr>
            <w:tcW w:type="dxa" w:w="2333"/>
          </w:tcPr>
          <w:p>
            <w:pPr>
              <w:spacing w:after="20"/>
            </w:pPr>
            <w:r>
              <w:rPr>
                <w:color w:val="1C3A36"/>
                <w:sz w:val="15"/>
              </w:rPr>
              <w:t>Depreciation and amortisation</w:t>
            </w:r>
          </w:p>
        </w:tc>
        <w:tc>
          <w:tcPr>
            <w:tcW w:type="dxa" w:w="907"/>
          </w:tcPr>
          <w:p>
            <w:pPr>
              <w:spacing w:after="20"/>
              <w:jc w:val="right"/>
            </w:pPr>
            <w:r>
              <w:rPr>
                <w:color w:val="1C3A36"/>
                <w:sz w:val="15"/>
              </w:rPr>
              <w:t>(248)</w:t>
            </w:r>
          </w:p>
        </w:tc>
        <w:tc>
          <w:tcPr>
            <w:tcW w:type="dxa" w:w="907"/>
          </w:tcPr>
          <w:p>
            <w:pPr>
              <w:spacing w:after="20"/>
              <w:jc w:val="right"/>
            </w:pPr>
            <w:r>
              <w:rPr>
                <w:color w:val="1C3A36"/>
                <w:sz w:val="15"/>
              </w:rPr>
              <w:t>(369)</w:t>
            </w:r>
          </w:p>
        </w:tc>
        <w:tc>
          <w:tcPr>
            <w:tcW w:type="dxa" w:w="907"/>
          </w:tcPr>
          <w:p>
            <w:pPr>
              <w:spacing w:after="20"/>
              <w:jc w:val="right"/>
            </w:pPr>
            <w:r>
              <w:rPr>
                <w:color w:val="1C3A36"/>
                <w:sz w:val="15"/>
              </w:rPr>
              <w:t>(413)</w:t>
            </w:r>
          </w:p>
        </w:tc>
        <w:tc>
          <w:tcPr>
            <w:tcW w:type="dxa" w:w="907"/>
          </w:tcPr>
          <w:p>
            <w:pPr>
              <w:spacing w:after="20"/>
              <w:jc w:val="right"/>
            </w:pPr>
            <w:r>
              <w:rPr>
                <w:color w:val="1C3A36"/>
                <w:sz w:val="15"/>
              </w:rPr>
              <w:t>(440)</w:t>
            </w:r>
          </w:p>
        </w:tc>
        <w:tc>
          <w:tcPr>
            <w:tcW w:type="dxa" w:w="893"/>
          </w:tcPr>
          <w:p>
            <w:pPr>
              <w:spacing w:after="20"/>
              <w:jc w:val="right"/>
            </w:pPr>
            <w:r>
              <w:rPr>
                <w:color w:val="1C3A36"/>
                <w:sz w:val="15"/>
              </w:rPr>
              <w:t>(494)</w:t>
            </w:r>
          </w:p>
        </w:tc>
        <w:tc>
          <w:tcPr>
            <w:tcW w:type="dxa" w:w="893"/>
          </w:tcPr>
          <w:p>
            <w:pPr>
              <w:spacing w:after="20"/>
              <w:jc w:val="right"/>
            </w:pPr>
            <w:r>
              <w:rPr>
                <w:color w:val="1C3A36"/>
                <w:sz w:val="15"/>
              </w:rPr>
              <w:t>(553)</w:t>
            </w:r>
          </w:p>
        </w:tc>
        <w:tc>
          <w:tcPr>
            <w:tcW w:type="dxa" w:w="893"/>
          </w:tcPr>
          <w:p>
            <w:pPr>
              <w:spacing w:after="20"/>
              <w:jc w:val="right"/>
            </w:pPr>
            <w:r>
              <w:rPr>
                <w:color w:val="1C3A36"/>
                <w:sz w:val="15"/>
              </w:rPr>
              <w:t>(612)</w:t>
            </w:r>
          </w:p>
        </w:tc>
        <w:tc>
          <w:tcPr>
            <w:tcW w:type="dxa" w:w="893"/>
          </w:tcPr>
          <w:p>
            <w:pPr>
              <w:spacing w:after="20"/>
              <w:jc w:val="right"/>
            </w:pPr>
            <w:r>
              <w:rPr>
                <w:color w:val="1C3A36"/>
                <w:sz w:val="15"/>
              </w:rPr>
              <w:t>(670)</w:t>
            </w:r>
          </w:p>
        </w:tc>
        <w:tc>
          <w:tcPr>
            <w:tcW w:type="dxa" w:w="893"/>
          </w:tcPr>
          <w:p>
            <w:pPr>
              <w:spacing w:after="20"/>
              <w:jc w:val="right"/>
            </w:pPr>
            <w:r>
              <w:rPr>
                <w:color w:val="1C3A36"/>
                <w:sz w:val="15"/>
              </w:rPr>
              <w:t>(728)</w:t>
            </w:r>
          </w:p>
        </w:tc>
      </w:tr>
      <w:tr>
        <w:tc>
          <w:tcPr>
            <w:tcW w:type="dxa" w:w="2333"/>
            <w:shd w:val="clear" w:color="auto" w:fill="F6F1E6"/>
          </w:tcPr>
          <w:p>
            <w:pPr>
              <w:spacing w:after="20"/>
            </w:pPr>
            <w:r>
              <w:rPr>
                <w:b/>
                <w:color w:val="1C3A36"/>
                <w:sz w:val="15"/>
              </w:rPr>
              <w:t>EBIT</w:t>
            </w:r>
          </w:p>
        </w:tc>
        <w:tc>
          <w:tcPr>
            <w:tcW w:type="dxa" w:w="907"/>
            <w:shd w:val="clear" w:color="auto" w:fill="F6F1E6"/>
          </w:tcPr>
          <w:p>
            <w:pPr>
              <w:spacing w:after="20"/>
              <w:jc w:val="right"/>
            </w:pPr>
            <w:r>
              <w:rPr>
                <w:b/>
                <w:color w:val="1C3A36"/>
                <w:sz w:val="15"/>
              </w:rPr>
              <w:t>768</w:t>
            </w:r>
          </w:p>
        </w:tc>
        <w:tc>
          <w:tcPr>
            <w:tcW w:type="dxa" w:w="907"/>
            <w:shd w:val="clear" w:color="auto" w:fill="F6F1E6"/>
          </w:tcPr>
          <w:p>
            <w:pPr>
              <w:spacing w:after="20"/>
              <w:jc w:val="right"/>
            </w:pPr>
            <w:r>
              <w:rPr>
                <w:b/>
                <w:color w:val="1C3A36"/>
                <w:sz w:val="15"/>
              </w:rPr>
              <w:t>1,224</w:t>
            </w:r>
          </w:p>
        </w:tc>
        <w:tc>
          <w:tcPr>
            <w:tcW w:type="dxa" w:w="907"/>
            <w:shd w:val="clear" w:color="auto" w:fill="F6F1E6"/>
          </w:tcPr>
          <w:p>
            <w:pPr>
              <w:spacing w:after="20"/>
              <w:jc w:val="right"/>
            </w:pPr>
            <w:r>
              <w:rPr>
                <w:b/>
                <w:color w:val="1C3A36"/>
                <w:sz w:val="15"/>
              </w:rPr>
              <w:t>1,444</w:t>
            </w:r>
          </w:p>
        </w:tc>
        <w:tc>
          <w:tcPr>
            <w:tcW w:type="dxa" w:w="907"/>
            <w:shd w:val="clear" w:color="auto" w:fill="F6F1E6"/>
          </w:tcPr>
          <w:p>
            <w:pPr>
              <w:spacing w:after="20"/>
              <w:jc w:val="right"/>
            </w:pPr>
            <w:r>
              <w:rPr>
                <w:b/>
                <w:color w:val="1C3A36"/>
                <w:sz w:val="15"/>
              </w:rPr>
              <w:t>1,620</w:t>
            </w:r>
          </w:p>
        </w:tc>
        <w:tc>
          <w:tcPr>
            <w:tcW w:type="dxa" w:w="893"/>
            <w:shd w:val="clear" w:color="auto" w:fill="F6F1E6"/>
          </w:tcPr>
          <w:p>
            <w:pPr>
              <w:spacing w:after="20"/>
              <w:jc w:val="right"/>
            </w:pPr>
            <w:r>
              <w:rPr>
                <w:b/>
                <w:color w:val="1C3A36"/>
                <w:sz w:val="15"/>
              </w:rPr>
              <w:t>1,864</w:t>
            </w:r>
          </w:p>
        </w:tc>
        <w:tc>
          <w:tcPr>
            <w:tcW w:type="dxa" w:w="893"/>
            <w:shd w:val="clear" w:color="auto" w:fill="F6F1E6"/>
          </w:tcPr>
          <w:p>
            <w:pPr>
              <w:spacing w:after="20"/>
              <w:jc w:val="right"/>
            </w:pPr>
            <w:r>
              <w:rPr>
                <w:b/>
                <w:color w:val="1C3A36"/>
                <w:sz w:val="15"/>
              </w:rPr>
              <w:t>2,161</w:t>
            </w:r>
          </w:p>
        </w:tc>
        <w:tc>
          <w:tcPr>
            <w:tcW w:type="dxa" w:w="893"/>
            <w:shd w:val="clear" w:color="auto" w:fill="F6F1E6"/>
          </w:tcPr>
          <w:p>
            <w:pPr>
              <w:spacing w:after="20"/>
              <w:jc w:val="right"/>
            </w:pPr>
            <w:r>
              <w:rPr>
                <w:b/>
                <w:color w:val="1C3A36"/>
                <w:sz w:val="15"/>
              </w:rPr>
              <w:t>2,442</w:t>
            </w:r>
          </w:p>
        </w:tc>
        <w:tc>
          <w:tcPr>
            <w:tcW w:type="dxa" w:w="893"/>
            <w:shd w:val="clear" w:color="auto" w:fill="F6F1E6"/>
          </w:tcPr>
          <w:p>
            <w:pPr>
              <w:spacing w:after="20"/>
              <w:jc w:val="right"/>
            </w:pPr>
            <w:r>
              <w:rPr>
                <w:b/>
                <w:color w:val="1C3A36"/>
                <w:sz w:val="15"/>
              </w:rPr>
              <w:t>2,711</w:t>
            </w:r>
          </w:p>
        </w:tc>
        <w:tc>
          <w:tcPr>
            <w:tcW w:type="dxa" w:w="893"/>
            <w:shd w:val="clear" w:color="auto" w:fill="F6F1E6"/>
          </w:tcPr>
          <w:p>
            <w:pPr>
              <w:spacing w:after="20"/>
              <w:jc w:val="right"/>
            </w:pPr>
            <w:r>
              <w:rPr>
                <w:b/>
                <w:color w:val="1C3A36"/>
                <w:sz w:val="15"/>
              </w:rPr>
              <w:t>2,978</w:t>
            </w:r>
          </w:p>
        </w:tc>
      </w:tr>
      <w:tr>
        <w:tc>
          <w:tcPr>
            <w:tcW w:type="dxa" w:w="2333"/>
          </w:tcPr>
          <w:p>
            <w:pPr>
              <w:spacing w:after="20"/>
            </w:pPr>
            <w:r>
              <w:rPr>
                <w:color w:val="1C3A36"/>
                <w:sz w:val="15"/>
              </w:rPr>
              <w:t>Net finance income</w:t>
            </w:r>
          </w:p>
        </w:tc>
        <w:tc>
          <w:tcPr>
            <w:tcW w:type="dxa" w:w="907"/>
          </w:tcPr>
          <w:p>
            <w:pPr>
              <w:spacing w:after="20"/>
              <w:jc w:val="right"/>
            </w:pPr>
            <w:r>
              <w:rPr>
                <w:color w:val="1C3A36"/>
                <w:sz w:val="15"/>
              </w:rPr>
              <w:t>198</w:t>
            </w:r>
          </w:p>
        </w:tc>
        <w:tc>
          <w:tcPr>
            <w:tcW w:type="dxa" w:w="907"/>
          </w:tcPr>
          <w:p>
            <w:pPr>
              <w:spacing w:after="20"/>
              <w:jc w:val="right"/>
            </w:pPr>
            <w:r>
              <w:rPr>
                <w:color w:val="1C3A36"/>
                <w:sz w:val="15"/>
              </w:rPr>
              <w:t>295</w:t>
            </w:r>
          </w:p>
        </w:tc>
        <w:tc>
          <w:tcPr>
            <w:tcW w:type="dxa" w:w="907"/>
          </w:tcPr>
          <w:p>
            <w:pPr>
              <w:spacing w:after="20"/>
              <w:jc w:val="right"/>
            </w:pPr>
            <w:r>
              <w:rPr>
                <w:color w:val="1C3A36"/>
                <w:sz w:val="15"/>
              </w:rPr>
              <w:t>329</w:t>
            </w:r>
          </w:p>
        </w:tc>
        <w:tc>
          <w:tcPr>
            <w:tcW w:type="dxa" w:w="907"/>
          </w:tcPr>
          <w:p>
            <w:pPr>
              <w:spacing w:after="20"/>
              <w:jc w:val="right"/>
            </w:pPr>
            <w:r>
              <w:rPr>
                <w:color w:val="1C3A36"/>
                <w:sz w:val="15"/>
              </w:rPr>
              <w:t>413</w:t>
            </w:r>
          </w:p>
        </w:tc>
        <w:tc>
          <w:tcPr>
            <w:tcW w:type="dxa" w:w="893"/>
          </w:tcPr>
          <w:p>
            <w:pPr>
              <w:spacing w:after="20"/>
              <w:jc w:val="right"/>
            </w:pPr>
            <w:r>
              <w:rPr>
                <w:color w:val="1C3A36"/>
                <w:sz w:val="15"/>
              </w:rPr>
              <w:t>413</w:t>
            </w:r>
          </w:p>
        </w:tc>
        <w:tc>
          <w:tcPr>
            <w:tcW w:type="dxa" w:w="893"/>
          </w:tcPr>
          <w:p>
            <w:pPr>
              <w:spacing w:after="20"/>
              <w:jc w:val="right"/>
            </w:pPr>
            <w:r>
              <w:rPr>
                <w:color w:val="1C3A36"/>
                <w:sz w:val="15"/>
              </w:rPr>
              <w:t>411</w:t>
            </w:r>
          </w:p>
        </w:tc>
        <w:tc>
          <w:tcPr>
            <w:tcW w:type="dxa" w:w="893"/>
          </w:tcPr>
          <w:p>
            <w:pPr>
              <w:spacing w:after="20"/>
              <w:jc w:val="right"/>
            </w:pPr>
            <w:r>
              <w:rPr>
                <w:color w:val="1C3A36"/>
                <w:sz w:val="15"/>
              </w:rPr>
              <w:t>422</w:t>
            </w:r>
          </w:p>
        </w:tc>
        <w:tc>
          <w:tcPr>
            <w:tcW w:type="dxa" w:w="893"/>
          </w:tcPr>
          <w:p>
            <w:pPr>
              <w:spacing w:after="20"/>
              <w:jc w:val="right"/>
            </w:pPr>
            <w:r>
              <w:rPr>
                <w:color w:val="1C3A36"/>
                <w:sz w:val="15"/>
              </w:rPr>
              <w:t>450</w:t>
            </w:r>
          </w:p>
        </w:tc>
        <w:tc>
          <w:tcPr>
            <w:tcW w:type="dxa" w:w="893"/>
          </w:tcPr>
          <w:p>
            <w:pPr>
              <w:spacing w:after="20"/>
              <w:jc w:val="right"/>
            </w:pPr>
            <w:r>
              <w:rPr>
                <w:color w:val="1C3A36"/>
                <w:sz w:val="15"/>
              </w:rPr>
              <w:t>491</w:t>
            </w:r>
          </w:p>
        </w:tc>
      </w:tr>
      <w:tr>
        <w:tc>
          <w:tcPr>
            <w:tcW w:type="dxa" w:w="2333"/>
          </w:tcPr>
          <w:p>
            <w:pPr>
              <w:spacing w:after="20"/>
            </w:pPr>
            <w:r>
              <w:rPr>
                <w:color w:val="1C3A36"/>
                <w:sz w:val="15"/>
              </w:rPr>
              <w:t>Other and non-operating income</w:t>
            </w:r>
          </w:p>
        </w:tc>
        <w:tc>
          <w:tcPr>
            <w:tcW w:type="dxa" w:w="907"/>
          </w:tcPr>
          <w:p>
            <w:pPr>
              <w:spacing w:after="20"/>
              <w:jc w:val="right"/>
            </w:pPr>
            <w:r>
              <w:rPr>
                <w:color w:val="1C3A36"/>
                <w:sz w:val="15"/>
              </w:rPr>
              <w:t>760</w:t>
            </w:r>
          </w:p>
        </w:tc>
        <w:tc>
          <w:tcPr>
            <w:tcW w:type="dxa" w:w="907"/>
          </w:tcPr>
          <w:p>
            <w:pPr>
              <w:spacing w:after="20"/>
              <w:jc w:val="right"/>
            </w:pPr>
            <w:r>
              <w:rPr>
                <w:color w:val="1C3A36"/>
                <w:sz w:val="15"/>
              </w:rPr>
              <w:t>442</w:t>
            </w:r>
          </w:p>
        </w:tc>
        <w:tc>
          <w:tcPr>
            <w:tcW w:type="dxa" w:w="907"/>
          </w:tcPr>
          <w:p>
            <w:pPr>
              <w:spacing w:after="20"/>
              <w:jc w:val="right"/>
            </w:pPr>
            <w:r>
              <w:rPr>
                <w:color w:val="1C3A36"/>
                <w:sz w:val="15"/>
              </w:rPr>
              <w:t>253</w:t>
            </w:r>
          </w:p>
        </w:tc>
        <w:tc>
          <w:tcPr>
            <w:tcW w:type="dxa" w:w="907"/>
          </w:tcPr>
          <w:p>
            <w:pPr>
              <w:spacing w:after="20"/>
              <w:jc w:val="right"/>
            </w:pPr>
            <w:r>
              <w:rPr>
                <w:color w:val="1C3A36"/>
                <w:sz w:val="15"/>
              </w:rPr>
              <w:t>10</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c>
          <w:tcPr>
            <w:tcW w:type="dxa" w:w="893"/>
          </w:tcPr>
          <w:p>
            <w:pPr>
              <w:spacing w:after="20"/>
              <w:jc w:val="right"/>
            </w:pPr>
            <w:r>
              <w:rPr>
                <w:color w:val="1C3A36"/>
                <w:sz w:val="15"/>
              </w:rPr>
              <w:t>—</w:t>
            </w:r>
          </w:p>
        </w:tc>
      </w:tr>
      <w:tr>
        <w:tc>
          <w:tcPr>
            <w:tcW w:type="dxa" w:w="2333"/>
          </w:tcPr>
          <w:p>
            <w:pPr>
              <w:spacing w:after="20"/>
            </w:pPr>
            <w:r>
              <w:rPr>
                <w:color w:val="1C3A36"/>
                <w:sz w:val="15"/>
              </w:rPr>
              <w:t>Profit before tax</w:t>
            </w:r>
          </w:p>
        </w:tc>
        <w:tc>
          <w:tcPr>
            <w:tcW w:type="dxa" w:w="907"/>
          </w:tcPr>
          <w:p>
            <w:pPr>
              <w:spacing w:after="20"/>
              <w:jc w:val="right"/>
            </w:pPr>
            <w:r>
              <w:rPr>
                <w:color w:val="1C3A36"/>
                <w:sz w:val="15"/>
              </w:rPr>
              <w:t>1,725</w:t>
            </w:r>
          </w:p>
        </w:tc>
        <w:tc>
          <w:tcPr>
            <w:tcW w:type="dxa" w:w="907"/>
          </w:tcPr>
          <w:p>
            <w:pPr>
              <w:spacing w:after="20"/>
              <w:jc w:val="right"/>
            </w:pPr>
            <w:r>
              <w:rPr>
                <w:color w:val="1C3A36"/>
                <w:sz w:val="15"/>
              </w:rPr>
              <w:t>1,961</w:t>
            </w:r>
          </w:p>
        </w:tc>
        <w:tc>
          <w:tcPr>
            <w:tcW w:type="dxa" w:w="907"/>
          </w:tcPr>
          <w:p>
            <w:pPr>
              <w:spacing w:after="20"/>
              <w:jc w:val="right"/>
            </w:pPr>
            <w:r>
              <w:rPr>
                <w:color w:val="1C3A36"/>
                <w:sz w:val="15"/>
              </w:rPr>
              <w:t>2,026</w:t>
            </w:r>
          </w:p>
        </w:tc>
        <w:tc>
          <w:tcPr>
            <w:tcW w:type="dxa" w:w="907"/>
          </w:tcPr>
          <w:p>
            <w:pPr>
              <w:spacing w:after="20"/>
              <w:jc w:val="right"/>
            </w:pPr>
            <w:r>
              <w:rPr>
                <w:color w:val="1C3A36"/>
                <w:sz w:val="15"/>
              </w:rPr>
              <w:t>2,043</w:t>
            </w:r>
          </w:p>
        </w:tc>
        <w:tc>
          <w:tcPr>
            <w:tcW w:type="dxa" w:w="893"/>
          </w:tcPr>
          <w:p>
            <w:pPr>
              <w:spacing w:after="20"/>
              <w:jc w:val="right"/>
            </w:pPr>
            <w:r>
              <w:rPr>
                <w:color w:val="1C3A36"/>
                <w:sz w:val="15"/>
              </w:rPr>
              <w:t>2,278</w:t>
            </w:r>
          </w:p>
        </w:tc>
        <w:tc>
          <w:tcPr>
            <w:tcW w:type="dxa" w:w="893"/>
          </w:tcPr>
          <w:p>
            <w:pPr>
              <w:spacing w:after="20"/>
              <w:jc w:val="right"/>
            </w:pPr>
            <w:r>
              <w:rPr>
                <w:color w:val="1C3A36"/>
                <w:sz w:val="15"/>
              </w:rPr>
              <w:t>2,573</w:t>
            </w:r>
          </w:p>
        </w:tc>
        <w:tc>
          <w:tcPr>
            <w:tcW w:type="dxa" w:w="893"/>
          </w:tcPr>
          <w:p>
            <w:pPr>
              <w:spacing w:after="20"/>
              <w:jc w:val="right"/>
            </w:pPr>
            <w:r>
              <w:rPr>
                <w:color w:val="1C3A36"/>
                <w:sz w:val="15"/>
              </w:rPr>
              <w:t>2,865</w:t>
            </w:r>
          </w:p>
        </w:tc>
        <w:tc>
          <w:tcPr>
            <w:tcW w:type="dxa" w:w="893"/>
          </w:tcPr>
          <w:p>
            <w:pPr>
              <w:spacing w:after="20"/>
              <w:jc w:val="right"/>
            </w:pPr>
            <w:r>
              <w:rPr>
                <w:color w:val="1C3A36"/>
                <w:sz w:val="15"/>
              </w:rPr>
              <w:t>3,161</w:t>
            </w:r>
          </w:p>
        </w:tc>
        <w:tc>
          <w:tcPr>
            <w:tcW w:type="dxa" w:w="893"/>
          </w:tcPr>
          <w:p>
            <w:pPr>
              <w:spacing w:after="20"/>
              <w:jc w:val="right"/>
            </w:pPr>
            <w:r>
              <w:rPr>
                <w:color w:val="1C3A36"/>
                <w:sz w:val="15"/>
              </w:rPr>
              <w:t>3,469</w:t>
            </w:r>
          </w:p>
        </w:tc>
      </w:tr>
      <w:tr>
        <w:tc>
          <w:tcPr>
            <w:tcW w:type="dxa" w:w="2333"/>
          </w:tcPr>
          <w:p>
            <w:pPr>
              <w:spacing w:after="20"/>
            </w:pPr>
            <w:r>
              <w:rPr>
                <w:color w:val="1C3A36"/>
                <w:sz w:val="15"/>
              </w:rPr>
              <w:t>Tax</w:t>
            </w:r>
          </w:p>
        </w:tc>
        <w:tc>
          <w:tcPr>
            <w:tcW w:type="dxa" w:w="907"/>
          </w:tcPr>
          <w:p>
            <w:pPr>
              <w:spacing w:after="20"/>
              <w:jc w:val="right"/>
            </w:pPr>
            <w:r>
              <w:rPr>
                <w:color w:val="1C3A36"/>
                <w:sz w:val="15"/>
              </w:rPr>
              <w:t>(405)</w:t>
            </w:r>
          </w:p>
        </w:tc>
        <w:tc>
          <w:tcPr>
            <w:tcW w:type="dxa" w:w="907"/>
          </w:tcPr>
          <w:p>
            <w:pPr>
              <w:spacing w:after="20"/>
              <w:jc w:val="right"/>
            </w:pPr>
            <w:r>
              <w:rPr>
                <w:color w:val="1C3A36"/>
                <w:sz w:val="15"/>
              </w:rPr>
              <w:t>(461)</w:t>
            </w:r>
          </w:p>
        </w:tc>
        <w:tc>
          <w:tcPr>
            <w:tcW w:type="dxa" w:w="907"/>
          </w:tcPr>
          <w:p>
            <w:pPr>
              <w:spacing w:after="20"/>
              <w:jc w:val="right"/>
            </w:pPr>
            <w:r>
              <w:rPr>
                <w:color w:val="1C3A36"/>
                <w:sz w:val="15"/>
              </w:rPr>
              <w:t>(476)</w:t>
            </w:r>
          </w:p>
        </w:tc>
        <w:tc>
          <w:tcPr>
            <w:tcW w:type="dxa" w:w="907"/>
          </w:tcPr>
          <w:p>
            <w:pPr>
              <w:spacing w:after="20"/>
              <w:jc w:val="right"/>
            </w:pPr>
            <w:r>
              <w:rPr>
                <w:color w:val="1C3A36"/>
                <w:sz w:val="15"/>
              </w:rPr>
              <w:t>(480)</w:t>
            </w:r>
          </w:p>
        </w:tc>
        <w:tc>
          <w:tcPr>
            <w:tcW w:type="dxa" w:w="893"/>
          </w:tcPr>
          <w:p>
            <w:pPr>
              <w:spacing w:after="20"/>
              <w:jc w:val="right"/>
            </w:pPr>
            <w:r>
              <w:rPr>
                <w:color w:val="1C3A36"/>
                <w:sz w:val="15"/>
              </w:rPr>
              <w:t>(535)</w:t>
            </w:r>
          </w:p>
        </w:tc>
        <w:tc>
          <w:tcPr>
            <w:tcW w:type="dxa" w:w="893"/>
          </w:tcPr>
          <w:p>
            <w:pPr>
              <w:spacing w:after="20"/>
              <w:jc w:val="right"/>
            </w:pPr>
            <w:r>
              <w:rPr>
                <w:color w:val="1C3A36"/>
                <w:sz w:val="15"/>
              </w:rPr>
              <w:t>(605)</w:t>
            </w:r>
          </w:p>
        </w:tc>
        <w:tc>
          <w:tcPr>
            <w:tcW w:type="dxa" w:w="893"/>
          </w:tcPr>
          <w:p>
            <w:pPr>
              <w:spacing w:after="20"/>
              <w:jc w:val="right"/>
            </w:pPr>
            <w:r>
              <w:rPr>
                <w:color w:val="1C3A36"/>
                <w:sz w:val="15"/>
              </w:rPr>
              <w:t>(673)</w:t>
            </w:r>
          </w:p>
        </w:tc>
        <w:tc>
          <w:tcPr>
            <w:tcW w:type="dxa" w:w="893"/>
          </w:tcPr>
          <w:p>
            <w:pPr>
              <w:spacing w:after="20"/>
              <w:jc w:val="right"/>
            </w:pPr>
            <w:r>
              <w:rPr>
                <w:color w:val="1C3A36"/>
                <w:sz w:val="15"/>
              </w:rPr>
              <w:t>(743)</w:t>
            </w:r>
          </w:p>
        </w:tc>
        <w:tc>
          <w:tcPr>
            <w:tcW w:type="dxa" w:w="893"/>
          </w:tcPr>
          <w:p>
            <w:pPr>
              <w:spacing w:after="20"/>
              <w:jc w:val="right"/>
            </w:pPr>
            <w:r>
              <w:rPr>
                <w:color w:val="1C3A36"/>
                <w:sz w:val="15"/>
              </w:rPr>
              <w:t>(815)</w:t>
            </w:r>
          </w:p>
        </w:tc>
      </w:tr>
      <w:tr>
        <w:tc>
          <w:tcPr>
            <w:tcW w:type="dxa" w:w="2333"/>
          </w:tcPr>
          <w:p>
            <w:pPr>
              <w:spacing w:after="20"/>
            </w:pPr>
            <w:r>
              <w:rPr>
                <w:color w:val="1C3A36"/>
                <w:sz w:val="15"/>
              </w:rPr>
              <w:t>Profit after tax</w:t>
            </w:r>
          </w:p>
        </w:tc>
        <w:tc>
          <w:tcPr>
            <w:tcW w:type="dxa" w:w="907"/>
          </w:tcPr>
          <w:p>
            <w:pPr>
              <w:spacing w:after="20"/>
              <w:jc w:val="right"/>
            </w:pPr>
            <w:r>
              <w:rPr>
                <w:color w:val="1C3A36"/>
                <w:sz w:val="15"/>
              </w:rPr>
              <w:t>1,320</w:t>
            </w:r>
          </w:p>
        </w:tc>
        <w:tc>
          <w:tcPr>
            <w:tcW w:type="dxa" w:w="907"/>
          </w:tcPr>
          <w:p>
            <w:pPr>
              <w:spacing w:after="20"/>
              <w:jc w:val="right"/>
            </w:pPr>
            <w:r>
              <w:rPr>
                <w:color w:val="1C3A36"/>
                <w:sz w:val="15"/>
              </w:rPr>
              <w:t>1,500</w:t>
            </w:r>
          </w:p>
        </w:tc>
        <w:tc>
          <w:tcPr>
            <w:tcW w:type="dxa" w:w="907"/>
          </w:tcPr>
          <w:p>
            <w:pPr>
              <w:spacing w:after="20"/>
              <w:jc w:val="right"/>
            </w:pPr>
            <w:r>
              <w:rPr>
                <w:color w:val="1C3A36"/>
                <w:sz w:val="15"/>
              </w:rPr>
              <w:t>1,550</w:t>
            </w:r>
          </w:p>
        </w:tc>
        <w:tc>
          <w:tcPr>
            <w:tcW w:type="dxa" w:w="907"/>
          </w:tcPr>
          <w:p>
            <w:pPr>
              <w:spacing w:after="20"/>
              <w:jc w:val="right"/>
            </w:pPr>
            <w:r>
              <w:rPr>
                <w:color w:val="1C3A36"/>
                <w:sz w:val="15"/>
              </w:rPr>
              <w:t>1,563</w:t>
            </w:r>
          </w:p>
        </w:tc>
        <w:tc>
          <w:tcPr>
            <w:tcW w:type="dxa" w:w="893"/>
          </w:tcPr>
          <w:p>
            <w:pPr>
              <w:spacing w:after="20"/>
              <w:jc w:val="right"/>
            </w:pPr>
            <w:r>
              <w:rPr>
                <w:color w:val="1C3A36"/>
                <w:sz w:val="15"/>
              </w:rPr>
              <w:t>1,742</w:t>
            </w:r>
          </w:p>
        </w:tc>
        <w:tc>
          <w:tcPr>
            <w:tcW w:type="dxa" w:w="893"/>
          </w:tcPr>
          <w:p>
            <w:pPr>
              <w:spacing w:after="20"/>
              <w:jc w:val="right"/>
            </w:pPr>
            <w:r>
              <w:rPr>
                <w:color w:val="1C3A36"/>
                <w:sz w:val="15"/>
              </w:rPr>
              <w:t>1,968</w:t>
            </w:r>
          </w:p>
        </w:tc>
        <w:tc>
          <w:tcPr>
            <w:tcW w:type="dxa" w:w="893"/>
          </w:tcPr>
          <w:p>
            <w:pPr>
              <w:spacing w:after="20"/>
              <w:jc w:val="right"/>
            </w:pPr>
            <w:r>
              <w:rPr>
                <w:color w:val="1C3A36"/>
                <w:sz w:val="15"/>
              </w:rPr>
              <w:t>2,192</w:t>
            </w:r>
          </w:p>
        </w:tc>
        <w:tc>
          <w:tcPr>
            <w:tcW w:type="dxa" w:w="893"/>
          </w:tcPr>
          <w:p>
            <w:pPr>
              <w:spacing w:after="20"/>
              <w:jc w:val="right"/>
            </w:pPr>
            <w:r>
              <w:rPr>
                <w:color w:val="1C3A36"/>
                <w:sz w:val="15"/>
              </w:rPr>
              <w:t>2,418</w:t>
            </w:r>
          </w:p>
        </w:tc>
        <w:tc>
          <w:tcPr>
            <w:tcW w:type="dxa" w:w="893"/>
          </w:tcPr>
          <w:p>
            <w:pPr>
              <w:spacing w:after="20"/>
              <w:jc w:val="right"/>
            </w:pPr>
            <w:r>
              <w:rPr>
                <w:color w:val="1C3A36"/>
                <w:sz w:val="15"/>
              </w:rPr>
              <w:t>2,654</w:t>
            </w:r>
          </w:p>
        </w:tc>
      </w:tr>
      <w:tr>
        <w:tc>
          <w:tcPr>
            <w:tcW w:type="dxa" w:w="2333"/>
          </w:tcPr>
          <w:p>
            <w:pPr>
              <w:spacing w:after="20"/>
            </w:pPr>
            <w:r>
              <w:rPr>
                <w:color w:val="1C3A36"/>
                <w:sz w:val="15"/>
              </w:rPr>
              <w:t>Minority interests</w:t>
            </w:r>
          </w:p>
        </w:tc>
        <w:tc>
          <w:tcPr>
            <w:tcW w:type="dxa" w:w="907"/>
          </w:tcPr>
          <w:p>
            <w:pPr>
              <w:spacing w:after="20"/>
              <w:jc w:val="right"/>
            </w:pPr>
            <w:r>
              <w:rPr>
                <w:color w:val="1C3A36"/>
                <w:sz w:val="15"/>
              </w:rPr>
              <w:t>(40)</w:t>
            </w:r>
          </w:p>
        </w:tc>
        <w:tc>
          <w:tcPr>
            <w:tcW w:type="dxa" w:w="907"/>
          </w:tcPr>
          <w:p>
            <w:pPr>
              <w:spacing w:after="20"/>
              <w:jc w:val="right"/>
            </w:pPr>
            <w:r>
              <w:rPr>
                <w:color w:val="1C3A36"/>
                <w:sz w:val="15"/>
              </w:rPr>
              <w:t>(45)</w:t>
            </w:r>
          </w:p>
        </w:tc>
        <w:tc>
          <w:tcPr>
            <w:tcW w:type="dxa" w:w="907"/>
          </w:tcPr>
          <w:p>
            <w:pPr>
              <w:spacing w:after="20"/>
              <w:jc w:val="right"/>
            </w:pPr>
            <w:r>
              <w:rPr>
                <w:color w:val="1C3A36"/>
                <w:sz w:val="15"/>
              </w:rPr>
              <w:t>(46)</w:t>
            </w:r>
          </w:p>
        </w:tc>
        <w:tc>
          <w:tcPr>
            <w:tcW w:type="dxa" w:w="907"/>
          </w:tcPr>
          <w:p>
            <w:pPr>
              <w:spacing w:after="20"/>
              <w:jc w:val="right"/>
            </w:pPr>
            <w:r>
              <w:rPr>
                <w:color w:val="1C3A36"/>
                <w:sz w:val="15"/>
              </w:rPr>
              <w:t>(47)</w:t>
            </w:r>
          </w:p>
        </w:tc>
        <w:tc>
          <w:tcPr>
            <w:tcW w:type="dxa" w:w="893"/>
          </w:tcPr>
          <w:p>
            <w:pPr>
              <w:spacing w:after="20"/>
              <w:jc w:val="right"/>
            </w:pPr>
            <w:r>
              <w:rPr>
                <w:color w:val="1C3A36"/>
                <w:sz w:val="15"/>
              </w:rPr>
              <w:t>(52)</w:t>
            </w:r>
          </w:p>
        </w:tc>
        <w:tc>
          <w:tcPr>
            <w:tcW w:type="dxa" w:w="893"/>
          </w:tcPr>
          <w:p>
            <w:pPr>
              <w:spacing w:after="20"/>
              <w:jc w:val="right"/>
            </w:pPr>
            <w:r>
              <w:rPr>
                <w:color w:val="1C3A36"/>
                <w:sz w:val="15"/>
              </w:rPr>
              <w:t>(59)</w:t>
            </w:r>
          </w:p>
        </w:tc>
        <w:tc>
          <w:tcPr>
            <w:tcW w:type="dxa" w:w="893"/>
          </w:tcPr>
          <w:p>
            <w:pPr>
              <w:spacing w:after="20"/>
              <w:jc w:val="right"/>
            </w:pPr>
            <w:r>
              <w:rPr>
                <w:color w:val="1C3A36"/>
                <w:sz w:val="15"/>
              </w:rPr>
              <w:t>(66)</w:t>
            </w:r>
          </w:p>
        </w:tc>
        <w:tc>
          <w:tcPr>
            <w:tcW w:type="dxa" w:w="893"/>
          </w:tcPr>
          <w:p>
            <w:pPr>
              <w:spacing w:after="20"/>
              <w:jc w:val="right"/>
            </w:pPr>
            <w:r>
              <w:rPr>
                <w:color w:val="1C3A36"/>
                <w:sz w:val="15"/>
              </w:rPr>
              <w:t>(73)</w:t>
            </w:r>
          </w:p>
        </w:tc>
        <w:tc>
          <w:tcPr>
            <w:tcW w:type="dxa" w:w="893"/>
          </w:tcPr>
          <w:p>
            <w:pPr>
              <w:spacing w:after="20"/>
              <w:jc w:val="right"/>
            </w:pPr>
            <w:r>
              <w:rPr>
                <w:color w:val="1C3A36"/>
                <w:sz w:val="15"/>
              </w:rPr>
              <w:t>(80)</w:t>
            </w:r>
          </w:p>
        </w:tc>
      </w:tr>
      <w:tr>
        <w:tc>
          <w:tcPr>
            <w:tcW w:type="dxa" w:w="2333"/>
            <w:shd w:val="clear" w:color="auto" w:fill="F6F1E6"/>
          </w:tcPr>
          <w:p>
            <w:pPr>
              <w:spacing w:after="20"/>
            </w:pPr>
            <w:r>
              <w:rPr>
                <w:b/>
                <w:color w:val="1C3A36"/>
                <w:sz w:val="15"/>
              </w:rPr>
              <w:t>Profit attributable to shareholders</w:t>
            </w:r>
          </w:p>
        </w:tc>
        <w:tc>
          <w:tcPr>
            <w:tcW w:type="dxa" w:w="907"/>
            <w:shd w:val="clear" w:color="auto" w:fill="F6F1E6"/>
          </w:tcPr>
          <w:p>
            <w:pPr>
              <w:spacing w:after="20"/>
              <w:jc w:val="right"/>
            </w:pPr>
            <w:r>
              <w:rPr>
                <w:b/>
                <w:color w:val="1C3A36"/>
                <w:sz w:val="15"/>
              </w:rPr>
              <w:t>1,280</w:t>
            </w:r>
          </w:p>
        </w:tc>
        <w:tc>
          <w:tcPr>
            <w:tcW w:type="dxa" w:w="907"/>
            <w:shd w:val="clear" w:color="auto" w:fill="F6F1E6"/>
          </w:tcPr>
          <w:p>
            <w:pPr>
              <w:spacing w:after="20"/>
              <w:jc w:val="right"/>
            </w:pPr>
            <w:r>
              <w:rPr>
                <w:b/>
                <w:color w:val="1C3A36"/>
                <w:sz w:val="15"/>
              </w:rPr>
              <w:t>1,455</w:t>
            </w:r>
          </w:p>
        </w:tc>
        <w:tc>
          <w:tcPr>
            <w:tcW w:type="dxa" w:w="907"/>
            <w:shd w:val="clear" w:color="auto" w:fill="F6F1E6"/>
          </w:tcPr>
          <w:p>
            <w:pPr>
              <w:spacing w:after="20"/>
              <w:jc w:val="right"/>
            </w:pPr>
            <w:r>
              <w:rPr>
                <w:b/>
                <w:color w:val="1C3A36"/>
                <w:sz w:val="15"/>
              </w:rPr>
              <w:t>1,504</w:t>
            </w:r>
          </w:p>
        </w:tc>
        <w:tc>
          <w:tcPr>
            <w:tcW w:type="dxa" w:w="907"/>
            <w:shd w:val="clear" w:color="auto" w:fill="F6F1E6"/>
          </w:tcPr>
          <w:p>
            <w:pPr>
              <w:spacing w:after="20"/>
              <w:jc w:val="right"/>
            </w:pPr>
            <w:r>
              <w:rPr>
                <w:b/>
                <w:color w:val="1C3A36"/>
                <w:sz w:val="15"/>
              </w:rPr>
              <w:t>1,516</w:t>
            </w:r>
          </w:p>
        </w:tc>
        <w:tc>
          <w:tcPr>
            <w:tcW w:type="dxa" w:w="893"/>
            <w:shd w:val="clear" w:color="auto" w:fill="F6F1E6"/>
          </w:tcPr>
          <w:p>
            <w:pPr>
              <w:spacing w:after="20"/>
              <w:jc w:val="right"/>
            </w:pPr>
            <w:r>
              <w:rPr>
                <w:b/>
                <w:color w:val="1C3A36"/>
                <w:sz w:val="15"/>
              </w:rPr>
              <w:t>1,690</w:t>
            </w:r>
          </w:p>
        </w:tc>
        <w:tc>
          <w:tcPr>
            <w:tcW w:type="dxa" w:w="893"/>
            <w:shd w:val="clear" w:color="auto" w:fill="F6F1E6"/>
          </w:tcPr>
          <w:p>
            <w:pPr>
              <w:spacing w:after="20"/>
              <w:jc w:val="right"/>
            </w:pPr>
            <w:r>
              <w:rPr>
                <w:b/>
                <w:color w:val="1C3A36"/>
                <w:sz w:val="15"/>
              </w:rPr>
              <w:t>1,909</w:t>
            </w:r>
          </w:p>
        </w:tc>
        <w:tc>
          <w:tcPr>
            <w:tcW w:type="dxa" w:w="893"/>
            <w:shd w:val="clear" w:color="auto" w:fill="F6F1E6"/>
          </w:tcPr>
          <w:p>
            <w:pPr>
              <w:spacing w:after="20"/>
              <w:jc w:val="right"/>
            </w:pPr>
            <w:r>
              <w:rPr>
                <w:b/>
                <w:color w:val="1C3A36"/>
                <w:sz w:val="15"/>
              </w:rPr>
              <w:t>2,126</w:t>
            </w:r>
          </w:p>
        </w:tc>
        <w:tc>
          <w:tcPr>
            <w:tcW w:type="dxa" w:w="893"/>
            <w:shd w:val="clear" w:color="auto" w:fill="F6F1E6"/>
          </w:tcPr>
          <w:p>
            <w:pPr>
              <w:spacing w:after="20"/>
              <w:jc w:val="right"/>
            </w:pPr>
            <w:r>
              <w:rPr>
                <w:b/>
                <w:color w:val="1C3A36"/>
                <w:sz w:val="15"/>
              </w:rPr>
              <w:t>2,345</w:t>
            </w:r>
          </w:p>
        </w:tc>
        <w:tc>
          <w:tcPr>
            <w:tcW w:type="dxa" w:w="893"/>
            <w:shd w:val="clear" w:color="auto" w:fill="F6F1E6"/>
          </w:tcPr>
          <w:p>
            <w:pPr>
              <w:spacing w:after="20"/>
              <w:jc w:val="right"/>
            </w:pPr>
            <w:r>
              <w:rPr>
                <w:b/>
                <w:color w:val="1C3A36"/>
                <w:sz w:val="15"/>
              </w:rPr>
              <w:t>2,574</w:t>
            </w:r>
          </w:p>
        </w:tc>
      </w:tr>
      <w:tr>
        <w:tc>
          <w:tcPr>
            <w:tcW w:type="dxa" w:w="2333"/>
          </w:tcPr>
          <w:p>
            <w:pPr>
              <w:spacing w:after="20"/>
            </w:pPr>
            <w:r>
              <w:rPr>
                <w:color w:val="1C3A36"/>
                <w:sz w:val="15"/>
              </w:rPr>
              <w:t>Earnings per share (EGP)</w:t>
            </w:r>
          </w:p>
        </w:tc>
        <w:tc>
          <w:tcPr>
            <w:tcW w:type="dxa" w:w="907"/>
          </w:tcPr>
          <w:p>
            <w:pPr>
              <w:spacing w:after="20"/>
              <w:jc w:val="right"/>
            </w:pPr>
            <w:r>
              <w:rPr>
                <w:color w:val="1C3A36"/>
                <w:sz w:val="15"/>
              </w:rPr>
              <w:t>0.99</w:t>
            </w:r>
          </w:p>
        </w:tc>
        <w:tc>
          <w:tcPr>
            <w:tcW w:type="dxa" w:w="907"/>
          </w:tcPr>
          <w:p>
            <w:pPr>
              <w:spacing w:after="20"/>
              <w:jc w:val="right"/>
            </w:pPr>
            <w:r>
              <w:rPr>
                <w:color w:val="1C3A36"/>
                <w:sz w:val="15"/>
              </w:rPr>
              <w:t>1.13</w:t>
            </w:r>
          </w:p>
        </w:tc>
        <w:tc>
          <w:tcPr>
            <w:tcW w:type="dxa" w:w="907"/>
          </w:tcPr>
          <w:p>
            <w:pPr>
              <w:spacing w:after="20"/>
              <w:jc w:val="right"/>
            </w:pPr>
            <w:r>
              <w:rPr>
                <w:color w:val="1C3A36"/>
                <w:sz w:val="15"/>
              </w:rPr>
              <w:t>1.16</w:t>
            </w:r>
          </w:p>
        </w:tc>
        <w:tc>
          <w:tcPr>
            <w:tcW w:type="dxa" w:w="907"/>
          </w:tcPr>
          <w:p>
            <w:pPr>
              <w:spacing w:after="20"/>
              <w:jc w:val="right"/>
            </w:pPr>
            <w:r>
              <w:rPr>
                <w:color w:val="1C3A36"/>
                <w:sz w:val="15"/>
              </w:rPr>
              <w:t>1.17</w:t>
            </w:r>
          </w:p>
        </w:tc>
        <w:tc>
          <w:tcPr>
            <w:tcW w:type="dxa" w:w="893"/>
          </w:tcPr>
          <w:p>
            <w:pPr>
              <w:spacing w:after="20"/>
              <w:jc w:val="right"/>
            </w:pPr>
            <w:r>
              <w:rPr>
                <w:color w:val="1C3A36"/>
                <w:sz w:val="15"/>
              </w:rPr>
              <w:t>1.31</w:t>
            </w:r>
          </w:p>
        </w:tc>
        <w:tc>
          <w:tcPr>
            <w:tcW w:type="dxa" w:w="893"/>
          </w:tcPr>
          <w:p>
            <w:pPr>
              <w:spacing w:after="20"/>
              <w:jc w:val="right"/>
            </w:pPr>
            <w:r>
              <w:rPr>
                <w:color w:val="1C3A36"/>
                <w:sz w:val="15"/>
              </w:rPr>
              <w:t>1.48</w:t>
            </w:r>
          </w:p>
        </w:tc>
        <w:tc>
          <w:tcPr>
            <w:tcW w:type="dxa" w:w="893"/>
          </w:tcPr>
          <w:p>
            <w:pPr>
              <w:spacing w:after="20"/>
              <w:jc w:val="right"/>
            </w:pPr>
            <w:r>
              <w:rPr>
                <w:color w:val="1C3A36"/>
                <w:sz w:val="15"/>
              </w:rPr>
              <w:t>1.65</w:t>
            </w:r>
          </w:p>
        </w:tc>
        <w:tc>
          <w:tcPr>
            <w:tcW w:type="dxa" w:w="893"/>
          </w:tcPr>
          <w:p>
            <w:pPr>
              <w:spacing w:after="20"/>
              <w:jc w:val="right"/>
            </w:pPr>
            <w:r>
              <w:rPr>
                <w:color w:val="1C3A36"/>
                <w:sz w:val="15"/>
              </w:rPr>
              <w:t>1.82</w:t>
            </w:r>
          </w:p>
        </w:tc>
        <w:tc>
          <w:tcPr>
            <w:tcW w:type="dxa" w:w="893"/>
          </w:tcPr>
          <w:p>
            <w:pPr>
              <w:spacing w:after="20"/>
              <w:jc w:val="right"/>
            </w:pPr>
            <w:r>
              <w:rPr>
                <w:color w:val="1C3A36"/>
                <w:sz w:val="15"/>
              </w:rPr>
              <w:t>1.99</w:t>
            </w:r>
          </w:p>
        </w:tc>
      </w:tr>
    </w:tbl>
    <w:p>
      <w:pPr>
        <w:spacing w:after="40"/>
      </w:pPr>
    </w:p>
    <w:p>
      <w:pPr>
        <w:spacing w:after="200" w:before="0"/>
      </w:pPr>
      <w:r>
        <w:rPr>
          <w:b w:val="0"/>
          <w:i/>
          <w:color w:val="6E7B77"/>
          <w:sz w:val="17"/>
        </w:rPr>
        <w:t>Revenue and gross profit for the June-2023 year are disclosed. The June-2024 and June-2025 revenue figures are the average of independently sourced methods. The calendar-2025 column is constructed from two disclosed halves as shown in section 1.2, and its intermediate lines are closed from the disclosed profit at the stated effective tax rate. Forecast profit is struck after net finance income and therefore differs from the free-cash-flow waterfall, which is a pre-financing measure by construction.</w:t>
      </w:r>
    </w:p>
    <w:p>
      <w:pPr>
        <w:spacing w:after="80" w:before="200"/>
      </w:pPr>
      <w:r>
        <w:rPr>
          <w:b/>
          <w:i w:val="0"/>
          <w:color w:val="1C3A36"/>
          <w:sz w:val="24"/>
        </w:rPr>
        <w:t>A.2  Balance sheet — four historical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907"/>
        <w:gridCol w:w="907"/>
        <w:gridCol w:w="907"/>
        <w:gridCol w:w="907"/>
        <w:gridCol w:w="893"/>
        <w:gridCol w:w="893"/>
        <w:gridCol w:w="893"/>
        <w:gridCol w:w="893"/>
        <w:gridCol w:w="893"/>
      </w:tblGrid>
      <w:tr>
        <w:tc>
          <w:tcPr>
            <w:tcW w:type="dxa" w:w="2333"/>
            <w:shd w:val="clear" w:color="auto" w:fill="EAF0EE"/>
          </w:tcPr>
          <w:p>
            <w:pPr>
              <w:spacing w:after="20"/>
            </w:pPr>
            <w:r>
              <w:rPr>
                <w:b/>
                <w:color w:val="1C3A36"/>
                <w:sz w:val="15"/>
              </w:rPr>
              <w:t>EGP mn</w:t>
            </w:r>
          </w:p>
        </w:tc>
        <w:tc>
          <w:tcPr>
            <w:tcW w:type="dxa" w:w="907"/>
            <w:shd w:val="clear" w:color="auto" w:fill="EAF0EE"/>
          </w:tcPr>
          <w:p>
            <w:pPr>
              <w:spacing w:after="20"/>
            </w:pPr>
            <w:r>
              <w:rPr>
                <w:b/>
                <w:color w:val="1C3A36"/>
                <w:sz w:val="15"/>
              </w:rPr>
              <w:t>Jun-23</w:t>
            </w:r>
          </w:p>
        </w:tc>
        <w:tc>
          <w:tcPr>
            <w:tcW w:type="dxa" w:w="907"/>
            <w:shd w:val="clear" w:color="auto" w:fill="EAF0EE"/>
          </w:tcPr>
          <w:p>
            <w:pPr>
              <w:spacing w:after="20"/>
            </w:pPr>
            <w:r>
              <w:rPr>
                <w:b/>
                <w:color w:val="1C3A36"/>
                <w:sz w:val="15"/>
              </w:rPr>
              <w:t>Jun-24</w:t>
            </w:r>
          </w:p>
        </w:tc>
        <w:tc>
          <w:tcPr>
            <w:tcW w:type="dxa" w:w="907"/>
            <w:shd w:val="clear" w:color="auto" w:fill="EAF0EE"/>
          </w:tcPr>
          <w:p>
            <w:pPr>
              <w:spacing w:after="20"/>
            </w:pPr>
            <w:r>
              <w:rPr>
                <w:b/>
                <w:color w:val="1C3A36"/>
                <w:sz w:val="15"/>
              </w:rPr>
              <w:t>Jun-25</w:t>
            </w:r>
          </w:p>
        </w:tc>
        <w:tc>
          <w:tcPr>
            <w:tcW w:type="dxa" w:w="907"/>
            <w:shd w:val="clear" w:color="auto" w:fill="EAF0EE"/>
          </w:tcPr>
          <w:p>
            <w:pPr>
              <w:spacing w:after="20"/>
            </w:pPr>
            <w:r>
              <w:rPr>
                <w:b/>
                <w:color w:val="1C3A36"/>
                <w:sz w:val="15"/>
              </w:rPr>
              <w:t>CY2025</w:t>
            </w:r>
          </w:p>
        </w:tc>
        <w:tc>
          <w:tcPr>
            <w:tcW w:type="dxa" w:w="893"/>
            <w:shd w:val="clear" w:color="auto" w:fill="EAF0EE"/>
          </w:tcPr>
          <w:p>
            <w:pPr>
              <w:spacing w:after="20"/>
            </w:pPr>
            <w:r>
              <w:rPr>
                <w:b/>
                <w:color w:val="1C3A36"/>
                <w:sz w:val="15"/>
              </w:rPr>
              <w:t>2026E</w:t>
            </w:r>
          </w:p>
        </w:tc>
        <w:tc>
          <w:tcPr>
            <w:tcW w:type="dxa" w:w="893"/>
            <w:shd w:val="clear" w:color="auto" w:fill="EAF0EE"/>
          </w:tcPr>
          <w:p>
            <w:pPr>
              <w:spacing w:after="20"/>
            </w:pPr>
            <w:r>
              <w:rPr>
                <w:b/>
                <w:color w:val="1C3A36"/>
                <w:sz w:val="15"/>
              </w:rPr>
              <w:t>2027E</w:t>
            </w:r>
          </w:p>
        </w:tc>
        <w:tc>
          <w:tcPr>
            <w:tcW w:type="dxa" w:w="893"/>
            <w:shd w:val="clear" w:color="auto" w:fill="EAF0EE"/>
          </w:tcPr>
          <w:p>
            <w:pPr>
              <w:spacing w:after="20"/>
            </w:pPr>
            <w:r>
              <w:rPr>
                <w:b/>
                <w:color w:val="1C3A36"/>
                <w:sz w:val="15"/>
              </w:rPr>
              <w:t>2028E</w:t>
            </w:r>
          </w:p>
        </w:tc>
        <w:tc>
          <w:tcPr>
            <w:tcW w:type="dxa" w:w="893"/>
            <w:shd w:val="clear" w:color="auto" w:fill="EAF0EE"/>
          </w:tcPr>
          <w:p>
            <w:pPr>
              <w:spacing w:after="20"/>
            </w:pPr>
            <w:r>
              <w:rPr>
                <w:b/>
                <w:color w:val="1C3A36"/>
                <w:sz w:val="15"/>
              </w:rPr>
              <w:t>2029E</w:t>
            </w:r>
          </w:p>
        </w:tc>
        <w:tc>
          <w:tcPr>
            <w:tcW w:type="dxa" w:w="893"/>
            <w:shd w:val="clear" w:color="auto" w:fill="EAF0EE"/>
          </w:tcPr>
          <w:p>
            <w:pPr>
              <w:spacing w:after="20"/>
            </w:pPr>
            <w:r>
              <w:rPr>
                <w:b/>
                <w:color w:val="1C3A36"/>
                <w:sz w:val="15"/>
              </w:rPr>
              <w:t>2030E</w:t>
            </w:r>
          </w:p>
        </w:tc>
      </w:tr>
      <w:tr>
        <w:tc>
          <w:tcPr>
            <w:tcW w:type="dxa" w:w="2333"/>
          </w:tcPr>
          <w:p>
            <w:pPr>
              <w:spacing w:after="20"/>
            </w:pPr>
            <w:r>
              <w:rPr>
                <w:color w:val="1C3A36"/>
                <w:sz w:val="15"/>
              </w:rPr>
              <w:t>Property, plant and equipment</w:t>
            </w:r>
          </w:p>
        </w:tc>
        <w:tc>
          <w:tcPr>
            <w:tcW w:type="dxa" w:w="907"/>
          </w:tcPr>
          <w:p>
            <w:pPr>
              <w:spacing w:after="20"/>
              <w:jc w:val="right"/>
            </w:pPr>
            <w:r>
              <w:rPr>
                <w:color w:val="1C3A36"/>
                <w:sz w:val="15"/>
              </w:rPr>
              <w:t>1,803</w:t>
            </w:r>
          </w:p>
        </w:tc>
        <w:tc>
          <w:tcPr>
            <w:tcW w:type="dxa" w:w="907"/>
          </w:tcPr>
          <w:p>
            <w:pPr>
              <w:spacing w:after="20"/>
              <w:jc w:val="right"/>
            </w:pPr>
            <w:r>
              <w:rPr>
                <w:color w:val="1C3A36"/>
                <w:sz w:val="15"/>
              </w:rPr>
              <w:t>2,200</w:t>
            </w:r>
          </w:p>
        </w:tc>
        <w:tc>
          <w:tcPr>
            <w:tcW w:type="dxa" w:w="907"/>
          </w:tcPr>
          <w:p>
            <w:pPr>
              <w:spacing w:after="20"/>
              <w:jc w:val="right"/>
            </w:pPr>
            <w:r>
              <w:rPr>
                <w:color w:val="1C3A36"/>
                <w:sz w:val="15"/>
              </w:rPr>
              <w:t>2,327</w:t>
            </w:r>
          </w:p>
        </w:tc>
        <w:tc>
          <w:tcPr>
            <w:tcW w:type="dxa" w:w="907"/>
          </w:tcPr>
          <w:p>
            <w:pPr>
              <w:spacing w:after="20"/>
              <w:jc w:val="right"/>
            </w:pPr>
            <w:r>
              <w:rPr>
                <w:color w:val="1C3A36"/>
                <w:sz w:val="15"/>
              </w:rPr>
              <w:t>2,403</w:t>
            </w:r>
          </w:p>
        </w:tc>
        <w:tc>
          <w:tcPr>
            <w:tcW w:type="dxa" w:w="893"/>
          </w:tcPr>
          <w:p>
            <w:pPr>
              <w:spacing w:after="20"/>
              <w:jc w:val="right"/>
            </w:pPr>
            <w:r>
              <w:rPr>
                <w:color w:val="1C3A36"/>
                <w:sz w:val="15"/>
              </w:rPr>
              <w:t>2,560</w:t>
            </w:r>
          </w:p>
        </w:tc>
        <w:tc>
          <w:tcPr>
            <w:tcW w:type="dxa" w:w="893"/>
          </w:tcPr>
          <w:p>
            <w:pPr>
              <w:spacing w:after="20"/>
              <w:jc w:val="right"/>
            </w:pPr>
            <w:r>
              <w:rPr>
                <w:color w:val="1C3A36"/>
                <w:sz w:val="15"/>
              </w:rPr>
              <w:t>2,711</w:t>
            </w:r>
          </w:p>
        </w:tc>
        <w:tc>
          <w:tcPr>
            <w:tcW w:type="dxa" w:w="893"/>
          </w:tcPr>
          <w:p>
            <w:pPr>
              <w:spacing w:after="20"/>
              <w:jc w:val="right"/>
            </w:pPr>
            <w:r>
              <w:rPr>
                <w:color w:val="1C3A36"/>
                <w:sz w:val="15"/>
              </w:rPr>
              <w:t>2,850</w:t>
            </w:r>
          </w:p>
        </w:tc>
        <w:tc>
          <w:tcPr>
            <w:tcW w:type="dxa" w:w="893"/>
          </w:tcPr>
          <w:p>
            <w:pPr>
              <w:spacing w:after="20"/>
              <w:jc w:val="right"/>
            </w:pPr>
            <w:r>
              <w:rPr>
                <w:color w:val="1C3A36"/>
                <w:sz w:val="15"/>
              </w:rPr>
              <w:t>2,972</w:t>
            </w:r>
          </w:p>
        </w:tc>
        <w:tc>
          <w:tcPr>
            <w:tcW w:type="dxa" w:w="893"/>
          </w:tcPr>
          <w:p>
            <w:pPr>
              <w:spacing w:after="20"/>
              <w:jc w:val="right"/>
            </w:pPr>
            <w:r>
              <w:rPr>
                <w:color w:val="1C3A36"/>
                <w:sz w:val="15"/>
              </w:rPr>
              <w:t>3,071</w:t>
            </w:r>
          </w:p>
        </w:tc>
      </w:tr>
      <w:tr>
        <w:tc>
          <w:tcPr>
            <w:tcW w:type="dxa" w:w="2333"/>
          </w:tcPr>
          <w:p>
            <w:pPr>
              <w:spacing w:after="20"/>
            </w:pPr>
            <w:r>
              <w:rPr>
                <w:color w:val="1C3A36"/>
                <w:sz w:val="15"/>
              </w:rPr>
              <w:t>Inventories</w:t>
            </w:r>
          </w:p>
        </w:tc>
        <w:tc>
          <w:tcPr>
            <w:tcW w:type="dxa" w:w="907"/>
          </w:tcPr>
          <w:p>
            <w:pPr>
              <w:spacing w:after="20"/>
              <w:jc w:val="right"/>
            </w:pPr>
            <w:r>
              <w:rPr>
                <w:color w:val="1C3A36"/>
                <w:sz w:val="15"/>
              </w:rPr>
              <w:t>814</w:t>
            </w:r>
          </w:p>
        </w:tc>
        <w:tc>
          <w:tcPr>
            <w:tcW w:type="dxa" w:w="907"/>
          </w:tcPr>
          <w:p>
            <w:pPr>
              <w:spacing w:after="20"/>
              <w:jc w:val="right"/>
            </w:pPr>
            <w:r>
              <w:rPr>
                <w:color w:val="1C3A36"/>
                <w:sz w:val="15"/>
              </w:rPr>
              <w:t>1,209</w:t>
            </w:r>
          </w:p>
        </w:tc>
        <w:tc>
          <w:tcPr>
            <w:tcW w:type="dxa" w:w="907"/>
          </w:tcPr>
          <w:p>
            <w:pPr>
              <w:spacing w:after="20"/>
              <w:jc w:val="right"/>
            </w:pPr>
            <w:r>
              <w:rPr>
                <w:color w:val="1C3A36"/>
                <w:sz w:val="15"/>
              </w:rPr>
              <w:t>1,349</w:t>
            </w:r>
          </w:p>
        </w:tc>
        <w:tc>
          <w:tcPr>
            <w:tcW w:type="dxa" w:w="907"/>
          </w:tcPr>
          <w:p>
            <w:pPr>
              <w:spacing w:after="20"/>
              <w:jc w:val="right"/>
            </w:pPr>
            <w:r>
              <w:rPr>
                <w:color w:val="1C3A36"/>
                <w:sz w:val="15"/>
              </w:rPr>
              <w:t>1,436</w:t>
            </w:r>
          </w:p>
        </w:tc>
        <w:tc>
          <w:tcPr>
            <w:tcW w:type="dxa" w:w="893"/>
          </w:tcPr>
          <w:p>
            <w:pPr>
              <w:spacing w:after="20"/>
              <w:jc w:val="right"/>
            </w:pPr>
            <w:r>
              <w:rPr>
                <w:color w:val="1C3A36"/>
                <w:sz w:val="15"/>
              </w:rPr>
              <w:t>1,611</w:t>
            </w:r>
          </w:p>
        </w:tc>
        <w:tc>
          <w:tcPr>
            <w:tcW w:type="dxa" w:w="893"/>
          </w:tcPr>
          <w:p>
            <w:pPr>
              <w:spacing w:after="20"/>
              <w:jc w:val="right"/>
            </w:pPr>
            <w:r>
              <w:rPr>
                <w:color w:val="1C3A36"/>
                <w:sz w:val="15"/>
              </w:rPr>
              <w:t>1,799</w:t>
            </w:r>
          </w:p>
        </w:tc>
        <w:tc>
          <w:tcPr>
            <w:tcW w:type="dxa" w:w="893"/>
          </w:tcPr>
          <w:p>
            <w:pPr>
              <w:spacing w:after="20"/>
              <w:jc w:val="right"/>
            </w:pPr>
            <w:r>
              <w:rPr>
                <w:color w:val="1C3A36"/>
                <w:sz w:val="15"/>
              </w:rPr>
              <w:t>1,990</w:t>
            </w:r>
          </w:p>
        </w:tc>
        <w:tc>
          <w:tcPr>
            <w:tcW w:type="dxa" w:w="893"/>
          </w:tcPr>
          <w:p>
            <w:pPr>
              <w:spacing w:after="20"/>
              <w:jc w:val="right"/>
            </w:pPr>
            <w:r>
              <w:rPr>
                <w:color w:val="1C3A36"/>
                <w:sz w:val="15"/>
              </w:rPr>
              <w:t>2,177</w:t>
            </w:r>
          </w:p>
        </w:tc>
        <w:tc>
          <w:tcPr>
            <w:tcW w:type="dxa" w:w="893"/>
          </w:tcPr>
          <w:p>
            <w:pPr>
              <w:spacing w:after="20"/>
              <w:jc w:val="right"/>
            </w:pPr>
            <w:r>
              <w:rPr>
                <w:color w:val="1C3A36"/>
                <w:sz w:val="15"/>
              </w:rPr>
              <w:t>2,364</w:t>
            </w:r>
          </w:p>
        </w:tc>
      </w:tr>
      <w:tr>
        <w:tc>
          <w:tcPr>
            <w:tcW w:type="dxa" w:w="2333"/>
          </w:tcPr>
          <w:p>
            <w:pPr>
              <w:spacing w:after="20"/>
            </w:pPr>
            <w:r>
              <w:rPr>
                <w:color w:val="1C3A36"/>
                <w:sz w:val="15"/>
              </w:rPr>
              <w:t>Trade receivables</w:t>
            </w:r>
          </w:p>
        </w:tc>
        <w:tc>
          <w:tcPr>
            <w:tcW w:type="dxa" w:w="907"/>
          </w:tcPr>
          <w:p>
            <w:pPr>
              <w:spacing w:after="20"/>
              <w:jc w:val="right"/>
            </w:pPr>
            <w:r>
              <w:rPr>
                <w:color w:val="1C3A36"/>
                <w:sz w:val="15"/>
              </w:rPr>
              <w:t>864</w:t>
            </w:r>
          </w:p>
        </w:tc>
        <w:tc>
          <w:tcPr>
            <w:tcW w:type="dxa" w:w="907"/>
          </w:tcPr>
          <w:p>
            <w:pPr>
              <w:spacing w:after="20"/>
              <w:jc w:val="right"/>
            </w:pPr>
            <w:r>
              <w:rPr>
                <w:color w:val="1C3A36"/>
                <w:sz w:val="15"/>
              </w:rPr>
              <w:t>1,286</w:t>
            </w:r>
          </w:p>
        </w:tc>
        <w:tc>
          <w:tcPr>
            <w:tcW w:type="dxa" w:w="907"/>
          </w:tcPr>
          <w:p>
            <w:pPr>
              <w:spacing w:after="20"/>
              <w:jc w:val="right"/>
            </w:pPr>
            <w:r>
              <w:rPr>
                <w:color w:val="1C3A36"/>
                <w:sz w:val="15"/>
              </w:rPr>
              <w:t>1,439</w:t>
            </w:r>
          </w:p>
        </w:tc>
        <w:tc>
          <w:tcPr>
            <w:tcW w:type="dxa" w:w="907"/>
          </w:tcPr>
          <w:p>
            <w:pPr>
              <w:spacing w:after="20"/>
              <w:jc w:val="right"/>
            </w:pPr>
            <w:r>
              <w:rPr>
                <w:color w:val="1C3A36"/>
                <w:sz w:val="15"/>
              </w:rPr>
              <w:t>1,534</w:t>
            </w:r>
          </w:p>
        </w:tc>
        <w:tc>
          <w:tcPr>
            <w:tcW w:type="dxa" w:w="893"/>
          </w:tcPr>
          <w:p>
            <w:pPr>
              <w:spacing w:after="20"/>
              <w:jc w:val="right"/>
            </w:pPr>
            <w:r>
              <w:rPr>
                <w:color w:val="1C3A36"/>
                <w:sz w:val="15"/>
              </w:rPr>
              <w:t>1,723</w:t>
            </w:r>
          </w:p>
        </w:tc>
        <w:tc>
          <w:tcPr>
            <w:tcW w:type="dxa" w:w="893"/>
          </w:tcPr>
          <w:p>
            <w:pPr>
              <w:spacing w:after="20"/>
              <w:jc w:val="right"/>
            </w:pPr>
            <w:r>
              <w:rPr>
                <w:color w:val="1C3A36"/>
                <w:sz w:val="15"/>
              </w:rPr>
              <w:t>1,928</w:t>
            </w:r>
          </w:p>
        </w:tc>
        <w:tc>
          <w:tcPr>
            <w:tcW w:type="dxa" w:w="893"/>
          </w:tcPr>
          <w:p>
            <w:pPr>
              <w:spacing w:after="20"/>
              <w:jc w:val="right"/>
            </w:pPr>
            <w:r>
              <w:rPr>
                <w:color w:val="1C3A36"/>
                <w:sz w:val="15"/>
              </w:rPr>
              <w:t>2,134</w:t>
            </w:r>
          </w:p>
        </w:tc>
        <w:tc>
          <w:tcPr>
            <w:tcW w:type="dxa" w:w="893"/>
          </w:tcPr>
          <w:p>
            <w:pPr>
              <w:spacing w:after="20"/>
              <w:jc w:val="right"/>
            </w:pPr>
            <w:r>
              <w:rPr>
                <w:color w:val="1C3A36"/>
                <w:sz w:val="15"/>
              </w:rPr>
              <w:t>2,337</w:t>
            </w:r>
          </w:p>
        </w:tc>
        <w:tc>
          <w:tcPr>
            <w:tcW w:type="dxa" w:w="893"/>
          </w:tcPr>
          <w:p>
            <w:pPr>
              <w:spacing w:after="20"/>
              <w:jc w:val="right"/>
            </w:pPr>
            <w:r>
              <w:rPr>
                <w:color w:val="1C3A36"/>
                <w:sz w:val="15"/>
              </w:rPr>
              <w:t>2,538</w:t>
            </w:r>
          </w:p>
        </w:tc>
      </w:tr>
      <w:tr>
        <w:tc>
          <w:tcPr>
            <w:tcW w:type="dxa" w:w="2333"/>
          </w:tcPr>
          <w:p>
            <w:pPr>
              <w:spacing w:after="20"/>
            </w:pPr>
            <w:r>
              <w:rPr>
                <w:color w:val="1C3A36"/>
                <w:sz w:val="15"/>
              </w:rPr>
              <w:t>Other current assets</w:t>
            </w:r>
          </w:p>
        </w:tc>
        <w:tc>
          <w:tcPr>
            <w:tcW w:type="dxa" w:w="907"/>
          </w:tcPr>
          <w:p>
            <w:pPr>
              <w:spacing w:after="20"/>
              <w:jc w:val="right"/>
            </w:pPr>
            <w:r>
              <w:rPr>
                <w:color w:val="1C3A36"/>
                <w:sz w:val="15"/>
              </w:rPr>
              <w:t>300</w:t>
            </w:r>
          </w:p>
        </w:tc>
        <w:tc>
          <w:tcPr>
            <w:tcW w:type="dxa" w:w="907"/>
          </w:tcPr>
          <w:p>
            <w:pPr>
              <w:spacing w:after="20"/>
              <w:jc w:val="right"/>
            </w:pPr>
            <w:r>
              <w:rPr>
                <w:color w:val="1C3A36"/>
                <w:sz w:val="15"/>
              </w:rPr>
              <w:t>300</w:t>
            </w:r>
          </w:p>
        </w:tc>
        <w:tc>
          <w:tcPr>
            <w:tcW w:type="dxa" w:w="907"/>
          </w:tcPr>
          <w:p>
            <w:pPr>
              <w:spacing w:after="20"/>
              <w:jc w:val="right"/>
            </w:pPr>
            <w:r>
              <w:rPr>
                <w:color w:val="1C3A36"/>
                <w:sz w:val="15"/>
              </w:rPr>
              <w:t>300</w:t>
            </w:r>
          </w:p>
        </w:tc>
        <w:tc>
          <w:tcPr>
            <w:tcW w:type="dxa" w:w="907"/>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c>
          <w:tcPr>
            <w:tcW w:type="dxa" w:w="893"/>
          </w:tcPr>
          <w:p>
            <w:pPr>
              <w:spacing w:after="20"/>
              <w:jc w:val="right"/>
            </w:pPr>
            <w:r>
              <w:rPr>
                <w:color w:val="1C3A36"/>
                <w:sz w:val="15"/>
              </w:rPr>
              <w:t>300</w:t>
            </w:r>
          </w:p>
        </w:tc>
      </w:tr>
      <w:tr>
        <w:tc>
          <w:tcPr>
            <w:tcW w:type="dxa" w:w="2333"/>
          </w:tcPr>
          <w:p>
            <w:pPr>
              <w:spacing w:after="20"/>
            </w:pPr>
            <w:r>
              <w:rPr>
                <w:color w:val="1C3A36"/>
                <w:sz w:val="15"/>
              </w:rPr>
              <w:t>Cash and equivalents</w:t>
            </w:r>
          </w:p>
        </w:tc>
        <w:tc>
          <w:tcPr>
            <w:tcW w:type="dxa" w:w="907"/>
          </w:tcPr>
          <w:p>
            <w:pPr>
              <w:spacing w:after="20"/>
              <w:jc w:val="right"/>
            </w:pPr>
            <w:r>
              <w:rPr>
                <w:color w:val="1C3A36"/>
                <w:sz w:val="15"/>
              </w:rPr>
              <w:t>1,859</w:t>
            </w:r>
          </w:p>
        </w:tc>
        <w:tc>
          <w:tcPr>
            <w:tcW w:type="dxa" w:w="907"/>
          </w:tcPr>
          <w:p>
            <w:pPr>
              <w:spacing w:after="20"/>
              <w:jc w:val="right"/>
            </w:pPr>
            <w:r>
              <w:rPr>
                <w:color w:val="1C3A36"/>
                <w:sz w:val="15"/>
              </w:rPr>
              <w:t>1,982</w:t>
            </w:r>
          </w:p>
        </w:tc>
        <w:tc>
          <w:tcPr>
            <w:tcW w:type="dxa" w:w="907"/>
          </w:tcPr>
          <w:p>
            <w:pPr>
              <w:spacing w:after="20"/>
              <w:jc w:val="right"/>
            </w:pPr>
            <w:r>
              <w:rPr>
                <w:color w:val="1C3A36"/>
                <w:sz w:val="15"/>
              </w:rPr>
              <w:t>2,390</w:t>
            </w:r>
          </w:p>
        </w:tc>
        <w:tc>
          <w:tcPr>
            <w:tcW w:type="dxa" w:w="907"/>
          </w:tcPr>
          <w:p>
            <w:pPr>
              <w:spacing w:after="20"/>
              <w:jc w:val="right"/>
            </w:pPr>
            <w:r>
              <w:rPr>
                <w:color w:val="1C3A36"/>
                <w:sz w:val="15"/>
              </w:rPr>
              <w:t>2,464</w:t>
            </w:r>
          </w:p>
        </w:tc>
        <w:tc>
          <w:tcPr>
            <w:tcW w:type="dxa" w:w="893"/>
          </w:tcPr>
          <w:p>
            <w:pPr>
              <w:spacing w:after="20"/>
              <w:jc w:val="right"/>
            </w:pPr>
            <w:r>
              <w:rPr>
                <w:color w:val="1C3A36"/>
                <w:sz w:val="15"/>
              </w:rPr>
              <w:t>2,776</w:t>
            </w:r>
          </w:p>
        </w:tc>
        <w:tc>
          <w:tcPr>
            <w:tcW w:type="dxa" w:w="893"/>
          </w:tcPr>
          <w:p>
            <w:pPr>
              <w:spacing w:after="20"/>
              <w:jc w:val="right"/>
            </w:pPr>
            <w:r>
              <w:rPr>
                <w:color w:val="1C3A36"/>
                <w:sz w:val="15"/>
              </w:rPr>
              <w:t>3,161</w:t>
            </w:r>
          </w:p>
        </w:tc>
        <w:tc>
          <w:tcPr>
            <w:tcW w:type="dxa" w:w="893"/>
          </w:tcPr>
          <w:p>
            <w:pPr>
              <w:spacing w:after="20"/>
              <w:jc w:val="right"/>
            </w:pPr>
            <w:r>
              <w:rPr>
                <w:color w:val="1C3A36"/>
                <w:sz w:val="15"/>
              </w:rPr>
              <w:t>3,629</w:t>
            </w:r>
          </w:p>
        </w:tc>
        <w:tc>
          <w:tcPr>
            <w:tcW w:type="dxa" w:w="893"/>
          </w:tcPr>
          <w:p>
            <w:pPr>
              <w:spacing w:after="20"/>
              <w:jc w:val="right"/>
            </w:pPr>
            <w:r>
              <w:rPr>
                <w:color w:val="1C3A36"/>
                <w:sz w:val="15"/>
              </w:rPr>
              <w:t>4,191</w:t>
            </w:r>
          </w:p>
        </w:tc>
        <w:tc>
          <w:tcPr>
            <w:tcW w:type="dxa" w:w="893"/>
          </w:tcPr>
          <w:p>
            <w:pPr>
              <w:spacing w:after="20"/>
              <w:jc w:val="right"/>
            </w:pPr>
            <w:r>
              <w:rPr>
                <w:color w:val="1C3A36"/>
                <w:sz w:val="15"/>
              </w:rPr>
              <w:t>4,852</w:t>
            </w:r>
          </w:p>
        </w:tc>
      </w:tr>
      <w:tr>
        <w:tc>
          <w:tcPr>
            <w:tcW w:type="dxa" w:w="2333"/>
            <w:shd w:val="clear" w:color="auto" w:fill="F6F1E6"/>
          </w:tcPr>
          <w:p>
            <w:pPr>
              <w:spacing w:after="20"/>
            </w:pPr>
            <w:r>
              <w:rPr>
                <w:b/>
                <w:color w:val="1C3A36"/>
                <w:sz w:val="15"/>
              </w:rPr>
              <w:t>TOTAL ASSETS</w:t>
            </w:r>
          </w:p>
        </w:tc>
        <w:tc>
          <w:tcPr>
            <w:tcW w:type="dxa" w:w="907"/>
            <w:shd w:val="clear" w:color="auto" w:fill="F6F1E6"/>
          </w:tcPr>
          <w:p>
            <w:pPr>
              <w:spacing w:after="20"/>
              <w:jc w:val="right"/>
            </w:pPr>
            <w:r>
              <w:rPr>
                <w:b/>
                <w:color w:val="1C3A36"/>
                <w:sz w:val="15"/>
              </w:rPr>
              <w:t>5,640</w:t>
            </w:r>
          </w:p>
        </w:tc>
        <w:tc>
          <w:tcPr>
            <w:tcW w:type="dxa" w:w="907"/>
            <w:shd w:val="clear" w:color="auto" w:fill="F6F1E6"/>
          </w:tcPr>
          <w:p>
            <w:pPr>
              <w:spacing w:after="20"/>
              <w:jc w:val="right"/>
            </w:pPr>
            <w:r>
              <w:rPr>
                <w:b/>
                <w:color w:val="1C3A36"/>
                <w:sz w:val="15"/>
              </w:rPr>
              <w:t>6,978</w:t>
            </w:r>
          </w:p>
        </w:tc>
        <w:tc>
          <w:tcPr>
            <w:tcW w:type="dxa" w:w="907"/>
            <w:shd w:val="clear" w:color="auto" w:fill="F6F1E6"/>
          </w:tcPr>
          <w:p>
            <w:pPr>
              <w:spacing w:after="20"/>
              <w:jc w:val="right"/>
            </w:pPr>
            <w:r>
              <w:rPr>
                <w:b/>
                <w:color w:val="1C3A36"/>
                <w:sz w:val="15"/>
              </w:rPr>
              <w:t>7,805</w:t>
            </w:r>
          </w:p>
        </w:tc>
        <w:tc>
          <w:tcPr>
            <w:tcW w:type="dxa" w:w="907"/>
            <w:shd w:val="clear" w:color="auto" w:fill="F6F1E6"/>
          </w:tcPr>
          <w:p>
            <w:pPr>
              <w:spacing w:after="20"/>
              <w:jc w:val="right"/>
            </w:pPr>
            <w:r>
              <w:rPr>
                <w:b/>
                <w:color w:val="1C3A36"/>
                <w:sz w:val="15"/>
              </w:rPr>
              <w:t>8,136</w:t>
            </w:r>
          </w:p>
        </w:tc>
        <w:tc>
          <w:tcPr>
            <w:tcW w:type="dxa" w:w="893"/>
            <w:shd w:val="clear" w:color="auto" w:fill="F6F1E6"/>
          </w:tcPr>
          <w:p>
            <w:pPr>
              <w:spacing w:after="20"/>
              <w:jc w:val="right"/>
            </w:pPr>
            <w:r>
              <w:rPr>
                <w:b/>
                <w:color w:val="1C3A36"/>
                <w:sz w:val="15"/>
              </w:rPr>
              <w:t>8,971</w:t>
            </w:r>
          </w:p>
        </w:tc>
        <w:tc>
          <w:tcPr>
            <w:tcW w:type="dxa" w:w="893"/>
            <w:shd w:val="clear" w:color="auto" w:fill="F6F1E6"/>
          </w:tcPr>
          <w:p>
            <w:pPr>
              <w:spacing w:after="20"/>
              <w:jc w:val="right"/>
            </w:pPr>
            <w:r>
              <w:rPr>
                <w:b/>
                <w:color w:val="1C3A36"/>
                <w:sz w:val="15"/>
              </w:rPr>
              <w:t>9,899</w:t>
            </w:r>
          </w:p>
        </w:tc>
        <w:tc>
          <w:tcPr>
            <w:tcW w:type="dxa" w:w="893"/>
            <w:shd w:val="clear" w:color="auto" w:fill="F6F1E6"/>
          </w:tcPr>
          <w:p>
            <w:pPr>
              <w:spacing w:after="20"/>
              <w:jc w:val="right"/>
            </w:pPr>
            <w:r>
              <w:rPr>
                <w:b/>
                <w:color w:val="1C3A36"/>
                <w:sz w:val="15"/>
              </w:rPr>
              <w:t>10,903</w:t>
            </w:r>
          </w:p>
        </w:tc>
        <w:tc>
          <w:tcPr>
            <w:tcW w:type="dxa" w:w="893"/>
            <w:shd w:val="clear" w:color="auto" w:fill="F6F1E6"/>
          </w:tcPr>
          <w:p>
            <w:pPr>
              <w:spacing w:after="20"/>
              <w:jc w:val="right"/>
            </w:pPr>
            <w:r>
              <w:rPr>
                <w:b/>
                <w:color w:val="1C3A36"/>
                <w:sz w:val="15"/>
              </w:rPr>
              <w:t>11,977</w:t>
            </w:r>
          </w:p>
        </w:tc>
        <w:tc>
          <w:tcPr>
            <w:tcW w:type="dxa" w:w="893"/>
            <w:shd w:val="clear" w:color="auto" w:fill="F6F1E6"/>
          </w:tcPr>
          <w:p>
            <w:pPr>
              <w:spacing w:after="20"/>
              <w:jc w:val="right"/>
            </w:pPr>
            <w:r>
              <w:rPr>
                <w:b/>
                <w:color w:val="1C3A36"/>
                <w:sz w:val="15"/>
              </w:rPr>
              <w:t>13,126</w:t>
            </w:r>
          </w:p>
        </w:tc>
      </w:tr>
      <w:tr>
        <w:tc>
          <w:tcPr>
            <w:tcW w:type="dxa" w:w="2333"/>
          </w:tcPr>
          <w:p>
            <w:pPr>
              <w:spacing w:after="20"/>
            </w:pPr>
            <w:r>
              <w:rPr>
                <w:color w:val="1C3A36"/>
                <w:sz w:val="15"/>
              </w:rPr>
              <w:t>Trade payables</w:t>
            </w:r>
          </w:p>
        </w:tc>
        <w:tc>
          <w:tcPr>
            <w:tcW w:type="dxa" w:w="907"/>
          </w:tcPr>
          <w:p>
            <w:pPr>
              <w:spacing w:after="20"/>
              <w:jc w:val="right"/>
            </w:pPr>
            <w:r>
              <w:rPr>
                <w:color w:val="1C3A36"/>
                <w:sz w:val="15"/>
              </w:rPr>
              <w:t>1,395</w:t>
            </w:r>
          </w:p>
        </w:tc>
        <w:tc>
          <w:tcPr>
            <w:tcW w:type="dxa" w:w="907"/>
          </w:tcPr>
          <w:p>
            <w:pPr>
              <w:spacing w:after="20"/>
              <w:jc w:val="right"/>
            </w:pPr>
            <w:r>
              <w:rPr>
                <w:color w:val="1C3A36"/>
                <w:sz w:val="15"/>
              </w:rPr>
              <w:t>2,073</w:t>
            </w:r>
          </w:p>
        </w:tc>
        <w:tc>
          <w:tcPr>
            <w:tcW w:type="dxa" w:w="907"/>
          </w:tcPr>
          <w:p>
            <w:pPr>
              <w:spacing w:after="20"/>
              <w:jc w:val="right"/>
            </w:pPr>
            <w:r>
              <w:rPr>
                <w:color w:val="1C3A36"/>
                <w:sz w:val="15"/>
              </w:rPr>
              <w:t>2,313</w:t>
            </w:r>
          </w:p>
        </w:tc>
        <w:tc>
          <w:tcPr>
            <w:tcW w:type="dxa" w:w="907"/>
          </w:tcPr>
          <w:p>
            <w:pPr>
              <w:spacing w:after="20"/>
              <w:jc w:val="right"/>
            </w:pPr>
            <w:r>
              <w:rPr>
                <w:color w:val="1C3A36"/>
                <w:sz w:val="15"/>
              </w:rPr>
              <w:t>2,462</w:t>
            </w:r>
          </w:p>
        </w:tc>
        <w:tc>
          <w:tcPr>
            <w:tcW w:type="dxa" w:w="893"/>
          </w:tcPr>
          <w:p>
            <w:pPr>
              <w:spacing w:after="20"/>
              <w:jc w:val="right"/>
            </w:pPr>
            <w:r>
              <w:rPr>
                <w:color w:val="1C3A36"/>
                <w:sz w:val="15"/>
              </w:rPr>
              <w:t>2,762</w:t>
            </w:r>
          </w:p>
        </w:tc>
        <w:tc>
          <w:tcPr>
            <w:tcW w:type="dxa" w:w="893"/>
          </w:tcPr>
          <w:p>
            <w:pPr>
              <w:spacing w:after="20"/>
              <w:jc w:val="right"/>
            </w:pPr>
            <w:r>
              <w:rPr>
                <w:color w:val="1C3A36"/>
                <w:sz w:val="15"/>
              </w:rPr>
              <w:t>3,085</w:t>
            </w:r>
          </w:p>
        </w:tc>
        <w:tc>
          <w:tcPr>
            <w:tcW w:type="dxa" w:w="893"/>
          </w:tcPr>
          <w:p>
            <w:pPr>
              <w:spacing w:after="20"/>
              <w:jc w:val="right"/>
            </w:pPr>
            <w:r>
              <w:rPr>
                <w:color w:val="1C3A36"/>
                <w:sz w:val="15"/>
              </w:rPr>
              <w:t>3,411</w:t>
            </w:r>
          </w:p>
        </w:tc>
        <w:tc>
          <w:tcPr>
            <w:tcW w:type="dxa" w:w="893"/>
          </w:tcPr>
          <w:p>
            <w:pPr>
              <w:spacing w:after="20"/>
              <w:jc w:val="right"/>
            </w:pPr>
            <w:r>
              <w:rPr>
                <w:color w:val="1C3A36"/>
                <w:sz w:val="15"/>
              </w:rPr>
              <w:t>3,733</w:t>
            </w:r>
          </w:p>
        </w:tc>
        <w:tc>
          <w:tcPr>
            <w:tcW w:type="dxa" w:w="893"/>
          </w:tcPr>
          <w:p>
            <w:pPr>
              <w:spacing w:after="20"/>
              <w:jc w:val="right"/>
            </w:pPr>
            <w:r>
              <w:rPr>
                <w:color w:val="1C3A36"/>
                <w:sz w:val="15"/>
              </w:rPr>
              <w:t>4,052</w:t>
            </w:r>
          </w:p>
        </w:tc>
      </w:tr>
      <w:tr>
        <w:tc>
          <w:tcPr>
            <w:tcW w:type="dxa" w:w="2333"/>
          </w:tcPr>
          <w:p>
            <w:pPr>
              <w:spacing w:after="20"/>
            </w:pPr>
            <w:r>
              <w:rPr>
                <w:color w:val="1C3A36"/>
                <w:sz w:val="15"/>
              </w:rPr>
              <w:t>Gross debt</w:t>
            </w:r>
          </w:p>
        </w:tc>
        <w:tc>
          <w:tcPr>
            <w:tcW w:type="dxa" w:w="907"/>
          </w:tcPr>
          <w:p>
            <w:pPr>
              <w:spacing w:after="20"/>
              <w:jc w:val="right"/>
            </w:pPr>
            <w:r>
              <w:rPr>
                <w:color w:val="1C3A36"/>
                <w:sz w:val="15"/>
              </w:rPr>
              <w:t>25.3</w:t>
            </w:r>
          </w:p>
        </w:tc>
        <w:tc>
          <w:tcPr>
            <w:tcW w:type="dxa" w:w="907"/>
          </w:tcPr>
          <w:p>
            <w:pPr>
              <w:spacing w:after="20"/>
              <w:jc w:val="right"/>
            </w:pPr>
            <w:r>
              <w:rPr>
                <w:color w:val="1C3A36"/>
                <w:sz w:val="15"/>
              </w:rPr>
              <w:t>25.3</w:t>
            </w:r>
          </w:p>
        </w:tc>
        <w:tc>
          <w:tcPr>
            <w:tcW w:type="dxa" w:w="907"/>
          </w:tcPr>
          <w:p>
            <w:pPr>
              <w:spacing w:after="20"/>
              <w:jc w:val="right"/>
            </w:pPr>
            <w:r>
              <w:rPr>
                <w:color w:val="1C3A36"/>
                <w:sz w:val="15"/>
              </w:rPr>
              <w:t>25.3</w:t>
            </w:r>
          </w:p>
        </w:tc>
        <w:tc>
          <w:tcPr>
            <w:tcW w:type="dxa" w:w="907"/>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c>
          <w:tcPr>
            <w:tcW w:type="dxa" w:w="893"/>
          </w:tcPr>
          <w:p>
            <w:pPr>
              <w:spacing w:after="20"/>
              <w:jc w:val="right"/>
            </w:pPr>
            <w:r>
              <w:rPr>
                <w:color w:val="1C3A36"/>
                <w:sz w:val="15"/>
              </w:rPr>
              <w:t>25.3</w:t>
            </w:r>
          </w:p>
        </w:tc>
      </w:tr>
      <w:tr>
        <w:tc>
          <w:tcPr>
            <w:tcW w:type="dxa" w:w="2333"/>
          </w:tcPr>
          <w:p>
            <w:pPr>
              <w:spacing w:after="20"/>
            </w:pPr>
            <w:r>
              <w:rPr>
                <w:color w:val="1C3A36"/>
                <w:sz w:val="15"/>
              </w:rPr>
              <w:t>Other liabilities and provisions</w:t>
            </w:r>
          </w:p>
        </w:tc>
        <w:tc>
          <w:tcPr>
            <w:tcW w:type="dxa" w:w="907"/>
          </w:tcPr>
          <w:p>
            <w:pPr>
              <w:spacing w:after="20"/>
              <w:jc w:val="right"/>
            </w:pPr>
            <w:r>
              <w:rPr>
                <w:color w:val="1C3A36"/>
                <w:sz w:val="15"/>
              </w:rPr>
              <w:t>396</w:t>
            </w:r>
          </w:p>
        </w:tc>
        <w:tc>
          <w:tcPr>
            <w:tcW w:type="dxa" w:w="907"/>
          </w:tcPr>
          <w:p>
            <w:pPr>
              <w:spacing w:after="20"/>
              <w:jc w:val="right"/>
            </w:pPr>
            <w:r>
              <w:rPr>
                <w:color w:val="1C3A36"/>
                <w:sz w:val="15"/>
              </w:rPr>
              <w:t>589</w:t>
            </w:r>
          </w:p>
        </w:tc>
        <w:tc>
          <w:tcPr>
            <w:tcW w:type="dxa" w:w="907"/>
          </w:tcPr>
          <w:p>
            <w:pPr>
              <w:spacing w:after="20"/>
              <w:jc w:val="right"/>
            </w:pPr>
            <w:r>
              <w:rPr>
                <w:color w:val="1C3A36"/>
                <w:sz w:val="15"/>
              </w:rPr>
              <w:t>659</w:t>
            </w:r>
          </w:p>
        </w:tc>
        <w:tc>
          <w:tcPr>
            <w:tcW w:type="dxa" w:w="907"/>
          </w:tcPr>
          <w:p>
            <w:pPr>
              <w:spacing w:after="20"/>
              <w:jc w:val="right"/>
            </w:pPr>
            <w:r>
              <w:rPr>
                <w:color w:val="1C3A36"/>
                <w:sz w:val="15"/>
              </w:rPr>
              <w:t>703</w:t>
            </w:r>
          </w:p>
        </w:tc>
        <w:tc>
          <w:tcPr>
            <w:tcW w:type="dxa" w:w="893"/>
          </w:tcPr>
          <w:p>
            <w:pPr>
              <w:spacing w:after="20"/>
              <w:jc w:val="right"/>
            </w:pPr>
            <w:r>
              <w:rPr>
                <w:color w:val="1C3A36"/>
                <w:sz w:val="15"/>
              </w:rPr>
              <w:t>789</w:t>
            </w:r>
          </w:p>
        </w:tc>
        <w:tc>
          <w:tcPr>
            <w:tcW w:type="dxa" w:w="893"/>
          </w:tcPr>
          <w:p>
            <w:pPr>
              <w:spacing w:after="20"/>
              <w:jc w:val="right"/>
            </w:pPr>
            <w:r>
              <w:rPr>
                <w:color w:val="1C3A36"/>
                <w:sz w:val="15"/>
              </w:rPr>
              <w:t>883</w:t>
            </w:r>
          </w:p>
        </w:tc>
        <w:tc>
          <w:tcPr>
            <w:tcW w:type="dxa" w:w="893"/>
          </w:tcPr>
          <w:p>
            <w:pPr>
              <w:spacing w:after="20"/>
              <w:jc w:val="right"/>
            </w:pPr>
            <w:r>
              <w:rPr>
                <w:color w:val="1C3A36"/>
                <w:sz w:val="15"/>
              </w:rPr>
              <w:t>978</w:t>
            </w:r>
          </w:p>
        </w:tc>
        <w:tc>
          <w:tcPr>
            <w:tcW w:type="dxa" w:w="893"/>
          </w:tcPr>
          <w:p>
            <w:pPr>
              <w:spacing w:after="20"/>
              <w:jc w:val="right"/>
            </w:pPr>
            <w:r>
              <w:rPr>
                <w:color w:val="1C3A36"/>
                <w:sz w:val="15"/>
              </w:rPr>
              <w:t>1,070</w:t>
            </w:r>
          </w:p>
        </w:tc>
        <w:tc>
          <w:tcPr>
            <w:tcW w:type="dxa" w:w="893"/>
          </w:tcPr>
          <w:p>
            <w:pPr>
              <w:spacing w:after="20"/>
              <w:jc w:val="right"/>
            </w:pPr>
            <w:r>
              <w:rPr>
                <w:color w:val="1C3A36"/>
                <w:sz w:val="15"/>
              </w:rPr>
              <w:t>1,163</w:t>
            </w:r>
          </w:p>
        </w:tc>
      </w:tr>
      <w:tr>
        <w:tc>
          <w:tcPr>
            <w:tcW w:type="dxa" w:w="2333"/>
          </w:tcPr>
          <w:p>
            <w:pPr>
              <w:spacing w:after="20"/>
            </w:pPr>
            <w:r>
              <w:rPr>
                <w:color w:val="1C3A36"/>
                <w:sz w:val="15"/>
              </w:rPr>
              <w:t>Shareholders equity</w:t>
            </w:r>
          </w:p>
        </w:tc>
        <w:tc>
          <w:tcPr>
            <w:tcW w:type="dxa" w:w="907"/>
          </w:tcPr>
          <w:p>
            <w:pPr>
              <w:spacing w:after="20"/>
              <w:jc w:val="right"/>
            </w:pPr>
            <w:r>
              <w:rPr>
                <w:color w:val="1C3A36"/>
                <w:sz w:val="15"/>
              </w:rPr>
              <w:t>3,709</w:t>
            </w:r>
          </w:p>
        </w:tc>
        <w:tc>
          <w:tcPr>
            <w:tcW w:type="dxa" w:w="907"/>
          </w:tcPr>
          <w:p>
            <w:pPr>
              <w:spacing w:after="20"/>
              <w:jc w:val="right"/>
            </w:pPr>
            <w:r>
              <w:rPr>
                <w:color w:val="1C3A36"/>
                <w:sz w:val="15"/>
              </w:rPr>
              <w:t>4,162</w:t>
            </w:r>
          </w:p>
        </w:tc>
        <w:tc>
          <w:tcPr>
            <w:tcW w:type="dxa" w:w="907"/>
          </w:tcPr>
          <w:p>
            <w:pPr>
              <w:spacing w:after="20"/>
              <w:jc w:val="right"/>
            </w:pPr>
            <w:r>
              <w:rPr>
                <w:color w:val="1C3A36"/>
                <w:sz w:val="15"/>
              </w:rPr>
              <w:t>4,663</w:t>
            </w:r>
          </w:p>
        </w:tc>
        <w:tc>
          <w:tcPr>
            <w:tcW w:type="dxa" w:w="907"/>
          </w:tcPr>
          <w:p>
            <w:pPr>
              <w:spacing w:after="20"/>
              <w:jc w:val="right"/>
            </w:pPr>
            <w:r>
              <w:rPr>
                <w:color w:val="1C3A36"/>
                <w:sz w:val="15"/>
              </w:rPr>
              <w:t>4,798</w:t>
            </w:r>
          </w:p>
        </w:tc>
        <w:tc>
          <w:tcPr>
            <w:tcW w:type="dxa" w:w="893"/>
          </w:tcPr>
          <w:p>
            <w:pPr>
              <w:spacing w:after="20"/>
              <w:jc w:val="right"/>
            </w:pPr>
            <w:r>
              <w:rPr>
                <w:color w:val="1C3A36"/>
                <w:sz w:val="15"/>
              </w:rPr>
              <w:t>5,316</w:t>
            </w:r>
          </w:p>
        </w:tc>
        <w:tc>
          <w:tcPr>
            <w:tcW w:type="dxa" w:w="893"/>
          </w:tcPr>
          <w:p>
            <w:pPr>
              <w:spacing w:after="20"/>
              <w:jc w:val="right"/>
            </w:pPr>
            <w:r>
              <w:rPr>
                <w:color w:val="1C3A36"/>
                <w:sz w:val="15"/>
              </w:rPr>
              <w:t>5,900</w:t>
            </w:r>
          </w:p>
        </w:tc>
        <w:tc>
          <w:tcPr>
            <w:tcW w:type="dxa" w:w="893"/>
          </w:tcPr>
          <w:p>
            <w:pPr>
              <w:spacing w:after="20"/>
              <w:jc w:val="right"/>
            </w:pPr>
            <w:r>
              <w:rPr>
                <w:color w:val="1C3A36"/>
                <w:sz w:val="15"/>
              </w:rPr>
              <w:t>6,550</w:t>
            </w:r>
          </w:p>
        </w:tc>
        <w:tc>
          <w:tcPr>
            <w:tcW w:type="dxa" w:w="893"/>
          </w:tcPr>
          <w:p>
            <w:pPr>
              <w:spacing w:after="20"/>
              <w:jc w:val="right"/>
            </w:pPr>
            <w:r>
              <w:rPr>
                <w:color w:val="1C3A36"/>
                <w:sz w:val="15"/>
              </w:rPr>
              <w:t>7,268</w:t>
            </w:r>
          </w:p>
        </w:tc>
        <w:tc>
          <w:tcPr>
            <w:tcW w:type="dxa" w:w="893"/>
          </w:tcPr>
          <w:p>
            <w:pPr>
              <w:spacing w:after="20"/>
              <w:jc w:val="right"/>
            </w:pPr>
            <w:r>
              <w:rPr>
                <w:color w:val="1C3A36"/>
                <w:sz w:val="15"/>
              </w:rPr>
              <w:t>8,056</w:t>
            </w:r>
          </w:p>
        </w:tc>
      </w:tr>
      <w:tr>
        <w:tc>
          <w:tcPr>
            <w:tcW w:type="dxa" w:w="2333"/>
          </w:tcPr>
          <w:p>
            <w:pPr>
              <w:spacing w:after="20"/>
            </w:pPr>
            <w:r>
              <w:rPr>
                <w:color w:val="1C3A36"/>
                <w:sz w:val="15"/>
              </w:rPr>
              <w:t>Minority interests</w:t>
            </w:r>
          </w:p>
        </w:tc>
        <w:tc>
          <w:tcPr>
            <w:tcW w:type="dxa" w:w="907"/>
          </w:tcPr>
          <w:p>
            <w:pPr>
              <w:spacing w:after="20"/>
              <w:jc w:val="right"/>
            </w:pPr>
            <w:r>
              <w:rPr>
                <w:color w:val="1C3A36"/>
                <w:sz w:val="15"/>
              </w:rPr>
              <w:t>115</w:t>
            </w:r>
          </w:p>
        </w:tc>
        <w:tc>
          <w:tcPr>
            <w:tcW w:type="dxa" w:w="907"/>
          </w:tcPr>
          <w:p>
            <w:pPr>
              <w:spacing w:after="20"/>
              <w:jc w:val="right"/>
            </w:pPr>
            <w:r>
              <w:rPr>
                <w:color w:val="1C3A36"/>
                <w:sz w:val="15"/>
              </w:rPr>
              <w:t>129</w:t>
            </w:r>
          </w:p>
        </w:tc>
        <w:tc>
          <w:tcPr>
            <w:tcW w:type="dxa" w:w="907"/>
          </w:tcPr>
          <w:p>
            <w:pPr>
              <w:spacing w:after="20"/>
              <w:jc w:val="right"/>
            </w:pPr>
            <w:r>
              <w:rPr>
                <w:color w:val="1C3A36"/>
                <w:sz w:val="15"/>
              </w:rPr>
              <w:t>144</w:t>
            </w:r>
          </w:p>
        </w:tc>
        <w:tc>
          <w:tcPr>
            <w:tcW w:type="dxa" w:w="907"/>
          </w:tcPr>
          <w:p>
            <w:pPr>
              <w:spacing w:after="20"/>
              <w:jc w:val="right"/>
            </w:pPr>
            <w:r>
              <w:rPr>
                <w:color w:val="1C3A36"/>
                <w:sz w:val="15"/>
              </w:rPr>
              <w:t>148</w:t>
            </w:r>
          </w:p>
        </w:tc>
        <w:tc>
          <w:tcPr>
            <w:tcW w:type="dxa" w:w="893"/>
          </w:tcPr>
          <w:p>
            <w:pPr>
              <w:spacing w:after="20"/>
              <w:jc w:val="right"/>
            </w:pPr>
            <w:r>
              <w:rPr>
                <w:color w:val="1C3A36"/>
                <w:sz w:val="15"/>
              </w:rPr>
              <w:t>164</w:t>
            </w:r>
          </w:p>
        </w:tc>
        <w:tc>
          <w:tcPr>
            <w:tcW w:type="dxa" w:w="893"/>
          </w:tcPr>
          <w:p>
            <w:pPr>
              <w:spacing w:after="20"/>
              <w:jc w:val="right"/>
            </w:pPr>
            <w:r>
              <w:rPr>
                <w:color w:val="1C3A36"/>
                <w:sz w:val="15"/>
              </w:rPr>
              <w:t>182</w:t>
            </w:r>
          </w:p>
        </w:tc>
        <w:tc>
          <w:tcPr>
            <w:tcW w:type="dxa" w:w="893"/>
          </w:tcPr>
          <w:p>
            <w:pPr>
              <w:spacing w:after="20"/>
              <w:jc w:val="right"/>
            </w:pPr>
            <w:r>
              <w:rPr>
                <w:color w:val="1C3A36"/>
                <w:sz w:val="15"/>
              </w:rPr>
              <w:t>203</w:t>
            </w:r>
          </w:p>
        </w:tc>
        <w:tc>
          <w:tcPr>
            <w:tcW w:type="dxa" w:w="893"/>
          </w:tcPr>
          <w:p>
            <w:pPr>
              <w:spacing w:after="20"/>
              <w:jc w:val="right"/>
            </w:pPr>
            <w:r>
              <w:rPr>
                <w:color w:val="1C3A36"/>
                <w:sz w:val="15"/>
              </w:rPr>
              <w:t>225</w:t>
            </w:r>
          </w:p>
        </w:tc>
        <w:tc>
          <w:tcPr>
            <w:tcW w:type="dxa" w:w="893"/>
          </w:tcPr>
          <w:p>
            <w:pPr>
              <w:spacing w:after="20"/>
              <w:jc w:val="right"/>
            </w:pPr>
            <w:r>
              <w:rPr>
                <w:color w:val="1C3A36"/>
                <w:sz w:val="15"/>
              </w:rPr>
              <w:t>249</w:t>
            </w:r>
          </w:p>
        </w:tc>
      </w:tr>
      <w:tr>
        <w:tc>
          <w:tcPr>
            <w:tcW w:type="dxa" w:w="2333"/>
            <w:shd w:val="clear" w:color="auto" w:fill="F6F1E6"/>
          </w:tcPr>
          <w:p>
            <w:pPr>
              <w:spacing w:after="20"/>
            </w:pPr>
            <w:r>
              <w:rPr>
                <w:b/>
                <w:color w:val="1C3A36"/>
                <w:sz w:val="15"/>
              </w:rPr>
              <w:t>NET WORKING CAPITAL</w:t>
            </w:r>
          </w:p>
        </w:tc>
        <w:tc>
          <w:tcPr>
            <w:tcW w:type="dxa" w:w="907"/>
            <w:shd w:val="clear" w:color="auto" w:fill="F6F1E6"/>
          </w:tcPr>
          <w:p>
            <w:pPr>
              <w:spacing w:after="20"/>
              <w:jc w:val="right"/>
            </w:pPr>
            <w:r>
              <w:rPr>
                <w:b/>
                <w:color w:val="1C3A36"/>
                <w:sz w:val="15"/>
              </w:rPr>
              <w:t>582</w:t>
            </w:r>
          </w:p>
        </w:tc>
        <w:tc>
          <w:tcPr>
            <w:tcW w:type="dxa" w:w="907"/>
            <w:shd w:val="clear" w:color="auto" w:fill="F6F1E6"/>
          </w:tcPr>
          <w:p>
            <w:pPr>
              <w:spacing w:after="20"/>
              <w:jc w:val="right"/>
            </w:pPr>
            <w:r>
              <w:rPr>
                <w:b/>
                <w:color w:val="1C3A36"/>
                <w:sz w:val="15"/>
              </w:rPr>
              <w:t>723</w:t>
            </w:r>
          </w:p>
        </w:tc>
        <w:tc>
          <w:tcPr>
            <w:tcW w:type="dxa" w:w="907"/>
            <w:shd w:val="clear" w:color="auto" w:fill="F6F1E6"/>
          </w:tcPr>
          <w:p>
            <w:pPr>
              <w:spacing w:after="20"/>
              <w:jc w:val="right"/>
            </w:pPr>
            <w:r>
              <w:rPr>
                <w:b/>
                <w:color w:val="1C3A36"/>
                <w:sz w:val="15"/>
              </w:rPr>
              <w:t>775</w:t>
            </w:r>
          </w:p>
        </w:tc>
        <w:tc>
          <w:tcPr>
            <w:tcW w:type="dxa" w:w="907"/>
            <w:shd w:val="clear" w:color="auto" w:fill="F6F1E6"/>
          </w:tcPr>
          <w:p>
            <w:pPr>
              <w:spacing w:after="20"/>
              <w:jc w:val="right"/>
            </w:pPr>
            <w:r>
              <w:rPr>
                <w:b/>
                <w:color w:val="1C3A36"/>
                <w:sz w:val="15"/>
              </w:rPr>
              <w:t>808</w:t>
            </w:r>
          </w:p>
        </w:tc>
        <w:tc>
          <w:tcPr>
            <w:tcW w:type="dxa" w:w="893"/>
            <w:shd w:val="clear" w:color="auto" w:fill="F6F1E6"/>
          </w:tcPr>
          <w:p>
            <w:pPr>
              <w:spacing w:after="20"/>
              <w:jc w:val="right"/>
            </w:pPr>
            <w:r>
              <w:rPr>
                <w:b/>
                <w:color w:val="1C3A36"/>
                <w:sz w:val="15"/>
              </w:rPr>
              <w:t>908</w:t>
            </w:r>
          </w:p>
        </w:tc>
        <w:tc>
          <w:tcPr>
            <w:tcW w:type="dxa" w:w="893"/>
            <w:shd w:val="clear" w:color="auto" w:fill="F6F1E6"/>
          </w:tcPr>
          <w:p>
            <w:pPr>
              <w:spacing w:after="20"/>
              <w:jc w:val="right"/>
            </w:pPr>
            <w:r>
              <w:rPr>
                <w:b/>
                <w:color w:val="1C3A36"/>
                <w:sz w:val="15"/>
              </w:rPr>
              <w:t>1,016</w:t>
            </w:r>
          </w:p>
        </w:tc>
        <w:tc>
          <w:tcPr>
            <w:tcW w:type="dxa" w:w="893"/>
            <w:shd w:val="clear" w:color="auto" w:fill="F6F1E6"/>
          </w:tcPr>
          <w:p>
            <w:pPr>
              <w:spacing w:after="20"/>
              <w:jc w:val="right"/>
            </w:pPr>
            <w:r>
              <w:rPr>
                <w:b/>
                <w:color w:val="1C3A36"/>
                <w:sz w:val="15"/>
              </w:rPr>
              <w:t>1,125</w:t>
            </w:r>
          </w:p>
        </w:tc>
        <w:tc>
          <w:tcPr>
            <w:tcW w:type="dxa" w:w="893"/>
            <w:shd w:val="clear" w:color="auto" w:fill="F6F1E6"/>
          </w:tcPr>
          <w:p>
            <w:pPr>
              <w:spacing w:after="20"/>
              <w:jc w:val="right"/>
            </w:pPr>
            <w:r>
              <w:rPr>
                <w:b/>
                <w:color w:val="1C3A36"/>
                <w:sz w:val="15"/>
              </w:rPr>
              <w:t>1,231</w:t>
            </w:r>
          </w:p>
        </w:tc>
        <w:tc>
          <w:tcPr>
            <w:tcW w:type="dxa" w:w="893"/>
            <w:shd w:val="clear" w:color="auto" w:fill="F6F1E6"/>
          </w:tcPr>
          <w:p>
            <w:pPr>
              <w:spacing w:after="20"/>
              <w:jc w:val="right"/>
            </w:pPr>
            <w:r>
              <w:rPr>
                <w:b/>
                <w:color w:val="1C3A36"/>
                <w:sz w:val="15"/>
              </w:rPr>
              <w:t>1,338</w:t>
            </w:r>
          </w:p>
        </w:tc>
      </w:tr>
      <w:tr>
        <w:tc>
          <w:tcPr>
            <w:tcW w:type="dxa" w:w="2333"/>
            <w:shd w:val="clear" w:color="auto" w:fill="F6F1E6"/>
          </w:tcPr>
          <w:p>
            <w:pPr>
              <w:spacing w:after="20"/>
            </w:pPr>
            <w:r>
              <w:rPr>
                <w:b/>
                <w:color w:val="1C3A36"/>
                <w:sz w:val="15"/>
              </w:rPr>
              <w:t>NET CASH</w:t>
            </w:r>
          </w:p>
        </w:tc>
        <w:tc>
          <w:tcPr>
            <w:tcW w:type="dxa" w:w="907"/>
            <w:shd w:val="clear" w:color="auto" w:fill="F6F1E6"/>
          </w:tcPr>
          <w:p>
            <w:pPr>
              <w:spacing w:after="20"/>
              <w:jc w:val="right"/>
            </w:pPr>
            <w:r>
              <w:rPr>
                <w:b/>
                <w:color w:val="1C3A36"/>
                <w:sz w:val="15"/>
              </w:rPr>
              <w:t>1,834</w:t>
            </w:r>
          </w:p>
        </w:tc>
        <w:tc>
          <w:tcPr>
            <w:tcW w:type="dxa" w:w="907"/>
            <w:shd w:val="clear" w:color="auto" w:fill="F6F1E6"/>
          </w:tcPr>
          <w:p>
            <w:pPr>
              <w:spacing w:after="20"/>
              <w:jc w:val="right"/>
            </w:pPr>
            <w:r>
              <w:rPr>
                <w:b/>
                <w:color w:val="1C3A36"/>
                <w:sz w:val="15"/>
              </w:rPr>
              <w:t>1,957</w:t>
            </w:r>
          </w:p>
        </w:tc>
        <w:tc>
          <w:tcPr>
            <w:tcW w:type="dxa" w:w="907"/>
            <w:shd w:val="clear" w:color="auto" w:fill="F6F1E6"/>
          </w:tcPr>
          <w:p>
            <w:pPr>
              <w:spacing w:after="20"/>
              <w:jc w:val="right"/>
            </w:pPr>
            <w:r>
              <w:rPr>
                <w:b/>
                <w:color w:val="1C3A36"/>
                <w:sz w:val="15"/>
              </w:rPr>
              <w:t>2,364</w:t>
            </w:r>
          </w:p>
        </w:tc>
        <w:tc>
          <w:tcPr>
            <w:tcW w:type="dxa" w:w="907"/>
            <w:shd w:val="clear" w:color="auto" w:fill="F6F1E6"/>
          </w:tcPr>
          <w:p>
            <w:pPr>
              <w:spacing w:after="20"/>
              <w:jc w:val="right"/>
            </w:pPr>
            <w:r>
              <w:rPr>
                <w:b/>
                <w:color w:val="1C3A36"/>
                <w:sz w:val="15"/>
              </w:rPr>
              <w:t>2,438</w:t>
            </w:r>
          </w:p>
        </w:tc>
        <w:tc>
          <w:tcPr>
            <w:tcW w:type="dxa" w:w="893"/>
            <w:shd w:val="clear" w:color="auto" w:fill="F6F1E6"/>
          </w:tcPr>
          <w:p>
            <w:pPr>
              <w:spacing w:after="20"/>
              <w:jc w:val="right"/>
            </w:pPr>
            <w:r>
              <w:rPr>
                <w:b/>
                <w:color w:val="1C3A36"/>
                <w:sz w:val="15"/>
              </w:rPr>
              <w:t>2,751</w:t>
            </w:r>
          </w:p>
        </w:tc>
        <w:tc>
          <w:tcPr>
            <w:tcW w:type="dxa" w:w="893"/>
            <w:shd w:val="clear" w:color="auto" w:fill="F6F1E6"/>
          </w:tcPr>
          <w:p>
            <w:pPr>
              <w:spacing w:after="20"/>
              <w:jc w:val="right"/>
            </w:pPr>
            <w:r>
              <w:rPr>
                <w:b/>
                <w:color w:val="1C3A36"/>
                <w:sz w:val="15"/>
              </w:rPr>
              <w:t>3,135</w:t>
            </w:r>
          </w:p>
        </w:tc>
        <w:tc>
          <w:tcPr>
            <w:tcW w:type="dxa" w:w="893"/>
            <w:shd w:val="clear" w:color="auto" w:fill="F6F1E6"/>
          </w:tcPr>
          <w:p>
            <w:pPr>
              <w:spacing w:after="20"/>
              <w:jc w:val="right"/>
            </w:pPr>
            <w:r>
              <w:rPr>
                <w:b/>
                <w:color w:val="1C3A36"/>
                <w:sz w:val="15"/>
              </w:rPr>
              <w:t>3,604</w:t>
            </w:r>
          </w:p>
        </w:tc>
        <w:tc>
          <w:tcPr>
            <w:tcW w:type="dxa" w:w="893"/>
            <w:shd w:val="clear" w:color="auto" w:fill="F6F1E6"/>
          </w:tcPr>
          <w:p>
            <w:pPr>
              <w:spacing w:after="20"/>
              <w:jc w:val="right"/>
            </w:pPr>
            <w:r>
              <w:rPr>
                <w:b/>
                <w:color w:val="1C3A36"/>
                <w:sz w:val="15"/>
              </w:rPr>
              <w:t>4,165</w:t>
            </w:r>
          </w:p>
        </w:tc>
        <w:tc>
          <w:tcPr>
            <w:tcW w:type="dxa" w:w="893"/>
            <w:shd w:val="clear" w:color="auto" w:fill="F6F1E6"/>
          </w:tcPr>
          <w:p>
            <w:pPr>
              <w:spacing w:after="20"/>
              <w:jc w:val="right"/>
            </w:pPr>
            <w:r>
              <w:rPr>
                <w:b/>
                <w:color w:val="1C3A36"/>
                <w:sz w:val="15"/>
              </w:rPr>
              <w:t>4,827</w:t>
            </w:r>
          </w:p>
        </w:tc>
      </w:tr>
    </w:tbl>
    <w:p>
      <w:pPr>
        <w:spacing w:after="40"/>
      </w:pPr>
    </w:p>
    <w:p>
      <w:pPr>
        <w:spacing w:after="200" w:before="0"/>
      </w:pPr>
      <w:r>
        <w:rPr>
          <w:b w:val="0"/>
          <w:i/>
          <w:color w:val="6E7B77"/>
          <w:sz w:val="17"/>
        </w:rPr>
        <w:t>Total assets, total liabilities, cash and gross debt at the calendar-2025 date are the only disclosed lines. Property, plant and equipment is the residual against disclosed total assets; inventories, receivables and payables are driven off days assumptions; and the three earlier years are rolled backwards through disclosed profit and the declared dividend. Each column foots exactly, and the companion model carries the balance check as a live formula.</w:t>
      </w:r>
    </w:p>
    <w:p>
      <w:pPr>
        <w:spacing w:after="80" w:before="200"/>
      </w:pPr>
      <w:r>
        <w:rPr>
          <w:b/>
          <w:i w:val="0"/>
          <w:color w:val="1C3A36"/>
          <w:sz w:val="24"/>
        </w:rPr>
        <w:t>A.3  Cash flow —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t>EGP mn</w:t>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NOPAT</w:t>
            </w:r>
          </w:p>
        </w:tc>
        <w:tc>
          <w:tcPr>
            <w:tcW w:type="dxa" w:w="1325"/>
          </w:tcPr>
          <w:p>
            <w:pPr>
              <w:spacing w:after="20"/>
              <w:jc w:val="right"/>
            </w:pPr>
            <w:r>
              <w:rPr>
                <w:color w:val="1C3A36"/>
                <w:sz w:val="16"/>
              </w:rPr>
              <w:t>1,426</w:t>
            </w:r>
          </w:p>
        </w:tc>
        <w:tc>
          <w:tcPr>
            <w:tcW w:type="dxa" w:w="1325"/>
          </w:tcPr>
          <w:p>
            <w:pPr>
              <w:spacing w:after="20"/>
              <w:jc w:val="right"/>
            </w:pPr>
            <w:r>
              <w:rPr>
                <w:color w:val="1C3A36"/>
                <w:sz w:val="16"/>
              </w:rPr>
              <w:t>1,653</w:t>
            </w:r>
          </w:p>
        </w:tc>
        <w:tc>
          <w:tcPr>
            <w:tcW w:type="dxa" w:w="1325"/>
          </w:tcPr>
          <w:p>
            <w:pPr>
              <w:spacing w:after="20"/>
              <w:jc w:val="right"/>
            </w:pPr>
            <w:r>
              <w:rPr>
                <w:color w:val="1C3A36"/>
                <w:sz w:val="16"/>
              </w:rPr>
              <w:t>1,868</w:t>
            </w:r>
          </w:p>
        </w:tc>
        <w:tc>
          <w:tcPr>
            <w:tcW w:type="dxa" w:w="1325"/>
          </w:tcPr>
          <w:p>
            <w:pPr>
              <w:spacing w:after="20"/>
              <w:jc w:val="right"/>
            </w:pPr>
            <w:r>
              <w:rPr>
                <w:color w:val="1C3A36"/>
                <w:sz w:val="16"/>
              </w:rPr>
              <w:t>2,074</w:t>
            </w:r>
          </w:p>
        </w:tc>
        <w:tc>
          <w:tcPr>
            <w:tcW w:type="dxa" w:w="1325"/>
          </w:tcPr>
          <w:p>
            <w:pPr>
              <w:spacing w:after="20"/>
              <w:jc w:val="right"/>
            </w:pPr>
            <w:r>
              <w:rPr>
                <w:color w:val="1C3A36"/>
                <w:sz w:val="16"/>
              </w:rPr>
              <w:t>2,278</w:t>
            </w:r>
          </w:p>
        </w:tc>
      </w:tr>
      <w:tr>
        <w:tc>
          <w:tcPr>
            <w:tcW w:type="dxa" w:w="3384"/>
          </w:tcPr>
          <w:p>
            <w:pPr>
              <w:spacing w:after="20"/>
            </w:pPr>
            <w:r>
              <w:rPr>
                <w:color w:val="1C3A36"/>
                <w:sz w:val="16"/>
              </w:rPr>
              <w:t>add back depreciation and amortisation</w:t>
            </w:r>
          </w:p>
        </w:tc>
        <w:tc>
          <w:tcPr>
            <w:tcW w:type="dxa" w:w="1325"/>
          </w:tcPr>
          <w:p>
            <w:pPr>
              <w:spacing w:after="20"/>
              <w:jc w:val="right"/>
            </w:pPr>
            <w:r>
              <w:rPr>
                <w:color w:val="1C3A36"/>
                <w:sz w:val="16"/>
              </w:rPr>
              <w:t>494</w:t>
            </w:r>
          </w:p>
        </w:tc>
        <w:tc>
          <w:tcPr>
            <w:tcW w:type="dxa" w:w="1325"/>
          </w:tcPr>
          <w:p>
            <w:pPr>
              <w:spacing w:after="20"/>
              <w:jc w:val="right"/>
            </w:pPr>
            <w:r>
              <w:rPr>
                <w:color w:val="1C3A36"/>
                <w:sz w:val="16"/>
              </w:rPr>
              <w:t>553</w:t>
            </w:r>
          </w:p>
        </w:tc>
        <w:tc>
          <w:tcPr>
            <w:tcW w:type="dxa" w:w="1325"/>
          </w:tcPr>
          <w:p>
            <w:pPr>
              <w:spacing w:after="20"/>
              <w:jc w:val="right"/>
            </w:pPr>
            <w:r>
              <w:rPr>
                <w:color w:val="1C3A36"/>
                <w:sz w:val="16"/>
              </w:rPr>
              <w:t>612</w:t>
            </w:r>
          </w:p>
        </w:tc>
        <w:tc>
          <w:tcPr>
            <w:tcW w:type="dxa" w:w="1325"/>
          </w:tcPr>
          <w:p>
            <w:pPr>
              <w:spacing w:after="20"/>
              <w:jc w:val="right"/>
            </w:pPr>
            <w:r>
              <w:rPr>
                <w:color w:val="1C3A36"/>
                <w:sz w:val="16"/>
              </w:rPr>
              <w:t>670</w:t>
            </w:r>
          </w:p>
        </w:tc>
        <w:tc>
          <w:tcPr>
            <w:tcW w:type="dxa" w:w="1325"/>
          </w:tcPr>
          <w:p>
            <w:pPr>
              <w:spacing w:after="20"/>
              <w:jc w:val="right"/>
            </w:pPr>
            <w:r>
              <w:rPr>
                <w:color w:val="1C3A36"/>
                <w:sz w:val="16"/>
              </w:rPr>
              <w:t>728</w:t>
            </w:r>
          </w:p>
        </w:tc>
      </w:tr>
      <w:tr>
        <w:tc>
          <w:tcPr>
            <w:tcW w:type="dxa" w:w="3384"/>
          </w:tcPr>
          <w:p>
            <w:pPr>
              <w:spacing w:after="20"/>
            </w:pPr>
            <w:r>
              <w:rPr>
                <w:color w:val="1C3A36"/>
                <w:sz w:val="16"/>
              </w:rPr>
              <w:t>less change in net working capital</w:t>
            </w:r>
          </w:p>
        </w:tc>
        <w:tc>
          <w:tcPr>
            <w:tcW w:type="dxa" w:w="1325"/>
          </w:tcPr>
          <w:p>
            <w:pPr>
              <w:spacing w:after="20"/>
              <w:jc w:val="right"/>
            </w:pPr>
            <w:r>
              <w:rPr>
                <w:color w:val="1C3A36"/>
                <w:sz w:val="16"/>
              </w:rPr>
              <w:t>(100)</w:t>
            </w:r>
          </w:p>
        </w:tc>
        <w:tc>
          <w:tcPr>
            <w:tcW w:type="dxa" w:w="1325"/>
          </w:tcPr>
          <w:p>
            <w:pPr>
              <w:spacing w:after="20"/>
              <w:jc w:val="right"/>
            </w:pPr>
            <w:r>
              <w:rPr>
                <w:color w:val="1C3A36"/>
                <w:sz w:val="16"/>
              </w:rPr>
              <w:t>(108)</w:t>
            </w:r>
          </w:p>
        </w:tc>
        <w:tc>
          <w:tcPr>
            <w:tcW w:type="dxa" w:w="1325"/>
          </w:tcPr>
          <w:p>
            <w:pPr>
              <w:spacing w:after="20"/>
              <w:jc w:val="right"/>
            </w:pPr>
            <w:r>
              <w:rPr>
                <w:color w:val="1C3A36"/>
                <w:sz w:val="16"/>
              </w:rPr>
              <w:t>(109)</w:t>
            </w:r>
          </w:p>
        </w:tc>
        <w:tc>
          <w:tcPr>
            <w:tcW w:type="dxa" w:w="1325"/>
          </w:tcPr>
          <w:p>
            <w:pPr>
              <w:spacing w:after="20"/>
              <w:jc w:val="right"/>
            </w:pPr>
            <w:r>
              <w:rPr>
                <w:color w:val="1C3A36"/>
                <w:sz w:val="16"/>
              </w:rPr>
              <w:t>(107)</w:t>
            </w:r>
          </w:p>
        </w:tc>
        <w:tc>
          <w:tcPr>
            <w:tcW w:type="dxa" w:w="1325"/>
          </w:tcPr>
          <w:p>
            <w:pPr>
              <w:spacing w:after="20"/>
              <w:jc w:val="right"/>
            </w:pPr>
            <w:r>
              <w:rPr>
                <w:color w:val="1C3A36"/>
                <w:sz w:val="16"/>
              </w:rPr>
              <w:t>(106)</w:t>
            </w:r>
          </w:p>
        </w:tc>
      </w:tr>
      <w:tr>
        <w:tc>
          <w:tcPr>
            <w:tcW w:type="dxa" w:w="3384"/>
            <w:shd w:val="clear" w:color="auto" w:fill="F6F1E6"/>
          </w:tcPr>
          <w:p>
            <w:pPr>
              <w:spacing w:after="20"/>
            </w:pPr>
            <w:r>
              <w:rPr>
                <w:b/>
                <w:color w:val="1C3A36"/>
                <w:sz w:val="16"/>
              </w:rPr>
              <w:t>OPERATING CASH FLOW</w:t>
            </w:r>
          </w:p>
        </w:tc>
        <w:tc>
          <w:tcPr>
            <w:tcW w:type="dxa" w:w="1325"/>
            <w:shd w:val="clear" w:color="auto" w:fill="F6F1E6"/>
          </w:tcPr>
          <w:p>
            <w:pPr>
              <w:spacing w:after="20"/>
              <w:jc w:val="right"/>
            </w:pPr>
            <w:r>
              <w:rPr>
                <w:b/>
                <w:color w:val="1C3A36"/>
                <w:sz w:val="16"/>
              </w:rPr>
              <w:t>1,821</w:t>
            </w:r>
          </w:p>
        </w:tc>
        <w:tc>
          <w:tcPr>
            <w:tcW w:type="dxa" w:w="1325"/>
            <w:shd w:val="clear" w:color="auto" w:fill="F6F1E6"/>
          </w:tcPr>
          <w:p>
            <w:pPr>
              <w:spacing w:after="20"/>
              <w:jc w:val="right"/>
            </w:pPr>
            <w:r>
              <w:rPr>
                <w:b/>
                <w:color w:val="1C3A36"/>
                <w:sz w:val="16"/>
              </w:rPr>
              <w:t>2,098</w:t>
            </w:r>
          </w:p>
        </w:tc>
        <w:tc>
          <w:tcPr>
            <w:tcW w:type="dxa" w:w="1325"/>
            <w:shd w:val="clear" w:color="auto" w:fill="F6F1E6"/>
          </w:tcPr>
          <w:p>
            <w:pPr>
              <w:spacing w:after="20"/>
              <w:jc w:val="right"/>
            </w:pPr>
            <w:r>
              <w:rPr>
                <w:b/>
                <w:color w:val="1C3A36"/>
                <w:sz w:val="16"/>
              </w:rPr>
              <w:t>2,372</w:t>
            </w:r>
          </w:p>
        </w:tc>
        <w:tc>
          <w:tcPr>
            <w:tcW w:type="dxa" w:w="1325"/>
            <w:shd w:val="clear" w:color="auto" w:fill="F6F1E6"/>
          </w:tcPr>
          <w:p>
            <w:pPr>
              <w:spacing w:after="20"/>
              <w:jc w:val="right"/>
            </w:pPr>
            <w:r>
              <w:rPr>
                <w:b/>
                <w:color w:val="1C3A36"/>
                <w:sz w:val="16"/>
              </w:rPr>
              <w:t>2,637</w:t>
            </w:r>
          </w:p>
        </w:tc>
        <w:tc>
          <w:tcPr>
            <w:tcW w:type="dxa" w:w="1325"/>
            <w:shd w:val="clear" w:color="auto" w:fill="F6F1E6"/>
          </w:tcPr>
          <w:p>
            <w:pPr>
              <w:spacing w:after="20"/>
              <w:jc w:val="right"/>
            </w:pPr>
            <w:r>
              <w:rPr>
                <w:b/>
                <w:color w:val="1C3A36"/>
                <w:sz w:val="16"/>
              </w:rPr>
              <w:t>2,900</w:t>
            </w:r>
          </w:p>
        </w:tc>
      </w:tr>
      <w:tr>
        <w:tc>
          <w:tcPr>
            <w:tcW w:type="dxa" w:w="3384"/>
          </w:tcPr>
          <w:p>
            <w:pPr>
              <w:spacing w:after="20"/>
            </w:pPr>
            <w:r>
              <w:rPr>
                <w:color w:val="1C3A36"/>
                <w:sz w:val="16"/>
              </w:rPr>
              <w:t>less capital expenditure</w:t>
            </w:r>
          </w:p>
        </w:tc>
        <w:tc>
          <w:tcPr>
            <w:tcW w:type="dxa" w:w="1325"/>
          </w:tcPr>
          <w:p>
            <w:pPr>
              <w:spacing w:after="20"/>
              <w:jc w:val="right"/>
            </w:pPr>
            <w:r>
              <w:rPr>
                <w:color w:val="1C3A36"/>
                <w:sz w:val="16"/>
              </w:rPr>
              <w:t>(651)</w:t>
            </w:r>
          </w:p>
        </w:tc>
        <w:tc>
          <w:tcPr>
            <w:tcW w:type="dxa" w:w="1325"/>
          </w:tcPr>
          <w:p>
            <w:pPr>
              <w:spacing w:after="20"/>
              <w:jc w:val="right"/>
            </w:pPr>
            <w:r>
              <w:rPr>
                <w:color w:val="1C3A36"/>
                <w:sz w:val="16"/>
              </w:rPr>
              <w:t>(704)</w:t>
            </w:r>
          </w:p>
        </w:tc>
        <w:tc>
          <w:tcPr>
            <w:tcW w:type="dxa" w:w="1325"/>
          </w:tcPr>
          <w:p>
            <w:pPr>
              <w:spacing w:after="20"/>
              <w:jc w:val="right"/>
            </w:pPr>
            <w:r>
              <w:rPr>
                <w:color w:val="1C3A36"/>
                <w:sz w:val="16"/>
              </w:rPr>
              <w:t>(751)</w:t>
            </w:r>
          </w:p>
        </w:tc>
        <w:tc>
          <w:tcPr>
            <w:tcW w:type="dxa" w:w="1325"/>
          </w:tcPr>
          <w:p>
            <w:pPr>
              <w:spacing w:after="20"/>
              <w:jc w:val="right"/>
            </w:pPr>
            <w:r>
              <w:rPr>
                <w:color w:val="1C3A36"/>
                <w:sz w:val="16"/>
              </w:rPr>
              <w:t>(792)</w:t>
            </w:r>
          </w:p>
        </w:tc>
        <w:tc>
          <w:tcPr>
            <w:tcW w:type="dxa" w:w="1325"/>
          </w:tcPr>
          <w:p>
            <w:pPr>
              <w:spacing w:after="20"/>
              <w:jc w:val="right"/>
            </w:pPr>
            <w:r>
              <w:rPr>
                <w:color w:val="1C3A36"/>
                <w:sz w:val="16"/>
              </w:rPr>
              <w:t>(827)</w:t>
            </w:r>
          </w:p>
        </w:tc>
      </w:tr>
      <w:tr>
        <w:tc>
          <w:tcPr>
            <w:tcW w:type="dxa" w:w="3384"/>
            <w:shd w:val="clear" w:color="auto" w:fill="F6F1E6"/>
          </w:tcPr>
          <w:p>
            <w:pPr>
              <w:spacing w:after="20"/>
            </w:pPr>
            <w:r>
              <w:rPr>
                <w:b/>
                <w:color w:val="1C3A36"/>
                <w:sz w:val="16"/>
              </w:rPr>
              <w:t>FREE CASH FLOW TO THE FIRM</w:t>
            </w:r>
          </w:p>
        </w:tc>
        <w:tc>
          <w:tcPr>
            <w:tcW w:type="dxa" w:w="1325"/>
            <w:shd w:val="clear" w:color="auto" w:fill="F6F1E6"/>
          </w:tcPr>
          <w:p>
            <w:pPr>
              <w:spacing w:after="20"/>
              <w:jc w:val="right"/>
            </w:pPr>
            <w:r>
              <w:rPr>
                <w:b/>
                <w:color w:val="1C3A36"/>
                <w:sz w:val="16"/>
              </w:rPr>
              <w:t>1,169</w:t>
            </w:r>
          </w:p>
        </w:tc>
        <w:tc>
          <w:tcPr>
            <w:tcW w:type="dxa" w:w="1325"/>
            <w:shd w:val="clear" w:color="auto" w:fill="F6F1E6"/>
          </w:tcPr>
          <w:p>
            <w:pPr>
              <w:spacing w:after="20"/>
              <w:jc w:val="right"/>
            </w:pPr>
            <w:r>
              <w:rPr>
                <w:b/>
                <w:color w:val="1C3A36"/>
                <w:sz w:val="16"/>
              </w:rPr>
              <w:t>1,395</w:t>
            </w:r>
          </w:p>
        </w:tc>
        <w:tc>
          <w:tcPr>
            <w:tcW w:type="dxa" w:w="1325"/>
            <w:shd w:val="clear" w:color="auto" w:fill="F6F1E6"/>
          </w:tcPr>
          <w:p>
            <w:pPr>
              <w:spacing w:after="20"/>
              <w:jc w:val="right"/>
            </w:pPr>
            <w:r>
              <w:rPr>
                <w:b/>
                <w:color w:val="1C3A36"/>
                <w:sz w:val="16"/>
              </w:rPr>
              <w:t>1,621</w:t>
            </w:r>
          </w:p>
        </w:tc>
        <w:tc>
          <w:tcPr>
            <w:tcW w:type="dxa" w:w="1325"/>
            <w:shd w:val="clear" w:color="auto" w:fill="F6F1E6"/>
          </w:tcPr>
          <w:p>
            <w:pPr>
              <w:spacing w:after="20"/>
              <w:jc w:val="right"/>
            </w:pPr>
            <w:r>
              <w:rPr>
                <w:b/>
                <w:color w:val="1C3A36"/>
                <w:sz w:val="16"/>
              </w:rPr>
              <w:t>1,845</w:t>
            </w:r>
          </w:p>
        </w:tc>
        <w:tc>
          <w:tcPr>
            <w:tcW w:type="dxa" w:w="1325"/>
            <w:shd w:val="clear" w:color="auto" w:fill="F6F1E6"/>
          </w:tcPr>
          <w:p>
            <w:pPr>
              <w:spacing w:after="20"/>
              <w:jc w:val="right"/>
            </w:pPr>
            <w:r>
              <w:rPr>
                <w:b/>
                <w:color w:val="1C3A36"/>
                <w:sz w:val="16"/>
              </w:rPr>
              <w:t>2,073</w:t>
            </w:r>
          </w:p>
        </w:tc>
      </w:tr>
      <w:tr>
        <w:tc>
          <w:tcPr>
            <w:tcW w:type="dxa" w:w="3384"/>
          </w:tcPr>
          <w:p>
            <w:pPr>
              <w:spacing w:after="20"/>
            </w:pPr>
            <w:r>
              <w:rPr>
                <w:color w:val="1C3A36"/>
                <w:sz w:val="16"/>
              </w:rPr>
              <w:t>Net finance income</w:t>
            </w:r>
          </w:p>
        </w:tc>
        <w:tc>
          <w:tcPr>
            <w:tcW w:type="dxa" w:w="1325"/>
          </w:tcPr>
          <w:p>
            <w:pPr>
              <w:spacing w:after="20"/>
              <w:jc w:val="right"/>
            </w:pPr>
            <w:r>
              <w:rPr>
                <w:color w:val="1C3A36"/>
                <w:sz w:val="16"/>
              </w:rPr>
              <w:t>413</w:t>
            </w:r>
          </w:p>
        </w:tc>
        <w:tc>
          <w:tcPr>
            <w:tcW w:type="dxa" w:w="1325"/>
          </w:tcPr>
          <w:p>
            <w:pPr>
              <w:spacing w:after="20"/>
              <w:jc w:val="right"/>
            </w:pPr>
            <w:r>
              <w:rPr>
                <w:color w:val="1C3A36"/>
                <w:sz w:val="16"/>
              </w:rPr>
              <w:t>411</w:t>
            </w:r>
          </w:p>
        </w:tc>
        <w:tc>
          <w:tcPr>
            <w:tcW w:type="dxa" w:w="1325"/>
          </w:tcPr>
          <w:p>
            <w:pPr>
              <w:spacing w:after="20"/>
              <w:jc w:val="right"/>
            </w:pPr>
            <w:r>
              <w:rPr>
                <w:color w:val="1C3A36"/>
                <w:sz w:val="16"/>
              </w:rPr>
              <w:t>422</w:t>
            </w:r>
          </w:p>
        </w:tc>
        <w:tc>
          <w:tcPr>
            <w:tcW w:type="dxa" w:w="1325"/>
          </w:tcPr>
          <w:p>
            <w:pPr>
              <w:spacing w:after="20"/>
              <w:jc w:val="right"/>
            </w:pPr>
            <w:r>
              <w:rPr>
                <w:color w:val="1C3A36"/>
                <w:sz w:val="16"/>
              </w:rPr>
              <w:t>450</w:t>
            </w:r>
          </w:p>
        </w:tc>
        <w:tc>
          <w:tcPr>
            <w:tcW w:type="dxa" w:w="1325"/>
          </w:tcPr>
          <w:p>
            <w:pPr>
              <w:spacing w:after="20"/>
              <w:jc w:val="right"/>
            </w:pPr>
            <w:r>
              <w:rPr>
                <w:color w:val="1C3A36"/>
                <w:sz w:val="16"/>
              </w:rPr>
              <w:t>491</w:t>
            </w:r>
          </w:p>
        </w:tc>
      </w:tr>
      <w:tr>
        <w:tc>
          <w:tcPr>
            <w:tcW w:type="dxa" w:w="3384"/>
          </w:tcPr>
          <w:p>
            <w:pPr>
              <w:spacing w:after="20"/>
            </w:pPr>
            <w:r>
              <w:rPr>
                <w:color w:val="1C3A36"/>
                <w:sz w:val="16"/>
              </w:rPr>
              <w:t>Dividends paid</w:t>
            </w:r>
          </w:p>
        </w:tc>
        <w:tc>
          <w:tcPr>
            <w:tcW w:type="dxa" w:w="1325"/>
          </w:tcPr>
          <w:p>
            <w:pPr>
              <w:spacing w:after="20"/>
              <w:jc w:val="right"/>
            </w:pPr>
            <w:r>
              <w:rPr>
                <w:color w:val="1C3A36"/>
                <w:sz w:val="16"/>
              </w:rPr>
              <w:t>(1,173)</w:t>
            </w:r>
          </w:p>
        </w:tc>
        <w:tc>
          <w:tcPr>
            <w:tcW w:type="dxa" w:w="1325"/>
          </w:tcPr>
          <w:p>
            <w:pPr>
              <w:spacing w:after="20"/>
              <w:jc w:val="right"/>
            </w:pPr>
            <w:r>
              <w:rPr>
                <w:color w:val="1C3A36"/>
                <w:sz w:val="16"/>
              </w:rPr>
              <w:t>(1,325)</w:t>
            </w:r>
          </w:p>
        </w:tc>
        <w:tc>
          <w:tcPr>
            <w:tcW w:type="dxa" w:w="1325"/>
          </w:tcPr>
          <w:p>
            <w:pPr>
              <w:spacing w:after="20"/>
              <w:jc w:val="right"/>
            </w:pPr>
            <w:r>
              <w:rPr>
                <w:color w:val="1C3A36"/>
                <w:sz w:val="16"/>
              </w:rPr>
              <w:t>(1,475)</w:t>
            </w:r>
          </w:p>
        </w:tc>
        <w:tc>
          <w:tcPr>
            <w:tcW w:type="dxa" w:w="1325"/>
          </w:tcPr>
          <w:p>
            <w:pPr>
              <w:spacing w:after="20"/>
              <w:jc w:val="right"/>
            </w:pPr>
            <w:r>
              <w:rPr>
                <w:color w:val="1C3A36"/>
                <w:sz w:val="16"/>
              </w:rPr>
              <w:t>(1,628)</w:t>
            </w:r>
          </w:p>
        </w:tc>
        <w:tc>
          <w:tcPr>
            <w:tcW w:type="dxa" w:w="1325"/>
          </w:tcPr>
          <w:p>
            <w:pPr>
              <w:spacing w:after="20"/>
              <w:jc w:val="right"/>
            </w:pPr>
            <w:r>
              <w:rPr>
                <w:color w:val="1C3A36"/>
                <w:sz w:val="16"/>
              </w:rPr>
              <w:t>(1,786)</w:t>
            </w:r>
          </w:p>
        </w:tc>
      </w:tr>
      <w:tr>
        <w:tc>
          <w:tcPr>
            <w:tcW w:type="dxa" w:w="3384"/>
          </w:tcPr>
          <w:p>
            <w:pPr>
              <w:spacing w:after="20"/>
            </w:pPr>
            <w:r>
              <w:rPr>
                <w:color w:val="1C3A36"/>
                <w:sz w:val="16"/>
              </w:rPr>
              <w:t>Closing net cash</w:t>
            </w:r>
          </w:p>
        </w:tc>
        <w:tc>
          <w:tcPr>
            <w:tcW w:type="dxa" w:w="1325"/>
          </w:tcPr>
          <w:p>
            <w:pPr>
              <w:spacing w:after="20"/>
              <w:jc w:val="right"/>
            </w:pPr>
            <w:r>
              <w:rPr>
                <w:color w:val="1C3A36"/>
                <w:sz w:val="16"/>
              </w:rPr>
              <w:t>2,751</w:t>
            </w:r>
          </w:p>
        </w:tc>
        <w:tc>
          <w:tcPr>
            <w:tcW w:type="dxa" w:w="1325"/>
          </w:tcPr>
          <w:p>
            <w:pPr>
              <w:spacing w:after="20"/>
              <w:jc w:val="right"/>
            </w:pPr>
            <w:r>
              <w:rPr>
                <w:color w:val="1C3A36"/>
                <w:sz w:val="16"/>
              </w:rPr>
              <w:t>3,135</w:t>
            </w:r>
          </w:p>
        </w:tc>
        <w:tc>
          <w:tcPr>
            <w:tcW w:type="dxa" w:w="1325"/>
          </w:tcPr>
          <w:p>
            <w:pPr>
              <w:spacing w:after="20"/>
              <w:jc w:val="right"/>
            </w:pPr>
            <w:r>
              <w:rPr>
                <w:color w:val="1C3A36"/>
                <w:sz w:val="16"/>
              </w:rPr>
              <w:t>3,604</w:t>
            </w:r>
          </w:p>
        </w:tc>
        <w:tc>
          <w:tcPr>
            <w:tcW w:type="dxa" w:w="1325"/>
          </w:tcPr>
          <w:p>
            <w:pPr>
              <w:spacing w:after="20"/>
              <w:jc w:val="right"/>
            </w:pPr>
            <w:r>
              <w:rPr>
                <w:color w:val="1C3A36"/>
                <w:sz w:val="16"/>
              </w:rPr>
              <w:t>4,165</w:t>
            </w:r>
          </w:p>
        </w:tc>
        <w:tc>
          <w:tcPr>
            <w:tcW w:type="dxa" w:w="1325"/>
          </w:tcPr>
          <w:p>
            <w:pPr>
              <w:spacing w:after="20"/>
              <w:jc w:val="right"/>
            </w:pPr>
            <w:r>
              <w:rPr>
                <w:color w:val="1C3A36"/>
                <w:sz w:val="16"/>
              </w:rPr>
              <w:t>4,827</w:t>
            </w:r>
          </w:p>
        </w:tc>
      </w:tr>
    </w:tbl>
    <w:p>
      <w:pPr>
        <w:spacing w:after="40"/>
      </w:pPr>
    </w:p>
    <w:p>
      <w:pPr>
        <w:spacing w:after="120" w:before="280"/>
      </w:pPr>
      <w:r>
        <w:rPr>
          <w:b/>
          <w:i w:val="0"/>
          <w:color w:val="1C3A36"/>
          <w:sz w:val="30"/>
        </w:rPr>
        <w:t>Appendix B  The cost of capital in detail</w:t>
      </w:r>
    </w:p>
    <w:p>
      <w:pPr>
        <w:spacing w:after="80" w:before="200"/>
      </w:pPr>
      <w:r>
        <w:rPr>
          <w:b/>
          <w:i w:val="0"/>
          <w:color w:val="1C3A36"/>
          <w:sz w:val="24"/>
        </w:rPr>
        <w:t>B.1  Beta</w:t>
      </w:r>
    </w:p>
    <w:p>
      <w:pPr>
        <w:spacing w:after="120" w:before="0"/>
      </w:pPr>
      <w:r>
        <w:rPr>
          <w:b w:val="0"/>
          <w:i w:val="0"/>
          <w:color w:val="1C3A36"/>
          <w:sz w:val="21"/>
        </w:rPr>
        <w:t>The beta is a genuine regression on this company's own returns, not a default. AMOC weekly logarithmic returns were regressed against an equal-weight composite of 33 Egyptian Exchange constituents over 5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4752"/>
      </w:tblGrid>
      <w:tr>
        <w:tc>
          <w:tcPr>
            <w:tcW w:type="dxa" w:w="2664"/>
            <w:shd w:val="clear" w:color="auto" w:fill="EAF0EE"/>
          </w:tcPr>
          <w:p>
            <w:pPr>
              <w:spacing w:after="20"/>
            </w:pPr>
            <w:r>
              <w:rPr>
                <w:b/>
                <w:color w:val="1C3A36"/>
                <w:sz w:val="16"/>
              </w:rPr>
              <w:t>Diagnostic</w:t>
            </w:r>
          </w:p>
        </w:tc>
        <w:tc>
          <w:tcPr>
            <w:tcW w:type="dxa" w:w="2232"/>
            <w:shd w:val="clear" w:color="auto" w:fill="EAF0EE"/>
          </w:tcPr>
          <w:p>
            <w:pPr>
              <w:spacing w:after="20"/>
            </w:pPr>
            <w:r>
              <w:rPr>
                <w:b/>
                <w:color w:val="1C3A36"/>
                <w:sz w:val="16"/>
              </w:rPr>
              <w:t>Value</w:t>
            </w:r>
          </w:p>
        </w:tc>
        <w:tc>
          <w:tcPr>
            <w:tcW w:type="dxa" w:w="4752"/>
            <w:shd w:val="clear" w:color="auto" w:fill="EAF0EE"/>
          </w:tcPr>
          <w:p>
            <w:pPr>
              <w:spacing w:after="20"/>
            </w:pPr>
            <w:r>
              <w:rPr>
                <w:b/>
                <w:color w:val="1C3A36"/>
                <w:sz w:val="16"/>
              </w:rPr>
              <w:t>Reading</w:t>
            </w:r>
          </w:p>
        </w:tc>
      </w:tr>
      <w:tr>
        <w:tc>
          <w:tcPr>
            <w:tcW w:type="dxa" w:w="2664"/>
          </w:tcPr>
          <w:p>
            <w:pPr>
              <w:spacing w:after="20"/>
            </w:pPr>
            <w:r>
              <w:rPr>
                <w:color w:val="1C3A36"/>
                <w:sz w:val="16"/>
              </w:rPr>
              <w:t>Beta</w:t>
            </w:r>
          </w:p>
        </w:tc>
        <w:tc>
          <w:tcPr>
            <w:tcW w:type="dxa" w:w="2232"/>
          </w:tcPr>
          <w:p>
            <w:pPr>
              <w:spacing w:after="20"/>
              <w:jc w:val="right"/>
            </w:pPr>
            <w:r>
              <w:rPr>
                <w:color w:val="1C3A36"/>
                <w:sz w:val="16"/>
              </w:rPr>
              <w:t>0.940</w:t>
            </w:r>
          </w:p>
        </w:tc>
        <w:tc>
          <w:tcPr>
            <w:tcW w:type="dxa" w:w="4752"/>
          </w:tcPr>
          <w:p>
            <w:pPr>
              <w:spacing w:after="20"/>
            </w:pPr>
            <w:r>
              <w:rPr>
                <w:color w:val="1C3A36"/>
                <w:sz w:val="16"/>
              </w:rPr>
              <w:t>the point estimate</w:t>
            </w:r>
          </w:p>
        </w:tc>
      </w:tr>
      <w:tr>
        <w:tc>
          <w:tcPr>
            <w:tcW w:type="dxa" w:w="2664"/>
          </w:tcPr>
          <w:p>
            <w:pPr>
              <w:spacing w:after="20"/>
            </w:pPr>
            <w:r>
              <w:rPr>
                <w:color w:val="1C3A36"/>
                <w:sz w:val="16"/>
              </w:rPr>
              <w:t>R-squared</w:t>
            </w:r>
          </w:p>
        </w:tc>
        <w:tc>
          <w:tcPr>
            <w:tcW w:type="dxa" w:w="2232"/>
          </w:tcPr>
          <w:p>
            <w:pPr>
              <w:spacing w:after="20"/>
              <w:jc w:val="right"/>
            </w:pPr>
            <w:r>
              <w:rPr>
                <w:color w:val="1C3A36"/>
                <w:sz w:val="16"/>
              </w:rPr>
              <w:t>31.2%</w:t>
            </w:r>
          </w:p>
        </w:tc>
        <w:tc>
          <w:tcPr>
            <w:tcW w:type="dxa" w:w="4752"/>
          </w:tcPr>
          <w:p>
            <w:pPr>
              <w:spacing w:after="20"/>
            </w:pPr>
            <w:r>
              <w:rPr>
                <w:color w:val="1C3A36"/>
                <w:sz w:val="16"/>
              </w:rPr>
              <w:t>well above the 5% usability floor</w:t>
            </w:r>
          </w:p>
        </w:tc>
      </w:tr>
      <w:tr>
        <w:tc>
          <w:tcPr>
            <w:tcW w:type="dxa" w:w="2664"/>
          </w:tcPr>
          <w:p>
            <w:pPr>
              <w:spacing w:after="20"/>
            </w:pPr>
            <w:r>
              <w:rPr>
                <w:color w:val="1C3A36"/>
                <w:sz w:val="16"/>
              </w:rPr>
              <w:t>Observations</w:t>
            </w:r>
          </w:p>
        </w:tc>
        <w:tc>
          <w:tcPr>
            <w:tcW w:type="dxa" w:w="2232"/>
          </w:tcPr>
          <w:p>
            <w:pPr>
              <w:spacing w:after="20"/>
              <w:jc w:val="right"/>
            </w:pPr>
            <w:r>
              <w:rPr>
                <w:color w:val="1C3A36"/>
                <w:sz w:val="16"/>
              </w:rPr>
              <w:t>257</w:t>
            </w:r>
          </w:p>
        </w:tc>
        <w:tc>
          <w:tcPr>
            <w:tcW w:type="dxa" w:w="4752"/>
          </w:tcPr>
          <w:p>
            <w:pPr>
              <w:spacing w:after="20"/>
            </w:pPr>
            <w:r>
              <w:rPr>
                <w:color w:val="1C3A36"/>
                <w:sz w:val="16"/>
              </w:rPr>
              <w:t>far above the 24-observation minimum</w:t>
            </w:r>
          </w:p>
        </w:tc>
      </w:tr>
      <w:tr>
        <w:tc>
          <w:tcPr>
            <w:tcW w:type="dxa" w:w="2664"/>
          </w:tcPr>
          <w:p>
            <w:pPr>
              <w:spacing w:after="20"/>
            </w:pPr>
            <w:r>
              <w:rPr>
                <w:color w:val="1C3A36"/>
                <w:sz w:val="16"/>
              </w:rPr>
              <w:t>Standard error</w:t>
            </w:r>
          </w:p>
        </w:tc>
        <w:tc>
          <w:tcPr>
            <w:tcW w:type="dxa" w:w="2232"/>
          </w:tcPr>
          <w:p>
            <w:pPr>
              <w:spacing w:after="20"/>
              <w:jc w:val="right"/>
            </w:pPr>
            <w:r>
              <w:rPr>
                <w:color w:val="1C3A36"/>
                <w:sz w:val="16"/>
              </w:rPr>
              <w:t>0.087</w:t>
            </w:r>
          </w:p>
        </w:tc>
        <w:tc>
          <w:tcPr>
            <w:tcW w:type="dxa" w:w="4752"/>
          </w:tcPr>
          <w:p>
            <w:pPr>
              <w:spacing w:after="20"/>
            </w:pPr>
            <w:r>
              <w:rPr>
                <w:color w:val="1C3A36"/>
                <w:sz w:val="16"/>
              </w:rPr>
              <w:t>comfortably below the point estimate</w:t>
            </w:r>
          </w:p>
        </w:tc>
      </w:tr>
      <w:tr>
        <w:tc>
          <w:tcPr>
            <w:tcW w:type="dxa" w:w="2664"/>
          </w:tcPr>
          <w:p>
            <w:pPr>
              <w:spacing w:after="20"/>
            </w:pPr>
            <w:r>
              <w:rPr>
                <w:color w:val="1C3A36"/>
                <w:sz w:val="16"/>
              </w:rPr>
              <w:t>90% confidence interval</w:t>
            </w:r>
          </w:p>
        </w:tc>
        <w:tc>
          <w:tcPr>
            <w:tcW w:type="dxa" w:w="2232"/>
          </w:tcPr>
          <w:p>
            <w:pPr>
              <w:spacing w:after="20"/>
              <w:jc w:val="right"/>
            </w:pPr>
            <w:r>
              <w:rPr>
                <w:color w:val="1C3A36"/>
                <w:sz w:val="16"/>
              </w:rPr>
              <w:t>0.797 – 1.084</w:t>
            </w:r>
          </w:p>
        </w:tc>
        <w:tc>
          <w:tcPr>
            <w:tcW w:type="dxa" w:w="4752"/>
          </w:tcPr>
          <w:p>
            <w:pPr>
              <w:spacing w:after="20"/>
            </w:pPr>
            <w:r>
              <w:rPr>
                <w:color w:val="1C3A36"/>
                <w:sz w:val="16"/>
              </w:rPr>
              <w:t>spans 0.31× the point estimate</w:t>
            </w:r>
          </w:p>
        </w:tc>
      </w:tr>
      <w:tr>
        <w:tc>
          <w:tcPr>
            <w:tcW w:type="dxa" w:w="2664"/>
          </w:tcPr>
          <w:p>
            <w:pPr>
              <w:spacing w:after="20"/>
            </w:pPr>
            <w:r>
              <w:rPr>
                <w:color w:val="1C3A36"/>
                <w:sz w:val="16"/>
              </w:rPr>
              <w:t>Weak-instrument flag</w:t>
            </w:r>
          </w:p>
        </w:tc>
        <w:tc>
          <w:tcPr>
            <w:tcW w:type="dxa" w:w="2232"/>
          </w:tcPr>
          <w:p>
            <w:pPr>
              <w:spacing w:after="20"/>
              <w:jc w:val="right"/>
            </w:pPr>
            <w:r>
              <w:rPr>
                <w:color w:val="1C3A36"/>
                <w:sz w:val="16"/>
              </w:rPr>
              <w:t>NOT flagged</w:t>
            </w:r>
          </w:p>
        </w:tc>
        <w:tc>
          <w:tcPr>
            <w:tcW w:type="dxa" w:w="4752"/>
          </w:tcPr>
          <w:p>
            <w:pPr>
              <w:spacing w:after="20"/>
            </w:pPr>
            <w:r>
              <w:rPr>
                <w:color w:val="1C3A36"/>
                <w:sz w:val="16"/>
              </w:rPr>
              <w:t>R-squared is above 10% and the interval is well inside twice the point estimate</w:t>
            </w:r>
          </w:p>
        </w:tc>
      </w:tr>
    </w:tbl>
    <w:p>
      <w:pPr>
        <w:spacing w:after="40"/>
      </w:pPr>
    </w:p>
    <w:p>
      <w:pPr>
        <w:spacing w:after="120" w:before="0"/>
      </w:pPr>
      <w:r>
        <w:rPr>
          <w:b w:val="0"/>
          <w:i w:val="0"/>
          <w:color w:val="1C3A36"/>
          <w:sz w:val="21"/>
        </w:rPr>
        <w:t>This is an unusually well-identified beta for an Egyptian mid-cap, and it is worth saying so rather than hedging: an R-squared of 31.2% on 257 weekly observations means the market explains close to a third of this share's variance. The point estimate of 0.940 also passes the plausibility check — a single-asset processor with administered input and output prices should sit near the market, neither defensive like a staple nor geared like a developer, and it does.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368"/>
        <w:gridCol w:w="1368"/>
        <w:gridCol w:w="1368"/>
        <w:gridCol w:w="1368"/>
        <w:gridCol w:w="1368"/>
      </w:tblGrid>
      <w:tr>
        <w:tc>
          <w:tcPr>
            <w:tcW w:type="dxa" w:w="2664"/>
            <w:shd w:val="clear" w:color="auto" w:fill="EAF0EE"/>
          </w:tcPr>
          <w:p>
            <w:pPr>
              <w:spacing w:after="20"/>
            </w:pPr>
            <w:r>
              <w:rPr>
                <w:b/>
                <w:color w:val="1C3A36"/>
                <w:sz w:val="17"/>
              </w:rPr>
              <w:t>Beta</w:t>
            </w:r>
          </w:p>
        </w:tc>
        <w:tc>
          <w:tcPr>
            <w:tcW w:type="dxa" w:w="1368"/>
            <w:shd w:val="clear" w:color="auto" w:fill="EAF0EE"/>
          </w:tcPr>
          <w:p>
            <w:pPr>
              <w:spacing w:after="20"/>
            </w:pPr>
            <w:r>
              <w:rPr>
                <w:b/>
                <w:color w:val="1C3A36"/>
                <w:sz w:val="17"/>
              </w:rPr>
              <w:t>0.60</w:t>
            </w:r>
          </w:p>
        </w:tc>
        <w:tc>
          <w:tcPr>
            <w:tcW w:type="dxa" w:w="1368"/>
            <w:shd w:val="clear" w:color="auto" w:fill="EAF0EE"/>
          </w:tcPr>
          <w:p>
            <w:pPr>
              <w:spacing w:after="20"/>
            </w:pPr>
            <w:r>
              <w:rPr>
                <w:b/>
                <w:color w:val="1C3A36"/>
                <w:sz w:val="17"/>
              </w:rPr>
              <w:t>0.80</w:t>
            </w:r>
          </w:p>
        </w:tc>
        <w:tc>
          <w:tcPr>
            <w:tcW w:type="dxa" w:w="1368"/>
            <w:shd w:val="clear" w:color="auto" w:fill="EAF0EE"/>
          </w:tcPr>
          <w:p>
            <w:pPr>
              <w:spacing w:after="20"/>
            </w:pPr>
            <w:r>
              <w:rPr>
                <w:b/>
                <w:color w:val="1C3A36"/>
                <w:sz w:val="17"/>
              </w:rPr>
              <w:t>0.94</w:t>
            </w:r>
          </w:p>
        </w:tc>
        <w:tc>
          <w:tcPr>
            <w:tcW w:type="dxa" w:w="1368"/>
            <w:shd w:val="clear" w:color="auto" w:fill="EAF0EE"/>
          </w:tcPr>
          <w:p>
            <w:pPr>
              <w:spacing w:after="20"/>
            </w:pPr>
            <w:r>
              <w:rPr>
                <w:b/>
                <w:color w:val="1C3A36"/>
                <w:sz w:val="17"/>
              </w:rPr>
              <w:t>1.15</w:t>
            </w:r>
          </w:p>
        </w:tc>
        <w:tc>
          <w:tcPr>
            <w:tcW w:type="dxa" w:w="1368"/>
            <w:shd w:val="clear" w:color="auto" w:fill="EAF0EE"/>
          </w:tcPr>
          <w:p>
            <w:pPr>
              <w:spacing w:after="20"/>
            </w:pPr>
            <w:r>
              <w:rPr>
                <w:b/>
                <w:color w:val="1C3A36"/>
                <w:sz w:val="17"/>
              </w:rPr>
              <w:t>1.30</w:t>
            </w:r>
          </w:p>
        </w:tc>
      </w:tr>
      <w:tr>
        <w:tc>
          <w:tcPr>
            <w:tcW w:type="dxa" w:w="2664"/>
          </w:tcPr>
          <w:p>
            <w:pPr>
              <w:spacing w:after="20"/>
            </w:pPr>
            <w:r>
              <w:rPr>
                <w:color w:val="1C3A36"/>
                <w:sz w:val="17"/>
              </w:rPr>
              <w:t>Fair value (EGP)</w:t>
            </w:r>
          </w:p>
        </w:tc>
        <w:tc>
          <w:tcPr>
            <w:tcW w:type="dxa" w:w="1368"/>
          </w:tcPr>
          <w:p>
            <w:pPr>
              <w:spacing w:after="20"/>
              <w:jc w:val="right"/>
            </w:pPr>
            <w:r>
              <w:rPr>
                <w:color w:val="1C3A36"/>
                <w:sz w:val="17"/>
              </w:rPr>
              <w:t>12.28</w:t>
            </w:r>
          </w:p>
        </w:tc>
        <w:tc>
          <w:tcPr>
            <w:tcW w:type="dxa" w:w="1368"/>
          </w:tcPr>
          <w:p>
            <w:pPr>
              <w:spacing w:after="20"/>
              <w:jc w:val="right"/>
            </w:pPr>
            <w:r>
              <w:rPr>
                <w:color w:val="1C3A36"/>
                <w:sz w:val="17"/>
              </w:rPr>
              <w:t>10.85</w:t>
            </w:r>
          </w:p>
        </w:tc>
        <w:tc>
          <w:tcPr>
            <w:tcW w:type="dxa" w:w="1368"/>
          </w:tcPr>
          <w:p>
            <w:pPr>
              <w:spacing w:after="20"/>
              <w:jc w:val="right"/>
            </w:pPr>
            <w:r>
              <w:rPr>
                <w:color w:val="1C3A36"/>
                <w:sz w:val="17"/>
              </w:rPr>
              <w:t>10.04</w:t>
            </w:r>
          </w:p>
        </w:tc>
        <w:tc>
          <w:tcPr>
            <w:tcW w:type="dxa" w:w="1368"/>
          </w:tcPr>
          <w:p>
            <w:pPr>
              <w:spacing w:after="20"/>
              <w:jc w:val="right"/>
            </w:pPr>
            <w:r>
              <w:rPr>
                <w:color w:val="1C3A36"/>
                <w:sz w:val="17"/>
              </w:rPr>
              <w:t>9.05</w:t>
            </w:r>
          </w:p>
        </w:tc>
        <w:tc>
          <w:tcPr>
            <w:tcW w:type="dxa" w:w="1368"/>
          </w:tcPr>
          <w:p>
            <w:pPr>
              <w:spacing w:after="20"/>
              <w:jc w:val="right"/>
            </w:pPr>
            <w:r>
              <w:rPr>
                <w:color w:val="1C3A36"/>
                <w:sz w:val="17"/>
              </w:rPr>
              <w:t>8.46</w:t>
            </w:r>
          </w:p>
        </w:tc>
      </w:tr>
    </w:tbl>
    <w:p>
      <w:pPr>
        <w:spacing w:after="40"/>
      </w:pPr>
    </w:p>
    <w:p>
      <w:pPr>
        <w:spacing w:after="200" w:before="0"/>
      </w:pPr>
      <w:r>
        <w:rPr>
          <w:b w:val="0"/>
          <w:i/>
          <w:color w:val="6E7B77"/>
          <w:sz w:val="17"/>
        </w:rPr>
        <w:t>Beta sensitivity across the 90% confidence interval plus the standard round anchors, so this study can be compared with others on the same grid.</w:t>
      </w:r>
    </w:p>
    <w:p>
      <w:pPr>
        <w:spacing w:after="80" w:before="200"/>
      </w:pPr>
      <w:r>
        <w:rPr>
          <w:b/>
          <w:i w:val="0"/>
          <w:color w:val="1C3A36"/>
          <w:sz w:val="24"/>
        </w:rPr>
        <w:t>B.2  The cost of debt, and why it does not matter here</w:t>
      </w:r>
    </w:p>
    <w:p>
      <w:pPr>
        <w:spacing w:after="120" w:before="0"/>
      </w:pPr>
      <w:r>
        <w:rPr>
          <w:b w:val="0"/>
          <w:i w:val="0"/>
          <w:color w:val="1C3A36"/>
          <w:sz w:val="21"/>
        </w:rPr>
        <w:t>The standing procedure requires three pieces of evidence for the cost of debt, and all three are produced — but on this name the third is the one that matters, and it cuts in an unusual direction.</w:t>
      </w:r>
    </w:p>
    <w:p>
      <w:pPr>
        <w:pStyle w:val="ListBullet"/>
        <w:spacing w:after="60"/>
      </w:pPr>
      <w:r>
        <w:rPr>
          <w:b/>
          <w:color w:val="1C3A36"/>
          <w:sz w:val="21"/>
        </w:rPr>
        <w:t xml:space="preserve">Currency composition. </w:t>
      </w:r>
      <w:r>
        <w:rPr>
          <w:color w:val="1C3A36"/>
          <w:sz w:val="21"/>
        </w:rPr>
        <w:t>The entire book is EGP 25.3mn of short-dated Egyptian-pound bank facilities. There is no foreign-currency leg, so no currency blend is available and none is claimed. The company's dollar exposure sits in export receivables, not in debt.</w:t>
      </w:r>
    </w:p>
    <w:p>
      <w:pPr>
        <w:pStyle w:val="ListBullet"/>
        <w:spacing w:after="60"/>
      </w:pPr>
      <w:r>
        <w:rPr>
          <w:b/>
          <w:color w:val="1C3A36"/>
          <w:sz w:val="21"/>
        </w:rPr>
        <w:t xml:space="preserve">Independent effective rate. </w:t>
      </w:r>
      <w:r>
        <w:rPr>
          <w:color w:val="1C3A36"/>
          <w:sz w:val="21"/>
        </w:rPr>
        <w:t>An interest-expense-over-average-balance computation on a book this small is not a usable estimator — the denominator is 0.063% of revenue and rounds away in the disclosure. The rate is therefore built from an observable instead: the central bank's overnight lending rate of 20.00% plus a 200-basis-point corporate spread, giving 22.0%. Saying that plainly is the honest alternative to computing a precise-looking number out of a rounding residual.</w:t>
      </w:r>
    </w:p>
    <w:p>
      <w:pPr>
        <w:pStyle w:val="ListBullet"/>
        <w:spacing w:after="60"/>
      </w:pPr>
      <w:r>
        <w:rPr>
          <w:b/>
          <w:color w:val="1C3A36"/>
          <w:sz w:val="21"/>
        </w:rPr>
        <w:t xml:space="preserve">Bounds and materiality. </w:t>
      </w:r>
      <w:r>
        <w:rPr>
          <w:color w:val="1C3A36"/>
          <w:sz w:val="21"/>
        </w:rPr>
        <w:t>Gross debt is 0.214% of the capital structure. A 500-basis-point error in the cost of debt — larger than any plausible mis-estimate — moves the weighted cost of capital by 0.82 basis points. What the gate establishes here is not that the input is right but that it cannot move the answer, and the study says so rather than dressing an immaterial input as a precise one.</w:t>
      </w:r>
    </w:p>
    <w:p>
      <w:pPr>
        <w:spacing w:after="80" w:before="200"/>
      </w:pPr>
      <w:r>
        <w:rPr>
          <w:b/>
          <w:i w:val="0"/>
          <w:color w:val="1C3A36"/>
          <w:sz w:val="24"/>
        </w:rPr>
        <w:t>B.3  Explicit against terminal cost of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69"/>
        <w:gridCol w:w="1469"/>
        <w:gridCol w:w="1469"/>
        <w:gridCol w:w="1469"/>
        <w:gridCol w:w="1469"/>
      </w:tblGrid>
      <w:tr>
        <w:tc>
          <w:tcPr>
            <w:tcW w:type="dxa" w:w="2232"/>
            <w:shd w:val="clear" w:color="auto" w:fill="EAF0EE"/>
          </w:tcPr>
          <w:p>
            <w:pPr>
              <w:spacing w:after="20"/>
            </w:pPr>
            <w:r>
              <w:rPr>
                <w:b/>
                <w:color w:val="1C3A36"/>
                <w:sz w:val="16"/>
              </w:rPr>
              <w:t>Explicit \ terminal</w:t>
            </w:r>
          </w:p>
        </w:tc>
        <w:tc>
          <w:tcPr>
            <w:tcW w:type="dxa" w:w="1469"/>
            <w:shd w:val="clear" w:color="auto" w:fill="EAF0EE"/>
          </w:tcPr>
          <w:p>
            <w:pPr>
              <w:spacing w:after="20"/>
            </w:pPr>
            <w:r>
              <w:rPr>
                <w:b/>
                <w:color w:val="1C3A36"/>
                <w:sz w:val="16"/>
              </w:rPr>
              <w:t>14.5%</w:t>
            </w:r>
          </w:p>
        </w:tc>
        <w:tc>
          <w:tcPr>
            <w:tcW w:type="dxa" w:w="1469"/>
            <w:shd w:val="clear" w:color="auto" w:fill="EAF0EE"/>
          </w:tcPr>
          <w:p>
            <w:pPr>
              <w:spacing w:after="20"/>
            </w:pPr>
            <w:r>
              <w:rPr>
                <w:b/>
                <w:color w:val="1C3A36"/>
                <w:sz w:val="16"/>
              </w:rPr>
              <w:t>15.5%</w:t>
            </w:r>
          </w:p>
        </w:tc>
        <w:tc>
          <w:tcPr>
            <w:tcW w:type="dxa" w:w="1469"/>
            <w:shd w:val="clear" w:color="auto" w:fill="EAF0EE"/>
          </w:tcPr>
          <w:p>
            <w:pPr>
              <w:spacing w:after="20"/>
            </w:pPr>
            <w:r>
              <w:rPr>
                <w:b/>
                <w:color w:val="1C3A36"/>
                <w:sz w:val="16"/>
              </w:rPr>
              <w:t>16.5%</w:t>
            </w:r>
          </w:p>
        </w:tc>
        <w:tc>
          <w:tcPr>
            <w:tcW w:type="dxa" w:w="1469"/>
            <w:shd w:val="clear" w:color="auto" w:fill="EAF0EE"/>
          </w:tcPr>
          <w:p>
            <w:pPr>
              <w:spacing w:after="20"/>
            </w:pPr>
            <w:r>
              <w:rPr>
                <w:b/>
                <w:color w:val="1C3A36"/>
                <w:sz w:val="16"/>
              </w:rPr>
              <w:t>17.5%</w:t>
            </w:r>
          </w:p>
        </w:tc>
        <w:tc>
          <w:tcPr>
            <w:tcW w:type="dxa" w:w="1469"/>
            <w:shd w:val="clear" w:color="auto" w:fill="EAF0EE"/>
          </w:tcPr>
          <w:p>
            <w:pPr>
              <w:spacing w:after="20"/>
            </w:pPr>
            <w:r>
              <w:rPr>
                <w:b/>
                <w:color w:val="1C3A36"/>
                <w:sz w:val="16"/>
              </w:rPr>
              <w:t>18.5%</w:t>
            </w:r>
          </w:p>
        </w:tc>
      </w:tr>
      <w:tr>
        <w:tc>
          <w:tcPr>
            <w:tcW w:type="dxa" w:w="2232"/>
          </w:tcPr>
          <w:p>
            <w:pPr>
              <w:spacing w:after="20"/>
            </w:pPr>
            <w:r>
              <w:rPr>
                <w:color w:val="1C3A36"/>
                <w:sz w:val="16"/>
              </w:rPr>
              <w:t>28.6%</w:t>
            </w:r>
          </w:p>
        </w:tc>
        <w:tc>
          <w:tcPr>
            <w:tcW w:type="dxa" w:w="1469"/>
          </w:tcPr>
          <w:p>
            <w:pPr>
              <w:spacing w:after="20"/>
              <w:jc w:val="right"/>
            </w:pPr>
            <w:r>
              <w:rPr>
                <w:color w:val="1C3A36"/>
                <w:sz w:val="16"/>
              </w:rPr>
              <w:t>11.80</w:t>
            </w:r>
          </w:p>
        </w:tc>
        <w:tc>
          <w:tcPr>
            <w:tcW w:type="dxa" w:w="1469"/>
          </w:tcPr>
          <w:p>
            <w:pPr>
              <w:spacing w:after="20"/>
              <w:jc w:val="right"/>
            </w:pPr>
            <w:r>
              <w:rPr>
                <w:color w:val="1C3A36"/>
                <w:sz w:val="16"/>
              </w:rPr>
              <w:t>10.98</w:t>
            </w:r>
          </w:p>
        </w:tc>
        <w:tc>
          <w:tcPr>
            <w:tcW w:type="dxa" w:w="1469"/>
          </w:tcPr>
          <w:p>
            <w:pPr>
              <w:spacing w:after="20"/>
              <w:jc w:val="right"/>
            </w:pPr>
            <w:r>
              <w:rPr>
                <w:color w:val="1C3A36"/>
                <w:sz w:val="16"/>
              </w:rPr>
              <w:t>10.31</w:t>
            </w:r>
          </w:p>
        </w:tc>
        <w:tc>
          <w:tcPr>
            <w:tcW w:type="dxa" w:w="1469"/>
          </w:tcPr>
          <w:p>
            <w:pPr>
              <w:spacing w:after="20"/>
              <w:jc w:val="right"/>
            </w:pPr>
            <w:r>
              <w:rPr>
                <w:color w:val="1C3A36"/>
                <w:sz w:val="16"/>
              </w:rPr>
              <w:t>9.74</w:t>
            </w:r>
          </w:p>
        </w:tc>
        <w:tc>
          <w:tcPr>
            <w:tcW w:type="dxa" w:w="1469"/>
          </w:tcPr>
          <w:p>
            <w:pPr>
              <w:spacing w:after="20"/>
              <w:jc w:val="right"/>
            </w:pPr>
            <w:r>
              <w:rPr>
                <w:color w:val="1C3A36"/>
                <w:sz w:val="16"/>
              </w:rPr>
              <w:t>9.25</w:t>
            </w:r>
          </w:p>
        </w:tc>
      </w:tr>
      <w:tr>
        <w:tc>
          <w:tcPr>
            <w:tcW w:type="dxa" w:w="2232"/>
          </w:tcPr>
          <w:p>
            <w:pPr>
              <w:spacing w:after="20"/>
            </w:pPr>
            <w:r>
              <w:rPr>
                <w:color w:val="1C3A36"/>
                <w:sz w:val="16"/>
              </w:rPr>
              <w:t>30.1%</w:t>
            </w:r>
          </w:p>
        </w:tc>
        <w:tc>
          <w:tcPr>
            <w:tcW w:type="dxa" w:w="1469"/>
          </w:tcPr>
          <w:p>
            <w:pPr>
              <w:spacing w:after="20"/>
              <w:jc w:val="right"/>
            </w:pPr>
            <w:r>
              <w:rPr>
                <w:color w:val="1C3A36"/>
                <w:sz w:val="16"/>
              </w:rPr>
              <w:t>11.57</w:t>
            </w:r>
          </w:p>
        </w:tc>
        <w:tc>
          <w:tcPr>
            <w:tcW w:type="dxa" w:w="1469"/>
          </w:tcPr>
          <w:p>
            <w:pPr>
              <w:spacing w:after="20"/>
              <w:jc w:val="right"/>
            </w:pPr>
            <w:r>
              <w:rPr>
                <w:color w:val="1C3A36"/>
                <w:sz w:val="16"/>
              </w:rPr>
              <w:t>10.77</w:t>
            </w:r>
          </w:p>
        </w:tc>
        <w:tc>
          <w:tcPr>
            <w:tcW w:type="dxa" w:w="1469"/>
          </w:tcPr>
          <w:p>
            <w:pPr>
              <w:spacing w:after="20"/>
              <w:jc w:val="right"/>
            </w:pPr>
            <w:r>
              <w:rPr>
                <w:color w:val="1C3A36"/>
                <w:sz w:val="16"/>
              </w:rPr>
              <w:t>10.11</w:t>
            </w:r>
          </w:p>
        </w:tc>
        <w:tc>
          <w:tcPr>
            <w:tcW w:type="dxa" w:w="1469"/>
          </w:tcPr>
          <w:p>
            <w:pPr>
              <w:spacing w:after="20"/>
              <w:jc w:val="right"/>
            </w:pPr>
            <w:r>
              <w:rPr>
                <w:color w:val="1C3A36"/>
                <w:sz w:val="16"/>
              </w:rPr>
              <w:t>9.55</w:t>
            </w:r>
          </w:p>
        </w:tc>
        <w:tc>
          <w:tcPr>
            <w:tcW w:type="dxa" w:w="1469"/>
          </w:tcPr>
          <w:p>
            <w:pPr>
              <w:spacing w:after="20"/>
              <w:jc w:val="right"/>
            </w:pPr>
            <w:r>
              <w:rPr>
                <w:color w:val="1C3A36"/>
                <w:sz w:val="16"/>
              </w:rPr>
              <w:t>9.08</w:t>
            </w:r>
          </w:p>
        </w:tc>
      </w:tr>
      <w:tr>
        <w:tc>
          <w:tcPr>
            <w:tcW w:type="dxa" w:w="2232"/>
          </w:tcPr>
          <w:p>
            <w:pPr>
              <w:spacing w:after="20"/>
            </w:pPr>
            <w:r>
              <w:rPr>
                <w:color w:val="1C3A36"/>
                <w:sz w:val="16"/>
              </w:rPr>
              <w:t>31.6%</w:t>
            </w:r>
          </w:p>
        </w:tc>
        <w:tc>
          <w:tcPr>
            <w:tcW w:type="dxa" w:w="1469"/>
          </w:tcPr>
          <w:p>
            <w:pPr>
              <w:spacing w:after="20"/>
              <w:jc w:val="right"/>
            </w:pPr>
            <w:r>
              <w:rPr>
                <w:color w:val="1C3A36"/>
                <w:sz w:val="16"/>
              </w:rPr>
              <w:t>11.34</w:t>
            </w:r>
          </w:p>
        </w:tc>
        <w:tc>
          <w:tcPr>
            <w:tcW w:type="dxa" w:w="1469"/>
          </w:tcPr>
          <w:p>
            <w:pPr>
              <w:spacing w:after="20"/>
              <w:jc w:val="right"/>
            </w:pPr>
            <w:r>
              <w:rPr>
                <w:color w:val="1C3A36"/>
                <w:sz w:val="16"/>
              </w:rPr>
              <w:t>10.56</w:t>
            </w:r>
          </w:p>
        </w:tc>
        <w:tc>
          <w:tcPr>
            <w:tcW w:type="dxa" w:w="1469"/>
          </w:tcPr>
          <w:p>
            <w:pPr>
              <w:spacing w:after="20"/>
              <w:jc w:val="right"/>
            </w:pPr>
            <w:r>
              <w:rPr>
                <w:color w:val="1C3A36"/>
                <w:sz w:val="16"/>
              </w:rPr>
              <w:t>9.91</w:t>
            </w:r>
          </w:p>
        </w:tc>
        <w:tc>
          <w:tcPr>
            <w:tcW w:type="dxa" w:w="1469"/>
          </w:tcPr>
          <w:p>
            <w:pPr>
              <w:spacing w:after="20"/>
              <w:jc w:val="right"/>
            </w:pPr>
            <w:r>
              <w:rPr>
                <w:color w:val="1C3A36"/>
                <w:sz w:val="16"/>
              </w:rPr>
              <w:t>9.37</w:t>
            </w:r>
          </w:p>
        </w:tc>
        <w:tc>
          <w:tcPr>
            <w:tcW w:type="dxa" w:w="1469"/>
          </w:tcPr>
          <w:p>
            <w:pPr>
              <w:spacing w:after="20"/>
              <w:jc w:val="right"/>
            </w:pPr>
            <w:r>
              <w:rPr>
                <w:color w:val="1C3A36"/>
                <w:sz w:val="16"/>
              </w:rPr>
              <w:t>8.91</w:t>
            </w:r>
          </w:p>
        </w:tc>
      </w:tr>
      <w:tr>
        <w:tc>
          <w:tcPr>
            <w:tcW w:type="dxa" w:w="2232"/>
          </w:tcPr>
          <w:p>
            <w:pPr>
              <w:spacing w:after="20"/>
            </w:pPr>
            <w:r>
              <w:rPr>
                <w:color w:val="1C3A36"/>
                <w:sz w:val="16"/>
              </w:rPr>
              <w:t>33.1%</w:t>
            </w:r>
          </w:p>
        </w:tc>
        <w:tc>
          <w:tcPr>
            <w:tcW w:type="dxa" w:w="1469"/>
          </w:tcPr>
          <w:p>
            <w:pPr>
              <w:spacing w:after="20"/>
              <w:jc w:val="right"/>
            </w:pPr>
            <w:r>
              <w:rPr>
                <w:color w:val="1C3A36"/>
                <w:sz w:val="16"/>
              </w:rPr>
              <w:t>11.11</w:t>
            </w:r>
          </w:p>
        </w:tc>
        <w:tc>
          <w:tcPr>
            <w:tcW w:type="dxa" w:w="1469"/>
          </w:tcPr>
          <w:p>
            <w:pPr>
              <w:spacing w:after="20"/>
              <w:jc w:val="right"/>
            </w:pPr>
            <w:r>
              <w:rPr>
                <w:color w:val="1C3A36"/>
                <w:sz w:val="16"/>
              </w:rPr>
              <w:t>10.35</w:t>
            </w:r>
          </w:p>
        </w:tc>
        <w:tc>
          <w:tcPr>
            <w:tcW w:type="dxa" w:w="1469"/>
          </w:tcPr>
          <w:p>
            <w:pPr>
              <w:spacing w:after="20"/>
              <w:jc w:val="right"/>
            </w:pPr>
            <w:r>
              <w:rPr>
                <w:color w:val="1C3A36"/>
                <w:sz w:val="16"/>
              </w:rPr>
              <w:t>9.73</w:t>
            </w:r>
          </w:p>
        </w:tc>
        <w:tc>
          <w:tcPr>
            <w:tcW w:type="dxa" w:w="1469"/>
          </w:tcPr>
          <w:p>
            <w:pPr>
              <w:spacing w:after="20"/>
              <w:jc w:val="right"/>
            </w:pPr>
            <w:r>
              <w:rPr>
                <w:color w:val="1C3A36"/>
                <w:sz w:val="16"/>
              </w:rPr>
              <w:t>9.20</w:t>
            </w:r>
          </w:p>
        </w:tc>
        <w:tc>
          <w:tcPr>
            <w:tcW w:type="dxa" w:w="1469"/>
          </w:tcPr>
          <w:p>
            <w:pPr>
              <w:spacing w:after="20"/>
              <w:jc w:val="right"/>
            </w:pPr>
            <w:r>
              <w:rPr>
                <w:color w:val="1C3A36"/>
                <w:sz w:val="16"/>
              </w:rPr>
              <w:t>8.75</w:t>
            </w:r>
          </w:p>
        </w:tc>
      </w:tr>
      <w:tr>
        <w:tc>
          <w:tcPr>
            <w:tcW w:type="dxa" w:w="2232"/>
          </w:tcPr>
          <w:p>
            <w:pPr>
              <w:spacing w:after="20"/>
            </w:pPr>
            <w:r>
              <w:rPr>
                <w:color w:val="1C3A36"/>
                <w:sz w:val="16"/>
              </w:rPr>
              <w:t>34.6%</w:t>
            </w:r>
          </w:p>
        </w:tc>
        <w:tc>
          <w:tcPr>
            <w:tcW w:type="dxa" w:w="1469"/>
          </w:tcPr>
          <w:p>
            <w:pPr>
              <w:spacing w:after="20"/>
              <w:jc w:val="right"/>
            </w:pPr>
            <w:r>
              <w:rPr>
                <w:color w:val="1C3A36"/>
                <w:sz w:val="16"/>
              </w:rPr>
              <w:t>10.90</w:t>
            </w:r>
          </w:p>
        </w:tc>
        <w:tc>
          <w:tcPr>
            <w:tcW w:type="dxa" w:w="1469"/>
          </w:tcPr>
          <w:p>
            <w:pPr>
              <w:spacing w:after="20"/>
              <w:jc w:val="right"/>
            </w:pPr>
            <w:r>
              <w:rPr>
                <w:color w:val="1C3A36"/>
                <w:sz w:val="16"/>
              </w:rPr>
              <w:t>10.16</w:t>
            </w:r>
          </w:p>
        </w:tc>
        <w:tc>
          <w:tcPr>
            <w:tcW w:type="dxa" w:w="1469"/>
          </w:tcPr>
          <w:p>
            <w:pPr>
              <w:spacing w:after="20"/>
              <w:jc w:val="right"/>
            </w:pPr>
            <w:r>
              <w:rPr>
                <w:color w:val="1C3A36"/>
                <w:sz w:val="16"/>
              </w:rPr>
              <w:t>9.55</w:t>
            </w:r>
          </w:p>
        </w:tc>
        <w:tc>
          <w:tcPr>
            <w:tcW w:type="dxa" w:w="1469"/>
          </w:tcPr>
          <w:p>
            <w:pPr>
              <w:spacing w:after="20"/>
              <w:jc w:val="right"/>
            </w:pPr>
            <w:r>
              <w:rPr>
                <w:color w:val="1C3A36"/>
                <w:sz w:val="16"/>
              </w:rPr>
              <w:t>9.03</w:t>
            </w:r>
          </w:p>
        </w:tc>
        <w:tc>
          <w:tcPr>
            <w:tcW w:type="dxa" w:w="1469"/>
          </w:tcPr>
          <w:p>
            <w:pPr>
              <w:spacing w:after="20"/>
              <w:jc w:val="right"/>
            </w:pPr>
            <w:r>
              <w:rPr>
                <w:color w:val="1C3A36"/>
                <w:sz w:val="16"/>
              </w:rPr>
              <w:t>8.59</w:t>
            </w:r>
          </w:p>
        </w:tc>
      </w:tr>
    </w:tbl>
    <w:p>
      <w:pPr>
        <w:spacing w:after="40"/>
      </w:pPr>
    </w:p>
    <w:p>
      <w:pPr>
        <w:spacing w:after="200" w:before="0"/>
      </w:pPr>
      <w:r>
        <w:rPr>
          <w:b w:val="0"/>
          <w:i/>
          <w:color w:val="6E7B77"/>
          <w:sz w:val="17"/>
        </w:rPr>
        <w:t>Each anchor varied independently around its own base, so the grid shows what the valuation needs THE ECONOMY to do rather than only what growth rate the model needs.</w:t>
      </w:r>
    </w:p>
    <w:p>
      <w:pPr>
        <w:spacing w:after="120" w:before="280"/>
      </w:pPr>
      <w:r>
        <w:rPr>
          <w:b/>
          <w:i w:val="0"/>
          <w:color w:val="1C3A36"/>
          <w:sz w:val="30"/>
        </w:rPr>
        <w:t>Appendix C  The expert appendix</w:t>
      </w:r>
    </w:p>
    <w:p>
      <w:pPr>
        <w:spacing w:after="120" w:before="0"/>
      </w:pPr>
      <w:r>
        <w:rPr>
          <w:b w:val="0"/>
          <w:i w:val="0"/>
          <w:color w:val="1C3A36"/>
          <w:sz w:val="21"/>
        </w:rPr>
        <w:t>Three independent reads on the same company, each using a genuinely different method, each shown with its workings and each carrying a stated condition that would falsify it. They are not three versions of the discounted cash flow with different assumptions; they are three different ways of deciding what a business is worth, and they are cast by method.</w:t>
      </w:r>
    </w:p>
    <w:p>
      <w:pPr>
        <w:spacing w:after="40"/>
        <w:jc w:val="center"/>
      </w:pPr>
      <w:r>
        <w:drawing>
          <wp:inline xmlns:a="http://schemas.openxmlformats.org/drawingml/2006/main" xmlns:pic="http://schemas.openxmlformats.org/drawingml/2006/picture">
            <wp:extent cx="6309360" cy="2230582"/>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309360" cy="2230582"/>
                    </a:xfrm>
                    <a:prstGeom prst="rect"/>
                  </pic:spPr>
                </pic:pic>
              </a:graphicData>
            </a:graphic>
          </wp:inline>
        </w:drawing>
      </w:r>
    </w:p>
    <w:p>
      <w:pPr>
        <w:spacing w:after="200" w:before="0"/>
      </w:pPr>
      <w:r>
        <w:rPr>
          <w:b w:val="0"/>
          <w:i/>
          <w:color w:val="6E7B77"/>
          <w:sz w:val="17"/>
        </w:rPr>
        <w:t>Figure 9 — the three experts’ ranges, with the panel centre shaded.</w:t>
      </w:r>
    </w:p>
    <w:p>
      <w:pPr>
        <w:spacing w:after="80" w:before="200"/>
      </w:pPr>
      <w:r>
        <w:rPr>
          <w:b/>
          <w:i w:val="0"/>
          <w:color w:val="1C3A36"/>
          <w:sz w:val="24"/>
        </w:rPr>
        <w:t>Expert 1 — earnings power at a justified multiple</w:t>
      </w:r>
    </w:p>
    <w:p>
      <w:pPr>
        <w:spacing w:after="120" w:before="0"/>
      </w:pPr>
      <w:r>
        <w:rPr>
          <w:b w:val="0"/>
          <w:i w:val="0"/>
          <w:color w:val="1C3A36"/>
          <w:sz w:val="21"/>
        </w:rPr>
        <w:t>Method. This expert refuses to forecast a terminal state at all. The question is what the business earns in a normal year once the current ramp is complete, and what a buyer should pay for that stream. Mid-cycle is taken as 2028E, the middle of the forecast window.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304"/>
      </w:tblGrid>
      <w:tr>
        <w:tc>
          <w:tcPr>
            <w:tcW w:type="dxa" w:w="6048"/>
            <w:shd w:val="clear" w:color="auto" w:fill="EAF0EE"/>
          </w:tcPr>
          <w:p>
            <w:pPr>
              <w:spacing w:after="20"/>
            </w:pPr>
            <w:r>
              <w:rPr>
                <w:b/>
                <w:color w:val="1C3A36"/>
                <w:sz w:val="17"/>
              </w:rPr>
              <w:t>Step</w:t>
            </w:r>
          </w:p>
        </w:tc>
        <w:tc>
          <w:tcPr>
            <w:tcW w:type="dxa" w:w="2304"/>
            <w:shd w:val="clear" w:color="auto" w:fill="EAF0EE"/>
          </w:tcPr>
          <w:p>
            <w:pPr>
              <w:spacing w:after="20"/>
            </w:pPr>
            <w:r>
              <w:rPr>
                <w:b/>
                <w:color w:val="1C3A36"/>
                <w:sz w:val="17"/>
              </w:rPr>
              <w:t>EGP mn unless stated</w:t>
            </w:r>
          </w:p>
        </w:tc>
      </w:tr>
      <w:tr>
        <w:tc>
          <w:tcPr>
            <w:tcW w:type="dxa" w:w="6048"/>
          </w:tcPr>
          <w:p>
            <w:pPr>
              <w:spacing w:after="20"/>
            </w:pPr>
            <w:r>
              <w:rPr>
                <w:color w:val="1C3A36"/>
                <w:sz w:val="17"/>
              </w:rPr>
              <w:t>2028E EBIT</w:t>
            </w:r>
          </w:p>
        </w:tc>
        <w:tc>
          <w:tcPr>
            <w:tcW w:type="dxa" w:w="2304"/>
          </w:tcPr>
          <w:p>
            <w:pPr>
              <w:spacing w:after="20"/>
              <w:jc w:val="right"/>
            </w:pPr>
            <w:r>
              <w:rPr>
                <w:color w:val="1C3A36"/>
                <w:sz w:val="17"/>
              </w:rPr>
              <w:t>2,442</w:t>
            </w:r>
          </w:p>
        </w:tc>
      </w:tr>
      <w:tr>
        <w:tc>
          <w:tcPr>
            <w:tcW w:type="dxa" w:w="6048"/>
          </w:tcPr>
          <w:p>
            <w:pPr>
              <w:spacing w:after="20"/>
            </w:pPr>
            <w:r>
              <w:rPr>
                <w:color w:val="1C3A36"/>
                <w:sz w:val="17"/>
              </w:rPr>
              <w:t>add net finance income on the cash pile</w:t>
            </w:r>
          </w:p>
        </w:tc>
        <w:tc>
          <w:tcPr>
            <w:tcW w:type="dxa" w:w="2304"/>
          </w:tcPr>
          <w:p>
            <w:pPr>
              <w:spacing w:after="20"/>
              <w:jc w:val="right"/>
            </w:pPr>
            <w:r>
              <w:rPr>
                <w:color w:val="1C3A36"/>
                <w:sz w:val="17"/>
              </w:rPr>
              <w:t>422</w:t>
            </w:r>
          </w:p>
        </w:tc>
      </w:tr>
      <w:tr>
        <w:tc>
          <w:tcPr>
            <w:tcW w:type="dxa" w:w="6048"/>
          </w:tcPr>
          <w:p>
            <w:pPr>
              <w:spacing w:after="20"/>
            </w:pPr>
            <w:r>
              <w:rPr>
                <w:color w:val="1C3A36"/>
                <w:sz w:val="17"/>
              </w:rPr>
              <w:t>less tax at 23.5% and minorities at 3.0%</w:t>
            </w:r>
          </w:p>
        </w:tc>
        <w:tc>
          <w:tcPr>
            <w:tcW w:type="dxa" w:w="2304"/>
          </w:tcPr>
          <w:p>
            <w:pPr>
              <w:spacing w:after="20"/>
              <w:jc w:val="right"/>
            </w:pPr>
            <w:r>
              <w:rPr>
                <w:color w:val="1C3A36"/>
                <w:sz w:val="17"/>
              </w:rPr>
              <w:t>(739)</w:t>
            </w:r>
          </w:p>
        </w:tc>
      </w:tr>
      <w:tr>
        <w:tc>
          <w:tcPr>
            <w:tcW w:type="dxa" w:w="6048"/>
          </w:tcPr>
          <w:p>
            <w:pPr>
              <w:spacing w:after="20"/>
            </w:pPr>
            <w:r>
              <w:rPr>
                <w:color w:val="1C3A36"/>
                <w:sz w:val="17"/>
              </w:rPr>
              <w:t>= attributable earnings</w:t>
            </w:r>
          </w:p>
        </w:tc>
        <w:tc>
          <w:tcPr>
            <w:tcW w:type="dxa" w:w="2304"/>
          </w:tcPr>
          <w:p>
            <w:pPr>
              <w:spacing w:after="20"/>
              <w:jc w:val="right"/>
            </w:pPr>
            <w:r>
              <w:rPr>
                <w:color w:val="1C3A36"/>
                <w:sz w:val="17"/>
              </w:rPr>
              <w:t>2,126</w:t>
            </w:r>
          </w:p>
        </w:tc>
      </w:tr>
      <w:tr>
        <w:tc>
          <w:tcPr>
            <w:tcW w:type="dxa" w:w="6048"/>
          </w:tcPr>
          <w:p>
            <w:pPr>
              <w:spacing w:after="20"/>
            </w:pPr>
            <w:r>
              <w:rPr>
                <w:color w:val="1C3A36"/>
                <w:sz w:val="17"/>
              </w:rPr>
              <w:t>Earnings per share (EGP)</w:t>
            </w:r>
          </w:p>
        </w:tc>
        <w:tc>
          <w:tcPr>
            <w:tcW w:type="dxa" w:w="2304"/>
          </w:tcPr>
          <w:p>
            <w:pPr>
              <w:spacing w:after="20"/>
              <w:jc w:val="right"/>
            </w:pPr>
            <w:r>
              <w:rPr>
                <w:color w:val="1C3A36"/>
                <w:sz w:val="17"/>
              </w:rPr>
              <w:t>1.65</w:t>
            </w:r>
          </w:p>
        </w:tc>
      </w:tr>
      <w:tr>
        <w:tc>
          <w:tcPr>
            <w:tcW w:type="dxa" w:w="6048"/>
          </w:tcPr>
          <w:p>
            <w:pPr>
              <w:spacing w:after="20"/>
            </w:pPr>
            <w:r>
              <w:rPr>
                <w:color w:val="1C3A36"/>
                <w:sz w:val="17"/>
              </w:rPr>
              <w:t>× justified multiple of 7.0×</w:t>
            </w:r>
          </w:p>
        </w:tc>
        <w:tc>
          <w:tcPr>
            <w:tcW w:type="dxa" w:w="2304"/>
          </w:tcPr>
          <w:p>
            <w:pPr>
              <w:spacing w:after="20"/>
              <w:jc w:val="right"/>
            </w:pPr>
            <w:r>
              <w:rPr>
                <w:color w:val="1C3A36"/>
                <w:sz w:val="17"/>
              </w:rPr>
            </w:r>
          </w:p>
        </w:tc>
      </w:tr>
      <w:tr>
        <w:tc>
          <w:tcPr>
            <w:tcW w:type="dxa" w:w="6048"/>
            <w:shd w:val="clear" w:color="auto" w:fill="F6F1E6"/>
          </w:tcPr>
          <w:p>
            <w:pPr>
              <w:spacing w:after="20"/>
            </w:pPr>
            <w:r>
              <w:rPr>
                <w:b/>
                <w:color w:val="1C3A36"/>
                <w:sz w:val="17"/>
              </w:rPr>
              <w:t>FAIR VALUE (EGP per share)</w:t>
            </w:r>
          </w:p>
        </w:tc>
        <w:tc>
          <w:tcPr>
            <w:tcW w:type="dxa" w:w="2304"/>
            <w:shd w:val="clear" w:color="auto" w:fill="F6F1E6"/>
          </w:tcPr>
          <w:p>
            <w:pPr>
              <w:spacing w:after="20"/>
              <w:jc w:val="right"/>
            </w:pPr>
            <w:r>
              <w:rPr>
                <w:b/>
                <w:color w:val="1C3A36"/>
                <w:sz w:val="17"/>
              </w:rPr>
              <w:t>11.52</w:t>
            </w:r>
          </w:p>
        </w:tc>
      </w:tr>
    </w:tbl>
    <w:p>
      <w:pPr>
        <w:spacing w:after="40"/>
      </w:pPr>
    </w:p>
    <w:p>
      <w:pPr>
        <w:spacing w:after="120" w:before="0"/>
      </w:pPr>
      <w:r>
        <w:rPr>
          <w:b w:val="0"/>
          <w:i w:val="0"/>
          <w:color w:val="1C3A36"/>
          <w:sz w:val="21"/>
        </w:rPr>
        <w:t>Range EGP 8.23 to 15.64, struck on multiples of 5.0× and 9.5×. Expert 1's view is that a single-asset processor with administered input and output prices, a 20% state shareholder and an Egyptian cost of equity near 28% does not earn a premium multiple, and that the company's own trailing 7.8× is about where it belongs.</w:t>
      </w:r>
    </w:p>
    <w:p>
      <w:pPr>
        <w:spacing w:after="120" w:before="0"/>
      </w:pPr>
      <w:r>
        <w:rPr>
          <w:b w:val="0"/>
          <w:i w:val="0"/>
          <w:color w:val="1C3A36"/>
          <w:sz w:val="20"/>
        </w:rPr>
        <w:t>Falsification. This expert is wrong if the mid-cycle year is not mid-cycle — specifically, if the margin printed in the six months to June 2026 turns out to be the new normal rather than a spread windfall. Watch two consecutive calendar halves at a gross margin above 8%: that would mean the earnings base used here is too low and the method understates by roughly a third.</w:t>
      </w:r>
    </w:p>
    <w:p>
      <w:pPr>
        <w:spacing w:after="80" w:before="200"/>
      </w:pPr>
      <w:r>
        <w:rPr>
          <w:b/>
          <w:i w:val="0"/>
          <w:color w:val="1C3A36"/>
          <w:sz w:val="24"/>
        </w:rPr>
        <w:t>Expert 2 — free cash flow to equity, discounted</w:t>
      </w:r>
    </w:p>
    <w:p>
      <w:pPr>
        <w:spacing w:after="120" w:before="0"/>
      </w:pPr>
      <w:r>
        <w:rPr>
          <w:b w:val="0"/>
          <w:i w:val="0"/>
          <w:color w:val="1C3A36"/>
          <w:sz w:val="21"/>
        </w:rPr>
        <w:t>Method. This expert distrusts enterprise-value bridges — too many places to add something back twice — and works the equity side directly. Free cash flow to equity is free cash flow to the firm plus the after-tax finance income the cash pile actually earns, discounted on the cost of EQUITY's own glide, with no bridge at all. The cash reaches the shareholder through the income line rather than as a balance-sheet add-back, which is what makes this an independent read rather than a rearrangement of the primary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Free cash flow to equity (EGP mn)</w:t>
            </w:r>
          </w:p>
        </w:tc>
        <w:tc>
          <w:tcPr>
            <w:tcW w:type="dxa" w:w="1325"/>
          </w:tcPr>
          <w:p>
            <w:pPr>
              <w:spacing w:after="20"/>
              <w:jc w:val="right"/>
            </w:pPr>
            <w:r>
              <w:rPr>
                <w:color w:val="1C3A36"/>
                <w:sz w:val="16"/>
              </w:rPr>
              <w:t>1,441</w:t>
            </w:r>
          </w:p>
        </w:tc>
        <w:tc>
          <w:tcPr>
            <w:tcW w:type="dxa" w:w="1325"/>
          </w:tcPr>
          <w:p>
            <w:pPr>
              <w:spacing w:after="20"/>
              <w:jc w:val="right"/>
            </w:pPr>
            <w:r>
              <w:rPr>
                <w:color w:val="1C3A36"/>
                <w:sz w:val="16"/>
              </w:rPr>
              <w:t>1,658</w:t>
            </w:r>
          </w:p>
        </w:tc>
        <w:tc>
          <w:tcPr>
            <w:tcW w:type="dxa" w:w="1325"/>
          </w:tcPr>
          <w:p>
            <w:pPr>
              <w:spacing w:after="20"/>
              <w:jc w:val="right"/>
            </w:pPr>
            <w:r>
              <w:rPr>
                <w:color w:val="1C3A36"/>
                <w:sz w:val="16"/>
              </w:rPr>
              <w:t>1,885</w:t>
            </w:r>
          </w:p>
        </w:tc>
        <w:tc>
          <w:tcPr>
            <w:tcW w:type="dxa" w:w="1325"/>
          </w:tcPr>
          <w:p>
            <w:pPr>
              <w:spacing w:after="20"/>
              <w:jc w:val="right"/>
            </w:pPr>
            <w:r>
              <w:rPr>
                <w:color w:val="1C3A36"/>
                <w:sz w:val="16"/>
              </w:rPr>
              <w:t>2,124</w:t>
            </w:r>
          </w:p>
        </w:tc>
        <w:tc>
          <w:tcPr>
            <w:tcW w:type="dxa" w:w="1325"/>
          </w:tcPr>
          <w:p>
            <w:pPr>
              <w:spacing w:after="20"/>
              <w:jc w:val="right"/>
            </w:pPr>
            <w:r>
              <w:rPr>
                <w:color w:val="1C3A36"/>
                <w:sz w:val="16"/>
              </w:rPr>
              <w:t>2,375</w:t>
            </w:r>
          </w:p>
        </w:tc>
      </w:tr>
      <w:tr>
        <w:tc>
          <w:tcPr>
            <w:tcW w:type="dxa" w:w="3384"/>
          </w:tcPr>
          <w:p>
            <w:pPr>
              <w:spacing w:after="20"/>
            </w:pPr>
            <w:r>
              <w:rPr>
                <w:color w:val="1C3A36"/>
                <w:sz w:val="16"/>
              </w:rPr>
              <w:t>Cost of equity</w:t>
            </w:r>
          </w:p>
        </w:tc>
        <w:tc>
          <w:tcPr>
            <w:tcW w:type="dxa" w:w="1325"/>
          </w:tcPr>
          <w:p>
            <w:pPr>
              <w:spacing w:after="20"/>
              <w:jc w:val="right"/>
            </w:pPr>
            <w:r>
              <w:rPr>
                <w:color w:val="1C3A36"/>
                <w:sz w:val="16"/>
              </w:rPr>
              <w:t>27.8%</w:t>
            </w:r>
          </w:p>
        </w:tc>
        <w:tc>
          <w:tcPr>
            <w:tcW w:type="dxa" w:w="1325"/>
          </w:tcPr>
          <w:p>
            <w:pPr>
              <w:spacing w:after="20"/>
              <w:jc w:val="right"/>
            </w:pPr>
            <w:r>
              <w:rPr>
                <w:color w:val="1C3A36"/>
                <w:sz w:val="16"/>
              </w:rPr>
              <w:t>23.9%</w:t>
            </w:r>
          </w:p>
        </w:tc>
        <w:tc>
          <w:tcPr>
            <w:tcW w:type="dxa" w:w="1325"/>
          </w:tcPr>
          <w:p>
            <w:pPr>
              <w:spacing w:after="20"/>
              <w:jc w:val="right"/>
            </w:pPr>
            <w:r>
              <w:rPr>
                <w:color w:val="1C3A36"/>
                <w:sz w:val="16"/>
              </w:rPr>
              <w:t>20.9%</w:t>
            </w:r>
          </w:p>
        </w:tc>
        <w:tc>
          <w:tcPr>
            <w:tcW w:type="dxa" w:w="1325"/>
          </w:tcPr>
          <w:p>
            <w:pPr>
              <w:spacing w:after="20"/>
              <w:jc w:val="right"/>
            </w:pPr>
            <w:r>
              <w:rPr>
                <w:color w:val="1C3A36"/>
                <w:sz w:val="16"/>
              </w:rPr>
              <w:t>18.6%</w:t>
            </w:r>
          </w:p>
        </w:tc>
        <w:tc>
          <w:tcPr>
            <w:tcW w:type="dxa" w:w="1325"/>
          </w:tcPr>
          <w:p>
            <w:pPr>
              <w:spacing w:after="20"/>
              <w:jc w:val="right"/>
            </w:pPr>
            <w:r>
              <w:rPr>
                <w:color w:val="1C3A36"/>
                <w:sz w:val="16"/>
              </w:rPr>
              <w:t>17.1%</w:t>
            </w:r>
          </w:p>
        </w:tc>
      </w:tr>
      <w:tr>
        <w:tc>
          <w:tcPr>
            <w:tcW w:type="dxa" w:w="3384"/>
          </w:tcPr>
          <w:p>
            <w:pPr>
              <w:spacing w:after="20"/>
            </w:pPr>
            <w:r>
              <w:rPr>
                <w:color w:val="1C3A36"/>
                <w:sz w:val="16"/>
              </w:rPr>
              <w:t>Discount factor</w:t>
            </w:r>
          </w:p>
        </w:tc>
        <w:tc>
          <w:tcPr>
            <w:tcW w:type="dxa" w:w="1325"/>
          </w:tcPr>
          <w:p>
            <w:pPr>
              <w:spacing w:after="20"/>
              <w:jc w:val="right"/>
            </w:pPr>
            <w:r>
              <w:rPr>
                <w:color w:val="1C3A36"/>
                <w:sz w:val="16"/>
              </w:rPr>
              <w:t>0.7827</w:t>
            </w:r>
          </w:p>
        </w:tc>
        <w:tc>
          <w:tcPr>
            <w:tcW w:type="dxa" w:w="1325"/>
          </w:tcPr>
          <w:p>
            <w:pPr>
              <w:spacing w:after="20"/>
              <w:jc w:val="right"/>
            </w:pPr>
            <w:r>
              <w:rPr>
                <w:color w:val="1C3A36"/>
                <w:sz w:val="16"/>
              </w:rPr>
              <w:t>0.6315</w:t>
            </w:r>
          </w:p>
        </w:tc>
        <w:tc>
          <w:tcPr>
            <w:tcW w:type="dxa" w:w="1325"/>
          </w:tcPr>
          <w:p>
            <w:pPr>
              <w:spacing w:after="20"/>
              <w:jc w:val="right"/>
            </w:pPr>
            <w:r>
              <w:rPr>
                <w:color w:val="1C3A36"/>
                <w:sz w:val="16"/>
              </w:rPr>
              <w:t>0.5223</w:t>
            </w:r>
          </w:p>
        </w:tc>
        <w:tc>
          <w:tcPr>
            <w:tcW w:type="dxa" w:w="1325"/>
          </w:tcPr>
          <w:p>
            <w:pPr>
              <w:spacing w:after="20"/>
              <w:jc w:val="right"/>
            </w:pPr>
            <w:r>
              <w:rPr>
                <w:color w:val="1C3A36"/>
                <w:sz w:val="16"/>
              </w:rPr>
              <w:t>0.4404</w:t>
            </w:r>
          </w:p>
        </w:tc>
        <w:tc>
          <w:tcPr>
            <w:tcW w:type="dxa" w:w="1325"/>
          </w:tcPr>
          <w:p>
            <w:pPr>
              <w:spacing w:after="20"/>
              <w:jc w:val="right"/>
            </w:pPr>
            <w:r>
              <w:rPr>
                <w:color w:val="1C3A36"/>
                <w:sz w:val="16"/>
              </w:rPr>
              <w:t>0.3761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304"/>
      </w:tblGrid>
      <w:tr>
        <w:tc>
          <w:tcPr>
            <w:tcW w:type="dxa" w:w="6048"/>
            <w:shd w:val="clear" w:color="auto" w:fill="EAF0EE"/>
          </w:tcPr>
          <w:p>
            <w:pPr>
              <w:spacing w:after="20"/>
            </w:pPr>
            <w:r>
              <w:rPr>
                <w:b/>
                <w:color w:val="1C3A36"/>
                <w:sz w:val="17"/>
              </w:rPr>
              <w:t>Step</w:t>
            </w:r>
          </w:p>
        </w:tc>
        <w:tc>
          <w:tcPr>
            <w:tcW w:type="dxa" w:w="2304"/>
            <w:shd w:val="clear" w:color="auto" w:fill="EAF0EE"/>
          </w:tcPr>
          <w:p>
            <w:pPr>
              <w:spacing w:after="20"/>
            </w:pPr>
            <w:r>
              <w:rPr>
                <w:b/>
                <w:color w:val="1C3A36"/>
                <w:sz w:val="17"/>
              </w:rPr>
              <w:t>EGP mn</w:t>
            </w:r>
          </w:p>
        </w:tc>
      </w:tr>
      <w:tr>
        <w:tc>
          <w:tcPr>
            <w:tcW w:type="dxa" w:w="6048"/>
          </w:tcPr>
          <w:p>
            <w:pPr>
              <w:spacing w:after="20"/>
            </w:pPr>
            <w:r>
              <w:rPr>
                <w:color w:val="1C3A36"/>
                <w:sz w:val="17"/>
              </w:rPr>
              <w:t>Present value of the explicit five years</w:t>
            </w:r>
          </w:p>
        </w:tc>
        <w:tc>
          <w:tcPr>
            <w:tcW w:type="dxa" w:w="2304"/>
          </w:tcPr>
          <w:p>
            <w:pPr>
              <w:spacing w:after="20"/>
              <w:jc w:val="right"/>
            </w:pPr>
            <w:r>
              <w:rPr>
                <w:color w:val="1C3A36"/>
                <w:sz w:val="17"/>
              </w:rPr>
              <w:t>4,988</w:t>
            </w:r>
          </w:p>
        </w:tc>
      </w:tr>
      <w:tr>
        <w:tc>
          <w:tcPr>
            <w:tcW w:type="dxa" w:w="6048"/>
          </w:tcPr>
          <w:p>
            <w:pPr>
              <w:spacing w:after="20"/>
            </w:pPr>
            <w:r>
              <w:rPr>
                <w:color w:val="1C3A36"/>
                <w:sz w:val="17"/>
              </w:rPr>
              <w:t>Present value of the terminal block</w:t>
            </w:r>
          </w:p>
        </w:tc>
        <w:tc>
          <w:tcPr>
            <w:tcW w:type="dxa" w:w="2304"/>
          </w:tcPr>
          <w:p>
            <w:pPr>
              <w:spacing w:after="20"/>
              <w:jc w:val="right"/>
            </w:pPr>
            <w:r>
              <w:rPr>
                <w:color w:val="1C3A36"/>
                <w:sz w:val="17"/>
              </w:rPr>
              <w:t>7,046</w:t>
            </w:r>
          </w:p>
        </w:tc>
      </w:tr>
      <w:tr>
        <w:tc>
          <w:tcPr>
            <w:tcW w:type="dxa" w:w="6048"/>
          </w:tcPr>
          <w:p>
            <w:pPr>
              <w:spacing w:after="20"/>
            </w:pPr>
            <w:r>
              <w:rPr>
                <w:color w:val="1C3A36"/>
                <w:sz w:val="17"/>
              </w:rPr>
              <w:t>Total equity value, over 1,291.6mn shares</w:t>
            </w:r>
          </w:p>
        </w:tc>
        <w:tc>
          <w:tcPr>
            <w:tcW w:type="dxa" w:w="2304"/>
          </w:tcPr>
          <w:p>
            <w:pPr>
              <w:spacing w:after="20"/>
              <w:jc w:val="right"/>
            </w:pPr>
            <w:r>
              <w:rPr>
                <w:color w:val="1C3A36"/>
                <w:sz w:val="17"/>
              </w:rPr>
              <w:t>12,034</w:t>
            </w:r>
          </w:p>
        </w:tc>
      </w:tr>
      <w:tr>
        <w:tc>
          <w:tcPr>
            <w:tcW w:type="dxa" w:w="6048"/>
            <w:shd w:val="clear" w:color="auto" w:fill="F6F1E6"/>
          </w:tcPr>
          <w:p>
            <w:pPr>
              <w:spacing w:after="20"/>
            </w:pPr>
            <w:r>
              <w:rPr>
                <w:b/>
                <w:color w:val="1C3A36"/>
                <w:sz w:val="17"/>
              </w:rPr>
              <w:t>FAIR VALUE (EGP per share)</w:t>
            </w:r>
          </w:p>
        </w:tc>
        <w:tc>
          <w:tcPr>
            <w:tcW w:type="dxa" w:w="2304"/>
            <w:shd w:val="clear" w:color="auto" w:fill="F6F1E6"/>
          </w:tcPr>
          <w:p>
            <w:pPr>
              <w:spacing w:after="20"/>
              <w:jc w:val="right"/>
            </w:pPr>
            <w:r>
              <w:rPr>
                <w:b/>
                <w:color w:val="1C3A36"/>
                <w:sz w:val="17"/>
              </w:rPr>
              <w:t>9.32</w:t>
            </w:r>
          </w:p>
        </w:tc>
      </w:tr>
    </w:tbl>
    <w:p>
      <w:pPr>
        <w:spacing w:after="40"/>
      </w:pPr>
    </w:p>
    <w:p>
      <w:pPr>
        <w:spacing w:after="120" w:before="0"/>
      </w:pPr>
      <w:r>
        <w:rPr>
          <w:b w:val="0"/>
          <w:i w:val="0"/>
          <w:color w:val="1C3A36"/>
          <w:sz w:val="21"/>
        </w:rPr>
        <w:t>Range EGP 7.65 to 9.87, taken on the discount rate and the growth rate rather than by re-using the same rate twice. An earlier draft of this panel capitalised a mid-forecast cash flow straight at the TERMINAL cost of equity and produced EGP 14.73 — a number that prices one date twice, taking a cash flow five years out and bringing it home at a rate that only applies once the economy has normalised. The glide is applied here for exactly the reason it is applied in the primary model, and the correction is disclosed rather than quietly made.</w:t>
      </w:r>
    </w:p>
    <w:p>
      <w:pPr>
        <w:spacing w:after="120" w:before="0"/>
      </w:pPr>
      <w:r>
        <w:rPr>
          <w:b w:val="0"/>
          <w:i w:val="0"/>
          <w:color w:val="1C3A36"/>
          <w:sz w:val="20"/>
        </w:rPr>
        <w:t>Falsification. Expert 2 is wrong if the cash does not belong to the shareholder. The whole method rests on finance income being a durable, distributable stream. If the cash pile is committed — to a replacement capital programme, to a related-party receivable, or to working capital the counterparty stops funding — then the finance income leg disappears and this expert's answer falls by roughly a fifth. Watch payable days: a move from 24 toward the receivable cycle would be the first sign.</w:t>
      </w:r>
    </w:p>
    <w:p>
      <w:pPr>
        <w:spacing w:after="80" w:before="200"/>
      </w:pPr>
      <w:r>
        <w:rPr>
          <w:b/>
          <w:i w:val="0"/>
          <w:color w:val="1C3A36"/>
          <w:sz w:val="24"/>
        </w:rPr>
        <w:t>Expert 3 — cash returns against the cost of capital</w:t>
      </w:r>
    </w:p>
    <w:p>
      <w:pPr>
        <w:spacing w:after="120" w:before="0"/>
      </w:pPr>
      <w:r>
        <w:rPr>
          <w:b w:val="0"/>
          <w:i w:val="0"/>
          <w:color w:val="1C3A36"/>
          <w:sz w:val="21"/>
        </w:rPr>
        <w:t>Method. This expert asks one question: does the company earn more on its capital than the capital costs, and for how long? Value is the capital already invested plus the present value of every future year's economic profit — profit after tax less a charge for the capital employed to make it. Nothing about growth enters except through the capital it consumes.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6"/>
              </w:rPr>
            </w:r>
          </w:p>
        </w:tc>
        <w:tc>
          <w:tcPr>
            <w:tcW w:type="dxa" w:w="1325"/>
            <w:shd w:val="clear" w:color="auto" w:fill="EAF0EE"/>
          </w:tcPr>
          <w:p>
            <w:pPr>
              <w:spacing w:after="20"/>
            </w:pPr>
            <w:r>
              <w:rPr>
                <w:b/>
                <w:color w:val="1C3A36"/>
                <w:sz w:val="16"/>
              </w:rPr>
              <w:t>2026E</w:t>
            </w:r>
          </w:p>
        </w:tc>
        <w:tc>
          <w:tcPr>
            <w:tcW w:type="dxa" w:w="1325"/>
            <w:shd w:val="clear" w:color="auto" w:fill="EAF0EE"/>
          </w:tcPr>
          <w:p>
            <w:pPr>
              <w:spacing w:after="20"/>
            </w:pPr>
            <w:r>
              <w:rPr>
                <w:b/>
                <w:color w:val="1C3A36"/>
                <w:sz w:val="16"/>
              </w:rPr>
              <w:t>2027E</w:t>
            </w:r>
          </w:p>
        </w:tc>
        <w:tc>
          <w:tcPr>
            <w:tcW w:type="dxa" w:w="1325"/>
            <w:shd w:val="clear" w:color="auto" w:fill="EAF0EE"/>
          </w:tcPr>
          <w:p>
            <w:pPr>
              <w:spacing w:after="20"/>
            </w:pPr>
            <w:r>
              <w:rPr>
                <w:b/>
                <w:color w:val="1C3A36"/>
                <w:sz w:val="16"/>
              </w:rPr>
              <w:t>2028E</w:t>
            </w:r>
          </w:p>
        </w:tc>
        <w:tc>
          <w:tcPr>
            <w:tcW w:type="dxa" w:w="1325"/>
            <w:shd w:val="clear" w:color="auto" w:fill="EAF0EE"/>
          </w:tcPr>
          <w:p>
            <w:pPr>
              <w:spacing w:after="20"/>
            </w:pPr>
            <w:r>
              <w:rPr>
                <w:b/>
                <w:color w:val="1C3A36"/>
                <w:sz w:val="16"/>
              </w:rPr>
              <w:t>2029E</w:t>
            </w:r>
          </w:p>
        </w:tc>
        <w:tc>
          <w:tcPr>
            <w:tcW w:type="dxa" w:w="1325"/>
            <w:shd w:val="clear" w:color="auto" w:fill="EAF0EE"/>
          </w:tcPr>
          <w:p>
            <w:pPr>
              <w:spacing w:after="20"/>
            </w:pPr>
            <w:r>
              <w:rPr>
                <w:b/>
                <w:color w:val="1C3A36"/>
                <w:sz w:val="16"/>
              </w:rPr>
              <w:t>2030E</w:t>
            </w:r>
          </w:p>
        </w:tc>
      </w:tr>
      <w:tr>
        <w:tc>
          <w:tcPr>
            <w:tcW w:type="dxa" w:w="3384"/>
          </w:tcPr>
          <w:p>
            <w:pPr>
              <w:spacing w:after="20"/>
            </w:pPr>
            <w:r>
              <w:rPr>
                <w:color w:val="1C3A36"/>
                <w:sz w:val="16"/>
              </w:rPr>
              <w:t>Return on invested capital</w:t>
            </w:r>
          </w:p>
        </w:tc>
        <w:tc>
          <w:tcPr>
            <w:tcW w:type="dxa" w:w="1325"/>
          </w:tcPr>
          <w:p>
            <w:pPr>
              <w:spacing w:after="20"/>
              <w:jc w:val="right"/>
            </w:pPr>
            <w:r>
              <w:rPr>
                <w:color w:val="1C3A36"/>
                <w:sz w:val="16"/>
              </w:rPr>
              <w:t>41.1%</w:t>
            </w:r>
          </w:p>
        </w:tc>
        <w:tc>
          <w:tcPr>
            <w:tcW w:type="dxa" w:w="1325"/>
          </w:tcPr>
          <w:p>
            <w:pPr>
              <w:spacing w:after="20"/>
              <w:jc w:val="right"/>
            </w:pPr>
            <w:r>
              <w:rPr>
                <w:color w:val="1C3A36"/>
                <w:sz w:val="16"/>
              </w:rPr>
              <w:t>44.4%</w:t>
            </w:r>
          </w:p>
        </w:tc>
        <w:tc>
          <w:tcPr>
            <w:tcW w:type="dxa" w:w="1325"/>
          </w:tcPr>
          <w:p>
            <w:pPr>
              <w:spacing w:after="20"/>
              <w:jc w:val="right"/>
            </w:pPr>
            <w:r>
              <w:rPr>
                <w:color w:val="1C3A36"/>
                <w:sz w:val="16"/>
              </w:rPr>
              <w:t>47.0%</w:t>
            </w:r>
          </w:p>
        </w:tc>
        <w:tc>
          <w:tcPr>
            <w:tcW w:type="dxa" w:w="1325"/>
          </w:tcPr>
          <w:p>
            <w:pPr>
              <w:spacing w:after="20"/>
              <w:jc w:val="right"/>
            </w:pPr>
            <w:r>
              <w:rPr>
                <w:color w:val="1C3A36"/>
                <w:sz w:val="16"/>
              </w:rPr>
              <w:t>49.3%</w:t>
            </w:r>
          </w:p>
        </w:tc>
        <w:tc>
          <w:tcPr>
            <w:tcW w:type="dxa" w:w="1325"/>
          </w:tcPr>
          <w:p>
            <w:pPr>
              <w:spacing w:after="20"/>
              <w:jc w:val="right"/>
            </w:pPr>
            <w:r>
              <w:rPr>
                <w:color w:val="1C3A36"/>
                <w:sz w:val="16"/>
              </w:rPr>
              <w:t>51.7%</w:t>
            </w:r>
          </w:p>
        </w:tc>
      </w:tr>
      <w:tr>
        <w:tc>
          <w:tcPr>
            <w:tcW w:type="dxa" w:w="3384"/>
          </w:tcPr>
          <w:p>
            <w:pPr>
              <w:spacing w:after="20"/>
            </w:pPr>
            <w:r>
              <w:rPr>
                <w:color w:val="1C3A36"/>
                <w:sz w:val="16"/>
              </w:rPr>
              <w:t>Cost of capital that year</w:t>
            </w:r>
          </w:p>
        </w:tc>
        <w:tc>
          <w:tcPr>
            <w:tcW w:type="dxa" w:w="1325"/>
          </w:tcPr>
          <w:p>
            <w:pPr>
              <w:spacing w:after="20"/>
              <w:jc w:val="right"/>
            </w:pPr>
            <w:r>
              <w:rPr>
                <w:color w:val="1C3A36"/>
                <w:sz w:val="16"/>
              </w:rPr>
              <w:t>31.6%</w:t>
            </w:r>
          </w:p>
        </w:tc>
        <w:tc>
          <w:tcPr>
            <w:tcW w:type="dxa" w:w="1325"/>
          </w:tcPr>
          <w:p>
            <w:pPr>
              <w:spacing w:after="20"/>
              <w:jc w:val="right"/>
            </w:pPr>
            <w:r>
              <w:rPr>
                <w:color w:val="1C3A36"/>
                <w:sz w:val="16"/>
              </w:rPr>
              <w:t>26.2%</w:t>
            </w:r>
          </w:p>
        </w:tc>
        <w:tc>
          <w:tcPr>
            <w:tcW w:type="dxa" w:w="1325"/>
          </w:tcPr>
          <w:p>
            <w:pPr>
              <w:spacing w:after="20"/>
              <w:jc w:val="right"/>
            </w:pPr>
            <w:r>
              <w:rPr>
                <w:color w:val="1C3A36"/>
                <w:sz w:val="16"/>
              </w:rPr>
              <w:t>21.9%</w:t>
            </w:r>
          </w:p>
        </w:tc>
        <w:tc>
          <w:tcPr>
            <w:tcW w:type="dxa" w:w="1325"/>
          </w:tcPr>
          <w:p>
            <w:pPr>
              <w:spacing w:after="20"/>
              <w:jc w:val="right"/>
            </w:pPr>
            <w:r>
              <w:rPr>
                <w:color w:val="1C3A36"/>
                <w:sz w:val="16"/>
              </w:rPr>
              <w:t>18.7%</w:t>
            </w:r>
          </w:p>
        </w:tc>
        <w:tc>
          <w:tcPr>
            <w:tcW w:type="dxa" w:w="1325"/>
          </w:tcPr>
          <w:p>
            <w:pPr>
              <w:spacing w:after="20"/>
              <w:jc w:val="right"/>
            </w:pPr>
            <w:r>
              <w:rPr>
                <w:color w:val="1C3A36"/>
                <w:sz w:val="16"/>
              </w:rPr>
              <w:t>16.5%</w:t>
            </w:r>
          </w:p>
        </w:tc>
      </w:tr>
      <w:tr>
        <w:tc>
          <w:tcPr>
            <w:tcW w:type="dxa" w:w="3384"/>
          </w:tcPr>
          <w:p>
            <w:pPr>
              <w:spacing w:after="20"/>
            </w:pPr>
            <w:r>
              <w:rPr>
                <w:color w:val="1C3A36"/>
                <w:sz w:val="16"/>
              </w:rPr>
              <w:t>Spread</w:t>
            </w:r>
          </w:p>
        </w:tc>
        <w:tc>
          <w:tcPr>
            <w:tcW w:type="dxa" w:w="1325"/>
          </w:tcPr>
          <w:p>
            <w:pPr>
              <w:spacing w:after="20"/>
              <w:jc w:val="right"/>
            </w:pPr>
            <w:r>
              <w:rPr>
                <w:color w:val="1C3A36"/>
                <w:sz w:val="16"/>
              </w:rPr>
              <w:t>+9.5%</w:t>
            </w:r>
          </w:p>
        </w:tc>
        <w:tc>
          <w:tcPr>
            <w:tcW w:type="dxa" w:w="1325"/>
          </w:tcPr>
          <w:p>
            <w:pPr>
              <w:spacing w:after="20"/>
              <w:jc w:val="right"/>
            </w:pPr>
            <w:r>
              <w:rPr>
                <w:color w:val="1C3A36"/>
                <w:sz w:val="16"/>
              </w:rPr>
              <w:t>+18.1%</w:t>
            </w:r>
          </w:p>
        </w:tc>
        <w:tc>
          <w:tcPr>
            <w:tcW w:type="dxa" w:w="1325"/>
          </w:tcPr>
          <w:p>
            <w:pPr>
              <w:spacing w:after="20"/>
              <w:jc w:val="right"/>
            </w:pPr>
            <w:r>
              <w:rPr>
                <w:color w:val="1C3A36"/>
                <w:sz w:val="16"/>
              </w:rPr>
              <w:t>+25.1%</w:t>
            </w:r>
          </w:p>
        </w:tc>
        <w:tc>
          <w:tcPr>
            <w:tcW w:type="dxa" w:w="1325"/>
          </w:tcPr>
          <w:p>
            <w:pPr>
              <w:spacing w:after="20"/>
              <w:jc w:val="right"/>
            </w:pPr>
            <w:r>
              <w:rPr>
                <w:color w:val="1C3A36"/>
                <w:sz w:val="16"/>
              </w:rPr>
              <w:t>+30.7%</w:t>
            </w:r>
          </w:p>
        </w:tc>
        <w:tc>
          <w:tcPr>
            <w:tcW w:type="dxa" w:w="1325"/>
          </w:tcPr>
          <w:p>
            <w:pPr>
              <w:spacing w:after="20"/>
              <w:jc w:val="right"/>
            </w:pPr>
            <w:r>
              <w:rPr>
                <w:color w:val="1C3A36"/>
                <w:sz w:val="16"/>
              </w:rPr>
              <w:t>+35.2%</w:t>
            </w:r>
          </w:p>
        </w:tc>
      </w:tr>
      <w:tr>
        <w:tc>
          <w:tcPr>
            <w:tcW w:type="dxa" w:w="3384"/>
          </w:tcPr>
          <w:p>
            <w:pPr>
              <w:spacing w:after="20"/>
            </w:pPr>
            <w:r>
              <w:rPr>
                <w:color w:val="1C3A36"/>
                <w:sz w:val="16"/>
              </w:rPr>
              <w:t>Economic profit (EGP mn)</w:t>
            </w:r>
          </w:p>
        </w:tc>
        <w:tc>
          <w:tcPr>
            <w:tcW w:type="dxa" w:w="1325"/>
          </w:tcPr>
          <w:p>
            <w:pPr>
              <w:spacing w:after="20"/>
              <w:jc w:val="right"/>
            </w:pPr>
            <w:r>
              <w:rPr>
                <w:color w:val="1C3A36"/>
                <w:sz w:val="16"/>
              </w:rPr>
              <w:t>410</w:t>
            </w:r>
          </w:p>
        </w:tc>
        <w:tc>
          <w:tcPr>
            <w:tcW w:type="dxa" w:w="1325"/>
          </w:tcPr>
          <w:p>
            <w:pPr>
              <w:spacing w:after="20"/>
              <w:jc w:val="right"/>
            </w:pPr>
            <w:r>
              <w:rPr>
                <w:color w:val="1C3A36"/>
                <w:sz w:val="16"/>
              </w:rPr>
              <w:t>743</w:t>
            </w:r>
          </w:p>
        </w:tc>
        <w:tc>
          <w:tcPr>
            <w:tcW w:type="dxa" w:w="1325"/>
          </w:tcPr>
          <w:p>
            <w:pPr>
              <w:spacing w:after="20"/>
              <w:jc w:val="right"/>
            </w:pPr>
            <w:r>
              <w:rPr>
                <w:color w:val="1C3A36"/>
                <w:sz w:val="16"/>
              </w:rPr>
              <w:t>1,052</w:t>
            </w:r>
          </w:p>
        </w:tc>
        <w:tc>
          <w:tcPr>
            <w:tcW w:type="dxa" w:w="1325"/>
          </w:tcPr>
          <w:p>
            <w:pPr>
              <w:spacing w:after="20"/>
              <w:jc w:val="right"/>
            </w:pPr>
            <w:r>
              <w:rPr>
                <w:color w:val="1C3A36"/>
                <w:sz w:val="16"/>
              </w:rPr>
              <w:t>1,331</w:t>
            </w:r>
          </w:p>
        </w:tc>
        <w:tc>
          <w:tcPr>
            <w:tcW w:type="dxa" w:w="1325"/>
          </w:tcPr>
          <w:p>
            <w:pPr>
              <w:spacing w:after="20"/>
              <w:jc w:val="right"/>
            </w:pPr>
            <w:r>
              <w:rPr>
                <w:color w:val="1C3A36"/>
                <w:sz w:val="16"/>
              </w:rPr>
              <w:t>1,584</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304"/>
      </w:tblGrid>
      <w:tr>
        <w:tc>
          <w:tcPr>
            <w:tcW w:type="dxa" w:w="6048"/>
            <w:shd w:val="clear" w:color="auto" w:fill="EAF0EE"/>
          </w:tcPr>
          <w:p>
            <w:pPr>
              <w:spacing w:after="20"/>
            </w:pPr>
            <w:r>
              <w:rPr>
                <w:b/>
                <w:color w:val="1C3A36"/>
                <w:sz w:val="17"/>
              </w:rPr>
              <w:t>Step</w:t>
            </w:r>
          </w:p>
        </w:tc>
        <w:tc>
          <w:tcPr>
            <w:tcW w:type="dxa" w:w="2304"/>
            <w:shd w:val="clear" w:color="auto" w:fill="EAF0EE"/>
          </w:tcPr>
          <w:p>
            <w:pPr>
              <w:spacing w:after="20"/>
            </w:pPr>
            <w:r>
              <w:rPr>
                <w:b/>
                <w:color w:val="1C3A36"/>
                <w:sz w:val="17"/>
              </w:rPr>
              <w:t>EGP mn</w:t>
            </w:r>
          </w:p>
        </w:tc>
      </w:tr>
      <w:tr>
        <w:tc>
          <w:tcPr>
            <w:tcW w:type="dxa" w:w="6048"/>
          </w:tcPr>
          <w:p>
            <w:pPr>
              <w:spacing w:after="20"/>
            </w:pPr>
            <w:r>
              <w:rPr>
                <w:color w:val="1C3A36"/>
                <w:sz w:val="17"/>
              </w:rPr>
              <w:t>Invested capital at the start</w:t>
            </w:r>
          </w:p>
        </w:tc>
        <w:tc>
          <w:tcPr>
            <w:tcW w:type="dxa" w:w="2304"/>
          </w:tcPr>
          <w:p>
            <w:pPr>
              <w:spacing w:after="20"/>
              <w:jc w:val="right"/>
            </w:pPr>
            <w:r>
              <w:rPr>
                <w:color w:val="1C3A36"/>
                <w:sz w:val="17"/>
              </w:rPr>
              <w:t>3,211</w:t>
            </w:r>
          </w:p>
        </w:tc>
      </w:tr>
      <w:tr>
        <w:tc>
          <w:tcPr>
            <w:tcW w:type="dxa" w:w="6048"/>
          </w:tcPr>
          <w:p>
            <w:pPr>
              <w:spacing w:after="20"/>
            </w:pPr>
            <w:r>
              <w:rPr>
                <w:color w:val="1C3A36"/>
                <w:sz w:val="17"/>
              </w:rPr>
              <w:t>Present value of explicit economic profit</w:t>
            </w:r>
          </w:p>
        </w:tc>
        <w:tc>
          <w:tcPr>
            <w:tcW w:type="dxa" w:w="2304"/>
          </w:tcPr>
          <w:p>
            <w:pPr>
              <w:spacing w:after="20"/>
              <w:jc w:val="right"/>
            </w:pPr>
            <w:r>
              <w:rPr>
                <w:color w:val="1C3A36"/>
                <w:sz w:val="17"/>
              </w:rPr>
              <w:t>2,397</w:t>
            </w:r>
          </w:p>
        </w:tc>
      </w:tr>
      <w:tr>
        <w:tc>
          <w:tcPr>
            <w:tcW w:type="dxa" w:w="6048"/>
          </w:tcPr>
          <w:p>
            <w:pPr>
              <w:spacing w:after="20"/>
            </w:pPr>
            <w:r>
              <w:rPr>
                <w:color w:val="1C3A36"/>
                <w:sz w:val="17"/>
              </w:rPr>
              <w:t>Present value of terminal economic profit</w:t>
            </w:r>
          </w:p>
        </w:tc>
        <w:tc>
          <w:tcPr>
            <w:tcW w:type="dxa" w:w="2304"/>
          </w:tcPr>
          <w:p>
            <w:pPr>
              <w:spacing w:after="20"/>
              <w:jc w:val="right"/>
            </w:pPr>
            <w:r>
              <w:rPr>
                <w:color w:val="1C3A36"/>
                <w:sz w:val="17"/>
              </w:rPr>
              <w:t>5,041</w:t>
            </w:r>
          </w:p>
        </w:tc>
      </w:tr>
      <w:tr>
        <w:tc>
          <w:tcPr>
            <w:tcW w:type="dxa" w:w="6048"/>
          </w:tcPr>
          <w:p>
            <w:pPr>
              <w:spacing w:after="20"/>
            </w:pPr>
            <w:r>
              <w:rPr>
                <w:color w:val="1C3A36"/>
                <w:sz w:val="17"/>
              </w:rPr>
              <w:t>= enterprise value</w:t>
            </w:r>
          </w:p>
        </w:tc>
        <w:tc>
          <w:tcPr>
            <w:tcW w:type="dxa" w:w="2304"/>
          </w:tcPr>
          <w:p>
            <w:pPr>
              <w:spacing w:after="20"/>
              <w:jc w:val="right"/>
            </w:pPr>
            <w:r>
              <w:rPr>
                <w:color w:val="1C3A36"/>
                <w:sz w:val="17"/>
              </w:rPr>
              <w:t>10,650</w:t>
            </w:r>
          </w:p>
        </w:tc>
      </w:tr>
      <w:tr>
        <w:tc>
          <w:tcPr>
            <w:tcW w:type="dxa" w:w="6048"/>
            <w:shd w:val="clear" w:color="auto" w:fill="F6F1E6"/>
          </w:tcPr>
          <w:p>
            <w:pPr>
              <w:spacing w:after="20"/>
            </w:pPr>
            <w:r>
              <w:rPr>
                <w:b/>
                <w:color w:val="1C3A36"/>
                <w:sz w:val="17"/>
              </w:rPr>
              <w:t>FAIR VALUE after the bridge (EGP per share)</w:t>
            </w:r>
          </w:p>
        </w:tc>
        <w:tc>
          <w:tcPr>
            <w:tcW w:type="dxa" w:w="2304"/>
            <w:shd w:val="clear" w:color="auto" w:fill="F6F1E6"/>
          </w:tcPr>
          <w:p>
            <w:pPr>
              <w:spacing w:after="20"/>
              <w:jc w:val="right"/>
            </w:pPr>
            <w:r>
              <w:rPr>
                <w:b/>
                <w:color w:val="1C3A36"/>
                <w:sz w:val="17"/>
              </w:rPr>
              <w:t>9.83</w:t>
            </w:r>
          </w:p>
        </w:tc>
      </w:tr>
    </w:tbl>
    <w:p>
      <w:pPr>
        <w:spacing w:after="40"/>
      </w:pPr>
    </w:p>
    <w:p>
      <w:pPr>
        <w:spacing w:after="120" w:before="0"/>
      </w:pPr>
      <w:r>
        <w:rPr>
          <w:b w:val="0"/>
          <w:i w:val="0"/>
          <w:color w:val="1C3A36"/>
          <w:sz w:val="21"/>
        </w:rPr>
        <w:t>The capital charge is taken on BEGINNING-of-year invested capital, not ending. Charging ending capital is the commoner convention and it is wrong: it charges the company for capital it had not yet deployed, understating economic profit and pushing the year in which the return spread turns positive one year later than it should.</w:t>
      </w:r>
    </w:p>
    <w:p>
      <w:pPr>
        <w:spacing w:after="120" w:before="0"/>
      </w:pPr>
      <w:r>
        <w:rPr>
          <w:b w:val="0"/>
          <w:i w:val="0"/>
          <w:color w:val="1C3A36"/>
          <w:sz w:val="21"/>
        </w:rPr>
        <w:t>Range EGP 7.41 to 10.71. The low end haircuts both economic-profit legs sharply, on the view that a return spread of +9.5% in the first year against a cost of capital of 31.6% is a fact about depreciation as much as about the business. The high end is the currency-of-discounting alternative.</w:t>
      </w:r>
    </w:p>
    <w:p>
      <w:pPr>
        <w:spacing w:after="120" w:before="0"/>
      </w:pPr>
      <w:r>
        <w:rPr>
          <w:b w:val="0"/>
          <w:i w:val="0"/>
          <w:color w:val="1C3A36"/>
          <w:sz w:val="20"/>
        </w:rPr>
        <w:t>Falsification. Expert 3 is wrong if the invested-capital base is understated — which it is, if the plant would cost materially more than 2,403 to replace. Re-run the same method on a replacement-cost capital base and both the return and the spread fall sharply. This is the same criticism section 7 makes of the primary model, and Expert 3 is the most exposed of the three to it.</w:t>
      </w:r>
    </w:p>
    <w:p>
      <w:pPr>
        <w:spacing w:after="80" w:before="200"/>
      </w:pPr>
      <w:r>
        <w:rPr>
          <w:b/>
          <w:i w:val="0"/>
          <w:color w:val="1C3A36"/>
          <w:sz w:val="24"/>
        </w:rPr>
        <w:t>The panel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3672"/>
        <w:gridCol w:w="1800"/>
        <w:gridCol w:w="1224"/>
        <w:gridCol w:w="1080"/>
      </w:tblGrid>
      <w:tr>
        <w:tc>
          <w:tcPr>
            <w:tcW w:type="dxa" w:w="1224"/>
            <w:shd w:val="clear" w:color="auto" w:fill="EAF0EE"/>
          </w:tcPr>
          <w:p>
            <w:pPr>
              <w:spacing w:after="20"/>
            </w:pPr>
            <w:r>
              <w:rPr>
                <w:b/>
                <w:color w:val="1C3A36"/>
                <w:sz w:val="16"/>
              </w:rPr>
            </w:r>
          </w:p>
        </w:tc>
        <w:tc>
          <w:tcPr>
            <w:tcW w:type="dxa" w:w="3672"/>
            <w:shd w:val="clear" w:color="auto" w:fill="EAF0EE"/>
          </w:tcPr>
          <w:p>
            <w:pPr>
              <w:spacing w:after="20"/>
            </w:pPr>
            <w:r>
              <w:rPr>
                <w:b/>
                <w:color w:val="1C3A36"/>
                <w:sz w:val="16"/>
              </w:rPr>
              <w:t>Method</w:t>
            </w:r>
          </w:p>
        </w:tc>
        <w:tc>
          <w:tcPr>
            <w:tcW w:type="dxa" w:w="1800"/>
            <w:shd w:val="clear" w:color="auto" w:fill="EAF0EE"/>
          </w:tcPr>
          <w:p>
            <w:pPr>
              <w:spacing w:after="20"/>
            </w:pPr>
            <w:r>
              <w:rPr>
                <w:b/>
                <w:color w:val="1C3A36"/>
                <w:sz w:val="16"/>
              </w:rPr>
              <w:t>Range (EGP)</w:t>
            </w:r>
          </w:p>
        </w:tc>
        <w:tc>
          <w:tcPr>
            <w:tcW w:type="dxa" w:w="1224"/>
            <w:shd w:val="clear" w:color="auto" w:fill="EAF0EE"/>
          </w:tcPr>
          <w:p>
            <w:pPr>
              <w:spacing w:after="20"/>
            </w:pPr>
            <w:r>
              <w:rPr>
                <w:b/>
                <w:color w:val="1C3A36"/>
                <w:sz w:val="16"/>
              </w:rPr>
              <w:t>Base (EGP)</w:t>
            </w:r>
          </w:p>
        </w:tc>
        <w:tc>
          <w:tcPr>
            <w:tcW w:type="dxa" w:w="1080"/>
            <w:shd w:val="clear" w:color="auto" w:fill="EAF0EE"/>
          </w:tcPr>
          <w:p>
            <w:pPr>
              <w:spacing w:after="20"/>
            </w:pPr>
            <w:r>
              <w:rPr>
                <w:b/>
                <w:color w:val="1C3A36"/>
                <w:sz w:val="16"/>
              </w:rPr>
              <w:t>vs spot</w:t>
            </w:r>
          </w:p>
        </w:tc>
      </w:tr>
      <w:tr>
        <w:tc>
          <w:tcPr>
            <w:tcW w:type="dxa" w:w="1224"/>
          </w:tcPr>
          <w:p>
            <w:pPr>
              <w:spacing w:after="20"/>
            </w:pPr>
            <w:r>
              <w:rPr>
                <w:color w:val="1C3A36"/>
                <w:sz w:val="16"/>
              </w:rPr>
              <w:t>Expert 1</w:t>
            </w:r>
          </w:p>
        </w:tc>
        <w:tc>
          <w:tcPr>
            <w:tcW w:type="dxa" w:w="3672"/>
          </w:tcPr>
          <w:p>
            <w:pPr>
              <w:spacing w:after="20"/>
            </w:pPr>
            <w:r>
              <w:rPr>
                <w:color w:val="1C3A36"/>
                <w:sz w:val="16"/>
              </w:rPr>
              <w:t>earnings power at a justified multiple</w:t>
            </w:r>
          </w:p>
        </w:tc>
        <w:tc>
          <w:tcPr>
            <w:tcW w:type="dxa" w:w="1800"/>
          </w:tcPr>
          <w:p>
            <w:pPr>
              <w:spacing w:after="20"/>
              <w:jc w:val="right"/>
            </w:pPr>
            <w:r>
              <w:rPr>
                <w:color w:val="1C3A36"/>
                <w:sz w:val="16"/>
              </w:rPr>
              <w:t>8.23 – 15.64</w:t>
            </w:r>
          </w:p>
        </w:tc>
        <w:tc>
          <w:tcPr>
            <w:tcW w:type="dxa" w:w="1224"/>
          </w:tcPr>
          <w:p>
            <w:pPr>
              <w:spacing w:after="20"/>
              <w:jc w:val="right"/>
            </w:pPr>
            <w:r>
              <w:rPr>
                <w:color w:val="1C3A36"/>
                <w:sz w:val="16"/>
              </w:rPr>
              <w:t>11.52</w:t>
            </w:r>
          </w:p>
        </w:tc>
        <w:tc>
          <w:tcPr>
            <w:tcW w:type="dxa" w:w="1080"/>
          </w:tcPr>
          <w:p>
            <w:pPr>
              <w:spacing w:after="20"/>
              <w:jc w:val="right"/>
            </w:pPr>
            <w:r>
              <w:rPr>
                <w:color w:val="1C3A36"/>
                <w:sz w:val="16"/>
              </w:rPr>
              <w:t>+27%</w:t>
            </w:r>
          </w:p>
        </w:tc>
      </w:tr>
      <w:tr>
        <w:tc>
          <w:tcPr>
            <w:tcW w:type="dxa" w:w="1224"/>
          </w:tcPr>
          <w:p>
            <w:pPr>
              <w:spacing w:after="20"/>
            </w:pPr>
            <w:r>
              <w:rPr>
                <w:color w:val="1C3A36"/>
                <w:sz w:val="16"/>
              </w:rPr>
              <w:t>Expert 2</w:t>
            </w:r>
          </w:p>
        </w:tc>
        <w:tc>
          <w:tcPr>
            <w:tcW w:type="dxa" w:w="3672"/>
          </w:tcPr>
          <w:p>
            <w:pPr>
              <w:spacing w:after="20"/>
            </w:pPr>
            <w:r>
              <w:rPr>
                <w:color w:val="1C3A36"/>
                <w:sz w:val="16"/>
              </w:rPr>
              <w:t>free cash flow to equity, discounted</w:t>
            </w:r>
          </w:p>
        </w:tc>
        <w:tc>
          <w:tcPr>
            <w:tcW w:type="dxa" w:w="1800"/>
          </w:tcPr>
          <w:p>
            <w:pPr>
              <w:spacing w:after="20"/>
              <w:jc w:val="right"/>
            </w:pPr>
            <w:r>
              <w:rPr>
                <w:color w:val="1C3A36"/>
                <w:sz w:val="16"/>
              </w:rPr>
              <w:t>7.65 – 9.87</w:t>
            </w:r>
          </w:p>
        </w:tc>
        <w:tc>
          <w:tcPr>
            <w:tcW w:type="dxa" w:w="1224"/>
          </w:tcPr>
          <w:p>
            <w:pPr>
              <w:spacing w:after="20"/>
              <w:jc w:val="right"/>
            </w:pPr>
            <w:r>
              <w:rPr>
                <w:color w:val="1C3A36"/>
                <w:sz w:val="16"/>
              </w:rPr>
              <w:t>9.32</w:t>
            </w:r>
          </w:p>
        </w:tc>
        <w:tc>
          <w:tcPr>
            <w:tcW w:type="dxa" w:w="1080"/>
          </w:tcPr>
          <w:p>
            <w:pPr>
              <w:spacing w:after="20"/>
              <w:jc w:val="right"/>
            </w:pPr>
            <w:r>
              <w:rPr>
                <w:color w:val="1C3A36"/>
                <w:sz w:val="16"/>
              </w:rPr>
              <w:t>+2%</w:t>
            </w:r>
          </w:p>
        </w:tc>
      </w:tr>
      <w:tr>
        <w:tc>
          <w:tcPr>
            <w:tcW w:type="dxa" w:w="1224"/>
          </w:tcPr>
          <w:p>
            <w:pPr>
              <w:spacing w:after="20"/>
            </w:pPr>
            <w:r>
              <w:rPr>
                <w:color w:val="1C3A36"/>
                <w:sz w:val="16"/>
              </w:rPr>
              <w:t>Expert 3</w:t>
            </w:r>
          </w:p>
        </w:tc>
        <w:tc>
          <w:tcPr>
            <w:tcW w:type="dxa" w:w="3672"/>
          </w:tcPr>
          <w:p>
            <w:pPr>
              <w:spacing w:after="20"/>
            </w:pPr>
            <w:r>
              <w:rPr>
                <w:color w:val="1C3A36"/>
                <w:sz w:val="16"/>
              </w:rPr>
              <w:t>cash returns against the cost of capital</w:t>
            </w:r>
          </w:p>
        </w:tc>
        <w:tc>
          <w:tcPr>
            <w:tcW w:type="dxa" w:w="1800"/>
          </w:tcPr>
          <w:p>
            <w:pPr>
              <w:spacing w:after="20"/>
              <w:jc w:val="right"/>
            </w:pPr>
            <w:r>
              <w:rPr>
                <w:color w:val="1C3A36"/>
                <w:sz w:val="16"/>
              </w:rPr>
              <w:t>7.41 – 10.71</w:t>
            </w:r>
          </w:p>
        </w:tc>
        <w:tc>
          <w:tcPr>
            <w:tcW w:type="dxa" w:w="1224"/>
          </w:tcPr>
          <w:p>
            <w:pPr>
              <w:spacing w:after="20"/>
              <w:jc w:val="right"/>
            </w:pPr>
            <w:r>
              <w:rPr>
                <w:color w:val="1C3A36"/>
                <w:sz w:val="16"/>
              </w:rPr>
              <w:t>9.83</w:t>
            </w:r>
          </w:p>
        </w:tc>
        <w:tc>
          <w:tcPr>
            <w:tcW w:type="dxa" w:w="1080"/>
          </w:tcPr>
          <w:p>
            <w:pPr>
              <w:spacing w:after="20"/>
              <w:jc w:val="right"/>
            </w:pPr>
            <w:r>
              <w:rPr>
                <w:color w:val="1C3A36"/>
                <w:sz w:val="16"/>
              </w:rPr>
              <w:t>+8%</w:t>
            </w:r>
          </w:p>
        </w:tc>
      </w:tr>
      <w:tr>
        <w:tc>
          <w:tcPr>
            <w:tcW w:type="dxa" w:w="1224"/>
            <w:shd w:val="clear" w:color="auto" w:fill="F6F1E6"/>
          </w:tcPr>
          <w:p>
            <w:pPr>
              <w:spacing w:after="20"/>
            </w:pPr>
            <w:r>
              <w:rPr>
                <w:b/>
                <w:color w:val="1C3A36"/>
                <w:sz w:val="16"/>
              </w:rPr>
              <w:t>PANEL MEDIAN</w:t>
            </w:r>
          </w:p>
        </w:tc>
        <w:tc>
          <w:tcPr>
            <w:tcW w:type="dxa" w:w="3672"/>
            <w:shd w:val="clear" w:color="auto" w:fill="F6F1E6"/>
          </w:tcPr>
          <w:p>
            <w:pPr>
              <w:spacing w:after="20"/>
            </w:pPr>
            <w:r>
              <w:rPr>
                <w:b/>
                <w:color w:val="1C3A36"/>
                <w:sz w:val="16"/>
              </w:rPr>
              <w:t>the middle of the three</w:t>
            </w:r>
          </w:p>
        </w:tc>
        <w:tc>
          <w:tcPr>
            <w:tcW w:type="dxa" w:w="1800"/>
            <w:shd w:val="clear" w:color="auto" w:fill="F6F1E6"/>
          </w:tcPr>
          <w:p>
            <w:pPr>
              <w:spacing w:after="20"/>
              <w:jc w:val="right"/>
            </w:pPr>
            <w:r>
              <w:rPr>
                <w:b/>
                <w:color w:val="1C3A36"/>
                <w:sz w:val="16"/>
              </w:rPr>
            </w:r>
          </w:p>
        </w:tc>
        <w:tc>
          <w:tcPr>
            <w:tcW w:type="dxa" w:w="1224"/>
            <w:shd w:val="clear" w:color="auto" w:fill="F6F1E6"/>
          </w:tcPr>
          <w:p>
            <w:pPr>
              <w:spacing w:after="20"/>
              <w:jc w:val="right"/>
            </w:pPr>
            <w:r>
              <w:rPr>
                <w:b/>
                <w:color w:val="1C3A36"/>
                <w:sz w:val="16"/>
              </w:rPr>
              <w:t>9.83</w:t>
            </w:r>
          </w:p>
        </w:tc>
        <w:tc>
          <w:tcPr>
            <w:tcW w:type="dxa" w:w="1080"/>
            <w:shd w:val="clear" w:color="auto" w:fill="F6F1E6"/>
          </w:tcPr>
          <w:p>
            <w:pPr>
              <w:spacing w:after="20"/>
              <w:jc w:val="right"/>
            </w:pPr>
            <w:r>
              <w:rPr>
                <w:b/>
                <w:color w:val="1C3A36"/>
                <w:sz w:val="16"/>
              </w:rPr>
              <w:t>+8%</w:t>
            </w:r>
          </w:p>
        </w:tc>
      </w:tr>
    </w:tbl>
    <w:p>
      <w:pPr>
        <w:spacing w:after="40"/>
      </w:pPr>
    </w:p>
    <w:p>
      <w:pPr>
        <w:spacing w:after="120" w:before="0"/>
      </w:pPr>
      <w:r>
        <w:rPr>
          <w:b w:val="0"/>
          <w:i w:val="0"/>
          <w:color w:val="1C3A36"/>
          <w:sz w:val="21"/>
        </w:rPr>
        <w:t>The three land within EGP 2.20 of each other, which is closer agreement than three genuinely different methods usually produce. The panel median of EGP 9.83 sits +4% against the weighted central of the four main lenses — a useful check that the main result is not an artefact of the lens weights.</w:t>
      </w:r>
    </w:p>
    <w:p>
      <w:pPr>
        <w:spacing w:after="120" w:before="280"/>
      </w:pPr>
      <w:r>
        <w:rPr>
          <w:b/>
          <w:i w:val="0"/>
          <w:color w:val="1C3A36"/>
          <w:sz w:val="30"/>
        </w:rPr>
        <w:t>About this study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produced by Testahil. It carries no rating, no recommendation and no price target.</w:t>
            </w:r>
          </w:p>
          <w:p>
            <w:pPr>
              <w:spacing w:after="100"/>
            </w:pPr>
            <w:r>
              <w:rPr>
                <w:b/>
                <w:color w:val="1C3A36"/>
                <w:sz w:val="19"/>
              </w:rPr>
              <w:t xml:space="preserve">What it is not. </w:t>
            </w:r>
            <w:r>
              <w:rPr>
                <w:color w:val="1C3A36"/>
                <w:sz w:val="19"/>
              </w:rPr>
              <w:t>It is not investment advice, not a solicitation, and not a forecast of the share price. The fair-value range is a statement about the business under the assumptions listed; the probability map is a separate statement about price, and the two are never blended.</w:t>
            </w:r>
          </w:p>
          <w:p>
            <w:pPr>
              <w:spacing w:after="100"/>
            </w:pPr>
            <w:r>
              <w:rPr>
                <w:b/>
                <w:color w:val="1C3A36"/>
                <w:sz w:val="19"/>
              </w:rPr>
              <w:t xml:space="preserve">Sources. </w:t>
            </w:r>
            <w:r>
              <w:rPr>
                <w:color w:val="1C3A36"/>
                <w:sz w:val="19"/>
              </w:rPr>
              <w:t>Every input carries a value, a source and a date, recorded in the accompanying source register issued as a separate document alongside this study.</w:t>
            </w:r>
          </w:p>
          <w:p>
            <w:pPr>
              <w:spacing w:after="100"/>
            </w:pPr>
            <w:r>
              <w:rPr>
                <w:b/>
                <w:color w:val="1C3A36"/>
                <w:sz w:val="19"/>
              </w:rPr>
              <w:t xml:space="preserve">Method. </w:t>
            </w:r>
            <w:r>
              <w:rPr>
                <w:color w:val="1C3A36"/>
                <w:sz w:val="19"/>
              </w:rPr>
              <w:t>All financial arithmetic in this study originates in an executed, asserting compute script; no figure is calculated in the narrative. The companion workbook is formula-driven — 901 live formulas against 279 entered numbers, of which the great majority are the input register itself and the two whole-model re-run grids.</w:t>
            </w:r>
          </w:p>
          <w:p>
            <w:pPr>
              <w:spacing w:after="100"/>
            </w:pPr>
            <w:r>
              <w:rPr>
                <w:b/>
                <w:color w:val="1C3A36"/>
                <w:sz w:val="19"/>
              </w:rPr>
              <w:t xml:space="preserve">Verification. </w:t>
            </w:r>
            <w:r>
              <w:rPr>
                <w:color w:val="1C3A36"/>
                <w:sz w:val="19"/>
              </w:rPr>
              <w:t>Both verification gates were run on the delivered workbook rather than on the script that wrote it: 901 of 901 formula cells reproduce the model's own value, with none unresolvable and none unchecked; and every input was perturbed in place with the whole workbook re-evaluated, confirming each moves the headline in the asserted direction with no dead inputs.</w:t>
            </w:r>
          </w:p>
          <w:p>
            <w:pPr>
              <w:spacing w:after="100"/>
            </w:pPr>
            <w:r>
              <w:rPr>
                <w:b/>
                <w:color w:val="1C3A36"/>
                <w:sz w:val="19"/>
              </w:rPr>
              <w:t xml:space="preserve">Limitations of this edition. </w:t>
            </w:r>
            <w:r>
              <w:rPr>
                <w:color w:val="1C3A36"/>
                <w:sz w:val="19"/>
              </w:rPr>
              <w:t>The company changed its financial year end mid-period, primary filings were not reachable from the build environment, and the historical balance sheets are therefore a reconstruction from four disclosed lines. Section 7 sets out each limitation at the level of detail a reader would need to disagree with it.</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