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0.4156 at 4.50 years — it is the value at the end of the window of everything after it, so it arrives half a year later than year five's own cash flow at 0.4521 and is worth less. One date, one price of time, and the terminal's date is not year five's.</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the same page gives local 53.9Mt, exports 18.6Mt and a total of 72.6Mt — the two components add to 72.5Mt at the one decimal each is published to, and the total is the disclosed figure rather than their sum.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10.52% against a terminal cost of capital of 18.34% — short of it by 782 basis points — so moving terminal growth from 3% to 7% takes the value from EGP 70.79 DOWN to EGP 66.53, -6.0%, about 1.07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