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i w:val="0"/>
          <w:color w:val="896F36"/>
          <w:sz w:val="18"/>
        </w:rPr>
        <w:t>TESTAHIL — STANDING RESEARCH SERIES</w:t>
      </w:r>
    </w:p>
    <w:p>
      <w:pPr>
        <w:spacing w:after="0" w:before="0"/>
      </w:pPr>
      <w:r>
        <w:rPr>
          <w:b/>
          <w:i w:val="0"/>
          <w:color w:val="1C3A36"/>
          <w:sz w:val="40"/>
        </w:rPr>
        <w:t>GB Corp (GBCO.CA) — Bibliography &amp; input register</w:t>
      </w:r>
    </w:p>
    <w:p>
      <w:pPr>
        <w:spacing w:after="200" w:before="0"/>
      </w:pPr>
      <w:r>
        <w:rPr>
          <w:b w:val="0"/>
          <w:i w:val="0"/>
          <w:color w:val="6E7B77"/>
          <w:sz w:val="20"/>
        </w:rPr>
        <w:t>Companion to the valuation study refresh of 19 August 2026</w:t>
      </w:r>
    </w:p>
    <w:p>
      <w:pPr>
        <w:spacing w:after="80" w:before="200"/>
      </w:pPr>
      <w:r>
        <w:rPr>
          <w:b/>
          <w:i w:val="0"/>
          <w:color w:val="1C3A36"/>
          <w:sz w:val="24"/>
        </w:rPr>
        <w:t>READ FIRST</w:t>
      </w:r>
    </w:p>
    <w:p>
      <w:pPr>
        <w:spacing w:after="120" w:before="0"/>
      </w:pPr>
      <w:r>
        <w:rPr>
          <w:b w:val="0"/>
          <w:i w:val="0"/>
          <w:color w:val="1C3A36"/>
          <w:sz w:val="21"/>
        </w:rPr>
        <w:t>Every number in the study and the workbook traces to a row in this document. Inputs are organised in four layers, from the inside out: COMPANY (the subject's own issued statements, releases and investor materials — the only admissible source for its reported figures), COUNTRY (sovereign yields, inflation, policy rates, currency, country-risk tables), INDUSTRY (market prints and peer marks, context only), and GLOBAL (rates and supply-chain conditions). A value with no source and date does not enter the model; where a needed figure is not disclosed, the gap itself is recorded below rather than silently bridged.</w:t>
      </w:r>
    </w:p>
    <w:p>
      <w:pPr>
        <w:spacing w:after="120" w:before="280"/>
      </w:pPr>
      <w:r>
        <w:rPr>
          <w:b/>
          <w:i w:val="0"/>
          <w:color w:val="1C3A36"/>
          <w:sz w:val="30"/>
        </w:rPr>
        <w:t>Primary documents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792"/>
        <w:gridCol w:w="3168"/>
        <w:gridCol w:w="2160"/>
        <w:gridCol w:w="4104"/>
      </w:tblGrid>
      <w:tr>
        <w:tc>
          <w:tcPr>
            <w:tcW w:type="dxa" w:w="79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#</w:t>
            </w:r>
          </w:p>
        </w:tc>
        <w:tc>
          <w:tcPr>
            <w:tcW w:type="dxa" w:w="316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Document</w:t>
            </w:r>
          </w:p>
        </w:tc>
        <w:tc>
          <w:tcPr>
            <w:tcW w:type="dxa" w:w="216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Publisher / date</w:t>
            </w:r>
          </w:p>
        </w:tc>
        <w:tc>
          <w:tcPr>
            <w:tcW w:type="dxa" w:w="410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was taken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Consolidated interim financial statements, 30 June 2026 (limited review, KPMG Hazem Hassan — qualified conclusion on the MNT B.V. associate)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13-Aug-2026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primary statements; segment note; borrowings and their average rates; associates note (stake 42.93%, carrying 15,723.5); the FY2025 restatement; tax reconciliation; currency exposures; commitments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2Q/1H26 earnings release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13-Aug-2026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volumes and prices per line of business; quarterly working-capital and net-debt tables; segment income statements and balance sheets; GB Capital portfolio, asset quality and subsidiary detail; management guidance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3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Press release: MNT-Halan closes capital-increase round led by Al Ahly Capital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09-Jun-2026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USD 1.4bn round mark (first close; second pending), corroborated by Reuters, Zawya and Enterprise coverage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4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statements / fourth-quarter release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Feb-2026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FY25 base year (extracted for the July study, cell-verified; net-debt-to-EBITDA cross-check reproduces the disclosed 2.39x)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5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FY2024 statements / fourth-quarter release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Mar-2025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second history year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6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FY2023 statements / fourth-quarter release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Mar-2024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third history year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7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Investor-relations filings page (ir.gb-corporation.com)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accessed 19-Aug-2026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primary-access confirmation that the supplied documents are the company's own; the live EGX quote (29.70) used for market-value weights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8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Country risk tables (ctryprem), January 2026 edition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A. Damodaran, NYU Stern, 05-Jan-2026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Egypt: default spreads 6.37% (rating) / 3.41% (CDS); total equity premia 13.94% / 9.41%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9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Egypt 10-year local-currency bond quote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investing.com, 19-Aug-2026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22.92% observed yield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10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USD/EGP quote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investing.com, 19-Aug-2026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50.71 (52-week range 46.64-54.86)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11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July 2026 consumer-price print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CAPMAS via national press, 10-Aug-2026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urban inflation 14.9% year on year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12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July 2026 monetary-policy decision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State Information Service / Daily News Egypt, 11-Jul-2026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overnight deposit rate held at 19.00%, third consecutive hold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13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First-half 2026 vehicle-market prints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AMIC via Zawya / Arab Finance, Jul-2026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passenger-car market 62.3k units (+18%); total market 102.1k (+40.5%)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14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Peer multiple pages (Contact Financial, Dogus Otomotiv, AutoNation, Bajaj Auto)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investing.com / stockanalysis.com, 19-Aug-2026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trailing multiples, context only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15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GBCO daily price history and the exchange's published index series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EGX via the research price library, through 22-Jul-2026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five-year weekly beta regression; the published price map's anchor close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The input register — every input, four fields</w:t>
      </w:r>
    </w:p>
    <w:p>
      <w:pPr>
        <w:spacing w:after="120" w:before="0"/>
      </w:pPr>
      <w:r>
        <w:rPr>
          <w:b w:val="0"/>
          <w:i w:val="0"/>
          <w:color w:val="6E7B77"/>
          <w:sz w:val="19"/>
        </w:rPr>
        <w:t>187 inputs. Value, source and construction, date, layer. Paths are listed FY26E through FY30E.</w:t>
      </w:r>
    </w:p>
    <w:p>
      <w:pPr>
        <w:spacing w:after="80" w:before="200"/>
      </w:pPr>
      <w:r>
        <w:rPr>
          <w:b/>
          <w:i w:val="0"/>
          <w:color w:val="1C3A36"/>
          <w:sz w:val="24"/>
        </w:rPr>
        <w:t>Company layer — 169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792"/>
        <w:gridCol w:w="2808"/>
        <w:gridCol w:w="1728"/>
        <w:gridCol w:w="3816"/>
        <w:gridCol w:w="1080"/>
      </w:tblGrid>
      <w:tr>
        <w:tc>
          <w:tcPr>
            <w:tcW w:type="dxa" w:w="79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#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72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38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 &amp; construction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shares outstanding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1,085.5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(shareholder information)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48,474.4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gross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7,421.9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operating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3,661.3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finance cost H1-26 (incl FX loss 23.429)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2,281.0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share of associates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410.1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EBT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1,790.4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income tax H1-26 (ETR 41.04%, note 11-C)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734.8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profit attributable H1-26 (EPS 1.163)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1,262.0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operating cash flow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5,486.1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35,850.0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profit attributable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1,672.6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total revenue H1-26 (incl inter-segment 394.5)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40,021.5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gross profit H1-26 (GPM 14.3%)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5,722.1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GS&amp;A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2,839.8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other operating income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334.2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net provisions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-89.4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operating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3,127.0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finance cost H1-26 (incl leasing 150.4 in 2Q)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2,206.7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EBT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890.5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income tax H1-26 (ETR 59.4% — unshielded regional losses)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529.3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EBITDA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3,484.8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D&amp;A H1-26 (cash-flow adjustments)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401.2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capex H1-26 (PP&amp;E 257.0 + projects 1,119.5)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1,376.5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net debt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14,493.6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working capital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17,092.8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capital employed 30-Jun-26 (LTM ROCE 22.9%)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28,185.0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10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total debt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22,733.1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notes payable (leasing)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2,345.8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cash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9,445.0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inventory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22,959.1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receivables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5,873.5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advances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1,153.7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debtors &amp; other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2,598.9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payables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15,492.5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total cost of sales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34,299.4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8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segment NCI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590.7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segment equity before NCI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12,998.3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total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30,672.7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gross profit H1-25 (GPM 15.5%)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4,752.0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EBITDA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3,074.3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H1-26 (CKD 15,454 / CBU 14,100)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29554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30,595.7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volumes H1-26 (bus 1,002 / truck 1,472 / CE 16)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2490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4,749.1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Light-Mobility volumes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21173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Light-Mobility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1,435.2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Trading revenue H1-26 (tires 1,956.3 + parts 616.0)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2,572.3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24,098.2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25989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2,640.6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Light-Mobility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928.4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Trading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2,438.2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foreign share of PC revenue H1-26 (was 25.81% H1-25)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0.1459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5-A2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PC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31,210.2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PC cost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27,054.2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5-B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buses&amp;trucks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4,906.0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buses&amp;trucks cost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3,991.8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5-B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2-3-4W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1,566.4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2-3-4W cost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1,386.9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5-B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tires+other-trading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2,337.3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tires+other-trading cost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1,863.7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5-B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total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9,088.2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operating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574.4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net profit after tax &amp; NCI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649.6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associates income H1-26 (MNT-Halan, Bedaya, Kaf)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426.2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net on-book portfolio 30-Jun-26 (+33.6% y/y)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23,984.6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NPL ratio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0.028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annualized adjusted ROAE 2Q26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0.135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segment equity before NCI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22,497.8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segment 'investments in subsidiaries'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18,246.0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cost of funds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1,797.1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13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 Investment B.V. stake after Al Ahly Capital first close (44.01% before)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0.4293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34 footnote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 B.V. equity-method carrying value 30-Jun-26 (opening restated +2,460.218)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15,723.5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34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 B.V. H1-26 share of profit (KPMG could not verify — qualified conclusion)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410.0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34 + review report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MNT-Halan round valuation, first close led by Al Ahly Capital (second close pending)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1,400.0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press release 09-Jun-2026, corroborated by Reuters/Zawya/Enterprise coverage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2026-06-09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MNT-Halan consolidated loan book (c.)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1.95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 associates carrying (Mier 27.8% + Bedaia 33.33% + Kaf 37.5%)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506.9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34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at FV through OCI (Sky reality 7.61% et al.)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489.5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in associates total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16,230.5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parent equity 30-Jun-26 (FY25 restated 31,671.409)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33,454.3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NCI 30-Jun-26 (45% GB Lease, 17% Automobilk, 16.67% GK, 32% GQ, 7.5% TVD)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1,673.6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24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debt 30-Jun-26 (note 25; ND/E 0.96)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32,269.8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loans, borrowings &amp; overdrafts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42,476.0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cash &amp; equivalents 30-Jun-26 (USD time deposits 5,687.0 inside)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10,951.5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notes 16/29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USD-denominated liabilities 30-Jun-26 (incl trade payables)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7,274.4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29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USD exposure 30-Jun-26 (liability)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-1,853.6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29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variable-rate loans/advances/overdrafts 30-Jun-26 (essentially the whole book)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43,480.1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29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FY25 dividend per share (paid 29-Apr-26 + 29-Jul-26)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0.35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10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capital commitments 30-Jun-26 (new production lines; FY25: 525.479)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1,020.5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31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inventories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22,998.4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accounts &amp; notes receivable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16,570.8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14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debtors &amp; other debit balances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5,268.7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total assets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100,921.4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average interest rate, current EGP loans &amp; borrowings, H1-26 (FY25: 21.91%)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0.2082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average interest rate, USD loans &amp; borrowings, H1-26 (FY25: 8.30%)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0.0778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effective tax rate H1-26 (unshielded regional losses)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0.4104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11-C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FY23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28,317.2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revenue FY23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23,854.0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FY23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26994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FY23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16,544.3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FY24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53,969.5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revenue FY24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47,065.0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FY24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42043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FY24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36,533.4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FY25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80,229.8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2026-02-26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revenue FY25 (cross-checked: ND/LTM-EBITDA 2.39x x 6,363 = 15,210)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66,358.3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2026-02-26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FY25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56548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2026-02-26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FY25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52,827.3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2026-02-26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FY2023 balance-sheet block (total assets; components: inventories 6366.1, receivables 1743.5, advances/debtors 1039.1, associates 10732.4, cash 4504.2, borrowings 12517.7, parent equity 19838.8)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42,585.5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FY2023 automotive operating profit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3,460.9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FY2024 balance-sheet block (total assets; components: inventories 21134.3, receivables 3708.7, advances/debtors 2942.2, associates 11743.6, cash 7420.9, borrowings 22608.7, parent equity 25438.5)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62,725.2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FY2024 automotive operating profit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5,564.9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FY2025 (restated) balance-sheet block (total assets; components: inventories 24649.7, receivables 14157.9, advances/debtors 5818.6, associates 15732.4, cash 9523.6, borrowings 37921.3, parent equity 31671.4)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94,287.6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39 (restated comparatives)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FY2025 (restated) automotive operating profit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5,830.9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39 (restated comparatives)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net profit after NCI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607.9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8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gross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1,762.2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13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last OHLC-library close (published page spot)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31.3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engine/raw_ohlc/EG/GBCO.csv via assets/data.js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2026-07-22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EGX quote on the company's own IR page at build date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29.7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ir.gb-corporation.com live widget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imported/FX-linked share of unit cost per LOB (CBU fully imported, CKD kit content majority-USD; NOT separately disclosed — constructed, flagged)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0.75, cv 0.7, lm 0.8, tr 0.9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constructed from the disclosed import mix (CBU fully imported, CKD kit content USD-priced); the exact shares are not disclosed and this is flagged as an estimate carried at the finest disclosed level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 growth FY27-30 (market +18% maturing; launches annualize)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0.09, 0.08, 0.06, 0.05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 on AMIC print + ER launch calendar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ASP growth FY27-30 (below FX+CPI per CEO supply-pressure guidance)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0.08, 0.07, 0.06, 0.06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 on ER CEO note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volume growth FY27-30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0.14, 0.1, 0.08, 0.07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ASP growth FY27-30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0.07, 0.06, 0.06, 0.05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LM volume growth FY27-30 (Qute constraint resolves)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0.16, 0.13, 0.11, 0.09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LM ASP growth FY27-30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0.06, 0.05, 0.05, 0.05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Trading revenue growth FY27-30 (tires normalized)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0.11, 0.1, 0.09, 0.08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other-auto revenue growth FY27-30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0.1, 0.1, 0.09, 0.08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CKD volumes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15454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CBU volumes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14100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bus volumes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1002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truck volumes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1472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construction-equipment volumes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volumes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1534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Light-Mobility volumes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14216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H2-26E tempering multipliers on the FY25 seasonal split, per line (pc: launches offset regional drag, no temper; cv: 2Q surge partly timing; lm: Qute supply cap; tr: H2 tires restock above the depressed seasonal; oth: neutral)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1.0, cv 0.91, lm 0.95, tr 1.17, oth 1.01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judgement on ER guidance + 2Q/1Q shape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H2-26E price step vs realized H1 ASP (post-devaluation price increases the company itself flags)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1.025, cv 1.02, lm 1.03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judgement on ER CEO note + FX path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CKD share drift in H2-26E (Hyundai CKD Sep + third Changan 4Q at Sadat)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1.02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judgement on ER launch calendar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bus share drift in H2-26E (tourism recovery off a weak base)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1.03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judgement on ER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construction-equipment units path (tiny, planned)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32, 34, 36, 38, 40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judgement; H1 16 units doubled then drifting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CKD volume growth FY27-30 (localization drive)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0.12, 0.1, 0.07, 0.06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 on the launch calendar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bus volume growth FY27-30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0.16, 0.12, 0.09, 0.08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other-auto gross margin (residual: auto GP less mapped LOB GP)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0.182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from ER auto GP 5,722.1 vs FS segment GP sum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trading/other price inflation (for the cost-differential year)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judgement; tires are FX-priced goods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tires unit-cost reset FY27E (the favourable-historical-cost inventory one-off exhausts)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1.04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ER: margin 'benefited from inventory acquired at more favorable historical costs'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GS&amp;A %rev (H1-26 actual 7.10% gliding on scale)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0.071, 0.07, 0.07, 0.069, 0.069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H1-26 ER actual + glide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other operating income %rev (H1-26 actual)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0.0084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H1-26 ER actual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net provisions %rev (H1-26 actual)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-0.0022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H1-26 ER actual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D&amp;A %rev (H1 actual 1.00%; Sadat ramp)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0.01, 0.01, 0.01, 0.01, 0.01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H1-26 actual + PP&amp;E note 17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effective tax path (41.0% H1 -&gt; statutory 22.5% as regional losses fade per CEO guidance: Jordan subsides from 4Q26, Iraq geopolitics-dependent)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0.38, 0.3, 0.26, 0.24, 0.225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note 11-C + ER CEO note; glide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capex path (H1 1,376.5 actual + 1,020.5 committed; Sadat complete, Ain Sokhna under consideration)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2800, 2600, 2500, 2500, 2600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ER/FS +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WC %rev (LTM actual 23.0% at 2Q26 gliding to 21%; 5-quarter table shows 16.7-18.9bn stable band; FY25's 28.5% was the pre-buy outlier)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0.23, 0.225, 0.22, 0.215, 0.21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ER table 6 computed + glide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EGP share of auto-leg debt (USD liabilities 7,274.4 group-wide INCLUDE trade payables; per-tranche split not disclosed — bounded &lt;=17% of gross debt, 10% carried, flagged)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29 bound + construction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terminal growth, nominal EGP (long-run inflation 9-10% + 1.5-2% real)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0.115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carried from the 08-07-2026 study; spread to WACC re-checked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terminal return on invested capital (anchor: the leg's own realized LTM ROCE 22.9% at 30-Jun-26; the forward model's ~15% marginal ROIC is transitional working-capital front-loading during the growth phase; sensitized 15%-25%)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0.225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judgement anchored on ER table 10; sensitized in the study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SOTP complexity/conglomerate discount (carried from the prior study)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decision, unchanged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inter-segment equity eliminations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-2,041.8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revenue growth FY27-30 (book +33.6% y/y now, securitization-framework drag H2-26, normalizing)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0.2, 0.17, 0.15, 0.12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 on ER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revenue FY26E (H1 9,088.2 + H2 at ~run-rate less securitization deferrals)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18,700.0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bridge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net profit path (H1 649.6 doubling-plus as provisions/funding normalize; ROAE 13.5% on a compounding book)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1,450, 1,750, 2,050, 2,350, 2,650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model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inter-segment eliminations, % of summed revenue (H1-26 actual 1.29%)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0.013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from ER table 11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associates equity pickup path (H1 410.1 annualized, growing ~25%/yr with MNT-Halan's ~30% revenue growth; unverified by the auditor — flagged)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850, 1,065, 1,330, 1,600, 1,870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model decision on note 34 + ER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average funding-cost path (20.82% H1 actual, variable-rate book repricing down the CBE path)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0.195, 0.175, 0.165, 0.155, 0.15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note 26 + CBE direction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dividend per share held at the FY25 level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0.35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10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of the group dividend funded by the auto leg in the net-debt sweep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0.85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model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normalized auto funding cost (CBE easing path endpoint on the variable book)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model decision on note 26 + CBE direction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normalized-PAT bear/bull scalars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bear 0.85, bull 1.12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normalized mid-cycle group PAT: FY27E auto EBIT less normalized finance cost (ND x 17% as CBE eases) at 22.5% statutory tax + FY27E GB Capital NP (incl associates pickup)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5,155.0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normalization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lens weights (SOTP primary; book replaces the prior 'pre-discount' lens per the model-study template)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sotp 0.4, book 0.15, relative 0.2, normalized 0.25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Country layer — 11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792"/>
        <w:gridCol w:w="2808"/>
        <w:gridCol w:w="1728"/>
        <w:gridCol w:w="3816"/>
        <w:gridCol w:w="1080"/>
      </w:tblGrid>
      <w:tr>
        <w:tc>
          <w:tcPr>
            <w:tcW w:type="dxa" w:w="79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#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72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38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 &amp; construction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statutory corporate income tax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0.225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11-C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10Y local-currency govt yield (52wk 19.79-23.05)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0.2292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investing.com,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adjusted default spread (Caa1, rating basis)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0.0637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ctryprem.html (original file), updated 05-Jan-2026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sovereign CDS spread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0.0341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ctryprem.html (original file), updated 05-Jan-2026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total ERP, rating basis (CRP 9.71%)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0.1394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ctryprem.html (original file), updated 05-Jan-2026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total ERP, sovereign-CDS basis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0.0941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ctryprem.html (original file), updated 05-Jan-2026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USD/EGP spot (52wk 46.64-54.86; prior study used 47.5)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50.7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investing.com,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urban CPI y/y, Jul-26 (CAPMAS)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0.149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CAPMAS via Daily News Egypt/Bloomberg, 10-Aug-2026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2026-08-10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CBE overnight deposit rate (held, 3rd consecutive MPC, Jul-26)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SIS/Daily News Egypt on CBE MPC, 11-Jul-2026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2026-07-11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EGP depreciation path (H2-26 then annual; anchored on realized 47.5-&gt;50.71 and the Egypt-US CPI differential ~11-12pp glide)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0.045, 0.08, 0.07, 0.06, 0.05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constructed from CAPMAS CPI + investing.com FX; convergence assumption flagged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CPI path (H2-26 then annual; 14.9% Jul-26 gliding to 8%)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0.06, 0.12, 0.1, 0.09, 0.08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CAPMAS Jul-26 print + CBE inflation-target direction; convergence assumption flagged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Industry layer — 7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792"/>
        <w:gridCol w:w="2808"/>
        <w:gridCol w:w="1728"/>
        <w:gridCol w:w="3816"/>
        <w:gridCol w:w="1080"/>
      </w:tblGrid>
      <w:tr>
        <w:tc>
          <w:tcPr>
            <w:tcW w:type="dxa" w:w="79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#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72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38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 &amp; construction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AMIC Egypt PC market H1-26 (+18% y/y from 52.8k)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62300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AMIC via Zawya/Arab Finance, Jul-26 prints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2026-07-20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Dogus Otomotiv trailing P/E (P/B 0.62, TAS-29 restated book)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investing.com,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Contact Financial (EGX NBFS) trailing P/E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9.41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stockanalysis.com,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AutoNation trailing P/E (fwd 8.35)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9.11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stockanalysis.com,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Bajaj Auto trailing P/E (P/B 7.49)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27.6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investing.com,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P/E band for the relative lens (CNFN 9.41, AN 9.11, DOAS 12.55, EGX-industrial context)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bear 8.0, base 9.5, bull 11.0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peer set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normalized-earnings multiple band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bear 7.5, base 8.5, bull 9.5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band, peer-informed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Judgements — and what would overturn each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3312"/>
        <w:gridCol w:w="3672"/>
        <w:gridCol w:w="3240"/>
      </w:tblGrid>
      <w:tr>
        <w:tc>
          <w:tcPr>
            <w:tcW w:type="dxa" w:w="331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Judgement</w:t>
            </w:r>
          </w:p>
        </w:tc>
        <w:tc>
          <w:tcPr>
            <w:tcW w:type="dxa" w:w="367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Basis</w:t>
            </w:r>
          </w:p>
        </w:tc>
        <w:tc>
          <w:tcPr>
            <w:tcW w:type="dxa" w:w="324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would overturn 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The June round (USD 1.4bn) anchors the base framing of the MNT-Halan stake; the company's book anchors the bear framing; the two are never averaged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an arm's-length, bank-led first close outweighs an equity-method carrying value the reviewer could not verify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second closing pricing below USD 1.4bn; audited accounts marking the stake down; any secondary sale below the round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Gross margin carries exactly one more year of the measured compression, then the cost-to-price relationship holds flat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one year of compression is measured (15.5% to 14.3% first halves); a compounding extension is a story, and the localisation offset is real but unquantified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FY27 automotive gross margin printing below 12.6% or above 14.0%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The effective tax rate glides from 38% to the statutory 22.5% by FY30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excess over statute is unshielded regional losses; management guides the Jordanian drag ending from Q4-2026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regional losses still distorting the FY27 tax line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Working capital runs at 23.0% of revenue gliding to 21.0%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last-twelve-month measured ratio, anchored on five disclosed quarterly snapshots; FY25's 28.5% year-end was the pre-buying outlier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FY26 year-end ratio printing above 26%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The marginal cost of debt is the disclosed 20.82% average on the EGP book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essentially the whole book floats (43.5bn variable), so the current average IS the marginal rate; short tenor against a 19% corridor explains sitting under the 10-year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 new fixed-rate issue materially above; the corridor re-tightening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The debt book is carried 90% local / 10% dollar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split is not disclosed; total dollar liabilities including trade payables bound the dollar share at 17%, and dollar deposits offset most of it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disclosure of a larger dollar tranche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Currency and inflation glide paths (8%-&gt;5% depreciation, 12%-&gt;8% inflation)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realized 6.8% depreciation since July and the 14.9% July print, converging on the policy trajectory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 step-devaluation; inflation re-accelerating past 20%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GB Capital's operating leg is worth its book (6,267mn) at the centre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adjusted returns of 13.5% sit below the cost of equity, against 30%+ book growth and 100% provision coverage; the local peer trades at 9.4x earnings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sustained returns above 20% (re-rate above book) or a credit event (below)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Capital-structure weights pair the group's market equity with the automotive segment's own debt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lending platform's funding belongs to its loan book, which is valued as a separate leg — mixing it into the automotive discount rate double-counts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segment-level market values becoming observable (a stake sale or listing)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Second-half volumes follow last year's measured seasonal split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2025 halves are the only clean seasonal yardstick; three launches support the second half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third-quarter print falling far off the implied path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Negative results — searched, not found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3744"/>
        <w:gridCol w:w="2808"/>
        <w:gridCol w:w="3672"/>
      </w:tblGrid>
      <w:tr>
        <w:tc>
          <w:tcPr>
            <w:tcW w:type="dxa" w:w="374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was sought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Where</w:t>
            </w:r>
          </w:p>
        </w:tc>
        <w:tc>
          <w:tcPr>
            <w:tcW w:type="dxa" w:w="367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Outcome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Per-tranche currency split of borrowings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statement notes on borrowings and risk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disclosed; bounded from the currency-exposure table and flagged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Functional cost detail below the by-nature note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statement notes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disclosed; ratios anchored on the half's actuals and held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MNT-Halan financial statements for the period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disclosure set; public record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available — the reviewing auditor states it was not provided them either; the carrying value is therefore unverifiable from outside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Trade or sanction actions touching Egyptian auto imports or the Bajaj/Hyundai/Changan supply chains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press sweep, 19-Aug-2026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nothing found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 dated, primary print of the FY-level tires-versus-parts split for 2025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release set used for the July study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separately disclosed; the trading line is modelled as one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BYD or further Chinese-brand Egypt entry on hard evidence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press sweep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market-entry chatter only; carried as a priced risk factor, not a driver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Aggregator discrepancies</w:t>
      </w:r>
    </w:p>
    <w:p>
      <w:pPr>
        <w:pStyle w:val="ListBullet"/>
        <w:spacing w:after="60"/>
      </w:pPr>
      <w:r>
        <w:rPr>
          <w:color w:val="1C3A36"/>
          <w:sz w:val="21"/>
        </w:rPr>
        <w:t>Contact Financial's market capitalisation is quoted anywhere between EGP 4.5bn (07-Jul date) and EGP 6.6bn across services on different dates. Peer multiples are context only in this study; no subject figure relies on an aggregator.</w:t>
      </w:r>
    </w:p>
    <w:p>
      <w:pPr>
        <w:pStyle w:val="ListBullet"/>
        <w:spacing w:after="60"/>
      </w:pPr>
      <w:r>
        <w:rPr>
          <w:color w:val="1C3A36"/>
          <w:sz w:val="21"/>
        </w:rPr>
        <w:t>One bond-data service's Egypt 10-year page rendered placeholder dashes with no values; the quote was taken from a second service and dated. The two sources were not in conflict — one was simply empty.</w:t>
      </w:r>
    </w:p>
    <w:p>
      <w:pPr>
        <w:pStyle w:val="ListBullet"/>
        <w:spacing w:after="60"/>
      </w:pPr>
      <w:r>
        <w:rPr>
          <w:color w:val="1C3A36"/>
          <w:sz w:val="21"/>
        </w:rPr>
        <w:t>Dogus Otomotiv's price-to-book of 0.62 sits on an inflation-restated Turkish book value; it is not comparable to an Egyptian book and is quoted with that caveat.</w:t>
      </w:r>
    </w:p>
    <w:p>
      <w:pPr>
        <w:spacing w:after="120" w:before="240"/>
      </w:pPr>
      <w:r>
        <w:rPr>
          <w:b w:val="0"/>
          <w:i w:val="0"/>
          <w:color w:val="6E7B77"/>
          <w:sz w:val="18"/>
        </w:rPr>
        <w:t>End of bibliography.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1C3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