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i w:val="0"/>
          <w:color w:val="896F36"/>
          <w:sz w:val="18"/>
        </w:rPr>
        <w:t>TESTAHIL — STANDING RESEARCH SERIES</w:t>
      </w:r>
    </w:p>
    <w:p>
      <w:pPr>
        <w:spacing w:after="0" w:before="0"/>
      </w:pPr>
      <w:r>
        <w:rPr>
          <w:b/>
          <w:i w:val="0"/>
          <w:color w:val="1C3A36"/>
          <w:sz w:val="44"/>
        </w:rPr>
        <w:t>GB Corp (Ghabbour) — Valuation Study</w:t>
      </w:r>
    </w:p>
    <w:p>
      <w:pPr>
        <w:spacing w:after="200" w:before="0"/>
      </w:pPr>
      <w:r>
        <w:rPr>
          <w:b w:val="0"/>
          <w:i w:val="0"/>
          <w:color w:val="6E7B77"/>
          <w:sz w:val="20"/>
        </w:rPr>
        <w:t>GBCO.CA on the Egyptian Exchange  ·  fundamental refresh of 19 August 2026  ·  re-issues the study of 8 July 2026 (amended 9 July) on the first-half 2026 accounts</w:t>
      </w:r>
    </w:p>
    <w:p>
      <w:pPr>
        <w:spacing w:after="80" w:before="200"/>
      </w:pPr>
      <w:r>
        <w:rPr>
          <w:b/>
          <w:i w:val="0"/>
          <w:color w:val="1C3A36"/>
          <w:sz w:val="24"/>
        </w:rPr>
        <w:t>READ FIRST</w:t>
      </w:r>
    </w:p>
    <w:p>
      <w:pPr>
        <w:pStyle w:val="ListBullet"/>
        <w:spacing w:after="60"/>
      </w:pPr>
      <w:r>
        <w:rPr>
          <w:color w:val="1C3A36"/>
          <w:sz w:val="21"/>
        </w:rPr>
        <w:t>This is a re-build of the July 2026 study on new primary evidence: the reviewed consolidated interim financial statements of 30 June 2026 and the 2Q/1H26 results release, both published by the company on 13 August 2026.</w:t>
      </w:r>
    </w:p>
    <w:p>
      <w:pPr>
        <w:pStyle w:val="ListBullet"/>
        <w:spacing w:after="60"/>
      </w:pPr>
      <w:r>
        <w:rPr>
          <w:color w:val="1C3A36"/>
          <w:sz w:val="21"/>
        </w:rPr>
        <w:t>The single question that moves this valuation most is what a 42.93% stake in MNT-Halan is worth. The June-2026 funding round says USD 1.4bn for the whole company (EGP 33.69 per GB Corp share on our sum of the parts); the company's own balance sheet carries the stake at EGP 15.7bn (EGP 21.46 per share) — and the reviewer states it could not verify that figure. We compute the whole study BOTH ways, side by side, and never average the two.</w:t>
      </w:r>
    </w:p>
    <w:p>
      <w:pPr>
        <w:pStyle w:val="ListBullet"/>
        <w:spacing w:after="60"/>
      </w:pPr>
      <w:r>
        <w:rPr>
          <w:color w:val="1C3A36"/>
          <w:sz w:val="21"/>
        </w:rPr>
        <w:t>Fair-value range: EGP 19.9 / EGP 33.6 / EGP 44.6 (bear / central / bull) against a last exchange close of EGP 31.31 on 22 July 2026 — the latest close in our price library. The company's own investor page quoted EGP 29.70 on 19 August 2026.</w:t>
      </w:r>
    </w:p>
    <w:p>
      <w:pPr>
        <w:pStyle w:val="ListBullet"/>
        <w:spacing w:after="60"/>
      </w:pPr>
      <w:r>
        <w:rPr>
          <w:color w:val="1C3A36"/>
          <w:sz w:val="21"/>
        </w:rPr>
        <w:t>The probability map and the technical read in this document are reproduced from our published page unchanged, with their own dates shown. They were built on price data of 22 July 2026 and were NOT re-struck for this refresh; only the fundamental range moved. A fresh price feed updates them on their own schedule.</w:t>
      </w:r>
    </w:p>
    <w:p>
      <w:pPr>
        <w:pStyle w:val="ListBullet"/>
        <w:spacing w:after="60"/>
      </w:pPr>
      <w:r>
        <w:rPr>
          <w:color w:val="1C3A36"/>
          <w:sz w:val="21"/>
        </w:rPr>
        <w:t>No rating and no price target. Fair-value ranges and probabilities only.</w:t>
      </w:r>
    </w:p>
    <w:p>
      <w:pPr>
        <w:spacing w:after="120" w:before="280"/>
      </w:pPr>
      <w:r>
        <w:rPr>
          <w:b/>
          <w:i w:val="0"/>
          <w:color w:val="1C3A36"/>
          <w:sz w:val="30"/>
        </w:rPr>
        <w:t>The headline</w:t>
      </w:r>
    </w:p>
    <w:p>
      <w:pPr>
        <w:spacing w:after="80" w:before="0"/>
      </w:pPr>
      <w:r>
        <w:rPr>
          <w:b/>
          <w:i w:val="0"/>
          <w:color w:val="1C3A36"/>
          <w:sz w:val="26"/>
        </w:rPr>
        <w:t xml:space="preserve">EGP 33.6 central fair value </w:t>
      </w:r>
      <w:r>
        <w:rPr>
          <w:b w:val="0"/>
          <w:i w:val="0"/>
          <w:color w:val="1C3A36"/>
          <w:sz w:val="26"/>
        </w:rPr>
        <w:t>— or EGP 28.66 if you take the company's own book at its word</w:t>
      </w:r>
    </w:p>
    <w:p>
      <w:pPr>
        <w:spacing w:after="120" w:before="0"/>
      </w:pPr>
      <w:r>
        <w:rPr>
          <w:b w:val="0"/>
          <w:i w:val="0"/>
          <w:color w:val="1C3A36"/>
          <w:sz w:val="21"/>
        </w:rPr>
        <w:t>The first half of 2026 settled the operating question and sharpened the valuation one. Operationally, GB Corp beat the July study's pace almost everywhere that matters: automotive revenue ran about 10% ahead of the forecast's seasonal path, commercial vehicles nearly doubled, and the working-capital discipline the model hoped for actually printed (net debt fell to EGP 14.5bn, 2.14x EBITDA). What fell short sits below the operating line: net finance cost rose 42% and the effective tax rate reached 41.0% because regional losses in Iraq and Jordan earn no tax relief — group profit fell 24.5% on a 35% revenue gain.</w:t>
      </w:r>
    </w:p>
    <w:p>
      <w:pPr>
        <w:spacing w:after="120" w:before="0"/>
      </w:pPr>
      <w:r>
        <w:rPr>
          <w:b w:val="0"/>
          <w:i w:val="0"/>
          <w:color w:val="1C3A36"/>
          <w:sz w:val="21"/>
        </w:rPr>
        <w:t>The valuation question is now officially two-sided. In June, Egypt's largest bank led a funding round valuing MNT-Halan at USD 1.4bn; GB Corp's stake, translated at today's 50.71 pound, is worth EGP 30.5bn on that mark. The company's balance sheet carries the same stake at EGP 15.7bn — and the auditor's review report says it was not given MNT-Halan's accounts and could not verify the number, for the second period running. That disagreement is worth EGP 12.23 per share. We show every result in both framings rather than blending them.</w:t>
      </w:r>
    </w:p>
    <w:p>
      <w:pPr>
        <w:spacing w:after="120" w:before="280"/>
      </w:pPr>
      <w:r>
        <w:rPr>
          <w:b/>
          <w:i w:val="0"/>
          <w:color w:val="1C3A36"/>
          <w:sz w:val="30"/>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368"/>
        <w:gridCol w:w="1368"/>
        <w:gridCol w:w="1368"/>
        <w:gridCol w:w="2232"/>
      </w:tblGrid>
      <w:tr>
        <w:tc>
          <w:tcPr>
            <w:tcW w:type="dxa" w:w="3672"/>
            <w:shd w:val="clear" w:color="auto" w:fill="EAF0EE"/>
          </w:tcPr>
          <w:p>
            <w:pPr>
              <w:spacing w:after="20"/>
            </w:pPr>
            <w:r>
              <w:rPr>
                <w:b/>
                <w:color w:val="1C3A36"/>
                <w:sz w:val="18"/>
              </w:rPr>
              <w:t>Lens</w:t>
            </w:r>
          </w:p>
        </w:tc>
        <w:tc>
          <w:tcPr>
            <w:tcW w:type="dxa" w:w="1368"/>
            <w:shd w:val="clear" w:color="auto" w:fill="EAF0EE"/>
          </w:tcPr>
          <w:p>
            <w:pPr>
              <w:spacing w:after="20"/>
            </w:pPr>
            <w:r>
              <w:rPr>
                <w:b/>
                <w:color w:val="1C3A36"/>
                <w:sz w:val="18"/>
              </w:rPr>
              <w:t>Bear</w:t>
            </w:r>
          </w:p>
        </w:tc>
        <w:tc>
          <w:tcPr>
            <w:tcW w:type="dxa" w:w="1368"/>
            <w:shd w:val="clear" w:color="auto" w:fill="EAF0EE"/>
          </w:tcPr>
          <w:p>
            <w:pPr>
              <w:spacing w:after="20"/>
            </w:pPr>
            <w:r>
              <w:rPr>
                <w:b/>
                <w:color w:val="1C3A36"/>
                <w:sz w:val="18"/>
              </w:rPr>
              <w:t>Base</w:t>
            </w:r>
          </w:p>
        </w:tc>
        <w:tc>
          <w:tcPr>
            <w:tcW w:type="dxa" w:w="1368"/>
            <w:shd w:val="clear" w:color="auto" w:fill="EAF0EE"/>
          </w:tcPr>
          <w:p>
            <w:pPr>
              <w:spacing w:after="20"/>
            </w:pPr>
            <w:r>
              <w:rPr>
                <w:b/>
                <w:color w:val="1C3A36"/>
                <w:sz w:val="18"/>
              </w:rPr>
              <w:t>Bull</w:t>
            </w:r>
          </w:p>
        </w:tc>
        <w:tc>
          <w:tcPr>
            <w:tcW w:type="dxa" w:w="2232"/>
            <w:shd w:val="clear" w:color="auto" w:fill="EAF0EE"/>
          </w:tcPr>
          <w:p>
            <w:pPr>
              <w:spacing w:after="20"/>
            </w:pPr>
            <w:r>
              <w:rPr>
                <w:b/>
                <w:color w:val="1C3A36"/>
                <w:sz w:val="18"/>
              </w:rPr>
              <w:t>Weight</w:t>
            </w:r>
          </w:p>
        </w:tc>
      </w:tr>
      <w:tr>
        <w:tc>
          <w:tcPr>
            <w:tcW w:type="dxa" w:w="3672"/>
          </w:tcPr>
          <w:p>
            <w:pPr>
              <w:spacing w:after="20"/>
            </w:pPr>
            <w:r>
              <w:rPr>
                <w:color w:val="1C3A36"/>
                <w:sz w:val="18"/>
              </w:rPr>
              <w:t>Sum of the parts — stake at the round mark</w:t>
            </w:r>
          </w:p>
        </w:tc>
        <w:tc>
          <w:tcPr>
            <w:tcW w:type="dxa" w:w="1368"/>
          </w:tcPr>
          <w:p>
            <w:pPr>
              <w:spacing w:after="20"/>
              <w:jc w:val="right"/>
            </w:pPr>
            <w:r>
              <w:rPr>
                <w:color w:val="1C3A36"/>
                <w:sz w:val="18"/>
              </w:rPr>
              <w:t>18.67</w:t>
            </w:r>
          </w:p>
        </w:tc>
        <w:tc>
          <w:tcPr>
            <w:tcW w:type="dxa" w:w="1368"/>
          </w:tcPr>
          <w:p>
            <w:pPr>
              <w:spacing w:after="20"/>
              <w:jc w:val="right"/>
            </w:pPr>
            <w:r>
              <w:rPr>
                <w:color w:val="1C3A36"/>
                <w:sz w:val="18"/>
              </w:rPr>
              <w:t>33.69</w:t>
            </w:r>
          </w:p>
        </w:tc>
        <w:tc>
          <w:tcPr>
            <w:tcW w:type="dxa" w:w="1368"/>
          </w:tcPr>
          <w:p>
            <w:pPr>
              <w:spacing w:after="20"/>
              <w:jc w:val="right"/>
            </w:pPr>
            <w:r>
              <w:rPr>
                <w:color w:val="1C3A36"/>
                <w:sz w:val="18"/>
              </w:rPr>
              <w:t>47.74</w:t>
            </w:r>
          </w:p>
        </w:tc>
        <w:tc>
          <w:tcPr>
            <w:tcW w:type="dxa" w:w="2232"/>
          </w:tcPr>
          <w:p>
            <w:pPr>
              <w:spacing w:after="20"/>
              <w:jc w:val="right"/>
            </w:pPr>
            <w:r>
              <w:rPr>
                <w:color w:val="1C3A36"/>
                <w:sz w:val="18"/>
              </w:rPr>
              <w:t>40%</w:t>
            </w:r>
          </w:p>
        </w:tc>
      </w:tr>
      <w:tr>
        <w:tc>
          <w:tcPr>
            <w:tcW w:type="dxa" w:w="3672"/>
          </w:tcPr>
          <w:p>
            <w:pPr>
              <w:spacing w:after="20"/>
            </w:pPr>
            <w:r>
              <w:rPr>
                <w:color w:val="1C3A36"/>
                <w:sz w:val="18"/>
              </w:rPr>
              <w:t>Sum of the parts — stake at the balance-sheet mark</w:t>
            </w:r>
          </w:p>
        </w:tc>
        <w:tc>
          <w:tcPr>
            <w:tcW w:type="dxa" w:w="1368"/>
          </w:tcPr>
          <w:p>
            <w:pPr>
              <w:spacing w:after="20"/>
              <w:jc w:val="right"/>
            </w:pPr>
            <w:r>
              <w:rPr>
                <w:color w:val="1C3A36"/>
                <w:sz w:val="18"/>
              </w:rPr>
              <w:t>10.23</w:t>
            </w:r>
          </w:p>
        </w:tc>
        <w:tc>
          <w:tcPr>
            <w:tcW w:type="dxa" w:w="1368"/>
          </w:tcPr>
          <w:p>
            <w:pPr>
              <w:spacing w:after="20"/>
              <w:jc w:val="right"/>
            </w:pPr>
            <w:r>
              <w:rPr>
                <w:color w:val="1C3A36"/>
                <w:sz w:val="18"/>
              </w:rPr>
              <w:t>21.46</w:t>
            </w:r>
          </w:p>
        </w:tc>
        <w:tc>
          <w:tcPr>
            <w:tcW w:type="dxa" w:w="1368"/>
          </w:tcPr>
          <w:p>
            <w:pPr>
              <w:spacing w:after="20"/>
              <w:jc w:val="right"/>
            </w:pPr>
            <w:r>
              <w:rPr>
                <w:color w:val="1C3A36"/>
                <w:sz w:val="18"/>
              </w:rPr>
              <w:t>33.47</w:t>
            </w:r>
          </w:p>
        </w:tc>
        <w:tc>
          <w:tcPr>
            <w:tcW w:type="dxa" w:w="2232"/>
          </w:tcPr>
          <w:p>
            <w:pPr>
              <w:spacing w:after="20"/>
              <w:jc w:val="right"/>
            </w:pPr>
            <w:r>
              <w:rPr>
                <w:color w:val="1C3A36"/>
                <w:sz w:val="18"/>
              </w:rPr>
              <w:t>(same weight, alternate framing)</w:t>
            </w:r>
          </w:p>
        </w:tc>
      </w:tr>
      <w:tr>
        <w:tc>
          <w:tcPr>
            <w:tcW w:type="dxa" w:w="3672"/>
          </w:tcPr>
          <w:p>
            <w:pPr>
              <w:spacing w:after="20"/>
            </w:pPr>
            <w:r>
              <w:rPr>
                <w:color w:val="1C3A36"/>
                <w:sz w:val="18"/>
              </w:rPr>
              <w:t>Book value &amp; sustainable return</w:t>
            </w:r>
          </w:p>
        </w:tc>
        <w:tc>
          <w:tcPr>
            <w:tcW w:type="dxa" w:w="1368"/>
          </w:tcPr>
          <w:p>
            <w:pPr>
              <w:spacing w:after="20"/>
              <w:jc w:val="right"/>
            </w:pPr>
            <w:r>
              <w:rPr>
                <w:color w:val="1C3A36"/>
                <w:sz w:val="18"/>
              </w:rPr>
              <w:t>24.66</w:t>
            </w:r>
          </w:p>
        </w:tc>
        <w:tc>
          <w:tcPr>
            <w:tcW w:type="dxa" w:w="1368"/>
          </w:tcPr>
          <w:p>
            <w:pPr>
              <w:spacing w:after="20"/>
              <w:jc w:val="right"/>
            </w:pPr>
            <w:r>
              <w:rPr>
                <w:color w:val="1C3A36"/>
                <w:sz w:val="18"/>
              </w:rPr>
              <w:t>30.82</w:t>
            </w:r>
          </w:p>
        </w:tc>
        <w:tc>
          <w:tcPr>
            <w:tcW w:type="dxa" w:w="1368"/>
          </w:tcPr>
          <w:p>
            <w:pPr>
              <w:spacing w:after="20"/>
              <w:jc w:val="right"/>
            </w:pPr>
            <w:r>
              <w:rPr>
                <w:color w:val="1C3A36"/>
                <w:sz w:val="18"/>
              </w:rPr>
              <w:t>44.41</w:t>
            </w:r>
          </w:p>
        </w:tc>
        <w:tc>
          <w:tcPr>
            <w:tcW w:type="dxa" w:w="2232"/>
          </w:tcPr>
          <w:p>
            <w:pPr>
              <w:spacing w:after="20"/>
              <w:jc w:val="right"/>
            </w:pPr>
            <w:r>
              <w:rPr>
                <w:color w:val="1C3A36"/>
                <w:sz w:val="18"/>
              </w:rPr>
              <w:t>15%</w:t>
            </w:r>
          </w:p>
        </w:tc>
      </w:tr>
      <w:tr>
        <w:tc>
          <w:tcPr>
            <w:tcW w:type="dxa" w:w="3672"/>
          </w:tcPr>
          <w:p>
            <w:pPr>
              <w:spacing w:after="20"/>
            </w:pPr>
            <w:r>
              <w:rPr>
                <w:color w:val="1C3A36"/>
                <w:sz w:val="18"/>
              </w:rPr>
              <w:t>Relative multiples</w:t>
            </w:r>
          </w:p>
        </w:tc>
        <w:tc>
          <w:tcPr>
            <w:tcW w:type="dxa" w:w="1368"/>
          </w:tcPr>
          <w:p>
            <w:pPr>
              <w:spacing w:after="20"/>
              <w:jc w:val="right"/>
            </w:pPr>
            <w:r>
              <w:rPr>
                <w:color w:val="1C3A36"/>
                <w:sz w:val="18"/>
              </w:rPr>
              <w:t>22.59</w:t>
            </w:r>
          </w:p>
        </w:tc>
        <w:tc>
          <w:tcPr>
            <w:tcW w:type="dxa" w:w="1368"/>
          </w:tcPr>
          <w:p>
            <w:pPr>
              <w:spacing w:after="20"/>
              <w:jc w:val="right"/>
            </w:pPr>
            <w:r>
              <w:rPr>
                <w:color w:val="1C3A36"/>
                <w:sz w:val="18"/>
              </w:rPr>
              <w:t>26.82</w:t>
            </w:r>
          </w:p>
        </w:tc>
        <w:tc>
          <w:tcPr>
            <w:tcW w:type="dxa" w:w="1368"/>
          </w:tcPr>
          <w:p>
            <w:pPr>
              <w:spacing w:after="20"/>
              <w:jc w:val="right"/>
            </w:pPr>
            <w:r>
              <w:rPr>
                <w:color w:val="1C3A36"/>
                <w:sz w:val="18"/>
              </w:rPr>
              <w:t>31.06</w:t>
            </w:r>
          </w:p>
        </w:tc>
        <w:tc>
          <w:tcPr>
            <w:tcW w:type="dxa" w:w="2232"/>
          </w:tcPr>
          <w:p>
            <w:pPr>
              <w:spacing w:after="20"/>
              <w:jc w:val="right"/>
            </w:pPr>
            <w:r>
              <w:rPr>
                <w:color w:val="1C3A36"/>
                <w:sz w:val="18"/>
              </w:rPr>
              <w:t>20%</w:t>
            </w:r>
          </w:p>
        </w:tc>
      </w:tr>
      <w:tr>
        <w:tc>
          <w:tcPr>
            <w:tcW w:type="dxa" w:w="3672"/>
          </w:tcPr>
          <w:p>
            <w:pPr>
              <w:spacing w:after="20"/>
            </w:pPr>
            <w:r>
              <w:rPr>
                <w:color w:val="1C3A36"/>
                <w:sz w:val="18"/>
              </w:rPr>
              <w:t>Normalised earnings power</w:t>
            </w:r>
          </w:p>
        </w:tc>
        <w:tc>
          <w:tcPr>
            <w:tcW w:type="dxa" w:w="1368"/>
          </w:tcPr>
          <w:p>
            <w:pPr>
              <w:spacing w:after="20"/>
              <w:jc w:val="right"/>
            </w:pPr>
            <w:r>
              <w:rPr>
                <w:color w:val="1C3A36"/>
                <w:sz w:val="18"/>
              </w:rPr>
              <w:t>30.27</w:t>
            </w:r>
          </w:p>
        </w:tc>
        <w:tc>
          <w:tcPr>
            <w:tcW w:type="dxa" w:w="1368"/>
          </w:tcPr>
          <w:p>
            <w:pPr>
              <w:spacing w:after="20"/>
              <w:jc w:val="right"/>
            </w:pPr>
            <w:r>
              <w:rPr>
                <w:color w:val="1C3A36"/>
                <w:sz w:val="18"/>
              </w:rPr>
              <w:t>40.37</w:t>
            </w:r>
          </w:p>
        </w:tc>
        <w:tc>
          <w:tcPr>
            <w:tcW w:type="dxa" w:w="1368"/>
          </w:tcPr>
          <w:p>
            <w:pPr>
              <w:spacing w:after="20"/>
              <w:jc w:val="right"/>
            </w:pPr>
            <w:r>
              <w:rPr>
                <w:color w:val="1C3A36"/>
                <w:sz w:val="18"/>
              </w:rPr>
              <w:t>50.53</w:t>
            </w:r>
          </w:p>
        </w:tc>
        <w:tc>
          <w:tcPr>
            <w:tcW w:type="dxa" w:w="2232"/>
          </w:tcPr>
          <w:p>
            <w:pPr>
              <w:spacing w:after="20"/>
              <w:jc w:val="right"/>
            </w:pPr>
            <w:r>
              <w:rPr>
                <w:color w:val="1C3A36"/>
                <w:sz w:val="18"/>
              </w:rPr>
              <w:t>25%</w:t>
            </w:r>
          </w:p>
        </w:tc>
      </w:tr>
      <w:tr>
        <w:tc>
          <w:tcPr>
            <w:tcW w:type="dxa" w:w="3672"/>
          </w:tcPr>
          <w:p>
            <w:pPr>
              <w:spacing w:after="20"/>
            </w:pPr>
            <w:r>
              <w:rPr>
                <w:color w:val="1C3A36"/>
                <w:sz w:val="18"/>
              </w:rPr>
              <w:t>Weighted central — round mark</w:t>
            </w:r>
          </w:p>
        </w:tc>
        <w:tc>
          <w:tcPr>
            <w:tcW w:type="dxa" w:w="1368"/>
          </w:tcPr>
          <w:p>
            <w:pPr>
              <w:spacing w:after="20"/>
              <w:jc w:val="right"/>
            </w:pPr>
            <w:r>
              <w:rPr>
                <w:color w:val="1C3A36"/>
                <w:sz w:val="18"/>
              </w:rPr>
              <w:t>19.88</w:t>
            </w:r>
          </w:p>
        </w:tc>
        <w:tc>
          <w:tcPr>
            <w:tcW w:type="dxa" w:w="1368"/>
          </w:tcPr>
          <w:p>
            <w:pPr>
              <w:spacing w:after="20"/>
              <w:jc w:val="right"/>
            </w:pPr>
            <w:r>
              <w:rPr>
                <w:color w:val="1C3A36"/>
                <w:sz w:val="18"/>
              </w:rPr>
              <w:t>33.56</w:t>
            </w:r>
          </w:p>
        </w:tc>
        <w:tc>
          <w:tcPr>
            <w:tcW w:type="dxa" w:w="1368"/>
          </w:tcPr>
          <w:p>
            <w:pPr>
              <w:spacing w:after="20"/>
              <w:jc w:val="right"/>
            </w:pPr>
            <w:r>
              <w:rPr>
                <w:color w:val="1C3A36"/>
                <w:sz w:val="18"/>
              </w:rPr>
              <w:t>44.60</w:t>
            </w:r>
          </w:p>
        </w:tc>
        <w:tc>
          <w:tcPr>
            <w:tcW w:type="dxa" w:w="2232"/>
          </w:tcPr>
          <w:p>
            <w:pPr>
              <w:spacing w:after="20"/>
              <w:jc w:val="right"/>
            </w:pPr>
            <w:r>
              <w:rPr>
                <w:color w:val="1C3A36"/>
                <w:sz w:val="18"/>
              </w:rPr>
              <w:t>100%</w:t>
            </w:r>
          </w:p>
        </w:tc>
      </w:tr>
      <w:tr>
        <w:tc>
          <w:tcPr>
            <w:tcW w:type="dxa" w:w="3672"/>
            <w:shd w:val="clear" w:color="auto" w:fill="F6F1E6"/>
          </w:tcPr>
          <w:p>
            <w:pPr>
              <w:spacing w:after="20"/>
            </w:pPr>
            <w:r>
              <w:rPr>
                <w:b/>
                <w:color w:val="1C3A36"/>
                <w:sz w:val="18"/>
              </w:rPr>
              <w:t>Weighted central — balance-sheet mark</w:t>
            </w:r>
          </w:p>
        </w:tc>
        <w:tc>
          <w:tcPr>
            <w:tcW w:type="dxa" w:w="1368"/>
            <w:shd w:val="clear" w:color="auto" w:fill="F6F1E6"/>
          </w:tcPr>
          <w:p>
            <w:pPr>
              <w:spacing w:after="20"/>
              <w:jc w:val="right"/>
            </w:pPr>
            <w:r>
              <w:rPr>
                <w:b/>
                <w:color w:val="1C3A36"/>
                <w:sz w:val="18"/>
              </w:rPr>
              <w:t>—</w:t>
            </w:r>
          </w:p>
        </w:tc>
        <w:tc>
          <w:tcPr>
            <w:tcW w:type="dxa" w:w="1368"/>
            <w:shd w:val="clear" w:color="auto" w:fill="F6F1E6"/>
          </w:tcPr>
          <w:p>
            <w:pPr>
              <w:spacing w:after="20"/>
              <w:jc w:val="right"/>
            </w:pPr>
            <w:r>
              <w:rPr>
                <w:b/>
                <w:color w:val="1C3A36"/>
                <w:sz w:val="18"/>
              </w:rPr>
              <w:t>28.66</w:t>
            </w:r>
          </w:p>
        </w:tc>
        <w:tc>
          <w:tcPr>
            <w:tcW w:type="dxa" w:w="1368"/>
            <w:shd w:val="clear" w:color="auto" w:fill="F6F1E6"/>
          </w:tcPr>
          <w:p>
            <w:pPr>
              <w:spacing w:after="20"/>
              <w:jc w:val="right"/>
            </w:pPr>
            <w:r>
              <w:rPr>
                <w:b/>
                <w:color w:val="1C3A36"/>
                <w:sz w:val="18"/>
              </w:rPr>
              <w:t>—</w:t>
            </w:r>
          </w:p>
        </w:tc>
        <w:tc>
          <w:tcPr>
            <w:tcW w:type="dxa" w:w="2232"/>
            <w:shd w:val="clear" w:color="auto" w:fill="F6F1E6"/>
          </w:tcPr>
          <w:p>
            <w:pPr>
              <w:spacing w:after="20"/>
              <w:jc w:val="right"/>
            </w:pPr>
            <w:r>
              <w:rPr>
                <w:b/>
                <w:color w:val="1C3A36"/>
                <w:sz w:val="18"/>
              </w:rPr>
              <w:t>100%</w:t>
            </w:r>
          </w:p>
        </w:tc>
      </w:tr>
      <w:tr>
        <w:tc>
          <w:tcPr>
            <w:tcW w:type="dxa" w:w="3672"/>
            <w:shd w:val="clear" w:color="auto" w:fill="F6F1E6"/>
          </w:tcPr>
          <w:p>
            <w:pPr>
              <w:spacing w:after="20"/>
            </w:pPr>
            <w:r>
              <w:rPr>
                <w:b/>
                <w:color w:val="1C3A36"/>
                <w:sz w:val="18"/>
              </w:rPr>
              <w:t>Published range (this refresh)</w:t>
            </w:r>
          </w:p>
        </w:tc>
        <w:tc>
          <w:tcPr>
            <w:tcW w:type="dxa" w:w="1368"/>
            <w:shd w:val="clear" w:color="auto" w:fill="F6F1E6"/>
          </w:tcPr>
          <w:p>
            <w:pPr>
              <w:spacing w:after="20"/>
              <w:jc w:val="right"/>
            </w:pPr>
            <w:r>
              <w:rPr>
                <w:b/>
                <w:color w:val="1C3A36"/>
                <w:sz w:val="18"/>
              </w:rPr>
              <w:t>19.9</w:t>
            </w:r>
          </w:p>
        </w:tc>
        <w:tc>
          <w:tcPr>
            <w:tcW w:type="dxa" w:w="1368"/>
            <w:shd w:val="clear" w:color="auto" w:fill="F6F1E6"/>
          </w:tcPr>
          <w:p>
            <w:pPr>
              <w:spacing w:after="20"/>
              <w:jc w:val="right"/>
            </w:pPr>
            <w:r>
              <w:rPr>
                <w:b/>
                <w:color w:val="1C3A36"/>
                <w:sz w:val="18"/>
              </w:rPr>
              <w:t>33.6</w:t>
            </w:r>
          </w:p>
        </w:tc>
        <w:tc>
          <w:tcPr>
            <w:tcW w:type="dxa" w:w="1368"/>
            <w:shd w:val="clear" w:color="auto" w:fill="F6F1E6"/>
          </w:tcPr>
          <w:p>
            <w:pPr>
              <w:spacing w:after="20"/>
              <w:jc w:val="right"/>
            </w:pPr>
            <w:r>
              <w:rPr>
                <w:b/>
                <w:color w:val="1C3A36"/>
                <w:sz w:val="18"/>
              </w:rPr>
              <w:t>44.6</w:t>
            </w:r>
          </w:p>
        </w:tc>
        <w:tc>
          <w:tcPr>
            <w:tcW w:type="dxa" w:w="2232"/>
            <w:shd w:val="clear" w:color="auto" w:fill="F6F1E6"/>
          </w:tcPr>
          <w:p>
            <w:pPr>
              <w:spacing w:after="20"/>
              <w:jc w:val="right"/>
            </w:pPr>
            <w:r>
              <w:rPr>
                <w:b/>
                <w:color w:val="1C3A36"/>
                <w:sz w:val="18"/>
              </w:rPr>
            </w:r>
          </w:p>
        </w:tc>
      </w:tr>
      <w:tr>
        <w:tc>
          <w:tcPr>
            <w:tcW w:type="dxa" w:w="3672"/>
          </w:tcPr>
          <w:p>
            <w:pPr>
              <w:spacing w:after="20"/>
            </w:pPr>
            <w:r>
              <w:rPr>
                <w:color w:val="1C3A36"/>
                <w:sz w:val="18"/>
              </w:rPr>
              <w:t>July 2026 study, for comparison</w:t>
            </w:r>
          </w:p>
        </w:tc>
        <w:tc>
          <w:tcPr>
            <w:tcW w:type="dxa" w:w="1368"/>
          </w:tcPr>
          <w:p>
            <w:pPr>
              <w:spacing w:after="20"/>
              <w:jc w:val="right"/>
            </w:pPr>
            <w:r>
              <w:rPr>
                <w:color w:val="1C3A36"/>
                <w:sz w:val="18"/>
              </w:rPr>
              <w:t>23.3</w:t>
            </w:r>
          </w:p>
        </w:tc>
        <w:tc>
          <w:tcPr>
            <w:tcW w:type="dxa" w:w="1368"/>
          </w:tcPr>
          <w:p>
            <w:pPr>
              <w:spacing w:after="20"/>
              <w:jc w:val="right"/>
            </w:pPr>
            <w:r>
              <w:rPr>
                <w:color w:val="1C3A36"/>
                <w:sz w:val="18"/>
              </w:rPr>
              <w:t>35.7</w:t>
            </w:r>
          </w:p>
        </w:tc>
        <w:tc>
          <w:tcPr>
            <w:tcW w:type="dxa" w:w="1368"/>
          </w:tcPr>
          <w:p>
            <w:pPr>
              <w:spacing w:after="20"/>
              <w:jc w:val="right"/>
            </w:pPr>
            <w:r>
              <w:rPr>
                <w:color w:val="1C3A36"/>
                <w:sz w:val="18"/>
              </w:rPr>
              <w:t>51.0</w:t>
            </w:r>
          </w:p>
        </w:tc>
        <w:tc>
          <w:tcPr>
            <w:tcW w:type="dxa" w:w="2232"/>
          </w:tcPr>
          <w:p>
            <w:pPr>
              <w:spacing w:after="20"/>
              <w:jc w:val="right"/>
            </w:pPr>
            <w:r>
              <w:rPr>
                <w:color w:val="1C3A36"/>
                <w:sz w:val="18"/>
              </w:rPr>
            </w:r>
          </w:p>
        </w:tc>
      </w:tr>
    </w:tbl>
    <w:p>
      <w:pPr>
        <w:spacing w:after="40"/>
      </w:pPr>
    </w:p>
    <w:p>
      <w:pPr>
        <w:spacing w:after="200" w:before="0"/>
      </w:pPr>
      <w:r>
        <w:rPr>
          <w:b w:val="0"/>
          <w:i/>
          <w:color w:val="6E7B77"/>
          <w:sz w:val="17"/>
        </w:rPr>
        <w:t>EGP per share. The bear of the published range lives in the balance-sheet-mark world with operating setbacks; the bull lives in the round-mark world with the operating tailwinds. Last close EGP 31.31 (22 July 2026).</w:t>
      </w:r>
    </w:p>
    <w:p>
      <w:pPr>
        <w:spacing w:after="40"/>
        <w:jc w:val="center"/>
      </w:pPr>
      <w:r>
        <w:drawing>
          <wp:inline xmlns:a="http://schemas.openxmlformats.org/drawingml/2006/main" xmlns:pic="http://schemas.openxmlformats.org/drawingml/2006/picture">
            <wp:extent cx="6309360" cy="3087559"/>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3087559"/>
                    </a:xfrm>
                    <a:prstGeom prst="rect"/>
                  </pic:spPr>
                </pic:pic>
              </a:graphicData>
            </a:graphic>
          </wp:inline>
        </w:drawing>
      </w:r>
    </w:p>
    <w:p>
      <w:pPr>
        <w:spacing w:after="200" w:before="0"/>
      </w:pPr>
      <w:r>
        <w:rPr>
          <w:b w:val="0"/>
          <w:i/>
          <w:color w:val="6E7B77"/>
          <w:sz w:val="17"/>
        </w:rPr>
        <w:t>Every lens, with the contested stake computed both ways — the two darkest bars are the same synthesis under the two marks.</w:t>
      </w:r>
    </w:p>
    <w:p>
      <w:pPr>
        <w:spacing w:after="120" w:before="280"/>
      </w:pPr>
      <w:r>
        <w:rPr>
          <w:b/>
          <w:i w:val="0"/>
          <w:color w:val="1C3A36"/>
          <w:sz w:val="30"/>
        </w:rPr>
        <w:t>Company overview</w:t>
      </w:r>
    </w:p>
    <w:p>
      <w:pPr>
        <w:spacing w:after="120" w:before="0"/>
      </w:pPr>
      <w:r>
        <w:rPr>
          <w:b w:val="0"/>
          <w:i w:val="0"/>
          <w:color w:val="1C3A36"/>
          <w:sz w:val="21"/>
        </w:rPr>
        <w:t>GB Corp is Egypt's largest automotive assembler and distributor and, through GB Capital, one of its largest non-bank lenders. The automotive side spans passenger cars (Hyundai, Chery, Changan, Haval, Deepal, MG, Mazda, Genesis and others, assembled and imported), commercial vehicles and construction equipment (Volvo, Fuso, Marcopolo bus building, exports), two- and three-wheelers (Bajaj), tires and parts. The Sadat assembly plant became fully operational in the half, with a locally assembled Changan SUV already the best-seller in its class; a further Hyundai model arrives in September 2026 and a third Changan model late in the year. The financing side (GB Lease &amp; factoring, Drive consumer finance and its Forsa instalment arm, fleet and bus rental, SME lending, securitisation) carried a net loan book of EGP 24.0bn at June 2026, up 33.6% in a year, with non-performing loans at 2.8%.</w:t>
      </w:r>
    </w:p>
    <w:p>
      <w:pPr>
        <w:spacing w:after="120" w:before="0"/>
      </w:pPr>
      <w:r>
        <w:rPr>
          <w:b w:val="0"/>
          <w:i w:val="0"/>
          <w:color w:val="1C3A36"/>
          <w:sz w:val="21"/>
        </w:rPr>
        <w:t>Alongside the consolidated businesses sits a 42.93% associate stake in MNT-Halan, the Egyptian-origin fintech whose lending book now reaches roughly USD 1.95bn across Egypt, Turkey and Pakistan. The Ghabbour family controls 63.38% of GB Corp; Olayan of Saudi Arabia holds 3.61% and the Miri Strategic Emerging Markets Fund 7.37%. 1,085.5mn shares are outstanding; the free float is 36.6%.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2160"/>
        <w:gridCol w:w="2160"/>
        <w:gridCol w:w="2160"/>
      </w:tblGrid>
      <w:tr>
        <w:tc>
          <w:tcPr>
            <w:tcW w:type="dxa" w:w="3456"/>
            <w:shd w:val="clear" w:color="auto" w:fill="EAF0EE"/>
          </w:tcPr>
          <w:p>
            <w:pPr>
              <w:spacing w:after="20"/>
            </w:pPr>
            <w:r>
              <w:rPr>
                <w:b/>
                <w:color w:val="1C3A36"/>
                <w:sz w:val="18"/>
              </w:rPr>
              <w:t>H1-2026, EGP mn</w:t>
            </w:r>
          </w:p>
        </w:tc>
        <w:tc>
          <w:tcPr>
            <w:tcW w:type="dxa" w:w="2160"/>
            <w:shd w:val="clear" w:color="auto" w:fill="EAF0EE"/>
          </w:tcPr>
          <w:p>
            <w:pPr>
              <w:spacing w:after="20"/>
            </w:pPr>
            <w:r>
              <w:rPr>
                <w:b/>
                <w:color w:val="1C3A36"/>
                <w:sz w:val="18"/>
              </w:rPr>
              <w:t>Group</w:t>
            </w:r>
          </w:p>
        </w:tc>
        <w:tc>
          <w:tcPr>
            <w:tcW w:type="dxa" w:w="2160"/>
            <w:shd w:val="clear" w:color="auto" w:fill="EAF0EE"/>
          </w:tcPr>
          <w:p>
            <w:pPr>
              <w:spacing w:after="20"/>
            </w:pPr>
            <w:r>
              <w:rPr>
                <w:b/>
                <w:color w:val="1C3A36"/>
                <w:sz w:val="18"/>
              </w:rPr>
              <w:t>Automotive</w:t>
            </w:r>
          </w:p>
        </w:tc>
        <w:tc>
          <w:tcPr>
            <w:tcW w:type="dxa" w:w="2160"/>
            <w:shd w:val="clear" w:color="auto" w:fill="EAF0EE"/>
          </w:tcPr>
          <w:p>
            <w:pPr>
              <w:spacing w:after="20"/>
            </w:pPr>
            <w:r>
              <w:rPr>
                <w:b/>
                <w:color w:val="1C3A36"/>
                <w:sz w:val="18"/>
              </w:rPr>
              <w:t>GB Capital</w:t>
            </w:r>
          </w:p>
        </w:tc>
      </w:tr>
      <w:tr>
        <w:tc>
          <w:tcPr>
            <w:tcW w:type="dxa" w:w="3456"/>
          </w:tcPr>
          <w:p>
            <w:pPr>
              <w:spacing w:after="20"/>
            </w:pPr>
            <w:r>
              <w:rPr>
                <w:color w:val="1C3A36"/>
                <w:sz w:val="18"/>
              </w:rPr>
              <w:t>Revenue</w:t>
            </w:r>
          </w:p>
        </w:tc>
        <w:tc>
          <w:tcPr>
            <w:tcW w:type="dxa" w:w="2160"/>
          </w:tcPr>
          <w:p>
            <w:pPr>
              <w:spacing w:after="20"/>
              <w:jc w:val="right"/>
            </w:pPr>
            <w:r>
              <w:rPr>
                <w:color w:val="1C3A36"/>
                <w:sz w:val="18"/>
              </w:rPr>
              <w:t>48,474.4</w:t>
            </w:r>
          </w:p>
        </w:tc>
        <w:tc>
          <w:tcPr>
            <w:tcW w:type="dxa" w:w="2160"/>
          </w:tcPr>
          <w:p>
            <w:pPr>
              <w:spacing w:after="20"/>
              <w:jc w:val="right"/>
            </w:pPr>
            <w:r>
              <w:rPr>
                <w:color w:val="1C3A36"/>
                <w:sz w:val="18"/>
              </w:rPr>
              <w:t>40,021.5</w:t>
            </w:r>
          </w:p>
        </w:tc>
        <w:tc>
          <w:tcPr>
            <w:tcW w:type="dxa" w:w="2160"/>
          </w:tcPr>
          <w:p>
            <w:pPr>
              <w:spacing w:after="20"/>
              <w:jc w:val="right"/>
            </w:pPr>
            <w:r>
              <w:rPr>
                <w:color w:val="1C3A36"/>
                <w:sz w:val="18"/>
              </w:rPr>
              <w:t>9,088.2</w:t>
            </w:r>
          </w:p>
        </w:tc>
      </w:tr>
      <w:tr>
        <w:tc>
          <w:tcPr>
            <w:tcW w:type="dxa" w:w="3456"/>
          </w:tcPr>
          <w:p>
            <w:pPr>
              <w:spacing w:after="20"/>
            </w:pPr>
            <w:r>
              <w:rPr>
                <w:color w:val="1C3A36"/>
                <w:sz w:val="18"/>
              </w:rPr>
              <w:t>Gross profit</w:t>
            </w:r>
          </w:p>
        </w:tc>
        <w:tc>
          <w:tcPr>
            <w:tcW w:type="dxa" w:w="2160"/>
          </w:tcPr>
          <w:p>
            <w:pPr>
              <w:spacing w:after="20"/>
              <w:jc w:val="right"/>
            </w:pPr>
            <w:r>
              <w:rPr>
                <w:color w:val="1C3A36"/>
                <w:sz w:val="18"/>
              </w:rPr>
              <w:t>7,421.9</w:t>
            </w:r>
          </w:p>
        </w:tc>
        <w:tc>
          <w:tcPr>
            <w:tcW w:type="dxa" w:w="2160"/>
          </w:tcPr>
          <w:p>
            <w:pPr>
              <w:spacing w:after="20"/>
              <w:jc w:val="right"/>
            </w:pPr>
            <w:r>
              <w:rPr>
                <w:color w:val="1C3A36"/>
                <w:sz w:val="18"/>
              </w:rPr>
              <w:t>5,722.1</w:t>
            </w:r>
          </w:p>
        </w:tc>
        <w:tc>
          <w:tcPr>
            <w:tcW w:type="dxa" w:w="2160"/>
          </w:tcPr>
          <w:p>
            <w:pPr>
              <w:spacing w:after="20"/>
              <w:jc w:val="right"/>
            </w:pPr>
            <w:r>
              <w:rPr>
                <w:color w:val="1C3A36"/>
                <w:sz w:val="18"/>
              </w:rPr>
              <w:t>1,762.2</w:t>
            </w:r>
          </w:p>
        </w:tc>
      </w:tr>
      <w:tr>
        <w:tc>
          <w:tcPr>
            <w:tcW w:type="dxa" w:w="3456"/>
          </w:tcPr>
          <w:p>
            <w:pPr>
              <w:spacing w:after="20"/>
            </w:pPr>
            <w:r>
              <w:rPr>
                <w:color w:val="1C3A36"/>
                <w:sz w:val="18"/>
              </w:rPr>
              <w:t>Operating profit</w:t>
            </w:r>
          </w:p>
        </w:tc>
        <w:tc>
          <w:tcPr>
            <w:tcW w:type="dxa" w:w="2160"/>
          </w:tcPr>
          <w:p>
            <w:pPr>
              <w:spacing w:after="20"/>
              <w:jc w:val="right"/>
            </w:pPr>
            <w:r>
              <w:rPr>
                <w:color w:val="1C3A36"/>
                <w:sz w:val="18"/>
              </w:rPr>
              <w:t>3,661.3</w:t>
            </w:r>
          </w:p>
        </w:tc>
        <w:tc>
          <w:tcPr>
            <w:tcW w:type="dxa" w:w="2160"/>
          </w:tcPr>
          <w:p>
            <w:pPr>
              <w:spacing w:after="20"/>
              <w:jc w:val="right"/>
            </w:pPr>
            <w:r>
              <w:rPr>
                <w:color w:val="1C3A36"/>
                <w:sz w:val="18"/>
              </w:rPr>
              <w:t>3,127.0</w:t>
            </w:r>
          </w:p>
        </w:tc>
        <w:tc>
          <w:tcPr>
            <w:tcW w:type="dxa" w:w="2160"/>
          </w:tcPr>
          <w:p>
            <w:pPr>
              <w:spacing w:after="20"/>
              <w:jc w:val="right"/>
            </w:pPr>
            <w:r>
              <w:rPr>
                <w:color w:val="1C3A36"/>
                <w:sz w:val="18"/>
              </w:rPr>
              <w:t>574.4</w:t>
            </w:r>
          </w:p>
        </w:tc>
      </w:tr>
      <w:tr>
        <w:tc>
          <w:tcPr>
            <w:tcW w:type="dxa" w:w="3456"/>
          </w:tcPr>
          <w:p>
            <w:pPr>
              <w:spacing w:after="20"/>
            </w:pPr>
            <w:r>
              <w:rPr>
                <w:color w:val="1C3A36"/>
                <w:sz w:val="18"/>
              </w:rPr>
              <w:t>Net profit (attributable)</w:t>
            </w:r>
          </w:p>
        </w:tc>
        <w:tc>
          <w:tcPr>
            <w:tcW w:type="dxa" w:w="2160"/>
          </w:tcPr>
          <w:p>
            <w:pPr>
              <w:spacing w:after="20"/>
              <w:jc w:val="right"/>
            </w:pPr>
            <w:r>
              <w:rPr>
                <w:color w:val="1C3A36"/>
                <w:sz w:val="18"/>
              </w:rPr>
              <w:t>1,262.0</w:t>
            </w:r>
          </w:p>
        </w:tc>
        <w:tc>
          <w:tcPr>
            <w:tcW w:type="dxa" w:w="2160"/>
          </w:tcPr>
          <w:p>
            <w:pPr>
              <w:spacing w:after="20"/>
              <w:jc w:val="right"/>
            </w:pPr>
            <w:r>
              <w:rPr>
                <w:color w:val="1C3A36"/>
                <w:sz w:val="18"/>
              </w:rPr>
              <w:t>607.9</w:t>
            </w:r>
          </w:p>
        </w:tc>
        <w:tc>
          <w:tcPr>
            <w:tcW w:type="dxa" w:w="2160"/>
          </w:tcPr>
          <w:p>
            <w:pPr>
              <w:spacing w:after="20"/>
              <w:jc w:val="right"/>
            </w:pPr>
            <w:r>
              <w:rPr>
                <w:color w:val="1C3A36"/>
                <w:sz w:val="18"/>
              </w:rPr>
              <w:t>649.6</w:t>
            </w:r>
          </w:p>
        </w:tc>
      </w:tr>
      <w:tr>
        <w:tc>
          <w:tcPr>
            <w:tcW w:type="dxa" w:w="3456"/>
          </w:tcPr>
          <w:p>
            <w:pPr>
              <w:spacing w:after="20"/>
            </w:pPr>
            <w:r>
              <w:rPr>
                <w:color w:val="1C3A36"/>
                <w:sz w:val="18"/>
              </w:rPr>
              <w:t>Net debt / book</w:t>
            </w:r>
          </w:p>
        </w:tc>
        <w:tc>
          <w:tcPr>
            <w:tcW w:type="dxa" w:w="2160"/>
          </w:tcPr>
          <w:p>
            <w:pPr>
              <w:spacing w:after="20"/>
              <w:jc w:val="right"/>
            </w:pPr>
            <w:r>
              <w:rPr>
                <w:color w:val="1C3A36"/>
                <w:sz w:val="18"/>
              </w:rPr>
              <w:t>32,269.8</w:t>
            </w:r>
          </w:p>
        </w:tc>
        <w:tc>
          <w:tcPr>
            <w:tcW w:type="dxa" w:w="2160"/>
          </w:tcPr>
          <w:p>
            <w:pPr>
              <w:spacing w:after="20"/>
              <w:jc w:val="right"/>
            </w:pPr>
            <w:r>
              <w:rPr>
                <w:color w:val="1C3A36"/>
                <w:sz w:val="18"/>
              </w:rPr>
              <w:t>14,493.6</w:t>
            </w:r>
          </w:p>
        </w:tc>
        <w:tc>
          <w:tcPr>
            <w:tcW w:type="dxa" w:w="2160"/>
          </w:tcPr>
          <w:p>
            <w:pPr>
              <w:spacing w:after="20"/>
              <w:jc w:val="right"/>
            </w:pPr>
            <w:r>
              <w:rPr>
                <w:color w:val="1C3A36"/>
                <w:sz w:val="18"/>
              </w:rPr>
              <w:t>23,984.6</w:t>
            </w:r>
          </w:p>
        </w:tc>
      </w:tr>
    </w:tbl>
    <w:p>
      <w:pPr>
        <w:spacing w:after="40"/>
      </w:pPr>
    </w:p>
    <w:p>
      <w:pPr>
        <w:spacing w:after="200" w:before="0"/>
      </w:pPr>
      <w:r>
        <w:rPr>
          <w:b w:val="0"/>
          <w:i/>
          <w:color w:val="6E7B77"/>
          <w:sz w:val="17"/>
        </w:rPr>
        <w:t>From the reviewed interim statements and the results release of 13 August 2026. GB Capital's last row is its net loan portfolio; the group's is net debt.</w:t>
      </w:r>
    </w:p>
    <w:p>
      <w:pPr>
        <w:spacing w:after="120" w:before="280"/>
      </w:pPr>
      <w:r>
        <w:rPr>
          <w:b/>
          <w:i w:val="0"/>
          <w:color w:val="1C3A36"/>
          <w:sz w:val="30"/>
        </w:rPr>
        <w:t>1  Fundamental valuation</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automotive business is valued on a five-year free-cash-flow-to-the-firm model dated 30 June 2026, the date of the reviewed balance sheet. Revenue is not a growth rate applied to a revenue line: each line of business is built on its own disclosed units and prices — locally assembled and imported cars separately, buses, trucks and construction equipment separately, two-, three- and four-wheelers on their own count — with unit costs escalated on their own physical classes. Sections 1.6 and 1.7 set the build out line by line. The waterfall below then runs to present value at the 22.72% cost of capital built in section 1.8. Every line is computed, not typed.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40"/>
        <w:gridCol w:w="1368"/>
        <w:gridCol w:w="1368"/>
        <w:gridCol w:w="1368"/>
        <w:gridCol w:w="1368"/>
        <w:gridCol w:w="1368"/>
      </w:tblGrid>
      <w:tr>
        <w:tc>
          <w:tcPr>
            <w:tcW w:type="dxa" w:w="3240"/>
            <w:shd w:val="clear" w:color="auto" w:fill="EAF0EE"/>
          </w:tcPr>
          <w:p>
            <w:pPr>
              <w:spacing w:after="20"/>
            </w:pPr>
            <w:r>
              <w:rPr>
                <w:b/>
                <w:color w:val="1C3A36"/>
                <w:sz w:val="18"/>
              </w:rPr>
              <w:t>EGP mn</w:t>
            </w:r>
          </w:p>
        </w:tc>
        <w:tc>
          <w:tcPr>
            <w:tcW w:type="dxa" w:w="1368"/>
            <w:shd w:val="clear" w:color="auto" w:fill="EAF0EE"/>
          </w:tcPr>
          <w:p>
            <w:pPr>
              <w:spacing w:after="20"/>
            </w:pPr>
            <w:r>
              <w:rPr>
                <w:b/>
                <w:color w:val="1C3A36"/>
                <w:sz w:val="18"/>
              </w:rPr>
              <w:t>FY26E</w:t>
            </w:r>
          </w:p>
        </w:tc>
        <w:tc>
          <w:tcPr>
            <w:tcW w:type="dxa" w:w="1368"/>
            <w:shd w:val="clear" w:color="auto" w:fill="EAF0EE"/>
          </w:tcPr>
          <w:p>
            <w:pPr>
              <w:spacing w:after="20"/>
            </w:pPr>
            <w:r>
              <w:rPr>
                <w:b/>
                <w:color w:val="1C3A36"/>
                <w:sz w:val="18"/>
              </w:rPr>
              <w:t>FY27E</w:t>
            </w:r>
          </w:p>
        </w:tc>
        <w:tc>
          <w:tcPr>
            <w:tcW w:type="dxa" w:w="1368"/>
            <w:shd w:val="clear" w:color="auto" w:fill="EAF0EE"/>
          </w:tcPr>
          <w:p>
            <w:pPr>
              <w:spacing w:after="20"/>
            </w:pPr>
            <w:r>
              <w:rPr>
                <w:b/>
                <w:color w:val="1C3A36"/>
                <w:sz w:val="18"/>
              </w:rPr>
              <w:t>FY28E</w:t>
            </w:r>
          </w:p>
        </w:tc>
        <w:tc>
          <w:tcPr>
            <w:tcW w:type="dxa" w:w="1368"/>
            <w:shd w:val="clear" w:color="auto" w:fill="EAF0EE"/>
          </w:tcPr>
          <w:p>
            <w:pPr>
              <w:spacing w:after="20"/>
            </w:pPr>
            <w:r>
              <w:rPr>
                <w:b/>
                <w:color w:val="1C3A36"/>
                <w:sz w:val="18"/>
              </w:rPr>
              <w:t>FY29E</w:t>
            </w:r>
          </w:p>
        </w:tc>
        <w:tc>
          <w:tcPr>
            <w:tcW w:type="dxa" w:w="1368"/>
            <w:shd w:val="clear" w:color="auto" w:fill="EAF0EE"/>
          </w:tcPr>
          <w:p>
            <w:pPr>
              <w:spacing w:after="20"/>
            </w:pPr>
            <w:r>
              <w:rPr>
                <w:b/>
                <w:color w:val="1C3A36"/>
                <w:sz w:val="18"/>
              </w:rPr>
              <w:t>FY30E</w:t>
            </w:r>
          </w:p>
        </w:tc>
      </w:tr>
      <w:tr>
        <w:tc>
          <w:tcPr>
            <w:tcW w:type="dxa" w:w="3240"/>
          </w:tcPr>
          <w:p>
            <w:pPr>
              <w:spacing w:after="20"/>
            </w:pPr>
            <w:r>
              <w:rPr>
                <w:color w:val="1C3A36"/>
                <w:sz w:val="18"/>
              </w:rPr>
              <w:t>Revenue</w:t>
            </w:r>
          </w:p>
        </w:tc>
        <w:tc>
          <w:tcPr>
            <w:tcW w:type="dxa" w:w="1368"/>
          </w:tcPr>
          <w:p>
            <w:pPr>
              <w:spacing w:after="20"/>
              <w:jc w:val="right"/>
            </w:pPr>
            <w:r>
              <w:rPr>
                <w:color w:val="1C3A36"/>
                <w:sz w:val="18"/>
              </w:rPr>
              <w:t>87,110</w:t>
            </w:r>
          </w:p>
        </w:tc>
        <w:tc>
          <w:tcPr>
            <w:tcW w:type="dxa" w:w="1368"/>
          </w:tcPr>
          <w:p>
            <w:pPr>
              <w:spacing w:after="20"/>
              <w:jc w:val="right"/>
            </w:pPr>
            <w:r>
              <w:rPr>
                <w:color w:val="1C3A36"/>
                <w:sz w:val="18"/>
              </w:rPr>
              <w:t>102,729</w:t>
            </w:r>
          </w:p>
        </w:tc>
        <w:tc>
          <w:tcPr>
            <w:tcW w:type="dxa" w:w="1368"/>
          </w:tcPr>
          <w:p>
            <w:pPr>
              <w:spacing w:after="20"/>
              <w:jc w:val="right"/>
            </w:pPr>
            <w:r>
              <w:rPr>
                <w:color w:val="1C3A36"/>
                <w:sz w:val="18"/>
              </w:rPr>
              <w:t>118,593</w:t>
            </w:r>
          </w:p>
        </w:tc>
        <w:tc>
          <w:tcPr>
            <w:tcW w:type="dxa" w:w="1368"/>
          </w:tcPr>
          <w:p>
            <w:pPr>
              <w:spacing w:after="20"/>
              <w:jc w:val="right"/>
            </w:pPr>
            <w:r>
              <w:rPr>
                <w:color w:val="1C3A36"/>
                <w:sz w:val="18"/>
              </w:rPr>
              <w:t>133,511</w:t>
            </w:r>
          </w:p>
        </w:tc>
        <w:tc>
          <w:tcPr>
            <w:tcW w:type="dxa" w:w="1368"/>
          </w:tcPr>
          <w:p>
            <w:pPr>
              <w:spacing w:after="20"/>
              <w:jc w:val="right"/>
            </w:pPr>
            <w:r>
              <w:rPr>
                <w:color w:val="1C3A36"/>
                <w:sz w:val="18"/>
              </w:rPr>
              <w:t>148,683</w:t>
            </w:r>
          </w:p>
        </w:tc>
      </w:tr>
      <w:tr>
        <w:tc>
          <w:tcPr>
            <w:tcW w:type="dxa" w:w="3240"/>
          </w:tcPr>
          <w:p>
            <w:pPr>
              <w:spacing w:after="20"/>
            </w:pPr>
            <w:r>
              <w:rPr>
                <w:color w:val="1C3A36"/>
                <w:sz w:val="18"/>
              </w:rPr>
              <w:t>Gross profit</w:t>
            </w:r>
          </w:p>
        </w:tc>
        <w:tc>
          <w:tcPr>
            <w:tcW w:type="dxa" w:w="1368"/>
          </w:tcPr>
          <w:p>
            <w:pPr>
              <w:spacing w:after="20"/>
              <w:jc w:val="right"/>
            </w:pPr>
            <w:r>
              <w:rPr>
                <w:color w:val="1C3A36"/>
                <w:sz w:val="18"/>
              </w:rPr>
              <w:t>11,869</w:t>
            </w:r>
          </w:p>
        </w:tc>
        <w:tc>
          <w:tcPr>
            <w:tcW w:type="dxa" w:w="1368"/>
          </w:tcPr>
          <w:p>
            <w:pPr>
              <w:spacing w:after="20"/>
              <w:jc w:val="right"/>
            </w:pPr>
            <w:r>
              <w:rPr>
                <w:color w:val="1C3A36"/>
                <w:sz w:val="18"/>
              </w:rPr>
              <w:t>13,463</w:t>
            </w:r>
          </w:p>
        </w:tc>
        <w:tc>
          <w:tcPr>
            <w:tcW w:type="dxa" w:w="1368"/>
          </w:tcPr>
          <w:p>
            <w:pPr>
              <w:spacing w:after="20"/>
              <w:jc w:val="right"/>
            </w:pPr>
            <w:r>
              <w:rPr>
                <w:color w:val="1C3A36"/>
                <w:sz w:val="18"/>
              </w:rPr>
              <w:t>15,533</w:t>
            </w:r>
          </w:p>
        </w:tc>
        <w:tc>
          <w:tcPr>
            <w:tcW w:type="dxa" w:w="1368"/>
          </w:tcPr>
          <w:p>
            <w:pPr>
              <w:spacing w:after="20"/>
              <w:jc w:val="right"/>
            </w:pPr>
            <w:r>
              <w:rPr>
                <w:color w:val="1C3A36"/>
                <w:sz w:val="18"/>
              </w:rPr>
              <w:t>17,484</w:t>
            </w:r>
          </w:p>
        </w:tc>
        <w:tc>
          <w:tcPr>
            <w:tcW w:type="dxa" w:w="1368"/>
          </w:tcPr>
          <w:p>
            <w:pPr>
              <w:spacing w:after="20"/>
              <w:jc w:val="right"/>
            </w:pPr>
            <w:r>
              <w:rPr>
                <w:color w:val="1C3A36"/>
                <w:sz w:val="18"/>
              </w:rPr>
              <w:t>19,464</w:t>
            </w:r>
          </w:p>
        </w:tc>
      </w:tr>
      <w:tr>
        <w:tc>
          <w:tcPr>
            <w:tcW w:type="dxa" w:w="3240"/>
          </w:tcPr>
          <w:p>
            <w:pPr>
              <w:spacing w:after="20"/>
            </w:pPr>
            <w:r>
              <w:rPr>
                <w:color w:val="1C3A36"/>
                <w:sz w:val="18"/>
              </w:rPr>
              <w:t xml:space="preserve">  margin on revenue</w:t>
            </w:r>
          </w:p>
        </w:tc>
        <w:tc>
          <w:tcPr>
            <w:tcW w:type="dxa" w:w="1368"/>
          </w:tcPr>
          <w:p>
            <w:pPr>
              <w:spacing w:after="20"/>
              <w:jc w:val="right"/>
            </w:pPr>
            <w:r>
              <w:rPr>
                <w:color w:val="1C3A36"/>
                <w:sz w:val="18"/>
              </w:rPr>
              <w:t>13.6%</w:t>
            </w:r>
          </w:p>
        </w:tc>
        <w:tc>
          <w:tcPr>
            <w:tcW w:type="dxa" w:w="1368"/>
          </w:tcPr>
          <w:p>
            <w:pPr>
              <w:spacing w:after="20"/>
              <w:jc w:val="right"/>
            </w:pPr>
            <w:r>
              <w:rPr>
                <w:color w:val="1C3A36"/>
                <w:sz w:val="18"/>
              </w:rPr>
              <w:t>13.1%</w:t>
            </w:r>
          </w:p>
        </w:tc>
        <w:tc>
          <w:tcPr>
            <w:tcW w:type="dxa" w:w="1368"/>
          </w:tcPr>
          <w:p>
            <w:pPr>
              <w:spacing w:after="20"/>
              <w:jc w:val="right"/>
            </w:pPr>
            <w:r>
              <w:rPr>
                <w:color w:val="1C3A36"/>
                <w:sz w:val="18"/>
              </w:rPr>
              <w:t>13.1%</w:t>
            </w:r>
          </w:p>
        </w:tc>
        <w:tc>
          <w:tcPr>
            <w:tcW w:type="dxa" w:w="1368"/>
          </w:tcPr>
          <w:p>
            <w:pPr>
              <w:spacing w:after="20"/>
              <w:jc w:val="right"/>
            </w:pPr>
            <w:r>
              <w:rPr>
                <w:color w:val="1C3A36"/>
                <w:sz w:val="18"/>
              </w:rPr>
              <w:t>13.1%</w:t>
            </w:r>
          </w:p>
        </w:tc>
        <w:tc>
          <w:tcPr>
            <w:tcW w:type="dxa" w:w="1368"/>
          </w:tcPr>
          <w:p>
            <w:pPr>
              <w:spacing w:after="20"/>
              <w:jc w:val="right"/>
            </w:pPr>
            <w:r>
              <w:rPr>
                <w:color w:val="1C3A36"/>
                <w:sz w:val="18"/>
              </w:rPr>
              <w:t>13.1%</w:t>
            </w:r>
          </w:p>
        </w:tc>
      </w:tr>
      <w:tr>
        <w:tc>
          <w:tcPr>
            <w:tcW w:type="dxa" w:w="3240"/>
          </w:tcPr>
          <w:p>
            <w:pPr>
              <w:spacing w:after="20"/>
            </w:pPr>
            <w:r>
              <w:rPr>
                <w:color w:val="1C3A36"/>
                <w:sz w:val="18"/>
              </w:rPr>
              <w:t>Operating profit</w:t>
            </w:r>
          </w:p>
        </w:tc>
        <w:tc>
          <w:tcPr>
            <w:tcW w:type="dxa" w:w="1368"/>
          </w:tcPr>
          <w:p>
            <w:pPr>
              <w:spacing w:after="20"/>
              <w:jc w:val="right"/>
            </w:pPr>
            <w:r>
              <w:rPr>
                <w:color w:val="1C3A36"/>
                <w:sz w:val="18"/>
              </w:rPr>
              <w:t>6,225</w:t>
            </w:r>
          </w:p>
        </w:tc>
        <w:tc>
          <w:tcPr>
            <w:tcW w:type="dxa" w:w="1368"/>
          </w:tcPr>
          <w:p>
            <w:pPr>
              <w:spacing w:after="20"/>
              <w:jc w:val="right"/>
            </w:pPr>
            <w:r>
              <w:rPr>
                <w:color w:val="1C3A36"/>
                <w:sz w:val="18"/>
              </w:rPr>
              <w:t>6,857</w:t>
            </w:r>
          </w:p>
        </w:tc>
        <w:tc>
          <w:tcPr>
            <w:tcW w:type="dxa" w:w="1368"/>
          </w:tcPr>
          <w:p>
            <w:pPr>
              <w:spacing w:after="20"/>
              <w:jc w:val="right"/>
            </w:pPr>
            <w:r>
              <w:rPr>
                <w:color w:val="1C3A36"/>
                <w:sz w:val="18"/>
              </w:rPr>
              <w:t>7,967</w:t>
            </w:r>
          </w:p>
        </w:tc>
        <w:tc>
          <w:tcPr>
            <w:tcW w:type="dxa" w:w="1368"/>
          </w:tcPr>
          <w:p>
            <w:pPr>
              <w:spacing w:after="20"/>
              <w:jc w:val="right"/>
            </w:pPr>
            <w:r>
              <w:rPr>
                <w:color w:val="1C3A36"/>
                <w:sz w:val="18"/>
              </w:rPr>
              <w:t>9,073</w:t>
            </w:r>
          </w:p>
        </w:tc>
        <w:tc>
          <w:tcPr>
            <w:tcW w:type="dxa" w:w="1368"/>
          </w:tcPr>
          <w:p>
            <w:pPr>
              <w:spacing w:after="20"/>
              <w:jc w:val="right"/>
            </w:pPr>
            <w:r>
              <w:rPr>
                <w:color w:val="1C3A36"/>
                <w:sz w:val="18"/>
              </w:rPr>
              <w:t>10,202</w:t>
            </w:r>
          </w:p>
        </w:tc>
      </w:tr>
      <w:tr>
        <w:tc>
          <w:tcPr>
            <w:tcW w:type="dxa" w:w="3240"/>
          </w:tcPr>
          <w:p>
            <w:pPr>
              <w:spacing w:after="20"/>
            </w:pPr>
            <w:r>
              <w:rPr>
                <w:color w:val="1C3A36"/>
                <w:sz w:val="18"/>
              </w:rPr>
              <w:t xml:space="preserve">  effective tax rate</w:t>
            </w:r>
          </w:p>
        </w:tc>
        <w:tc>
          <w:tcPr>
            <w:tcW w:type="dxa" w:w="1368"/>
          </w:tcPr>
          <w:p>
            <w:pPr>
              <w:spacing w:after="20"/>
              <w:jc w:val="right"/>
            </w:pPr>
            <w:r>
              <w:rPr>
                <w:color w:val="1C3A36"/>
                <w:sz w:val="18"/>
              </w:rPr>
              <w:t>38.0%</w:t>
            </w:r>
          </w:p>
        </w:tc>
        <w:tc>
          <w:tcPr>
            <w:tcW w:type="dxa" w:w="1368"/>
          </w:tcPr>
          <w:p>
            <w:pPr>
              <w:spacing w:after="20"/>
              <w:jc w:val="right"/>
            </w:pPr>
            <w:r>
              <w:rPr>
                <w:color w:val="1C3A36"/>
                <w:sz w:val="18"/>
              </w:rPr>
              <w:t>30.0%</w:t>
            </w:r>
          </w:p>
        </w:tc>
        <w:tc>
          <w:tcPr>
            <w:tcW w:type="dxa" w:w="1368"/>
          </w:tcPr>
          <w:p>
            <w:pPr>
              <w:spacing w:after="20"/>
              <w:jc w:val="right"/>
            </w:pPr>
            <w:r>
              <w:rPr>
                <w:color w:val="1C3A36"/>
                <w:sz w:val="18"/>
              </w:rPr>
              <w:t>26.0%</w:t>
            </w:r>
          </w:p>
        </w:tc>
        <w:tc>
          <w:tcPr>
            <w:tcW w:type="dxa" w:w="1368"/>
          </w:tcPr>
          <w:p>
            <w:pPr>
              <w:spacing w:after="20"/>
              <w:jc w:val="right"/>
            </w:pPr>
            <w:r>
              <w:rPr>
                <w:color w:val="1C3A36"/>
                <w:sz w:val="18"/>
              </w:rPr>
              <w:t>24.0%</w:t>
            </w:r>
          </w:p>
        </w:tc>
        <w:tc>
          <w:tcPr>
            <w:tcW w:type="dxa" w:w="1368"/>
          </w:tcPr>
          <w:p>
            <w:pPr>
              <w:spacing w:after="20"/>
              <w:jc w:val="right"/>
            </w:pPr>
            <w:r>
              <w:rPr>
                <w:color w:val="1C3A36"/>
                <w:sz w:val="18"/>
              </w:rPr>
              <w:t>22.5%</w:t>
            </w:r>
          </w:p>
        </w:tc>
      </w:tr>
      <w:tr>
        <w:tc>
          <w:tcPr>
            <w:tcW w:type="dxa" w:w="3240"/>
          </w:tcPr>
          <w:p>
            <w:pPr>
              <w:spacing w:after="20"/>
            </w:pPr>
            <w:r>
              <w:rPr>
                <w:color w:val="1C3A36"/>
                <w:sz w:val="18"/>
              </w:rPr>
              <w:t>Net operating profit after tax</w:t>
            </w:r>
          </w:p>
        </w:tc>
        <w:tc>
          <w:tcPr>
            <w:tcW w:type="dxa" w:w="1368"/>
          </w:tcPr>
          <w:p>
            <w:pPr>
              <w:spacing w:after="20"/>
              <w:jc w:val="right"/>
            </w:pPr>
            <w:r>
              <w:rPr>
                <w:color w:val="1C3A36"/>
                <w:sz w:val="18"/>
              </w:rPr>
              <w:t>3,859</w:t>
            </w:r>
          </w:p>
        </w:tc>
        <w:tc>
          <w:tcPr>
            <w:tcW w:type="dxa" w:w="1368"/>
          </w:tcPr>
          <w:p>
            <w:pPr>
              <w:spacing w:after="20"/>
              <w:jc w:val="right"/>
            </w:pPr>
            <w:r>
              <w:rPr>
                <w:color w:val="1C3A36"/>
                <w:sz w:val="18"/>
              </w:rPr>
              <w:t>4,800</w:t>
            </w:r>
          </w:p>
        </w:tc>
        <w:tc>
          <w:tcPr>
            <w:tcW w:type="dxa" w:w="1368"/>
          </w:tcPr>
          <w:p>
            <w:pPr>
              <w:spacing w:after="20"/>
              <w:jc w:val="right"/>
            </w:pPr>
            <w:r>
              <w:rPr>
                <w:color w:val="1C3A36"/>
                <w:sz w:val="18"/>
              </w:rPr>
              <w:t>5,895</w:t>
            </w:r>
          </w:p>
        </w:tc>
        <w:tc>
          <w:tcPr>
            <w:tcW w:type="dxa" w:w="1368"/>
          </w:tcPr>
          <w:p>
            <w:pPr>
              <w:spacing w:after="20"/>
              <w:jc w:val="right"/>
            </w:pPr>
            <w:r>
              <w:rPr>
                <w:color w:val="1C3A36"/>
                <w:sz w:val="18"/>
              </w:rPr>
              <w:t>6,896</w:t>
            </w:r>
          </w:p>
        </w:tc>
        <w:tc>
          <w:tcPr>
            <w:tcW w:type="dxa" w:w="1368"/>
          </w:tcPr>
          <w:p>
            <w:pPr>
              <w:spacing w:after="20"/>
              <w:jc w:val="right"/>
            </w:pPr>
            <w:r>
              <w:rPr>
                <w:color w:val="1C3A36"/>
                <w:sz w:val="18"/>
              </w:rPr>
              <w:t>7,906</w:t>
            </w:r>
          </w:p>
        </w:tc>
      </w:tr>
      <w:tr>
        <w:tc>
          <w:tcPr>
            <w:tcW w:type="dxa" w:w="3240"/>
          </w:tcPr>
          <w:p>
            <w:pPr>
              <w:spacing w:after="20"/>
            </w:pPr>
            <w:r>
              <w:rPr>
                <w:color w:val="1C3A36"/>
                <w:sz w:val="18"/>
              </w:rPr>
              <w:t>Add back depreciation &amp; amortisation</w:t>
            </w:r>
          </w:p>
        </w:tc>
        <w:tc>
          <w:tcPr>
            <w:tcW w:type="dxa" w:w="1368"/>
          </w:tcPr>
          <w:p>
            <w:pPr>
              <w:spacing w:after="20"/>
              <w:jc w:val="right"/>
            </w:pPr>
            <w:r>
              <w:rPr>
                <w:color w:val="1C3A36"/>
                <w:sz w:val="18"/>
              </w:rPr>
              <w:t>871</w:t>
            </w:r>
          </w:p>
        </w:tc>
        <w:tc>
          <w:tcPr>
            <w:tcW w:type="dxa" w:w="1368"/>
          </w:tcPr>
          <w:p>
            <w:pPr>
              <w:spacing w:after="20"/>
              <w:jc w:val="right"/>
            </w:pPr>
            <w:r>
              <w:rPr>
                <w:color w:val="1C3A36"/>
                <w:sz w:val="18"/>
              </w:rPr>
              <w:t>1,048</w:t>
            </w:r>
          </w:p>
        </w:tc>
        <w:tc>
          <w:tcPr>
            <w:tcW w:type="dxa" w:w="1368"/>
          </w:tcPr>
          <w:p>
            <w:pPr>
              <w:spacing w:after="20"/>
              <w:jc w:val="right"/>
            </w:pPr>
            <w:r>
              <w:rPr>
                <w:color w:val="1C3A36"/>
                <w:sz w:val="18"/>
              </w:rPr>
              <w:t>1,233</w:t>
            </w:r>
          </w:p>
        </w:tc>
        <w:tc>
          <w:tcPr>
            <w:tcW w:type="dxa" w:w="1368"/>
          </w:tcPr>
          <w:p>
            <w:pPr>
              <w:spacing w:after="20"/>
              <w:jc w:val="right"/>
            </w:pPr>
            <w:r>
              <w:rPr>
                <w:color w:val="1C3A36"/>
                <w:sz w:val="18"/>
              </w:rPr>
              <w:t>1,389</w:t>
            </w:r>
          </w:p>
        </w:tc>
        <w:tc>
          <w:tcPr>
            <w:tcW w:type="dxa" w:w="1368"/>
          </w:tcPr>
          <w:p>
            <w:pPr>
              <w:spacing w:after="20"/>
              <w:jc w:val="right"/>
            </w:pPr>
            <w:r>
              <w:rPr>
                <w:color w:val="1C3A36"/>
                <w:sz w:val="18"/>
              </w:rPr>
              <w:t>1,546</w:t>
            </w:r>
          </w:p>
        </w:tc>
      </w:tr>
      <w:tr>
        <w:tc>
          <w:tcPr>
            <w:tcW w:type="dxa" w:w="3240"/>
          </w:tcPr>
          <w:p>
            <w:pPr>
              <w:spacing w:after="20"/>
            </w:pPr>
            <w:r>
              <w:rPr>
                <w:color w:val="1C3A36"/>
                <w:sz w:val="18"/>
              </w:rPr>
              <w:t>Less capital expenditure</w:t>
            </w:r>
          </w:p>
        </w:tc>
        <w:tc>
          <w:tcPr>
            <w:tcW w:type="dxa" w:w="1368"/>
          </w:tcPr>
          <w:p>
            <w:pPr>
              <w:spacing w:after="20"/>
              <w:jc w:val="right"/>
            </w:pPr>
            <w:r>
              <w:rPr>
                <w:color w:val="1C3A36"/>
                <w:sz w:val="18"/>
              </w:rPr>
              <w:t>2,800</w:t>
            </w:r>
          </w:p>
        </w:tc>
        <w:tc>
          <w:tcPr>
            <w:tcW w:type="dxa" w:w="1368"/>
          </w:tcPr>
          <w:p>
            <w:pPr>
              <w:spacing w:after="20"/>
              <w:jc w:val="right"/>
            </w:pPr>
            <w:r>
              <w:rPr>
                <w:color w:val="1C3A36"/>
                <w:sz w:val="18"/>
              </w:rPr>
              <w:t>2,600</w:t>
            </w:r>
          </w:p>
        </w:tc>
        <w:tc>
          <w:tcPr>
            <w:tcW w:type="dxa" w:w="1368"/>
          </w:tcPr>
          <w:p>
            <w:pPr>
              <w:spacing w:after="20"/>
              <w:jc w:val="right"/>
            </w:pPr>
            <w:r>
              <w:rPr>
                <w:color w:val="1C3A36"/>
                <w:sz w:val="18"/>
              </w:rPr>
              <w:t>2,500</w:t>
            </w:r>
          </w:p>
        </w:tc>
        <w:tc>
          <w:tcPr>
            <w:tcW w:type="dxa" w:w="1368"/>
          </w:tcPr>
          <w:p>
            <w:pPr>
              <w:spacing w:after="20"/>
              <w:jc w:val="right"/>
            </w:pPr>
            <w:r>
              <w:rPr>
                <w:color w:val="1C3A36"/>
                <w:sz w:val="18"/>
              </w:rPr>
              <w:t>2,500</w:t>
            </w:r>
          </w:p>
        </w:tc>
        <w:tc>
          <w:tcPr>
            <w:tcW w:type="dxa" w:w="1368"/>
          </w:tcPr>
          <w:p>
            <w:pPr>
              <w:spacing w:after="20"/>
              <w:jc w:val="right"/>
            </w:pPr>
            <w:r>
              <w:rPr>
                <w:color w:val="1C3A36"/>
                <w:sz w:val="18"/>
              </w:rPr>
              <w:t>2,600</w:t>
            </w:r>
          </w:p>
        </w:tc>
      </w:tr>
      <w:tr>
        <w:tc>
          <w:tcPr>
            <w:tcW w:type="dxa" w:w="3240"/>
          </w:tcPr>
          <w:p>
            <w:pPr>
              <w:spacing w:after="20"/>
            </w:pPr>
            <w:r>
              <w:rPr>
                <w:color w:val="1C3A36"/>
                <w:sz w:val="18"/>
              </w:rPr>
              <w:t>Less the working-capital build</w:t>
            </w:r>
          </w:p>
        </w:tc>
        <w:tc>
          <w:tcPr>
            <w:tcW w:type="dxa" w:w="1368"/>
          </w:tcPr>
          <w:p>
            <w:pPr>
              <w:spacing w:after="20"/>
              <w:jc w:val="right"/>
            </w:pPr>
            <w:r>
              <w:rPr>
                <w:color w:val="1C3A36"/>
                <w:sz w:val="18"/>
              </w:rPr>
              <w:t>1,118</w:t>
            </w:r>
          </w:p>
        </w:tc>
        <w:tc>
          <w:tcPr>
            <w:tcW w:type="dxa" w:w="1368"/>
          </w:tcPr>
          <w:p>
            <w:pPr>
              <w:spacing w:after="20"/>
              <w:jc w:val="right"/>
            </w:pPr>
            <w:r>
              <w:rPr>
                <w:color w:val="1C3A36"/>
                <w:sz w:val="18"/>
              </w:rPr>
              <w:t>3,079</w:t>
            </w:r>
          </w:p>
        </w:tc>
        <w:tc>
          <w:tcPr>
            <w:tcW w:type="dxa" w:w="1368"/>
          </w:tcPr>
          <w:p>
            <w:pPr>
              <w:spacing w:after="20"/>
              <w:jc w:val="right"/>
            </w:pPr>
            <w:r>
              <w:rPr>
                <w:color w:val="1C3A36"/>
                <w:sz w:val="18"/>
              </w:rPr>
              <w:t>2,976</w:t>
            </w:r>
          </w:p>
        </w:tc>
        <w:tc>
          <w:tcPr>
            <w:tcW w:type="dxa" w:w="1368"/>
          </w:tcPr>
          <w:p>
            <w:pPr>
              <w:spacing w:after="20"/>
              <w:jc w:val="right"/>
            </w:pPr>
            <w:r>
              <w:rPr>
                <w:color w:val="1C3A36"/>
                <w:sz w:val="18"/>
              </w:rPr>
              <w:t>2,615</w:t>
            </w:r>
          </w:p>
        </w:tc>
        <w:tc>
          <w:tcPr>
            <w:tcW w:type="dxa" w:w="1368"/>
          </w:tcPr>
          <w:p>
            <w:pPr>
              <w:spacing w:after="20"/>
              <w:jc w:val="right"/>
            </w:pPr>
            <w:r>
              <w:rPr>
                <w:color w:val="1C3A36"/>
                <w:sz w:val="18"/>
              </w:rPr>
              <w:t>2,519</w:t>
            </w:r>
          </w:p>
        </w:tc>
      </w:tr>
      <w:tr>
        <w:tc>
          <w:tcPr>
            <w:tcW w:type="dxa" w:w="3240"/>
            <w:shd w:val="clear" w:color="auto" w:fill="F6F1E6"/>
          </w:tcPr>
          <w:p>
            <w:pPr>
              <w:spacing w:after="20"/>
            </w:pPr>
            <w:r>
              <w:rPr>
                <w:b/>
                <w:color w:val="1C3A36"/>
                <w:sz w:val="18"/>
              </w:rPr>
              <w:t>Free cash flow to the firm</w:t>
            </w:r>
          </w:p>
        </w:tc>
        <w:tc>
          <w:tcPr>
            <w:tcW w:type="dxa" w:w="1368"/>
            <w:shd w:val="clear" w:color="auto" w:fill="F6F1E6"/>
          </w:tcPr>
          <w:p>
            <w:pPr>
              <w:spacing w:after="20"/>
              <w:jc w:val="right"/>
            </w:pPr>
            <w:r>
              <w:rPr>
                <w:b/>
                <w:color w:val="1C3A36"/>
                <w:sz w:val="18"/>
              </w:rPr>
              <w:t>812</w:t>
            </w:r>
          </w:p>
        </w:tc>
        <w:tc>
          <w:tcPr>
            <w:tcW w:type="dxa" w:w="1368"/>
            <w:shd w:val="clear" w:color="auto" w:fill="F6F1E6"/>
          </w:tcPr>
          <w:p>
            <w:pPr>
              <w:spacing w:after="20"/>
              <w:jc w:val="right"/>
            </w:pPr>
            <w:r>
              <w:rPr>
                <w:b/>
                <w:color w:val="1C3A36"/>
                <w:sz w:val="18"/>
              </w:rPr>
              <w:t>169</w:t>
            </w:r>
          </w:p>
        </w:tc>
        <w:tc>
          <w:tcPr>
            <w:tcW w:type="dxa" w:w="1368"/>
            <w:shd w:val="clear" w:color="auto" w:fill="F6F1E6"/>
          </w:tcPr>
          <w:p>
            <w:pPr>
              <w:spacing w:after="20"/>
              <w:jc w:val="right"/>
            </w:pPr>
            <w:r>
              <w:rPr>
                <w:b/>
                <w:color w:val="1C3A36"/>
                <w:sz w:val="18"/>
              </w:rPr>
              <w:t>1,652</w:t>
            </w:r>
          </w:p>
        </w:tc>
        <w:tc>
          <w:tcPr>
            <w:tcW w:type="dxa" w:w="1368"/>
            <w:shd w:val="clear" w:color="auto" w:fill="F6F1E6"/>
          </w:tcPr>
          <w:p>
            <w:pPr>
              <w:spacing w:after="20"/>
              <w:jc w:val="right"/>
            </w:pPr>
            <w:r>
              <w:rPr>
                <w:b/>
                <w:color w:val="1C3A36"/>
                <w:sz w:val="18"/>
              </w:rPr>
              <w:t>3,170</w:t>
            </w:r>
          </w:p>
        </w:tc>
        <w:tc>
          <w:tcPr>
            <w:tcW w:type="dxa" w:w="1368"/>
            <w:shd w:val="clear" w:color="auto" w:fill="F6F1E6"/>
          </w:tcPr>
          <w:p>
            <w:pPr>
              <w:spacing w:after="20"/>
              <w:jc w:val="right"/>
            </w:pPr>
            <w:r>
              <w:rPr>
                <w:b/>
                <w:color w:val="1C3A36"/>
                <w:sz w:val="18"/>
              </w:rPr>
              <w:t>4,334</w:t>
            </w:r>
          </w:p>
        </w:tc>
      </w:tr>
    </w:tbl>
    <w:p>
      <w:pPr>
        <w:spacing w:after="40"/>
      </w:pPr>
    </w:p>
    <w:p>
      <w:pPr>
        <w:spacing w:after="120" w:before="0"/>
      </w:pPr>
      <w:r>
        <w:rPr>
          <w:b w:val="0"/>
          <w:i w:val="0"/>
          <w:color w:val="1C3A36"/>
          <w:sz w:val="21"/>
        </w:rPr>
        <w:t>Two conventions are deliberate. The valuation date is 30 June 2026, so the realized first half — 2,693 of free cash flow, computed from the disclosed half-year actuals — is removed rather than counted twice (it is already inside the net debt the bridge subtracts), and the remaining flows are discounted mid-period. That makes the second half of 2026 visibly cash-negative (-1,881): the first half released EGP 1.8bn of working capital as inventories unwound, and the year-end always rebuilds stock ahead of the selling season. And tax runs at each year's own modelled effective rate — 38% in the first year against a 22.5% statute, because Iraqi and Jordanian losses shield nothing — gliding to the statute only as the regional drag ends.</w:t>
      </w:r>
    </w:p>
    <w:p>
      <w:pPr>
        <w:spacing w:after="80" w:before="200"/>
      </w:pPr>
      <w:r>
        <w:rPr>
          <w:b/>
          <w:i w:val="0"/>
          <w:color w:val="1C3A36"/>
          <w:sz w:val="24"/>
        </w:rPr>
        <w:t>The lines that price this business, and how each is set</w:t>
      </w:r>
    </w:p>
    <w:p>
      <w:pPr>
        <w:spacing w:after="120" w:before="0"/>
      </w:pPr>
      <w:r>
        <w:rPr>
          <w:b w:val="0"/>
          <w:i w:val="0"/>
          <w:color w:val="1C3A36"/>
          <w:sz w:val="21"/>
        </w:rPr>
        <w:t>Three constructions in that waterfall carry most of the answer, and each was challenged in review. None is an assumption dropped in from outside; each is shown with the evidence, the alternative a reviewer would propose, and what that alternative costs.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2664"/>
        <w:gridCol w:w="5688"/>
      </w:tblGrid>
      <w:tr>
        <w:tc>
          <w:tcPr>
            <w:tcW w:type="dxa" w:w="1656"/>
            <w:shd w:val="clear" w:color="auto" w:fill="EAF0EE"/>
          </w:tcPr>
          <w:p>
            <w:pPr>
              <w:spacing w:after="20"/>
            </w:pPr>
            <w:r>
              <w:rPr>
                <w:b/>
                <w:color w:val="1C3A36"/>
                <w:sz w:val="16"/>
              </w:rPr>
              <w:t>Line</w:t>
            </w:r>
          </w:p>
        </w:tc>
        <w:tc>
          <w:tcPr>
            <w:tcW w:type="dxa" w:w="2664"/>
            <w:shd w:val="clear" w:color="auto" w:fill="EAF0EE"/>
          </w:tcPr>
          <w:p>
            <w:pPr>
              <w:spacing w:after="20"/>
            </w:pPr>
            <w:r>
              <w:rPr>
                <w:b/>
                <w:color w:val="1C3A36"/>
                <w:sz w:val="16"/>
              </w:rPr>
              <w:t>What the model uses</w:t>
            </w:r>
          </w:p>
        </w:tc>
        <w:tc>
          <w:tcPr>
            <w:tcW w:type="dxa" w:w="5688"/>
            <w:shd w:val="clear" w:color="auto" w:fill="EAF0EE"/>
          </w:tcPr>
          <w:p>
            <w:pPr>
              <w:spacing w:after="20"/>
            </w:pPr>
            <w:r>
              <w:rPr>
                <w:b/>
                <w:color w:val="1C3A36"/>
                <w:sz w:val="16"/>
              </w:rPr>
              <w:t>The evidence, and what the alternative costs</w:t>
            </w:r>
          </w:p>
        </w:tc>
      </w:tr>
      <w:tr>
        <w:tc>
          <w:tcPr>
            <w:tcW w:type="dxa" w:w="1656"/>
          </w:tcPr>
          <w:p>
            <w:pPr>
              <w:spacing w:after="20"/>
            </w:pPr>
            <w:r>
              <w:rPr>
                <w:color w:val="1C3A36"/>
                <w:sz w:val="16"/>
              </w:rPr>
              <w:t>Working capital</w:t>
            </w:r>
          </w:p>
        </w:tc>
        <w:tc>
          <w:tcPr>
            <w:tcW w:type="dxa" w:w="2664"/>
          </w:tcPr>
          <w:p>
            <w:pPr>
              <w:spacing w:after="20"/>
              <w:jc w:val="right"/>
            </w:pPr>
            <w:r>
              <w:rPr>
                <w:color w:val="1C3A36"/>
                <w:sz w:val="16"/>
              </w:rPr>
              <w:t>23.0% of revenue gliding to 21.0%</w:t>
            </w:r>
          </w:p>
        </w:tc>
        <w:tc>
          <w:tcPr>
            <w:tcW w:type="dxa" w:w="5688"/>
          </w:tcPr>
          <w:p>
            <w:pPr>
              <w:spacing w:after="20"/>
              <w:jc w:val="right"/>
            </w:pPr>
            <w:r>
              <w:rPr>
                <w:color w:val="1C3A36"/>
                <w:sz w:val="16"/>
              </w:rPr>
              <w:t>The measured cycle at 30 June — 122 days of inventory, 27 of receivables, 82 of payables — and five disclosed quarterly snapshots spanning 16.7–18.9bn. A reviewer would carry the FY25 year-end 28.5% instead; that was the pre-buying outlier, and pricing it in costs EGP 7.17 per share of the automotive leg (-4,893 vs 2,894). Held, and stress-shown.</w:t>
            </w:r>
          </w:p>
        </w:tc>
      </w:tr>
      <w:tr>
        <w:tc>
          <w:tcPr>
            <w:tcW w:type="dxa" w:w="1656"/>
          </w:tcPr>
          <w:p>
            <w:pPr>
              <w:spacing w:after="20"/>
            </w:pPr>
            <w:r>
              <w:rPr>
                <w:color w:val="1C3A36"/>
                <w:sz w:val="16"/>
              </w:rPr>
              <w:t>The margin path</w:t>
            </w:r>
          </w:p>
        </w:tc>
        <w:tc>
          <w:tcPr>
            <w:tcW w:type="dxa" w:w="2664"/>
          </w:tcPr>
          <w:p>
            <w:pPr>
              <w:spacing w:after="20"/>
              <w:jc w:val="right"/>
            </w:pPr>
            <w:r>
              <w:rPr>
                <w:color w:val="1C3A36"/>
                <w:sz w:val="16"/>
              </w:rPr>
              <w:t>one more year of the measured compression (to 13.1% in FY27E), then cost moves with price</w:t>
            </w:r>
          </w:p>
        </w:tc>
        <w:tc>
          <w:tcPr>
            <w:tcW w:type="dxa" w:w="5688"/>
          </w:tcPr>
          <w:p>
            <w:pPr>
              <w:spacing w:after="20"/>
              <w:jc w:val="right"/>
            </w:pPr>
            <w:r>
              <w:rPr>
                <w:color w:val="1C3A36"/>
                <w:sz w:val="16"/>
              </w:rPr>
              <w:t>First halves printed 15.5% then 14.3% — one measured year of compression. Compounding the cost-price differential every year instead drives the margin to 11.7% by FY30E and the automotive leg to EGP -1,987mn (-1.83 a share) — a forecast story the disclosed series cannot measure, priced here and rejected. The offsetting force (three more locally assembled models) is real and equally unquantified.</w:t>
            </w:r>
          </w:p>
        </w:tc>
      </w:tr>
      <w:tr>
        <w:tc>
          <w:tcPr>
            <w:tcW w:type="dxa" w:w="1656"/>
          </w:tcPr>
          <w:p>
            <w:pPr>
              <w:spacing w:after="20"/>
            </w:pPr>
            <w:r>
              <w:rPr>
                <w:color w:val="1C3A36"/>
                <w:sz w:val="16"/>
              </w:rPr>
              <w:t>The terminal value</w:t>
            </w:r>
          </w:p>
        </w:tc>
        <w:tc>
          <w:tcPr>
            <w:tcW w:type="dxa" w:w="2664"/>
          </w:tcPr>
          <w:p>
            <w:pPr>
              <w:spacing w:after="20"/>
              <w:jc w:val="right"/>
            </w:pPr>
            <w:r>
              <w:rPr>
                <w:color w:val="1C3A36"/>
                <w:sz w:val="16"/>
              </w:rPr>
              <w:t>FY30E after-tax operating profit grown 11.5%, less reinvestment forced to growth ÷ a terminal return of 22.5%</w:t>
            </w:r>
          </w:p>
        </w:tc>
        <w:tc>
          <w:tcPr>
            <w:tcW w:type="dxa" w:w="5688"/>
          </w:tcPr>
          <w:p>
            <w:pPr>
              <w:spacing w:after="20"/>
              <w:jc w:val="right"/>
            </w:pPr>
            <w:r>
              <w:rPr>
                <w:color w:val="1C3A36"/>
                <w:sz w:val="16"/>
              </w:rPr>
              <w:t>Growth in the perpetuity is paid for, not assumed free. The July edition used plain Gordon on year-five cash flow — its hidden implied terminal return was 25.5%, above even today's realized 22.9%; that construction is worth EGP 4.37 a share and is shown as the labelled alternative. At the forward model's transitional 15% marginal return the leg would be worth -4.70; the 22.5% used sits on the leg's own realized returns.</w:t>
            </w:r>
          </w:p>
        </w:tc>
      </w:tr>
    </w:tbl>
    <w:p>
      <w:pPr>
        <w:spacing w:after="40"/>
      </w:pPr>
    </w:p>
    <w:p>
      <w:pPr>
        <w:spacing w:after="80" w:before="200"/>
      </w:pPr>
      <w:r>
        <w:rPr>
          <w:b/>
          <w:i w:val="0"/>
          <w:color w:val="1C3A36"/>
          <w:sz w:val="24"/>
        </w:rPr>
        <w:t>The bridge from enterprise value to the equity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512"/>
        <w:gridCol w:w="5184"/>
      </w:tblGrid>
      <w:tr>
        <w:tc>
          <w:tcPr>
            <w:tcW w:type="dxa" w:w="3312"/>
            <w:shd w:val="clear" w:color="auto" w:fill="EAF0EE"/>
          </w:tcPr>
          <w:p>
            <w:pPr>
              <w:spacing w:after="20"/>
            </w:pPr>
            <w:r>
              <w:rPr>
                <w:b/>
                <w:color w:val="1C3A36"/>
                <w:sz w:val="17"/>
              </w:rPr>
              <w:t>Line</w:t>
            </w:r>
          </w:p>
        </w:tc>
        <w:tc>
          <w:tcPr>
            <w:tcW w:type="dxa" w:w="1512"/>
            <w:shd w:val="clear" w:color="auto" w:fill="EAF0EE"/>
          </w:tcPr>
          <w:p>
            <w:pPr>
              <w:spacing w:after="20"/>
            </w:pPr>
            <w:r>
              <w:rPr>
                <w:b/>
                <w:color w:val="1C3A36"/>
                <w:sz w:val="17"/>
              </w:rPr>
              <w:t>EGP mn</w:t>
            </w:r>
          </w:p>
        </w:tc>
        <w:tc>
          <w:tcPr>
            <w:tcW w:type="dxa" w:w="5184"/>
            <w:shd w:val="clear" w:color="auto" w:fill="EAF0EE"/>
          </w:tcPr>
          <w:p>
            <w:pPr>
              <w:spacing w:after="20"/>
            </w:pPr>
            <w:r>
              <w:rPr>
                <w:b/>
                <w:color w:val="1C3A36"/>
                <w:sz w:val="17"/>
              </w:rPr>
              <w:t>Note</w:t>
            </w:r>
          </w:p>
        </w:tc>
      </w:tr>
      <w:tr>
        <w:tc>
          <w:tcPr>
            <w:tcW w:type="dxa" w:w="3312"/>
          </w:tcPr>
          <w:p>
            <w:pPr>
              <w:spacing w:after="20"/>
            </w:pPr>
            <w:r>
              <w:rPr>
                <w:color w:val="1C3A36"/>
                <w:sz w:val="17"/>
              </w:rPr>
              <w:t>Present value of the discounted flows</w:t>
            </w:r>
          </w:p>
        </w:tc>
        <w:tc>
          <w:tcPr>
            <w:tcW w:type="dxa" w:w="1512"/>
          </w:tcPr>
          <w:p>
            <w:pPr>
              <w:spacing w:after="20"/>
              <w:jc w:val="right"/>
            </w:pPr>
            <w:r>
              <w:rPr>
                <w:color w:val="1C3A36"/>
                <w:sz w:val="17"/>
              </w:rPr>
              <w:t>2,690</w:t>
            </w:r>
          </w:p>
        </w:tc>
        <w:tc>
          <w:tcPr>
            <w:tcW w:type="dxa" w:w="5184"/>
          </w:tcPr>
          <w:p>
            <w:pPr>
              <w:spacing w:after="20"/>
              <w:jc w:val="right"/>
            </w:pPr>
            <w:r>
              <w:rPr>
                <w:color w:val="1C3A36"/>
                <w:sz w:val="17"/>
              </w:rPr>
              <w:t>H2-26E -1,881 plus FY27E-FY30E, each mid-period</w:t>
            </w:r>
          </w:p>
        </w:tc>
      </w:tr>
      <w:tr>
        <w:tc>
          <w:tcPr>
            <w:tcW w:type="dxa" w:w="3312"/>
          </w:tcPr>
          <w:p>
            <w:pPr>
              <w:spacing w:after="20"/>
            </w:pPr>
            <w:r>
              <w:rPr>
                <w:color w:val="1C3A36"/>
                <w:sz w:val="17"/>
              </w:rPr>
              <w:t>Terminal cash flow</w:t>
            </w:r>
          </w:p>
        </w:tc>
        <w:tc>
          <w:tcPr>
            <w:tcW w:type="dxa" w:w="1512"/>
          </w:tcPr>
          <w:p>
            <w:pPr>
              <w:spacing w:after="20"/>
              <w:jc w:val="right"/>
            </w:pPr>
            <w:r>
              <w:rPr>
                <w:color w:val="1C3A36"/>
                <w:sz w:val="17"/>
              </w:rPr>
              <w:t>4,310</w:t>
            </w:r>
          </w:p>
        </w:tc>
        <w:tc>
          <w:tcPr>
            <w:tcW w:type="dxa" w:w="5184"/>
          </w:tcPr>
          <w:p>
            <w:pPr>
              <w:spacing w:after="20"/>
              <w:jc w:val="right"/>
            </w:pPr>
            <w:r>
              <w:rPr>
                <w:color w:val="1C3A36"/>
                <w:sz w:val="17"/>
              </w:rPr>
              <w:t>FY30E NOPAT 7,906 grown 11.5%, times one less the 51.1% reinvestment rate (growth ÷ terminal return 22.5%) — the growth is paid for</w:t>
            </w:r>
          </w:p>
        </w:tc>
      </w:tr>
      <w:tr>
        <w:tc>
          <w:tcPr>
            <w:tcW w:type="dxa" w:w="3312"/>
          </w:tcPr>
          <w:p>
            <w:pPr>
              <w:spacing w:after="20"/>
            </w:pPr>
            <w:r>
              <w:rPr>
                <w:color w:val="1C3A36"/>
                <w:sz w:val="17"/>
              </w:rPr>
              <w:t>Present value of the terminal value</w:t>
            </w:r>
          </w:p>
        </w:tc>
        <w:tc>
          <w:tcPr>
            <w:tcW w:type="dxa" w:w="1512"/>
          </w:tcPr>
          <w:p>
            <w:pPr>
              <w:spacing w:after="20"/>
              <w:jc w:val="right"/>
            </w:pPr>
            <w:r>
              <w:rPr>
                <w:color w:val="1C3A36"/>
                <w:sz w:val="17"/>
              </w:rPr>
              <w:t>15,288</w:t>
            </w:r>
          </w:p>
        </w:tc>
        <w:tc>
          <w:tcPr>
            <w:tcW w:type="dxa" w:w="5184"/>
          </w:tcPr>
          <w:p>
            <w:pPr>
              <w:spacing w:after="20"/>
              <w:jc w:val="right"/>
            </w:pPr>
            <w:r>
              <w:rPr>
                <w:color w:val="1C3A36"/>
                <w:sz w:val="17"/>
              </w:rPr>
              <w:t>capitalised at 22.72% − 11.5%; 85% of enterprise value — disclosed here, in the summary and in section 7, and stressed in 1.9</w:t>
            </w:r>
          </w:p>
        </w:tc>
      </w:tr>
      <w:tr>
        <w:tc>
          <w:tcPr>
            <w:tcW w:type="dxa" w:w="3312"/>
          </w:tcPr>
          <w:p>
            <w:pPr>
              <w:spacing w:after="20"/>
            </w:pPr>
            <w:r>
              <w:rPr>
                <w:color w:val="1C3A36"/>
                <w:sz w:val="17"/>
              </w:rPr>
              <w:t>Enterprise value — automotive</w:t>
            </w:r>
          </w:p>
        </w:tc>
        <w:tc>
          <w:tcPr>
            <w:tcW w:type="dxa" w:w="1512"/>
          </w:tcPr>
          <w:p>
            <w:pPr>
              <w:spacing w:after="20"/>
              <w:jc w:val="right"/>
            </w:pPr>
            <w:r>
              <w:rPr>
                <w:color w:val="1C3A36"/>
                <w:sz w:val="17"/>
              </w:rPr>
              <w:t>17,978</w:t>
            </w:r>
          </w:p>
        </w:tc>
        <w:tc>
          <w:tcPr>
            <w:tcW w:type="dxa" w:w="5184"/>
          </w:tcPr>
          <w:p>
            <w:pPr>
              <w:spacing w:after="20"/>
              <w:jc w:val="right"/>
            </w:pPr>
            <w:r>
              <w:rPr>
                <w:color w:val="1C3A36"/>
                <w:sz w:val="17"/>
              </w:rPr>
              <w:t>the two lines above</w:t>
            </w:r>
          </w:p>
        </w:tc>
      </w:tr>
      <w:tr>
        <w:tc>
          <w:tcPr>
            <w:tcW w:type="dxa" w:w="3312"/>
          </w:tcPr>
          <w:p>
            <w:pPr>
              <w:spacing w:after="20"/>
            </w:pPr>
            <w:r>
              <w:rPr>
                <w:color w:val="1C3A36"/>
                <w:sz w:val="17"/>
              </w:rPr>
              <w:t>Less net debt</w:t>
            </w:r>
          </w:p>
        </w:tc>
        <w:tc>
          <w:tcPr>
            <w:tcW w:type="dxa" w:w="1512"/>
          </w:tcPr>
          <w:p>
            <w:pPr>
              <w:spacing w:after="20"/>
              <w:jc w:val="right"/>
            </w:pPr>
            <w:r>
              <w:rPr>
                <w:color w:val="1C3A36"/>
                <w:sz w:val="17"/>
              </w:rPr>
              <w:t>-14,494</w:t>
            </w:r>
          </w:p>
        </w:tc>
        <w:tc>
          <w:tcPr>
            <w:tcW w:type="dxa" w:w="5184"/>
          </w:tcPr>
          <w:p>
            <w:pPr>
              <w:spacing w:after="20"/>
              <w:jc w:val="right"/>
            </w:pPr>
            <w:r>
              <w:rPr>
                <w:color w:val="1C3A36"/>
                <w:sz w:val="17"/>
              </w:rPr>
              <w:t>the segment's 30-Jun-26 figure from the release's own net-debt table (debt + leasing notes − cash − inter-segment balances)</w:t>
            </w:r>
          </w:p>
        </w:tc>
      </w:tr>
      <w:tr>
        <w:tc>
          <w:tcPr>
            <w:tcW w:type="dxa" w:w="3312"/>
          </w:tcPr>
          <w:p>
            <w:pPr>
              <w:spacing w:after="20"/>
            </w:pPr>
            <w:r>
              <w:rPr>
                <w:color w:val="1C3A36"/>
                <w:sz w:val="17"/>
              </w:rPr>
              <w:t>Less non-controlling interests</w:t>
            </w:r>
          </w:p>
        </w:tc>
        <w:tc>
          <w:tcPr>
            <w:tcW w:type="dxa" w:w="1512"/>
          </w:tcPr>
          <w:p>
            <w:pPr>
              <w:spacing w:after="20"/>
              <w:jc w:val="right"/>
            </w:pPr>
            <w:r>
              <w:rPr>
                <w:color w:val="1C3A36"/>
                <w:sz w:val="17"/>
              </w:rPr>
              <w:t>-591</w:t>
            </w:r>
          </w:p>
        </w:tc>
        <w:tc>
          <w:tcPr>
            <w:tcW w:type="dxa" w:w="5184"/>
          </w:tcPr>
          <w:p>
            <w:pPr>
              <w:spacing w:after="20"/>
              <w:jc w:val="right"/>
            </w:pPr>
            <w:r>
              <w:rPr>
                <w:color w:val="1C3A36"/>
                <w:sz w:val="17"/>
              </w:rPr>
              <w:t>the automotive segment's minority book at 30-Jun-26</w:t>
            </w:r>
          </w:p>
        </w:tc>
      </w:tr>
      <w:tr>
        <w:tc>
          <w:tcPr>
            <w:tcW w:type="dxa" w:w="3312"/>
            <w:shd w:val="clear" w:color="auto" w:fill="F6F1E6"/>
          </w:tcPr>
          <w:p>
            <w:pPr>
              <w:spacing w:after="20"/>
            </w:pPr>
            <w:r>
              <w:rPr>
                <w:b/>
                <w:color w:val="1C3A36"/>
                <w:sz w:val="17"/>
              </w:rPr>
              <w:t>Automotive equity value</w:t>
            </w:r>
          </w:p>
        </w:tc>
        <w:tc>
          <w:tcPr>
            <w:tcW w:type="dxa" w:w="1512"/>
            <w:shd w:val="clear" w:color="auto" w:fill="F6F1E6"/>
          </w:tcPr>
          <w:p>
            <w:pPr>
              <w:spacing w:after="20"/>
              <w:jc w:val="right"/>
            </w:pPr>
            <w:r>
              <w:rPr>
                <w:b/>
                <w:color w:val="1C3A36"/>
                <w:sz w:val="17"/>
              </w:rPr>
              <w:t>2,894</w:t>
            </w:r>
          </w:p>
        </w:tc>
        <w:tc>
          <w:tcPr>
            <w:tcW w:type="dxa" w:w="5184"/>
            <w:shd w:val="clear" w:color="auto" w:fill="F6F1E6"/>
          </w:tcPr>
          <w:p>
            <w:pPr>
              <w:spacing w:after="20"/>
              <w:jc w:val="right"/>
            </w:pPr>
            <w:r>
              <w:rPr>
                <w:b/>
                <w:color w:val="1C3A36"/>
                <w:sz w:val="17"/>
              </w:rPr>
            </w:r>
          </w:p>
        </w:tc>
      </w:tr>
      <w:tr>
        <w:tc>
          <w:tcPr>
            <w:tcW w:type="dxa" w:w="3312"/>
            <w:shd w:val="clear" w:color="auto" w:fill="F6F1E6"/>
          </w:tcPr>
          <w:p>
            <w:pPr>
              <w:spacing w:after="20"/>
            </w:pPr>
            <w:r>
              <w:rPr>
                <w:b/>
                <w:color w:val="1C3A36"/>
                <w:sz w:val="17"/>
              </w:rPr>
              <w:t>Per share</w:t>
            </w:r>
          </w:p>
        </w:tc>
        <w:tc>
          <w:tcPr>
            <w:tcW w:type="dxa" w:w="1512"/>
            <w:shd w:val="clear" w:color="auto" w:fill="F6F1E6"/>
          </w:tcPr>
          <w:p>
            <w:pPr>
              <w:spacing w:after="20"/>
              <w:jc w:val="right"/>
            </w:pPr>
            <w:r>
              <w:rPr>
                <w:b/>
                <w:color w:val="1C3A36"/>
                <w:sz w:val="17"/>
              </w:rPr>
              <w:t>2.67</w:t>
            </w:r>
          </w:p>
        </w:tc>
        <w:tc>
          <w:tcPr>
            <w:tcW w:type="dxa" w:w="5184"/>
            <w:shd w:val="clear" w:color="auto" w:fill="F6F1E6"/>
          </w:tcPr>
          <w:p>
            <w:pPr>
              <w:spacing w:after="20"/>
              <w:jc w:val="right"/>
            </w:pPr>
            <w:r>
              <w:rPr>
                <w:b/>
                <w:color w:val="1C3A36"/>
                <w:sz w:val="17"/>
              </w:rPr>
              <w:t>the cash-flow leg alone; the group's other legs are added in section 1.5</w:t>
            </w:r>
          </w:p>
        </w:tc>
      </w:tr>
      <w:tr>
        <w:tc>
          <w:tcPr>
            <w:tcW w:type="dxa" w:w="3312"/>
          </w:tcPr>
          <w:p>
            <w:pPr>
              <w:spacing w:after="20"/>
            </w:pPr>
            <w:r>
              <w:rPr>
                <w:color w:val="1C3A36"/>
                <w:sz w:val="17"/>
              </w:rPr>
              <w:t>ALTERNATIVE — Gordon on year-five cash flow</w:t>
            </w:r>
          </w:p>
        </w:tc>
        <w:tc>
          <w:tcPr>
            <w:tcW w:type="dxa" w:w="1512"/>
          </w:tcPr>
          <w:p>
            <w:pPr>
              <w:spacing w:after="20"/>
              <w:jc w:val="right"/>
            </w:pPr>
            <w:r>
              <w:rPr>
                <w:color w:val="1C3A36"/>
                <w:sz w:val="17"/>
              </w:rPr>
              <w:t>4,747</w:t>
            </w:r>
          </w:p>
        </w:tc>
        <w:tc>
          <w:tcPr>
            <w:tcW w:type="dxa" w:w="5184"/>
          </w:tcPr>
          <w:p>
            <w:pPr>
              <w:spacing w:after="20"/>
              <w:jc w:val="right"/>
            </w:pPr>
            <w:r>
              <w:rPr>
                <w:color w:val="1C3A36"/>
                <w:sz w:val="17"/>
              </w:rPr>
              <w:t>the July construction; implied terminal return 25.5%, disclosed rather than hidden. Worth 1.71 a share more; both are shown</w:t>
            </w:r>
          </w:p>
        </w:tc>
      </w:tr>
    </w:tbl>
    <w:p>
      <w:pPr>
        <w:spacing w:after="40"/>
      </w:pPr>
    </w:p>
    <w:p>
      <w:pPr>
        <w:spacing w:after="80" w:before="200"/>
      </w:pPr>
      <w:r>
        <w:rPr>
          <w:b/>
          <w:i w:val="0"/>
          <w:color w:val="1C3A36"/>
          <w:sz w:val="24"/>
        </w:rPr>
        <w:t>1.2  Book value and sustainable return — the asset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2304"/>
      </w:tblGrid>
      <w:tr>
        <w:tc>
          <w:tcPr>
            <w:tcW w:type="dxa" w:w="6336"/>
            <w:shd w:val="clear" w:color="auto" w:fill="EAF0EE"/>
          </w:tcPr>
          <w:p>
            <w:pPr>
              <w:spacing w:after="20"/>
            </w:pPr>
            <w:r>
              <w:rPr>
                <w:b/>
                <w:color w:val="1C3A36"/>
                <w:sz w:val="18"/>
              </w:rPr>
              <w:t>What the restated book is made of (per share)</w:t>
            </w:r>
          </w:p>
        </w:tc>
        <w:tc>
          <w:tcPr>
            <w:tcW w:type="dxa" w:w="2304"/>
            <w:shd w:val="clear" w:color="auto" w:fill="EAF0EE"/>
          </w:tcPr>
          <w:p>
            <w:pPr>
              <w:spacing w:after="20"/>
            </w:pPr>
            <w:r>
              <w:rPr>
                <w:b/>
                <w:color w:val="1C3A36"/>
                <w:sz w:val="18"/>
              </w:rPr>
              <w:t>EGP</w:t>
            </w:r>
          </w:p>
        </w:tc>
      </w:tr>
      <w:tr>
        <w:tc>
          <w:tcPr>
            <w:tcW w:type="dxa" w:w="6336"/>
          </w:tcPr>
          <w:p>
            <w:pPr>
              <w:spacing w:after="20"/>
            </w:pPr>
            <w:r>
              <w:rPr>
                <w:color w:val="1C3A36"/>
                <w:sz w:val="18"/>
              </w:rPr>
              <w:t>Automotive segment equity</w:t>
            </w:r>
          </w:p>
        </w:tc>
        <w:tc>
          <w:tcPr>
            <w:tcW w:type="dxa" w:w="2304"/>
          </w:tcPr>
          <w:p>
            <w:pPr>
              <w:spacing w:after="20"/>
              <w:jc w:val="right"/>
            </w:pPr>
            <w:r>
              <w:rPr>
                <w:color w:val="1C3A36"/>
                <w:sz w:val="18"/>
              </w:rPr>
              <w:t>11.97</w:t>
            </w:r>
          </w:p>
        </w:tc>
      </w:tr>
      <w:tr>
        <w:tc>
          <w:tcPr>
            <w:tcW w:type="dxa" w:w="6336"/>
          </w:tcPr>
          <w:p>
            <w:pPr>
              <w:spacing w:after="20"/>
            </w:pPr>
            <w:r>
              <w:rPr>
                <w:color w:val="1C3A36"/>
                <w:sz w:val="18"/>
              </w:rPr>
              <w:t>GB Capital operating equity (ex-associates)</w:t>
            </w:r>
          </w:p>
        </w:tc>
        <w:tc>
          <w:tcPr>
            <w:tcW w:type="dxa" w:w="2304"/>
          </w:tcPr>
          <w:p>
            <w:pPr>
              <w:spacing w:after="20"/>
              <w:jc w:val="right"/>
            </w:pPr>
            <w:r>
              <w:rPr>
                <w:color w:val="1C3A36"/>
                <w:sz w:val="18"/>
              </w:rPr>
              <w:t>5.77</w:t>
            </w:r>
          </w:p>
        </w:tc>
      </w:tr>
      <w:tr>
        <w:tc>
          <w:tcPr>
            <w:tcW w:type="dxa" w:w="6336"/>
          </w:tcPr>
          <w:p>
            <w:pPr>
              <w:spacing w:after="20"/>
            </w:pPr>
            <w:r>
              <w:rPr>
                <w:color w:val="1C3A36"/>
                <w:sz w:val="18"/>
              </w:rPr>
              <w:t>Associates at the balance-sheet carrying</w:t>
            </w:r>
          </w:p>
        </w:tc>
        <w:tc>
          <w:tcPr>
            <w:tcW w:type="dxa" w:w="2304"/>
          </w:tcPr>
          <w:p>
            <w:pPr>
              <w:spacing w:after="20"/>
              <w:jc w:val="right"/>
            </w:pPr>
            <w:r>
              <w:rPr>
                <w:color w:val="1C3A36"/>
                <w:sz w:val="18"/>
              </w:rPr>
              <w:t>14.95</w:t>
            </w:r>
          </w:p>
        </w:tc>
      </w:tr>
      <w:tr>
        <w:tc>
          <w:tcPr>
            <w:tcW w:type="dxa" w:w="6336"/>
          </w:tcPr>
          <w:p>
            <w:pPr>
              <w:spacing w:after="20"/>
            </w:pPr>
            <w:r>
              <w:rPr>
                <w:color w:val="1C3A36"/>
                <w:sz w:val="18"/>
              </w:rPr>
              <w:t>Inter-segment eliminations</w:t>
            </w:r>
          </w:p>
        </w:tc>
        <w:tc>
          <w:tcPr>
            <w:tcW w:type="dxa" w:w="2304"/>
          </w:tcPr>
          <w:p>
            <w:pPr>
              <w:spacing w:after="20"/>
              <w:jc w:val="right"/>
            </w:pPr>
            <w:r>
              <w:rPr>
                <w:color w:val="1C3A36"/>
                <w:sz w:val="18"/>
              </w:rPr>
              <w:t>-1.88</w:t>
            </w:r>
          </w:p>
        </w:tc>
      </w:tr>
      <w:tr>
        <w:tc>
          <w:tcPr>
            <w:tcW w:type="dxa" w:w="6336"/>
            <w:shd w:val="clear" w:color="auto" w:fill="F6F1E6"/>
          </w:tcPr>
          <w:p>
            <w:pPr>
              <w:spacing w:after="20"/>
            </w:pPr>
            <w:r>
              <w:rPr>
                <w:b/>
                <w:color w:val="1C3A36"/>
                <w:sz w:val="18"/>
              </w:rPr>
              <w:t>Restated book value per share</w:t>
            </w:r>
          </w:p>
        </w:tc>
        <w:tc>
          <w:tcPr>
            <w:tcW w:type="dxa" w:w="2304"/>
            <w:shd w:val="clear" w:color="auto" w:fill="F6F1E6"/>
          </w:tcPr>
          <w:p>
            <w:pPr>
              <w:spacing w:after="20"/>
              <w:jc w:val="right"/>
            </w:pPr>
            <w:r>
              <w:rPr>
                <w:b/>
                <w:color w:val="1C3A36"/>
                <w:sz w:val="18"/>
              </w:rPr>
              <w:t>30.82</w:t>
            </w:r>
          </w:p>
        </w:tc>
      </w:tr>
      <w:tr>
        <w:tc>
          <w:tcPr>
            <w:tcW w:type="dxa" w:w="6336"/>
            <w:shd w:val="clear" w:color="auto" w:fill="F6F1E6"/>
          </w:tcPr>
          <w:p>
            <w:pPr>
              <w:spacing w:after="20"/>
            </w:pPr>
            <w:r>
              <w:rPr>
                <w:b/>
                <w:color w:val="1C3A36"/>
                <w:sz w:val="18"/>
              </w:rPr>
              <w:t>… with MNT-Halan at the round instead</w:t>
            </w:r>
          </w:p>
        </w:tc>
        <w:tc>
          <w:tcPr>
            <w:tcW w:type="dxa" w:w="2304"/>
            <w:shd w:val="clear" w:color="auto" w:fill="F6F1E6"/>
          </w:tcPr>
          <w:p>
            <w:pPr>
              <w:spacing w:after="20"/>
              <w:jc w:val="right"/>
            </w:pPr>
            <w:r>
              <w:rPr>
                <w:b/>
                <w:color w:val="1C3A36"/>
                <w:sz w:val="18"/>
              </w:rPr>
              <w:t>44.41</w:t>
            </w:r>
          </w:p>
        </w:tc>
      </w:tr>
    </w:tbl>
    <w:p>
      <w:pPr>
        <w:spacing w:after="40"/>
      </w:pPr>
    </w:p>
    <w:p>
      <w:pPr>
        <w:spacing w:after="120" w:before="0"/>
      </w:pPr>
      <w:r>
        <w:rPr>
          <w:b w:val="0"/>
          <w:i w:val="0"/>
          <w:color w:val="1C3A36"/>
          <w:sz w:val="21"/>
        </w:rPr>
        <w:t>Restated book is EGP 30.82 per share — the prior-year accounts were restated upward by EGP 2.88bn, mostly the MNT-Halan write-up, so the book already contains part of the contested mark. Forecast return on that equity runs 8.5% in FY26E, recovering toward 13.9% by FY30E as regional losses fade and the tax rate normalises — below the 27.9% cost of equity throughout, which is why this lens anchors at plain book (price-to-book of one) rather than a premium. The bull case is the marked book (EGP 44.41, the round-mark uplift of EGP 13.59 inside it); the bear (EGP 24.66) is 0.8x book, the discount the market applies to sub-hurdle returns.</w:t>
      </w:r>
    </w:p>
    <w:p>
      <w:pPr>
        <w:spacing w:after="80" w:before="200"/>
      </w:pPr>
      <w:r>
        <w:rPr>
          <w:b/>
          <w:i w:val="0"/>
          <w:color w:val="1C3A36"/>
          <w:sz w:val="24"/>
        </w:rPr>
        <w:t>1.3  Relative multiples</w:t>
      </w:r>
    </w:p>
    <w:p>
      <w:pPr>
        <w:spacing w:after="120" w:before="0"/>
      </w:pPr>
      <w:r>
        <w:rPr>
          <w:b w:val="0"/>
          <w:i w:val="0"/>
          <w:color w:val="1C3A36"/>
          <w:sz w:val="21"/>
        </w:rPr>
        <w:t>On the statement-forecast for the full year 2026 the group earns EGP 2.82 per share. Egypt's closest listed financing peer, Contact Financial, trades at 9.4x trailing earnings; AutoNation, the mature-market auto retailer, at 9.1x; Dogus Otomotiv, Turkey's closest analogue to the distribution business, at 12.6x; Bajaj Auto, the two-wheeler partner, at 27.6x in a far richer market. A 8–11x band with 9.5x at the centre prices GBCO at EGP 22.59 / EGP 26.82 / EGP 31.06. This lens is deliberately stake-blind: earnings capture only MNT-Halan's equity pickup, not its mark — which is exactly why it sits at the cautious end of the field.</w:t>
      </w:r>
    </w:p>
    <w:p>
      <w:pPr>
        <w:spacing w:after="80" w:before="200"/>
      </w:pPr>
      <w:r>
        <w:rPr>
          <w:b/>
          <w:i w:val="0"/>
          <w:color w:val="1C3A36"/>
          <w:sz w:val="24"/>
        </w:rPr>
        <w:t>1.4  Normalised earnings power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2304"/>
      </w:tblGrid>
      <w:tr>
        <w:tc>
          <w:tcPr>
            <w:tcW w:type="dxa" w:w="6336"/>
            <w:shd w:val="clear" w:color="auto" w:fill="EAF0EE"/>
          </w:tcPr>
          <w:p>
            <w:pPr>
              <w:spacing w:after="20"/>
            </w:pPr>
            <w:r>
              <w:rPr>
                <w:b/>
                <w:color w:val="1C3A36"/>
                <w:sz w:val="18"/>
              </w:rPr>
              <w:t>Normalisation walk (mid-cycle)</w:t>
            </w:r>
          </w:p>
        </w:tc>
        <w:tc>
          <w:tcPr>
            <w:tcW w:type="dxa" w:w="2304"/>
            <w:shd w:val="clear" w:color="auto" w:fill="EAF0EE"/>
          </w:tcPr>
          <w:p>
            <w:pPr>
              <w:spacing w:after="20"/>
            </w:pPr>
            <w:r>
              <w:rPr>
                <w:b/>
                <w:color w:val="1C3A36"/>
                <w:sz w:val="18"/>
              </w:rPr>
              <w:t>EGP mn</w:t>
            </w:r>
          </w:p>
        </w:tc>
      </w:tr>
      <w:tr>
        <w:tc>
          <w:tcPr>
            <w:tcW w:type="dxa" w:w="6336"/>
          </w:tcPr>
          <w:p>
            <w:pPr>
              <w:spacing w:after="20"/>
            </w:pPr>
            <w:r>
              <w:rPr>
                <w:color w:val="1C3A36"/>
                <w:sz w:val="18"/>
              </w:rPr>
              <w:t>FY27E automotive operating profit</w:t>
            </w:r>
          </w:p>
        </w:tc>
        <w:tc>
          <w:tcPr>
            <w:tcW w:type="dxa" w:w="2304"/>
          </w:tcPr>
          <w:p>
            <w:pPr>
              <w:spacing w:after="20"/>
              <w:jc w:val="right"/>
            </w:pPr>
            <w:r>
              <w:rPr>
                <w:color w:val="1C3A36"/>
                <w:sz w:val="18"/>
              </w:rPr>
              <w:t>6,857</w:t>
            </w:r>
          </w:p>
        </w:tc>
      </w:tr>
      <w:tr>
        <w:tc>
          <w:tcPr>
            <w:tcW w:type="dxa" w:w="6336"/>
          </w:tcPr>
          <w:p>
            <w:pPr>
              <w:spacing w:after="20"/>
            </w:pPr>
            <w:r>
              <w:rPr>
                <w:color w:val="1C3A36"/>
                <w:sz w:val="18"/>
              </w:rPr>
              <w:t>Financing cost at an eased 17% on today's net debt</w:t>
            </w:r>
          </w:p>
        </w:tc>
        <w:tc>
          <w:tcPr>
            <w:tcW w:type="dxa" w:w="2304"/>
          </w:tcPr>
          <w:p>
            <w:pPr>
              <w:spacing w:after="20"/>
              <w:jc w:val="right"/>
            </w:pPr>
            <w:r>
              <w:rPr>
                <w:color w:val="1C3A36"/>
                <w:sz w:val="18"/>
              </w:rPr>
              <w:t>-2,464</w:t>
            </w:r>
          </w:p>
        </w:tc>
      </w:tr>
      <w:tr>
        <w:tc>
          <w:tcPr>
            <w:tcW w:type="dxa" w:w="6336"/>
          </w:tcPr>
          <w:p>
            <w:pPr>
              <w:spacing w:after="20"/>
            </w:pPr>
            <w:r>
              <w:rPr>
                <w:color w:val="1C3A36"/>
                <w:sz w:val="18"/>
              </w:rPr>
              <w:t>Tax at the statutory 22.5% (no loss-stranding)</w:t>
            </w:r>
          </w:p>
        </w:tc>
        <w:tc>
          <w:tcPr>
            <w:tcW w:type="dxa" w:w="2304"/>
          </w:tcPr>
          <w:p>
            <w:pPr>
              <w:spacing w:after="20"/>
              <w:jc w:val="right"/>
            </w:pPr>
            <w:r>
              <w:rPr>
                <w:color w:val="1C3A36"/>
                <w:sz w:val="18"/>
              </w:rPr>
              <w:t>-989</w:t>
            </w:r>
          </w:p>
        </w:tc>
      </w:tr>
      <w:tr>
        <w:tc>
          <w:tcPr>
            <w:tcW w:type="dxa" w:w="6336"/>
          </w:tcPr>
          <w:p>
            <w:pPr>
              <w:spacing w:after="20"/>
            </w:pPr>
            <w:r>
              <w:rPr>
                <w:color w:val="1C3A36"/>
                <w:sz w:val="18"/>
              </w:rPr>
              <w:t>GB Capital net profit, FY27E (incl. associates)</w:t>
            </w:r>
          </w:p>
        </w:tc>
        <w:tc>
          <w:tcPr>
            <w:tcW w:type="dxa" w:w="2304"/>
          </w:tcPr>
          <w:p>
            <w:pPr>
              <w:spacing w:after="20"/>
              <w:jc w:val="right"/>
            </w:pPr>
            <w:r>
              <w:rPr>
                <w:color w:val="1C3A36"/>
                <w:sz w:val="18"/>
              </w:rPr>
              <w:t>1,750</w:t>
            </w:r>
          </w:p>
        </w:tc>
      </w:tr>
      <w:tr>
        <w:tc>
          <w:tcPr>
            <w:tcW w:type="dxa" w:w="6336"/>
            <w:shd w:val="clear" w:color="auto" w:fill="F6F1E6"/>
          </w:tcPr>
          <w:p>
            <w:pPr>
              <w:spacing w:after="20"/>
            </w:pPr>
            <w:r>
              <w:rPr>
                <w:b/>
                <w:color w:val="1C3A36"/>
                <w:sz w:val="18"/>
              </w:rPr>
              <w:t>Normalised group profit</w:t>
            </w:r>
          </w:p>
        </w:tc>
        <w:tc>
          <w:tcPr>
            <w:tcW w:type="dxa" w:w="2304"/>
            <w:shd w:val="clear" w:color="auto" w:fill="F6F1E6"/>
          </w:tcPr>
          <w:p>
            <w:pPr>
              <w:spacing w:after="20"/>
              <w:jc w:val="right"/>
            </w:pPr>
            <w:r>
              <w:rPr>
                <w:b/>
                <w:color w:val="1C3A36"/>
                <w:sz w:val="18"/>
              </w:rPr>
              <w:t>5,155</w:t>
            </w:r>
          </w:p>
        </w:tc>
      </w:tr>
      <w:tr>
        <w:tc>
          <w:tcPr>
            <w:tcW w:type="dxa" w:w="6336"/>
            <w:shd w:val="clear" w:color="auto" w:fill="F6F1E6"/>
          </w:tcPr>
          <w:p>
            <w:pPr>
              <w:spacing w:after="20"/>
            </w:pPr>
            <w:r>
              <w:rPr>
                <w:b/>
                <w:color w:val="1C3A36"/>
                <w:sz w:val="18"/>
              </w:rPr>
              <w:t>Per share x 8.5</w:t>
            </w:r>
          </w:p>
        </w:tc>
        <w:tc>
          <w:tcPr>
            <w:tcW w:type="dxa" w:w="2304"/>
            <w:shd w:val="clear" w:color="auto" w:fill="F6F1E6"/>
          </w:tcPr>
          <w:p>
            <w:pPr>
              <w:spacing w:after="20"/>
              <w:jc w:val="right"/>
            </w:pPr>
            <w:r>
              <w:rPr>
                <w:b/>
                <w:color w:val="1C3A36"/>
                <w:sz w:val="18"/>
              </w:rPr>
              <w:t>40.37</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96"/>
        <w:gridCol w:w="2016"/>
        <w:gridCol w:w="1728"/>
      </w:tblGrid>
      <w:tr>
        <w:tc>
          <w:tcPr>
            <w:tcW w:type="dxa" w:w="4896"/>
            <w:shd w:val="clear" w:color="auto" w:fill="EAF0EE"/>
          </w:tcPr>
          <w:p>
            <w:pPr>
              <w:spacing w:after="20"/>
            </w:pPr>
            <w:r>
              <w:rPr>
                <w:b/>
                <w:color w:val="1C3A36"/>
                <w:sz w:val="18"/>
              </w:rPr>
              <w:t>The two distortions, priced separately</w:t>
            </w:r>
          </w:p>
        </w:tc>
        <w:tc>
          <w:tcPr>
            <w:tcW w:type="dxa" w:w="2016"/>
            <w:shd w:val="clear" w:color="auto" w:fill="EAF0EE"/>
          </w:tcPr>
          <w:p>
            <w:pPr>
              <w:spacing w:after="20"/>
            </w:pPr>
            <w:r>
              <w:rPr>
                <w:b/>
                <w:color w:val="1C3A36"/>
                <w:sz w:val="18"/>
              </w:rPr>
              <w:t>EGP mn / year</w:t>
            </w:r>
          </w:p>
        </w:tc>
        <w:tc>
          <w:tcPr>
            <w:tcW w:type="dxa" w:w="1728"/>
            <w:shd w:val="clear" w:color="auto" w:fill="EAF0EE"/>
          </w:tcPr>
          <w:p>
            <w:pPr>
              <w:spacing w:after="20"/>
            </w:pPr>
            <w:r>
              <w:rPr>
                <w:b/>
                <w:color w:val="1C3A36"/>
                <w:sz w:val="18"/>
              </w:rPr>
              <w:t>Per share</w:t>
            </w:r>
          </w:p>
        </w:tc>
      </w:tr>
      <w:tr>
        <w:tc>
          <w:tcPr>
            <w:tcW w:type="dxa" w:w="4896"/>
          </w:tcPr>
          <w:p>
            <w:pPr>
              <w:spacing w:after="20"/>
            </w:pPr>
            <w:r>
              <w:rPr>
                <w:color w:val="1C3A36"/>
                <w:sz w:val="18"/>
              </w:rPr>
              <w:t>Tax above statute on unshielded regional losses</w:t>
            </w:r>
          </w:p>
        </w:tc>
        <w:tc>
          <w:tcPr>
            <w:tcW w:type="dxa" w:w="2016"/>
          </w:tcPr>
          <w:p>
            <w:pPr>
              <w:spacing w:after="20"/>
              <w:jc w:val="right"/>
            </w:pPr>
            <w:r>
              <w:rPr>
                <w:color w:val="1C3A36"/>
                <w:sz w:val="18"/>
              </w:rPr>
              <w:t>404</w:t>
            </w:r>
          </w:p>
        </w:tc>
        <w:tc>
          <w:tcPr>
            <w:tcW w:type="dxa" w:w="1728"/>
          </w:tcPr>
          <w:p>
            <w:pPr>
              <w:spacing w:after="20"/>
              <w:jc w:val="right"/>
            </w:pPr>
            <w:r>
              <w:rPr>
                <w:color w:val="1C3A36"/>
                <w:sz w:val="18"/>
              </w:rPr>
              <w:t>0.37</w:t>
            </w:r>
          </w:p>
        </w:tc>
      </w:tr>
      <w:tr>
        <w:tc>
          <w:tcPr>
            <w:tcW w:type="dxa" w:w="4896"/>
          </w:tcPr>
          <w:p>
            <w:pPr>
              <w:spacing w:after="20"/>
            </w:pPr>
            <w:r>
              <w:rPr>
                <w:color w:val="1C3A36"/>
                <w:sz w:val="18"/>
              </w:rPr>
              <w:t>Funding cost above the eased-cycle rate</w:t>
            </w:r>
          </w:p>
        </w:tc>
        <w:tc>
          <w:tcPr>
            <w:tcW w:type="dxa" w:w="2016"/>
          </w:tcPr>
          <w:p>
            <w:pPr>
              <w:spacing w:after="20"/>
              <w:jc w:val="right"/>
            </w:pPr>
            <w:r>
              <w:rPr>
                <w:color w:val="1C3A36"/>
                <w:sz w:val="18"/>
              </w:rPr>
              <w:t>281</w:t>
            </w:r>
          </w:p>
        </w:tc>
        <w:tc>
          <w:tcPr>
            <w:tcW w:type="dxa" w:w="1728"/>
          </w:tcPr>
          <w:p>
            <w:pPr>
              <w:spacing w:after="20"/>
              <w:jc w:val="right"/>
            </w:pPr>
            <w:r>
              <w:rPr>
                <w:color w:val="1C3A36"/>
                <w:sz w:val="18"/>
              </w:rPr>
              <w:t>0.26</w:t>
            </w:r>
          </w:p>
        </w:tc>
      </w:tr>
    </w:tbl>
    <w:p>
      <w:pPr>
        <w:spacing w:after="40"/>
      </w:pPr>
    </w:p>
    <w:p>
      <w:pPr>
        <w:spacing w:after="120" w:before="0"/>
      </w:pPr>
      <w:r>
        <w:rPr>
          <w:b w:val="0"/>
          <w:i w:val="0"/>
          <w:color w:val="1C3A36"/>
          <w:sz w:val="21"/>
        </w:rPr>
        <w:t>What normalisation removes: the 41.0% effective tax rate (statutory is 22.5% — the excess is Iraqi and Jordanian losses that shield nothing), and a funding bill still priced off a 19% policy corridor that the central bank has begun easing. At 8.5x — between the Egyptian financing peer and the mature-market retailers — normalised power is worth EGP 40.37 (bear EGP 30.27, bull EGP 50.53). This lens leans furthest into the recovery; its weight reflects that.</w:t>
      </w:r>
    </w:p>
    <w:p>
      <w:pPr>
        <w:spacing w:after="80" w:before="200"/>
      </w:pPr>
      <w:r>
        <w:rPr>
          <w:b/>
          <w:i w:val="0"/>
          <w:color w:val="1C3A36"/>
          <w:sz w:val="24"/>
        </w:rPr>
        <w:t>1.5  Synthesis — four lenses, one field</w:t>
      </w:r>
    </w:p>
    <w:p>
      <w:pPr>
        <w:spacing w:after="120" w:before="0"/>
      </w:pPr>
      <w:r>
        <w:rPr>
          <w:b w:val="0"/>
          <w:i w:val="0"/>
          <w:color w:val="1C3A36"/>
          <w:sz w:val="21"/>
        </w:rPr>
        <w:t>Weights: sum of the parts 40%, book 15%, relative 20%, normalised 25%. Under the round mark the weighted central is EGP 33.56; under the company's balance-sheet mark it is EGP 28.66. We publish the round-mark central as the base — the round is real third-party money, led by the country's largest bank — and we let the balance-sheet framing define the bear side of the published range, because the auditor's inability to verify the carrying value is not a technicality. The two numbers are EGP 4.90 apart; nothing in this study averages them.</w:t>
      </w:r>
    </w:p>
    <w:p>
      <w:pPr>
        <w:spacing w:after="80" w:before="200"/>
      </w:pPr>
      <w:r>
        <w:rPr>
          <w:b/>
          <w:i w:val="0"/>
          <w:color w:val="1C3A36"/>
          <w:sz w:val="24"/>
        </w:rPr>
        <w:t>1.6  The drivers — every line on its own volumes and prices</w:t>
      </w:r>
    </w:p>
    <w:p>
      <w:pPr>
        <w:spacing w:after="120" w:before="0"/>
      </w:pPr>
      <w:r>
        <w:rPr>
          <w:b w:val="0"/>
          <w:i w:val="0"/>
          <w:color w:val="1C3A36"/>
          <w:sz w:val="21"/>
        </w:rPr>
        <w:t>Before re-setting a single driver, the July forecast was scored against the half that actually printed: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944"/>
        <w:gridCol w:w="1656"/>
        <w:gridCol w:w="2232"/>
        <w:gridCol w:w="1440"/>
      </w:tblGrid>
      <w:tr>
        <w:tc>
          <w:tcPr>
            <w:tcW w:type="dxa" w:w="2592"/>
            <w:shd w:val="clear" w:color="auto" w:fill="EAF0EE"/>
          </w:tcPr>
          <w:p>
            <w:pPr>
              <w:spacing w:after="20"/>
            </w:pPr>
            <w:r>
              <w:rPr>
                <w:b/>
                <w:color w:val="1C3A36"/>
                <w:sz w:val="18"/>
              </w:rPr>
              <w:t>Line</w:t>
            </w:r>
          </w:p>
        </w:tc>
        <w:tc>
          <w:tcPr>
            <w:tcW w:type="dxa" w:w="1944"/>
            <w:shd w:val="clear" w:color="auto" w:fill="EAF0EE"/>
          </w:tcPr>
          <w:p>
            <w:pPr>
              <w:spacing w:after="20"/>
            </w:pPr>
            <w:r>
              <w:rPr>
                <w:b/>
                <w:color w:val="1C3A36"/>
                <w:sz w:val="18"/>
              </w:rPr>
              <w:t>July study, FY26E</w:t>
            </w:r>
          </w:p>
        </w:tc>
        <w:tc>
          <w:tcPr>
            <w:tcW w:type="dxa" w:w="1656"/>
            <w:shd w:val="clear" w:color="auto" w:fill="EAF0EE"/>
          </w:tcPr>
          <w:p>
            <w:pPr>
              <w:spacing w:after="20"/>
            </w:pPr>
            <w:r>
              <w:rPr>
                <w:b/>
                <w:color w:val="1C3A36"/>
                <w:sz w:val="18"/>
              </w:rPr>
              <w:t>H1-26 actual</w:t>
            </w:r>
          </w:p>
        </w:tc>
        <w:tc>
          <w:tcPr>
            <w:tcW w:type="dxa" w:w="2232"/>
            <w:shd w:val="clear" w:color="auto" w:fill="EAF0EE"/>
          </w:tcPr>
          <w:p>
            <w:pPr>
              <w:spacing w:after="20"/>
            </w:pPr>
            <w:r>
              <w:rPr>
                <w:b/>
                <w:color w:val="1C3A36"/>
                <w:sz w:val="18"/>
              </w:rPr>
              <w:t>Full-year pace vs forecast</w:t>
            </w:r>
          </w:p>
        </w:tc>
        <w:tc>
          <w:tcPr>
            <w:tcW w:type="dxa" w:w="1440"/>
            <w:shd w:val="clear" w:color="auto" w:fill="EAF0EE"/>
          </w:tcPr>
          <w:p>
            <w:pPr>
              <w:spacing w:after="20"/>
            </w:pPr>
            <w:r>
              <w:rPr>
                <w:b/>
                <w:color w:val="1C3A36"/>
                <w:sz w:val="18"/>
              </w:rPr>
              <w:t>Verdict</w:t>
            </w:r>
          </w:p>
        </w:tc>
      </w:tr>
      <w:tr>
        <w:tc>
          <w:tcPr>
            <w:tcW w:type="dxa" w:w="2592"/>
          </w:tcPr>
          <w:p>
            <w:pPr>
              <w:spacing w:after="20"/>
            </w:pPr>
            <w:r>
              <w:rPr>
                <w:color w:val="1C3A36"/>
                <w:sz w:val="18"/>
              </w:rPr>
              <w:t>PC volumes (units)</w:t>
            </w:r>
          </w:p>
        </w:tc>
        <w:tc>
          <w:tcPr>
            <w:tcW w:type="dxa" w:w="1944"/>
          </w:tcPr>
          <w:p>
            <w:pPr>
              <w:spacing w:after="20"/>
              <w:jc w:val="right"/>
            </w:pPr>
            <w:r>
              <w:rPr>
                <w:color w:val="1C3A36"/>
                <w:sz w:val="18"/>
              </w:rPr>
              <w:t>63,334</w:t>
            </w:r>
          </w:p>
        </w:tc>
        <w:tc>
          <w:tcPr>
            <w:tcW w:type="dxa" w:w="1656"/>
          </w:tcPr>
          <w:p>
            <w:pPr>
              <w:spacing w:after="20"/>
              <w:jc w:val="right"/>
            </w:pPr>
            <w:r>
              <w:rPr>
                <w:color w:val="1C3A36"/>
                <w:sz w:val="18"/>
              </w:rPr>
              <w:t>29,554</w:t>
            </w:r>
          </w:p>
        </w:tc>
        <w:tc>
          <w:tcPr>
            <w:tcW w:type="dxa" w:w="2232"/>
          </w:tcPr>
          <w:p>
            <w:pPr>
              <w:spacing w:after="20"/>
              <w:jc w:val="right"/>
            </w:pPr>
            <w:r>
              <w:rPr>
                <w:color w:val="1C3A36"/>
                <w:sz w:val="18"/>
              </w:rPr>
              <w:t>+2%</w:t>
            </w:r>
          </w:p>
        </w:tc>
        <w:tc>
          <w:tcPr>
            <w:tcW w:type="dxa" w:w="1440"/>
          </w:tcPr>
          <w:p>
            <w:pPr>
              <w:spacing w:after="20"/>
              <w:jc w:val="right"/>
            </w:pPr>
            <w:r>
              <w:rPr>
                <w:color w:val="1C3A36"/>
                <w:sz w:val="18"/>
              </w:rPr>
              <w:t>on track</w:t>
            </w:r>
          </w:p>
        </w:tc>
      </w:tr>
      <w:tr>
        <w:tc>
          <w:tcPr>
            <w:tcW w:type="dxa" w:w="2592"/>
          </w:tcPr>
          <w:p>
            <w:pPr>
              <w:spacing w:after="20"/>
            </w:pPr>
            <w:r>
              <w:rPr>
                <w:color w:val="1C3A36"/>
                <w:sz w:val="18"/>
              </w:rPr>
              <w:t>PC revenue</w:t>
            </w:r>
          </w:p>
        </w:tc>
        <w:tc>
          <w:tcPr>
            <w:tcW w:type="dxa" w:w="1944"/>
          </w:tcPr>
          <w:p>
            <w:pPr>
              <w:spacing w:after="20"/>
              <w:jc w:val="right"/>
            </w:pPr>
            <w:r>
              <w:rPr>
                <w:color w:val="1C3A36"/>
                <w:sz w:val="18"/>
              </w:rPr>
              <w:t>62,717</w:t>
            </w:r>
          </w:p>
        </w:tc>
        <w:tc>
          <w:tcPr>
            <w:tcW w:type="dxa" w:w="1656"/>
          </w:tcPr>
          <w:p>
            <w:pPr>
              <w:spacing w:after="20"/>
              <w:jc w:val="right"/>
            </w:pPr>
            <w:r>
              <w:rPr>
                <w:color w:val="1C3A36"/>
                <w:sz w:val="18"/>
              </w:rPr>
              <w:t>30,596</w:t>
            </w:r>
          </w:p>
        </w:tc>
        <w:tc>
          <w:tcPr>
            <w:tcW w:type="dxa" w:w="2232"/>
          </w:tcPr>
          <w:p>
            <w:pPr>
              <w:spacing w:after="20"/>
              <w:jc w:val="right"/>
            </w:pPr>
            <w:r>
              <w:rPr>
                <w:color w:val="1C3A36"/>
                <w:sz w:val="18"/>
              </w:rPr>
              <w:t>+7%</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CV&amp;CE revenue</w:t>
            </w:r>
          </w:p>
        </w:tc>
        <w:tc>
          <w:tcPr>
            <w:tcW w:type="dxa" w:w="1944"/>
          </w:tcPr>
          <w:p>
            <w:pPr>
              <w:spacing w:after="20"/>
              <w:jc w:val="right"/>
            </w:pPr>
            <w:r>
              <w:rPr>
                <w:color w:val="1C3A36"/>
                <w:sz w:val="18"/>
              </w:rPr>
              <w:t>7,818</w:t>
            </w:r>
          </w:p>
        </w:tc>
        <w:tc>
          <w:tcPr>
            <w:tcW w:type="dxa" w:w="1656"/>
          </w:tcPr>
          <w:p>
            <w:pPr>
              <w:spacing w:after="20"/>
              <w:jc w:val="right"/>
            </w:pPr>
            <w:r>
              <w:rPr>
                <w:color w:val="1C3A36"/>
                <w:sz w:val="18"/>
              </w:rPr>
              <w:t>4,749</w:t>
            </w:r>
          </w:p>
        </w:tc>
        <w:tc>
          <w:tcPr>
            <w:tcW w:type="dxa" w:w="2232"/>
          </w:tcPr>
          <w:p>
            <w:pPr>
              <w:spacing w:after="20"/>
              <w:jc w:val="right"/>
            </w:pPr>
            <w:r>
              <w:rPr>
                <w:color w:val="1C3A36"/>
                <w:sz w:val="18"/>
              </w:rPr>
              <w:t>+37%</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Light-Mobility revenue</w:t>
            </w:r>
          </w:p>
        </w:tc>
        <w:tc>
          <w:tcPr>
            <w:tcW w:type="dxa" w:w="1944"/>
          </w:tcPr>
          <w:p>
            <w:pPr>
              <w:spacing w:after="20"/>
              <w:jc w:val="right"/>
            </w:pPr>
            <w:r>
              <w:rPr>
                <w:color w:val="1C3A36"/>
                <w:sz w:val="18"/>
              </w:rPr>
              <w:t>3,008</w:t>
            </w:r>
          </w:p>
        </w:tc>
        <w:tc>
          <w:tcPr>
            <w:tcW w:type="dxa" w:w="1656"/>
          </w:tcPr>
          <w:p>
            <w:pPr>
              <w:spacing w:after="20"/>
              <w:jc w:val="right"/>
            </w:pPr>
            <w:r>
              <w:rPr>
                <w:color w:val="1C3A36"/>
                <w:sz w:val="18"/>
              </w:rPr>
              <w:t>1,435</w:t>
            </w:r>
          </w:p>
        </w:tc>
        <w:tc>
          <w:tcPr>
            <w:tcW w:type="dxa" w:w="2232"/>
          </w:tcPr>
          <w:p>
            <w:pPr>
              <w:spacing w:after="20"/>
              <w:jc w:val="right"/>
            </w:pPr>
            <w:r>
              <w:rPr>
                <w:color w:val="1C3A36"/>
                <w:sz w:val="18"/>
              </w:rPr>
              <w:t>+13%</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Trading revenue</w:t>
            </w:r>
          </w:p>
        </w:tc>
        <w:tc>
          <w:tcPr>
            <w:tcW w:type="dxa" w:w="1944"/>
          </w:tcPr>
          <w:p>
            <w:pPr>
              <w:spacing w:after="20"/>
              <w:jc w:val="right"/>
            </w:pPr>
            <w:r>
              <w:rPr>
                <w:color w:val="1C3A36"/>
                <w:sz w:val="18"/>
              </w:rPr>
              <w:t>5,007</w:t>
            </w:r>
          </w:p>
        </w:tc>
        <w:tc>
          <w:tcPr>
            <w:tcW w:type="dxa" w:w="1656"/>
          </w:tcPr>
          <w:p>
            <w:pPr>
              <w:spacing w:after="20"/>
              <w:jc w:val="right"/>
            </w:pPr>
            <w:r>
              <w:rPr>
                <w:color w:val="1C3A36"/>
                <w:sz w:val="18"/>
              </w:rPr>
              <w:t>2,572</w:t>
            </w:r>
          </w:p>
        </w:tc>
        <w:tc>
          <w:tcPr>
            <w:tcW w:type="dxa" w:w="2232"/>
          </w:tcPr>
          <w:p>
            <w:pPr>
              <w:spacing w:after="20"/>
              <w:jc w:val="right"/>
            </w:pPr>
            <w:r>
              <w:rPr>
                <w:color w:val="1C3A36"/>
                <w:sz w:val="18"/>
              </w:rPr>
              <w:t>-11%</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Auto revenue</w:t>
            </w:r>
          </w:p>
        </w:tc>
        <w:tc>
          <w:tcPr>
            <w:tcW w:type="dxa" w:w="1944"/>
          </w:tcPr>
          <w:p>
            <w:pPr>
              <w:spacing w:after="20"/>
              <w:jc w:val="right"/>
            </w:pPr>
            <w:r>
              <w:rPr>
                <w:color w:val="1C3A36"/>
                <w:sz w:val="18"/>
              </w:rPr>
              <w:t>78,550</w:t>
            </w:r>
          </w:p>
        </w:tc>
        <w:tc>
          <w:tcPr>
            <w:tcW w:type="dxa" w:w="1656"/>
          </w:tcPr>
          <w:p>
            <w:pPr>
              <w:spacing w:after="20"/>
              <w:jc w:val="right"/>
            </w:pPr>
            <w:r>
              <w:rPr>
                <w:color w:val="1C3A36"/>
                <w:sz w:val="18"/>
              </w:rPr>
              <w:t>40,022</w:t>
            </w:r>
          </w:p>
        </w:tc>
        <w:tc>
          <w:tcPr>
            <w:tcW w:type="dxa" w:w="2232"/>
          </w:tcPr>
          <w:p>
            <w:pPr>
              <w:spacing w:after="20"/>
              <w:jc w:val="right"/>
            </w:pPr>
            <w:r>
              <w:rPr>
                <w:color w:val="1C3A36"/>
                <w:sz w:val="18"/>
              </w:rPr>
              <w:t>+10%</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Auto EBITDA</w:t>
            </w:r>
          </w:p>
        </w:tc>
        <w:tc>
          <w:tcPr>
            <w:tcW w:type="dxa" w:w="1944"/>
          </w:tcPr>
          <w:p>
            <w:pPr>
              <w:spacing w:after="20"/>
              <w:jc w:val="right"/>
            </w:pPr>
            <w:r>
              <w:rPr>
                <w:color w:val="1C3A36"/>
                <w:sz w:val="18"/>
              </w:rPr>
              <w:t>6,677</w:t>
            </w:r>
          </w:p>
        </w:tc>
        <w:tc>
          <w:tcPr>
            <w:tcW w:type="dxa" w:w="1656"/>
          </w:tcPr>
          <w:p>
            <w:pPr>
              <w:spacing w:after="20"/>
              <w:jc w:val="right"/>
            </w:pPr>
            <w:r>
              <w:rPr>
                <w:color w:val="1C3A36"/>
                <w:sz w:val="18"/>
              </w:rPr>
              <w:t>3,485</w:t>
            </w:r>
          </w:p>
        </w:tc>
        <w:tc>
          <w:tcPr>
            <w:tcW w:type="dxa" w:w="2232"/>
          </w:tcPr>
          <w:p>
            <w:pPr>
              <w:spacing w:after="20"/>
              <w:jc w:val="right"/>
            </w:pPr>
            <w:r>
              <w:rPr>
                <w:color w:val="1C3A36"/>
                <w:sz w:val="18"/>
              </w:rPr>
              <w:t>+8%</w:t>
            </w:r>
          </w:p>
        </w:tc>
        <w:tc>
          <w:tcPr>
            <w:tcW w:type="dxa" w:w="1440"/>
          </w:tcPr>
          <w:p>
            <w:pPr>
              <w:spacing w:after="20"/>
              <w:jc w:val="right"/>
            </w:pPr>
            <w:r>
              <w:rPr>
                <w:color w:val="1C3A36"/>
                <w:sz w:val="18"/>
              </w:rPr>
              <w:t>escalate</w:t>
            </w:r>
          </w:p>
        </w:tc>
      </w:tr>
      <w:tr>
        <w:tc>
          <w:tcPr>
            <w:tcW w:type="dxa" w:w="2592"/>
          </w:tcPr>
          <w:p>
            <w:pPr>
              <w:spacing w:after="20"/>
            </w:pPr>
            <w:r>
              <w:rPr>
                <w:color w:val="1C3A36"/>
                <w:sz w:val="18"/>
              </w:rPr>
              <w:t>Group net profit</w:t>
            </w:r>
          </w:p>
        </w:tc>
        <w:tc>
          <w:tcPr>
            <w:tcW w:type="dxa" w:w="1944"/>
          </w:tcPr>
          <w:p>
            <w:pPr>
              <w:spacing w:after="20"/>
              <w:jc w:val="right"/>
            </w:pPr>
            <w:r>
              <w:rPr>
                <w:color w:val="1C3A36"/>
                <w:sz w:val="18"/>
              </w:rPr>
              <w:t>3,300</w:t>
            </w:r>
          </w:p>
        </w:tc>
        <w:tc>
          <w:tcPr>
            <w:tcW w:type="dxa" w:w="1656"/>
          </w:tcPr>
          <w:p>
            <w:pPr>
              <w:spacing w:after="20"/>
              <w:jc w:val="right"/>
            </w:pPr>
            <w:r>
              <w:rPr>
                <w:color w:val="1C3A36"/>
                <w:sz w:val="18"/>
              </w:rPr>
              <w:t>1,262</w:t>
            </w:r>
          </w:p>
        </w:tc>
        <w:tc>
          <w:tcPr>
            <w:tcW w:type="dxa" w:w="2232"/>
          </w:tcPr>
          <w:p>
            <w:pPr>
              <w:spacing w:after="20"/>
              <w:jc w:val="right"/>
            </w:pPr>
            <w:r>
              <w:rPr>
                <w:color w:val="1C3A36"/>
                <w:sz w:val="18"/>
              </w:rPr>
              <w:t>-34%</w:t>
            </w:r>
          </w:p>
        </w:tc>
        <w:tc>
          <w:tcPr>
            <w:tcW w:type="dxa" w:w="1440"/>
          </w:tcPr>
          <w:p>
            <w:pPr>
              <w:spacing w:after="20"/>
              <w:jc w:val="right"/>
            </w:pPr>
            <w:r>
              <w:rPr>
                <w:color w:val="1C3A36"/>
                <w:sz w:val="18"/>
              </w:rPr>
              <w:t>escalate</w:t>
            </w:r>
          </w:p>
        </w:tc>
      </w:tr>
    </w:tbl>
    <w:p>
      <w:pPr>
        <w:spacing w:after="40"/>
      </w:pPr>
    </w:p>
    <w:p>
      <w:pPr>
        <w:spacing w:after="200" w:before="0"/>
      </w:pPr>
      <w:r>
        <w:rPr>
          <w:b w:val="0"/>
          <w:i/>
          <w:color w:val="6E7B77"/>
          <w:sz w:val="17"/>
        </w:rPr>
        <w:t>'Full-year pace' compares the half against the forecast using last year's seasonal split, so a strong second half is not mistaken for a miss. Anything beyond five percent is treated as a forecast error to be explained, not smoothed over.</w:t>
      </w:r>
    </w:p>
    <w:p>
      <w:pPr>
        <w:spacing w:after="120" w:before="0"/>
      </w:pPr>
      <w:r>
        <w:rPr>
          <w:b w:val="0"/>
          <w:i w:val="0"/>
          <w:color w:val="1C3A36"/>
          <w:sz w:val="21"/>
        </w:rPr>
        <w:t>Three real errors surfaced. Commercial vehicles were under-forecast by a third — the bus and truck replacement cycle plus exports ran far ahead of the modelled recovery. Tires were over-forecast — last year's base carried a one-off dealer stock transfer the old model treated as run-rate. And group profit was over-forecast for a reason that had nothing to do with operations: the old model taxed everything at a flat 28% and carried no financing-cost line; the real half printed a 41% effective rate and 42% higher finance costs. All three mechanisms are now modelled explicitly.</w:t>
      </w:r>
    </w:p>
    <w:p>
      <w:pPr>
        <w:spacing w:after="40"/>
        <w:jc w:val="center"/>
      </w:pPr>
      <w:r>
        <w:drawing>
          <wp:inline xmlns:a="http://schemas.openxmlformats.org/drawingml/2006/main" xmlns:pic="http://schemas.openxmlformats.org/drawingml/2006/picture">
            <wp:extent cx="6309360" cy="2617713"/>
            <wp:docPr id="2" name="Picture 2"/>
            <wp:cNvGraphicFramePr>
              <a:graphicFrameLocks noChangeAspect="1"/>
            </wp:cNvGraphicFramePr>
            <a:graphic>
              <a:graphicData uri="http://schemas.openxmlformats.org/drawingml/2006/picture">
                <pic:pic>
                  <pic:nvPicPr>
                    <pic:cNvPr id="0" name="fig4_variance.png"/>
                    <pic:cNvPicPr/>
                  </pic:nvPicPr>
                  <pic:blipFill>
                    <a:blip r:embed="rId10"/>
                    <a:stretch>
                      <a:fillRect/>
                    </a:stretch>
                  </pic:blipFill>
                  <pic:spPr>
                    <a:xfrm>
                      <a:off x="0" y="0"/>
                      <a:ext cx="6309360" cy="2617713"/>
                    </a:xfrm>
                    <a:prstGeom prst="rect"/>
                  </pic:spPr>
                </pic:pic>
              </a:graphicData>
            </a:graphic>
          </wp:inline>
        </w:drawing>
      </w:r>
    </w:p>
    <w:p>
      <w:pPr>
        <w:spacing w:after="200" w:before="0"/>
      </w:pPr>
      <w:r>
        <w:rPr>
          <w:b w:val="0"/>
          <w:i/>
          <w:color w:val="6E7B77"/>
          <w:sz w:val="17"/>
        </w:rPr>
        <w:t>The scorecard behind the driver re-set.</w:t>
      </w:r>
    </w:p>
    <w:p>
      <w:pPr>
        <w:spacing w:after="120" w:before="0"/>
      </w:pPr>
      <w:r>
        <w:rPr>
          <w:b w:val="0"/>
          <w:i w:val="0"/>
          <w:color w:val="1C3A36"/>
          <w:sz w:val="21"/>
        </w:rPr>
        <w:t>The re-built stack — every disclosed unit grown on its own driver. FY26E is never typed: it is the disclosed first half plus a second half built on the FY25 measured seasonal split, with one visible tempering judgement per line. Locally assembled cars are the driver (the launch calendar) and imports the residual; buses are the driver and trucks the residual; unit costs escalate on their own physical classes (imported content on the currency path, domestic on the inflation path) and margins fall out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325"/>
        <w:gridCol w:w="1224"/>
        <w:gridCol w:w="1224"/>
        <w:gridCol w:w="1224"/>
        <w:gridCol w:w="2563"/>
      </w:tblGrid>
      <w:tr>
        <w:tc>
          <w:tcPr>
            <w:tcW w:type="dxa" w:w="2520"/>
            <w:shd w:val="clear" w:color="auto" w:fill="EAF0EE"/>
          </w:tcPr>
          <w:p>
            <w:pPr>
              <w:spacing w:after="20"/>
            </w:pPr>
            <w:r>
              <w:rPr>
                <w:b/>
                <w:color w:val="1C3A36"/>
                <w:sz w:val="16"/>
              </w:rPr>
              <w:t>Driver</w:t>
            </w:r>
          </w:p>
        </w:tc>
        <w:tc>
          <w:tcPr>
            <w:tcW w:type="dxa" w:w="1325"/>
            <w:shd w:val="clear" w:color="auto" w:fill="EAF0EE"/>
          </w:tcPr>
          <w:p>
            <w:pPr>
              <w:spacing w:after="20"/>
            </w:pPr>
            <w:r>
              <w:rPr>
                <w:b/>
                <w:color w:val="1C3A36"/>
                <w:sz w:val="16"/>
              </w:rPr>
              <w:t>H1-26 actual</w:t>
            </w:r>
          </w:p>
        </w:tc>
        <w:tc>
          <w:tcPr>
            <w:tcW w:type="dxa" w:w="1224"/>
            <w:shd w:val="clear" w:color="auto" w:fill="EAF0EE"/>
          </w:tcPr>
          <w:p>
            <w:pPr>
              <w:spacing w:after="20"/>
            </w:pPr>
            <w:r>
              <w:rPr>
                <w:b/>
                <w:color w:val="1C3A36"/>
                <w:sz w:val="16"/>
              </w:rPr>
              <w:t>FY26E</w:t>
            </w:r>
          </w:p>
        </w:tc>
        <w:tc>
          <w:tcPr>
            <w:tcW w:type="dxa" w:w="1224"/>
            <w:shd w:val="clear" w:color="auto" w:fill="EAF0EE"/>
          </w:tcPr>
          <w:p>
            <w:pPr>
              <w:spacing w:after="20"/>
            </w:pPr>
            <w:r>
              <w:rPr>
                <w:b/>
                <w:color w:val="1C3A36"/>
                <w:sz w:val="16"/>
              </w:rPr>
              <w:t>FY27E</w:t>
            </w:r>
          </w:p>
        </w:tc>
        <w:tc>
          <w:tcPr>
            <w:tcW w:type="dxa" w:w="1224"/>
            <w:shd w:val="clear" w:color="auto" w:fill="EAF0EE"/>
          </w:tcPr>
          <w:p>
            <w:pPr>
              <w:spacing w:after="20"/>
            </w:pPr>
            <w:r>
              <w:rPr>
                <w:b/>
                <w:color w:val="1C3A36"/>
                <w:sz w:val="16"/>
              </w:rPr>
              <w:t>FY30E</w:t>
            </w:r>
          </w:p>
        </w:tc>
        <w:tc>
          <w:tcPr>
            <w:tcW w:type="dxa" w:w="2563"/>
            <w:shd w:val="clear" w:color="auto" w:fill="EAF0EE"/>
          </w:tcPr>
          <w:p>
            <w:pPr>
              <w:spacing w:after="20"/>
            </w:pPr>
            <w:r>
              <w:rPr>
                <w:b/>
                <w:color w:val="1C3A36"/>
                <w:sz w:val="16"/>
              </w:rPr>
              <w:t>Set by</w:t>
            </w:r>
          </w:p>
        </w:tc>
      </w:tr>
      <w:tr>
        <w:tc>
          <w:tcPr>
            <w:tcW w:type="dxa" w:w="2520"/>
          </w:tcPr>
          <w:p>
            <w:pPr>
              <w:spacing w:after="20"/>
            </w:pPr>
            <w:r>
              <w:rPr>
                <w:color w:val="1C3A36"/>
                <w:sz w:val="16"/>
              </w:rPr>
              <w:t>Locally assembled cars (units)</w:t>
            </w:r>
          </w:p>
        </w:tc>
        <w:tc>
          <w:tcPr>
            <w:tcW w:type="dxa" w:w="1325"/>
          </w:tcPr>
          <w:p>
            <w:pPr>
              <w:spacing w:after="20"/>
              <w:jc w:val="right"/>
            </w:pPr>
            <w:r>
              <w:rPr>
                <w:color w:val="1C3A36"/>
                <w:sz w:val="16"/>
              </w:rPr>
              <w:t>15,454</w:t>
            </w:r>
          </w:p>
        </w:tc>
        <w:tc>
          <w:tcPr>
            <w:tcW w:type="dxa" w:w="1224"/>
          </w:tcPr>
          <w:p>
            <w:pPr>
              <w:spacing w:after="20"/>
              <w:jc w:val="right"/>
            </w:pPr>
            <w:r>
              <w:rPr>
                <w:color w:val="1C3A36"/>
                <w:sz w:val="16"/>
              </w:rPr>
              <w:t>34,298</w:t>
            </w:r>
          </w:p>
        </w:tc>
        <w:tc>
          <w:tcPr>
            <w:tcW w:type="dxa" w:w="1224"/>
          </w:tcPr>
          <w:p>
            <w:pPr>
              <w:spacing w:after="20"/>
              <w:jc w:val="right"/>
            </w:pPr>
            <w:r>
              <w:rPr>
                <w:color w:val="1C3A36"/>
                <w:sz w:val="16"/>
              </w:rPr>
              <w:t>38,414</w:t>
            </w:r>
          </w:p>
        </w:tc>
        <w:tc>
          <w:tcPr>
            <w:tcW w:type="dxa" w:w="1224"/>
          </w:tcPr>
          <w:p>
            <w:pPr>
              <w:spacing w:after="20"/>
              <w:jc w:val="right"/>
            </w:pPr>
            <w:r>
              <w:rPr>
                <w:color w:val="1C3A36"/>
                <w:sz w:val="16"/>
              </w:rPr>
              <w:t>47,926</w:t>
            </w:r>
          </w:p>
        </w:tc>
        <w:tc>
          <w:tcPr>
            <w:tcW w:type="dxa" w:w="2563"/>
          </w:tcPr>
          <w:p>
            <w:pPr>
              <w:spacing w:after="20"/>
              <w:jc w:val="right"/>
            </w:pPr>
            <w:r>
              <w:rPr>
                <w:color w:val="1C3A36"/>
                <w:sz w:val="16"/>
              </w:rPr>
              <w:t>the launch calendar: Hyundai Sep-26, third Changan 4Q26</w:t>
            </w:r>
          </w:p>
        </w:tc>
      </w:tr>
      <w:tr>
        <w:tc>
          <w:tcPr>
            <w:tcW w:type="dxa" w:w="2520"/>
          </w:tcPr>
          <w:p>
            <w:pPr>
              <w:spacing w:after="20"/>
            </w:pPr>
            <w:r>
              <w:rPr>
                <w:color w:val="1C3A36"/>
                <w:sz w:val="16"/>
              </w:rPr>
              <w:t>Imported cars (units, residual)</w:t>
            </w:r>
          </w:p>
        </w:tc>
        <w:tc>
          <w:tcPr>
            <w:tcW w:type="dxa" w:w="1325"/>
          </w:tcPr>
          <w:p>
            <w:pPr>
              <w:spacing w:after="20"/>
              <w:jc w:val="right"/>
            </w:pPr>
            <w:r>
              <w:rPr>
                <w:color w:val="1C3A36"/>
                <w:sz w:val="16"/>
              </w:rPr>
              <w:t>14,100</w:t>
            </w:r>
          </w:p>
        </w:tc>
        <w:tc>
          <w:tcPr>
            <w:tcW w:type="dxa" w:w="1224"/>
          </w:tcPr>
          <w:p>
            <w:pPr>
              <w:spacing w:after="20"/>
              <w:jc w:val="right"/>
            </w:pPr>
            <w:r>
              <w:rPr>
                <w:color w:val="1C3A36"/>
                <w:sz w:val="16"/>
              </w:rPr>
              <w:t>30,007</w:t>
            </w:r>
          </w:p>
        </w:tc>
        <w:tc>
          <w:tcPr>
            <w:tcW w:type="dxa" w:w="1224"/>
          </w:tcPr>
          <w:p>
            <w:pPr>
              <w:spacing w:after="20"/>
              <w:jc w:val="right"/>
            </w:pPr>
            <w:r>
              <w:rPr>
                <w:color w:val="1C3A36"/>
                <w:sz w:val="16"/>
              </w:rPr>
              <w:t>31,679</w:t>
            </w:r>
          </w:p>
        </w:tc>
        <w:tc>
          <w:tcPr>
            <w:tcW w:type="dxa" w:w="1224"/>
          </w:tcPr>
          <w:p>
            <w:pPr>
              <w:spacing w:after="20"/>
              <w:jc w:val="right"/>
            </w:pPr>
            <w:r>
              <w:rPr>
                <w:color w:val="1C3A36"/>
                <w:sz w:val="16"/>
              </w:rPr>
              <w:t>36,328</w:t>
            </w:r>
          </w:p>
        </w:tc>
        <w:tc>
          <w:tcPr>
            <w:tcW w:type="dxa" w:w="2563"/>
          </w:tcPr>
          <w:p>
            <w:pPr>
              <w:spacing w:after="20"/>
              <w:jc w:val="right"/>
            </w:pPr>
            <w:r>
              <w:rPr>
                <w:color w:val="1C3A36"/>
                <w:sz w:val="16"/>
              </w:rPr>
              <w:t>total market path less the localization drive</w:t>
            </w:r>
          </w:p>
        </w:tc>
      </w:tr>
      <w:tr>
        <w:tc>
          <w:tcPr>
            <w:tcW w:type="dxa" w:w="2520"/>
            <w:shd w:val="clear" w:color="auto" w:fill="F6F1E6"/>
          </w:tcPr>
          <w:p>
            <w:pPr>
              <w:spacing w:after="20"/>
            </w:pPr>
            <w:r>
              <w:rPr>
                <w:b/>
                <w:color w:val="1C3A36"/>
                <w:sz w:val="16"/>
              </w:rPr>
              <w:t>Passenger cars — total units</w:t>
            </w:r>
          </w:p>
        </w:tc>
        <w:tc>
          <w:tcPr>
            <w:tcW w:type="dxa" w:w="1325"/>
            <w:shd w:val="clear" w:color="auto" w:fill="F6F1E6"/>
          </w:tcPr>
          <w:p>
            <w:pPr>
              <w:spacing w:after="20"/>
              <w:jc w:val="right"/>
            </w:pPr>
            <w:r>
              <w:rPr>
                <w:b/>
                <w:color w:val="1C3A36"/>
                <w:sz w:val="16"/>
              </w:rPr>
              <w:t>29,554</w:t>
            </w:r>
          </w:p>
        </w:tc>
        <w:tc>
          <w:tcPr>
            <w:tcW w:type="dxa" w:w="1224"/>
            <w:shd w:val="clear" w:color="auto" w:fill="F6F1E6"/>
          </w:tcPr>
          <w:p>
            <w:pPr>
              <w:spacing w:after="20"/>
              <w:jc w:val="right"/>
            </w:pPr>
            <w:r>
              <w:rPr>
                <w:b/>
                <w:color w:val="1C3A36"/>
                <w:sz w:val="16"/>
              </w:rPr>
              <w:t>64,305</w:t>
            </w:r>
          </w:p>
        </w:tc>
        <w:tc>
          <w:tcPr>
            <w:tcW w:type="dxa" w:w="1224"/>
            <w:shd w:val="clear" w:color="auto" w:fill="F6F1E6"/>
          </w:tcPr>
          <w:p>
            <w:pPr>
              <w:spacing w:after="20"/>
              <w:jc w:val="right"/>
            </w:pPr>
            <w:r>
              <w:rPr>
                <w:b/>
                <w:color w:val="1C3A36"/>
                <w:sz w:val="16"/>
              </w:rPr>
              <w:t>70,092</w:t>
            </w:r>
          </w:p>
        </w:tc>
        <w:tc>
          <w:tcPr>
            <w:tcW w:type="dxa" w:w="1224"/>
            <w:shd w:val="clear" w:color="auto" w:fill="F6F1E6"/>
          </w:tcPr>
          <w:p>
            <w:pPr>
              <w:spacing w:after="20"/>
              <w:jc w:val="right"/>
            </w:pPr>
            <w:r>
              <w:rPr>
                <w:b/>
                <w:color w:val="1C3A36"/>
                <w:sz w:val="16"/>
              </w:rPr>
              <w:t>84,254</w:t>
            </w:r>
          </w:p>
        </w:tc>
        <w:tc>
          <w:tcPr>
            <w:tcW w:type="dxa" w:w="2563"/>
            <w:shd w:val="clear" w:color="auto" w:fill="F6F1E6"/>
          </w:tcPr>
          <w:p>
            <w:pPr>
              <w:spacing w:after="20"/>
              <w:jc w:val="right"/>
            </w:pPr>
            <w:r>
              <w:rPr>
                <w:b/>
                <w:color w:val="1C3A36"/>
                <w:sz w:val="16"/>
              </w:rPr>
              <w:t>market +18% maturing; share held</w:t>
            </w:r>
          </w:p>
        </w:tc>
      </w:tr>
      <w:tr>
        <w:tc>
          <w:tcPr>
            <w:tcW w:type="dxa" w:w="2520"/>
          </w:tcPr>
          <w:p>
            <w:pPr>
              <w:spacing w:after="20"/>
            </w:pPr>
            <w:r>
              <w:rPr>
                <w:color w:val="1C3A36"/>
                <w:sz w:val="16"/>
              </w:rPr>
              <w:t>Passenger cars — price (EGP mn)</w:t>
            </w:r>
          </w:p>
        </w:tc>
        <w:tc>
          <w:tcPr>
            <w:tcW w:type="dxa" w:w="1325"/>
          </w:tcPr>
          <w:p>
            <w:pPr>
              <w:spacing w:after="20"/>
              <w:jc w:val="right"/>
            </w:pPr>
            <w:r>
              <w:rPr>
                <w:color w:val="1C3A36"/>
                <w:sz w:val="16"/>
              </w:rPr>
              <w:t>1.035</w:t>
            </w:r>
          </w:p>
        </w:tc>
        <w:tc>
          <w:tcPr>
            <w:tcW w:type="dxa" w:w="1224"/>
          </w:tcPr>
          <w:p>
            <w:pPr>
              <w:spacing w:after="20"/>
              <w:jc w:val="right"/>
            </w:pPr>
            <w:r>
              <w:rPr>
                <w:color w:val="1C3A36"/>
                <w:sz w:val="16"/>
              </w:rPr>
              <w:t>1.049</w:t>
            </w:r>
          </w:p>
        </w:tc>
        <w:tc>
          <w:tcPr>
            <w:tcW w:type="dxa" w:w="1224"/>
          </w:tcPr>
          <w:p>
            <w:pPr>
              <w:spacing w:after="20"/>
              <w:jc w:val="right"/>
            </w:pPr>
            <w:r>
              <w:rPr>
                <w:color w:val="1C3A36"/>
                <w:sz w:val="16"/>
              </w:rPr>
              <w:t>1.133</w:t>
            </w:r>
          </w:p>
        </w:tc>
        <w:tc>
          <w:tcPr>
            <w:tcW w:type="dxa" w:w="1224"/>
          </w:tcPr>
          <w:p>
            <w:pPr>
              <w:spacing w:after="20"/>
              <w:jc w:val="right"/>
            </w:pPr>
            <w:r>
              <w:rPr>
                <w:color w:val="1C3A36"/>
                <w:sz w:val="16"/>
              </w:rPr>
              <w:t>1.362</w:t>
            </w:r>
          </w:p>
        </w:tc>
        <w:tc>
          <w:tcPr>
            <w:tcW w:type="dxa" w:w="2563"/>
          </w:tcPr>
          <w:p>
            <w:pPr>
              <w:spacing w:after="20"/>
              <w:jc w:val="right"/>
            </w:pPr>
            <w:r>
              <w:rPr>
                <w:color w:val="1C3A36"/>
                <w:sz w:val="16"/>
              </w:rPr>
              <w:t>realized +10.8%; capped below cost inflation ahead</w:t>
            </w:r>
          </w:p>
        </w:tc>
      </w:tr>
      <w:tr>
        <w:tc>
          <w:tcPr>
            <w:tcW w:type="dxa" w:w="2520"/>
          </w:tcPr>
          <w:p>
            <w:pPr>
              <w:spacing w:after="20"/>
            </w:pPr>
            <w:r>
              <w:rPr>
                <w:color w:val="1C3A36"/>
                <w:sz w:val="16"/>
              </w:rPr>
              <w:t>Buses (units)</w:t>
            </w:r>
          </w:p>
        </w:tc>
        <w:tc>
          <w:tcPr>
            <w:tcW w:type="dxa" w:w="1325"/>
          </w:tcPr>
          <w:p>
            <w:pPr>
              <w:spacing w:after="20"/>
              <w:jc w:val="right"/>
            </w:pPr>
            <w:r>
              <w:rPr>
                <w:color w:val="1C3A36"/>
                <w:sz w:val="16"/>
              </w:rPr>
              <w:t>1,002</w:t>
            </w:r>
          </w:p>
        </w:tc>
        <w:tc>
          <w:tcPr>
            <w:tcW w:type="dxa" w:w="1224"/>
          </w:tcPr>
          <w:p>
            <w:pPr>
              <w:spacing w:after="20"/>
              <w:jc w:val="right"/>
            </w:pPr>
            <w:r>
              <w:rPr>
                <w:color w:val="1C3A36"/>
                <w:sz w:val="16"/>
              </w:rPr>
              <w:t>2,177</w:t>
            </w:r>
          </w:p>
        </w:tc>
        <w:tc>
          <w:tcPr>
            <w:tcW w:type="dxa" w:w="1224"/>
          </w:tcPr>
          <w:p>
            <w:pPr>
              <w:spacing w:after="20"/>
              <w:jc w:val="right"/>
            </w:pPr>
            <w:r>
              <w:rPr>
                <w:color w:val="1C3A36"/>
                <w:sz w:val="16"/>
              </w:rPr>
              <w:t>2,525</w:t>
            </w:r>
          </w:p>
        </w:tc>
        <w:tc>
          <w:tcPr>
            <w:tcW w:type="dxa" w:w="1224"/>
          </w:tcPr>
          <w:p>
            <w:pPr>
              <w:spacing w:after="20"/>
              <w:jc w:val="right"/>
            </w:pPr>
            <w:r>
              <w:rPr>
                <w:color w:val="1C3A36"/>
                <w:sz w:val="16"/>
              </w:rPr>
              <w:t>3,329</w:t>
            </w:r>
          </w:p>
        </w:tc>
        <w:tc>
          <w:tcPr>
            <w:tcW w:type="dxa" w:w="2563"/>
          </w:tcPr>
          <w:p>
            <w:pPr>
              <w:spacing w:after="20"/>
              <w:jc w:val="right"/>
            </w:pPr>
            <w:r>
              <w:rPr>
                <w:color w:val="1C3A36"/>
                <w:sz w:val="16"/>
              </w:rPr>
              <w:t>tourism/fleet recovery off a weak base</w:t>
            </w:r>
          </w:p>
        </w:tc>
      </w:tr>
      <w:tr>
        <w:tc>
          <w:tcPr>
            <w:tcW w:type="dxa" w:w="2520"/>
          </w:tcPr>
          <w:p>
            <w:pPr>
              <w:spacing w:after="20"/>
            </w:pPr>
            <w:r>
              <w:rPr>
                <w:color w:val="1C3A36"/>
                <w:sz w:val="16"/>
              </w:rPr>
              <w:t>Trucks (units, residual)</w:t>
            </w:r>
          </w:p>
        </w:tc>
        <w:tc>
          <w:tcPr>
            <w:tcW w:type="dxa" w:w="1325"/>
          </w:tcPr>
          <w:p>
            <w:pPr>
              <w:spacing w:after="20"/>
              <w:jc w:val="right"/>
            </w:pPr>
            <w:r>
              <w:rPr>
                <w:color w:val="1C3A36"/>
                <w:sz w:val="16"/>
              </w:rPr>
              <w:t>1,472</w:t>
            </w:r>
          </w:p>
        </w:tc>
        <w:tc>
          <w:tcPr>
            <w:tcW w:type="dxa" w:w="1224"/>
          </w:tcPr>
          <w:p>
            <w:pPr>
              <w:spacing w:after="20"/>
              <w:jc w:val="right"/>
            </w:pPr>
            <w:r>
              <w:rPr>
                <w:color w:val="1C3A36"/>
                <w:sz w:val="16"/>
              </w:rPr>
              <w:t>3,043</w:t>
            </w:r>
          </w:p>
        </w:tc>
        <w:tc>
          <w:tcPr>
            <w:tcW w:type="dxa" w:w="1224"/>
          </w:tcPr>
          <w:p>
            <w:pPr>
              <w:spacing w:after="20"/>
              <w:jc w:val="right"/>
            </w:pPr>
            <w:r>
              <w:rPr>
                <w:color w:val="1C3A36"/>
                <w:sz w:val="16"/>
              </w:rPr>
              <w:t>3,428</w:t>
            </w:r>
          </w:p>
        </w:tc>
        <w:tc>
          <w:tcPr>
            <w:tcW w:type="dxa" w:w="1224"/>
          </w:tcPr>
          <w:p>
            <w:pPr>
              <w:spacing w:after="20"/>
              <w:jc w:val="right"/>
            </w:pPr>
            <w:r>
              <w:rPr>
                <w:color w:val="1C3A36"/>
                <w:sz w:val="16"/>
              </w:rPr>
              <w:t>4,242</w:t>
            </w:r>
          </w:p>
        </w:tc>
        <w:tc>
          <w:tcPr>
            <w:tcW w:type="dxa" w:w="2563"/>
          </w:tcPr>
          <w:p>
            <w:pPr>
              <w:spacing w:after="20"/>
              <w:jc w:val="right"/>
            </w:pPr>
            <w:r>
              <w:rPr>
                <w:color w:val="1C3A36"/>
                <w:sz w:val="16"/>
              </w:rPr>
              <w:t>replacement demand net of the bus driver</w:t>
            </w:r>
          </w:p>
        </w:tc>
      </w:tr>
      <w:tr>
        <w:tc>
          <w:tcPr>
            <w:tcW w:type="dxa" w:w="2520"/>
          </w:tcPr>
          <w:p>
            <w:pPr>
              <w:spacing w:after="20"/>
            </w:pPr>
            <w:r>
              <w:rPr>
                <w:color w:val="1C3A36"/>
                <w:sz w:val="16"/>
              </w:rPr>
              <w:t>Commercial &amp; equipment — revenue</w:t>
            </w:r>
          </w:p>
        </w:tc>
        <w:tc>
          <w:tcPr>
            <w:tcW w:type="dxa" w:w="1325"/>
          </w:tcPr>
          <w:p>
            <w:pPr>
              <w:spacing w:after="20"/>
              <w:jc w:val="right"/>
            </w:pPr>
            <w:r>
              <w:rPr>
                <w:color w:val="1C3A36"/>
                <w:sz w:val="16"/>
              </w:rPr>
              <w:t>4,749</w:t>
            </w:r>
          </w:p>
        </w:tc>
        <w:tc>
          <w:tcPr>
            <w:tcW w:type="dxa" w:w="1224"/>
          </w:tcPr>
          <w:p>
            <w:pPr>
              <w:spacing w:after="20"/>
              <w:jc w:val="right"/>
            </w:pPr>
            <w:r>
              <w:rPr>
                <w:color w:val="1C3A36"/>
                <w:sz w:val="16"/>
              </w:rPr>
              <w:t>10,123</w:t>
            </w:r>
          </w:p>
        </w:tc>
        <w:tc>
          <w:tcPr>
            <w:tcW w:type="dxa" w:w="1224"/>
          </w:tcPr>
          <w:p>
            <w:pPr>
              <w:spacing w:after="20"/>
              <w:jc w:val="right"/>
            </w:pPr>
            <w:r>
              <w:rPr>
                <w:color w:val="1C3A36"/>
                <w:sz w:val="16"/>
              </w:rPr>
              <w:t>12,348</w:t>
            </w:r>
          </w:p>
        </w:tc>
        <w:tc>
          <w:tcPr>
            <w:tcW w:type="dxa" w:w="1224"/>
          </w:tcPr>
          <w:p>
            <w:pPr>
              <w:spacing w:after="20"/>
              <w:jc w:val="right"/>
            </w:pPr>
            <w:r>
              <w:rPr>
                <w:color w:val="1C3A36"/>
                <w:sz w:val="16"/>
              </w:rPr>
              <w:t>18,518</w:t>
            </w:r>
          </w:p>
        </w:tc>
        <w:tc>
          <w:tcPr>
            <w:tcW w:type="dxa" w:w="2563"/>
          </w:tcPr>
          <w:p>
            <w:pPr>
              <w:spacing w:after="20"/>
              <w:jc w:val="right"/>
            </w:pPr>
            <w:r>
              <w:rPr>
                <w:color w:val="1C3A36"/>
                <w:sz w:val="16"/>
              </w:rPr>
              <w:t>units x price, both separately grown</w:t>
            </w:r>
          </w:p>
        </w:tc>
      </w:tr>
      <w:tr>
        <w:tc>
          <w:tcPr>
            <w:tcW w:type="dxa" w:w="2520"/>
          </w:tcPr>
          <w:p>
            <w:pPr>
              <w:spacing w:after="20"/>
            </w:pPr>
            <w:r>
              <w:rPr>
                <w:color w:val="1C3A36"/>
                <w:sz w:val="16"/>
              </w:rPr>
              <w:t>Two/three/four-wheelers — units</w:t>
            </w:r>
          </w:p>
        </w:tc>
        <w:tc>
          <w:tcPr>
            <w:tcW w:type="dxa" w:w="1325"/>
          </w:tcPr>
          <w:p>
            <w:pPr>
              <w:spacing w:after="20"/>
              <w:jc w:val="right"/>
            </w:pPr>
            <w:r>
              <w:rPr>
                <w:color w:val="1C3A36"/>
                <w:sz w:val="16"/>
              </w:rPr>
              <w:t>21,173</w:t>
            </w:r>
          </w:p>
        </w:tc>
        <w:tc>
          <w:tcPr>
            <w:tcW w:type="dxa" w:w="1224"/>
          </w:tcPr>
          <w:p>
            <w:pPr>
              <w:spacing w:after="20"/>
              <w:jc w:val="right"/>
            </w:pPr>
            <w:r>
              <w:rPr>
                <w:color w:val="1C3A36"/>
                <w:sz w:val="16"/>
              </w:rPr>
              <w:t>49,033</w:t>
            </w:r>
          </w:p>
        </w:tc>
        <w:tc>
          <w:tcPr>
            <w:tcW w:type="dxa" w:w="1224"/>
          </w:tcPr>
          <w:p>
            <w:pPr>
              <w:spacing w:after="20"/>
              <w:jc w:val="right"/>
            </w:pPr>
            <w:r>
              <w:rPr>
                <w:color w:val="1C3A36"/>
                <w:sz w:val="16"/>
              </w:rPr>
              <w:t>56,878</w:t>
            </w:r>
          </w:p>
        </w:tc>
        <w:tc>
          <w:tcPr>
            <w:tcW w:type="dxa" w:w="1224"/>
          </w:tcPr>
          <w:p>
            <w:pPr>
              <w:spacing w:after="20"/>
              <w:jc w:val="right"/>
            </w:pPr>
            <w:r>
              <w:rPr>
                <w:color w:val="1C3A36"/>
                <w:sz w:val="16"/>
              </w:rPr>
              <w:t>77,763</w:t>
            </w:r>
          </w:p>
        </w:tc>
        <w:tc>
          <w:tcPr>
            <w:tcW w:type="dxa" w:w="2563"/>
          </w:tcPr>
          <w:p>
            <w:pPr>
              <w:spacing w:after="20"/>
              <w:jc w:val="right"/>
            </w:pPr>
            <w:r>
              <w:rPr>
                <w:color w:val="1C3A36"/>
                <w:sz w:val="16"/>
              </w:rPr>
              <w:t>India supply constraint resolves</w:t>
            </w:r>
          </w:p>
        </w:tc>
      </w:tr>
      <w:tr>
        <w:tc>
          <w:tcPr>
            <w:tcW w:type="dxa" w:w="2520"/>
          </w:tcPr>
          <w:p>
            <w:pPr>
              <w:spacing w:after="20"/>
            </w:pPr>
            <w:r>
              <w:rPr>
                <w:color w:val="1C3A36"/>
                <w:sz w:val="16"/>
              </w:rPr>
              <w:t>Tires &amp; parts trading — revenue</w:t>
            </w:r>
          </w:p>
        </w:tc>
        <w:tc>
          <w:tcPr>
            <w:tcW w:type="dxa" w:w="1325"/>
          </w:tcPr>
          <w:p>
            <w:pPr>
              <w:spacing w:after="20"/>
              <w:jc w:val="right"/>
            </w:pPr>
            <w:r>
              <w:rPr>
                <w:color w:val="1C3A36"/>
                <w:sz w:val="16"/>
              </w:rPr>
              <w:t>2,572</w:t>
            </w:r>
          </w:p>
        </w:tc>
        <w:tc>
          <w:tcPr>
            <w:tcW w:type="dxa" w:w="1224"/>
          </w:tcPr>
          <w:p>
            <w:pPr>
              <w:spacing w:after="20"/>
              <w:jc w:val="right"/>
            </w:pPr>
            <w:r>
              <w:rPr>
                <w:color w:val="1C3A36"/>
                <w:sz w:val="16"/>
              </w:rPr>
              <w:t>4,800</w:t>
            </w:r>
          </w:p>
        </w:tc>
        <w:tc>
          <w:tcPr>
            <w:tcW w:type="dxa" w:w="1224"/>
          </w:tcPr>
          <w:p>
            <w:pPr>
              <w:spacing w:after="20"/>
              <w:jc w:val="right"/>
            </w:pPr>
            <w:r>
              <w:rPr>
                <w:color w:val="1C3A36"/>
                <w:sz w:val="16"/>
              </w:rPr>
              <w:t>5,328</w:t>
            </w:r>
          </w:p>
        </w:tc>
        <w:tc>
          <w:tcPr>
            <w:tcW w:type="dxa" w:w="1224"/>
          </w:tcPr>
          <w:p>
            <w:pPr>
              <w:spacing w:after="20"/>
              <w:jc w:val="right"/>
            </w:pPr>
            <w:r>
              <w:rPr>
                <w:color w:val="1C3A36"/>
                <w:sz w:val="16"/>
              </w:rPr>
              <w:t>6,899</w:t>
            </w:r>
          </w:p>
        </w:tc>
        <w:tc>
          <w:tcPr>
            <w:tcW w:type="dxa" w:w="2563"/>
          </w:tcPr>
          <w:p>
            <w:pPr>
              <w:spacing w:after="20"/>
              <w:jc w:val="right"/>
            </w:pPr>
            <w:r>
              <w:rPr>
                <w:color w:val="1C3A36"/>
                <w:sz w:val="16"/>
              </w:rPr>
              <w:t>one-off margin benefit resets next year</w:t>
            </w:r>
          </w:p>
        </w:tc>
      </w:tr>
      <w:tr>
        <w:tc>
          <w:tcPr>
            <w:tcW w:type="dxa" w:w="2520"/>
          </w:tcPr>
          <w:p>
            <w:pPr>
              <w:spacing w:after="20"/>
            </w:pPr>
            <w:r>
              <w:rPr>
                <w:color w:val="1C3A36"/>
                <w:sz w:val="16"/>
              </w:rPr>
              <w:t>Other automotive — revenue</w:t>
            </w:r>
          </w:p>
        </w:tc>
        <w:tc>
          <w:tcPr>
            <w:tcW w:type="dxa" w:w="1325"/>
          </w:tcPr>
          <w:p>
            <w:pPr>
              <w:spacing w:after="20"/>
              <w:jc w:val="right"/>
            </w:pPr>
            <w:r>
              <w:rPr>
                <w:color w:val="1C3A36"/>
                <w:sz w:val="16"/>
              </w:rPr>
              <w:t>669</w:t>
            </w:r>
          </w:p>
        </w:tc>
        <w:tc>
          <w:tcPr>
            <w:tcW w:type="dxa" w:w="1224"/>
          </w:tcPr>
          <w:p>
            <w:pPr>
              <w:spacing w:after="20"/>
              <w:jc w:val="right"/>
            </w:pPr>
            <w:r>
              <w:rPr>
                <w:color w:val="1C3A36"/>
                <w:sz w:val="16"/>
              </w:rPr>
              <w:t>1,337</w:t>
            </w:r>
          </w:p>
        </w:tc>
        <w:tc>
          <w:tcPr>
            <w:tcW w:type="dxa" w:w="1224"/>
          </w:tcPr>
          <w:p>
            <w:pPr>
              <w:spacing w:after="20"/>
              <w:jc w:val="right"/>
            </w:pPr>
            <w:r>
              <w:rPr>
                <w:color w:val="1C3A36"/>
                <w:sz w:val="16"/>
              </w:rPr>
              <w:t>1,470</w:t>
            </w:r>
          </w:p>
        </w:tc>
        <w:tc>
          <w:tcPr>
            <w:tcW w:type="dxa" w:w="1224"/>
          </w:tcPr>
          <w:p>
            <w:pPr>
              <w:spacing w:after="20"/>
              <w:jc w:val="right"/>
            </w:pPr>
            <w:r>
              <w:rPr>
                <w:color w:val="1C3A36"/>
                <w:sz w:val="16"/>
              </w:rPr>
              <w:t>1,904</w:t>
            </w:r>
          </w:p>
        </w:tc>
        <w:tc>
          <w:tcPr>
            <w:tcW w:type="dxa" w:w="2563"/>
          </w:tcPr>
          <w:p>
            <w:pPr>
              <w:spacing w:after="20"/>
              <w:jc w:val="right"/>
            </w:pPr>
            <w:r>
              <w:rPr>
                <w:color w:val="1C3A36"/>
                <w:sz w:val="16"/>
              </w:rPr>
              <w:t>after-sales residual</w:t>
            </w:r>
          </w:p>
        </w:tc>
      </w:tr>
      <w:tr>
        <w:tc>
          <w:tcPr>
            <w:tcW w:type="dxa" w:w="2520"/>
            <w:shd w:val="clear" w:color="auto" w:fill="F6F1E6"/>
          </w:tcPr>
          <w:p>
            <w:pPr>
              <w:spacing w:after="20"/>
            </w:pPr>
            <w:r>
              <w:rPr>
                <w:b/>
                <w:color w:val="1C3A36"/>
                <w:sz w:val="16"/>
              </w:rPr>
              <w:t>Automotive total revenue</w:t>
            </w:r>
          </w:p>
        </w:tc>
        <w:tc>
          <w:tcPr>
            <w:tcW w:type="dxa" w:w="1325"/>
            <w:shd w:val="clear" w:color="auto" w:fill="F6F1E6"/>
          </w:tcPr>
          <w:p>
            <w:pPr>
              <w:spacing w:after="20"/>
              <w:jc w:val="right"/>
            </w:pPr>
            <w:r>
              <w:rPr>
                <w:b/>
                <w:color w:val="1C3A36"/>
                <w:sz w:val="16"/>
              </w:rPr>
              <w:t>40,022</w:t>
            </w:r>
          </w:p>
        </w:tc>
        <w:tc>
          <w:tcPr>
            <w:tcW w:type="dxa" w:w="1224"/>
            <w:shd w:val="clear" w:color="auto" w:fill="F6F1E6"/>
          </w:tcPr>
          <w:p>
            <w:pPr>
              <w:spacing w:after="20"/>
              <w:jc w:val="right"/>
            </w:pPr>
            <w:r>
              <w:rPr>
                <w:b/>
                <w:color w:val="1C3A36"/>
                <w:sz w:val="16"/>
              </w:rPr>
              <w:t>87,110</w:t>
            </w:r>
          </w:p>
        </w:tc>
        <w:tc>
          <w:tcPr>
            <w:tcW w:type="dxa" w:w="1224"/>
            <w:shd w:val="clear" w:color="auto" w:fill="F6F1E6"/>
          </w:tcPr>
          <w:p>
            <w:pPr>
              <w:spacing w:after="20"/>
              <w:jc w:val="right"/>
            </w:pPr>
            <w:r>
              <w:rPr>
                <w:b/>
                <w:color w:val="1C3A36"/>
                <w:sz w:val="16"/>
              </w:rPr>
              <w:t>102,729</w:t>
            </w:r>
          </w:p>
        </w:tc>
        <w:tc>
          <w:tcPr>
            <w:tcW w:type="dxa" w:w="1224"/>
            <w:shd w:val="clear" w:color="auto" w:fill="F6F1E6"/>
          </w:tcPr>
          <w:p>
            <w:pPr>
              <w:spacing w:after="20"/>
              <w:jc w:val="right"/>
            </w:pPr>
            <w:r>
              <w:rPr>
                <w:b/>
                <w:color w:val="1C3A36"/>
                <w:sz w:val="16"/>
              </w:rPr>
              <w:t>148,683</w:t>
            </w:r>
          </w:p>
        </w:tc>
        <w:tc>
          <w:tcPr>
            <w:tcW w:type="dxa" w:w="2563"/>
            <w:shd w:val="clear" w:color="auto" w:fill="F6F1E6"/>
          </w:tcPr>
          <w:p>
            <w:pPr>
              <w:spacing w:after="20"/>
              <w:jc w:val="right"/>
            </w:pPr>
            <w:r>
              <w:rPr>
                <w:b/>
                <w:color w:val="1C3A36"/>
                <w:sz w:val="16"/>
              </w:rPr>
            </w:r>
          </w:p>
        </w:tc>
      </w:tr>
    </w:tbl>
    <w:p>
      <w:pPr>
        <w:spacing w:after="40"/>
      </w:pPr>
    </w:p>
    <w:p>
      <w:pPr>
        <w:spacing w:after="120" w:before="0"/>
      </w:pPr>
      <w:r>
        <w:rPr>
          <w:b w:val="0"/>
          <w:i w:val="0"/>
          <w:color w:val="1C3A36"/>
          <w:sz w:val="21"/>
        </w:rPr>
        <w:t>The margin mechanics: gross margin printed 14.3% in the half against 15.5% a year earlier — one measured year of compression, driven by supply normalising and the pound. The model carries exactly one more year of that differential (to 13.1% in FY27E) and then holds the cost-to-price relationship flat: the compression is evidenced, a compounding forever-version of it is not, and the offsetting force — three more locally assembled models — is real but equally unquantified in the filings. Second-half margins are set off last year's measured seasonal gap (1.2% below the first half), not assumed.</w:t>
      </w:r>
    </w:p>
    <w:p>
      <w:pPr>
        <w:spacing w:after="40"/>
        <w:jc w:val="center"/>
      </w:pPr>
      <w:r>
        <w:drawing>
          <wp:inline xmlns:a="http://schemas.openxmlformats.org/drawingml/2006/main" xmlns:pic="http://schemas.openxmlformats.org/drawingml/2006/picture">
            <wp:extent cx="6309360" cy="2886197"/>
            <wp:docPr id="3" name="Picture 3"/>
            <wp:cNvGraphicFramePr>
              <a:graphicFrameLocks noChangeAspect="1"/>
            </wp:cNvGraphicFramePr>
            <a:graphic>
              <a:graphicData uri="http://schemas.openxmlformats.org/drawingml/2006/picture">
                <pic:pic>
                  <pic:nvPicPr>
                    <pic:cNvPr id="0" name="fig3_drivers.png"/>
                    <pic:cNvPicPr/>
                  </pic:nvPicPr>
                  <pic:blipFill>
                    <a:blip r:embed="rId11"/>
                    <a:stretch>
                      <a:fillRect/>
                    </a:stretch>
                  </pic:blipFill>
                  <pic:spPr>
                    <a:xfrm>
                      <a:off x="0" y="0"/>
                      <a:ext cx="6309360" cy="2886197"/>
                    </a:xfrm>
                    <a:prstGeom prst="rect"/>
                  </pic:spPr>
                </pic:pic>
              </a:graphicData>
            </a:graphic>
          </wp:inline>
        </w:drawing>
      </w:r>
    </w:p>
    <w:p>
      <w:pPr>
        <w:spacing w:after="200" w:before="0"/>
      </w:pPr>
      <w:r>
        <w:rPr>
          <w:b w:val="0"/>
          <w:i/>
          <w:color w:val="6E7B77"/>
          <w:sz w:val="17"/>
        </w:rPr>
        <w:t>History and forecast, stacked by line of business.</w:t>
      </w:r>
    </w:p>
    <w:p>
      <w:pPr>
        <w:spacing w:after="120" w:before="0"/>
      </w:pPr>
      <w:r>
        <w:rPr>
          <w:b w:val="0"/>
          <w:i w:val="0"/>
          <w:color w:val="1C3A36"/>
          <w:sz w:val="21"/>
        </w:rPr>
        <w:t>Working capital is projected on its measured cycle — 122 days of inventory, 27 of receivables, 82 of payables at June 2026 (a 67-day cash cycle) — expressed as 23.0% of revenue gliding to 21.0%, anchored on five disclosed quarterly snapshots rather than the year-end peak. Capital spending follows the company's own half (1,376 spent, EGP 1,021mn contractually committed). The effective tax rate glides from 38% to the statutory 22.5% as the regional drag fades — management itself guides the Jordanian rationalisation to largely end this year.</w:t>
      </w:r>
    </w:p>
    <w:p>
      <w:pPr>
        <w:spacing w:after="80" w:before="200"/>
      </w:pPr>
      <w:r>
        <w:rPr>
          <w:b/>
          <w:i w:val="0"/>
          <w:color w:val="1C3A36"/>
          <w:sz w:val="24"/>
        </w:rPr>
        <w:t>1.7  The crux — one stake, two official answers</w:t>
      </w:r>
    </w:p>
    <w:p>
      <w:pPr>
        <w:spacing w:after="120" w:before="0"/>
      </w:pPr>
      <w:r>
        <w:rPr>
          <w:b w:val="0"/>
          <w:i w:val="0"/>
          <w:color w:val="1C3A36"/>
          <w:sz w:val="21"/>
        </w:rPr>
        <w:t>Strip everything else away and this valuation is a view on one number. GB Corp's stake in MNT-Halan has produced three official prints inside fourteen months: the accounts carried 44.01% before the June round; the reviewed statements now say 42.93% after its first close; and the company's own June release described 41.61% as the position once the round fully closes. The statements outrank the release for today's number, so 42.93% is used. On that stake, the two official answers to 'what is it worth' are EGP 30.5bn (the round: USD 1.4bn led by Al Ahly Capital of the National Bank of Egypt, translated at 50.71) and EGP 15.7bn (the equity-method carrying value — written up 2.46bn in a restatement, and explicitly not verified by the reviewing auditor, who was not provided MNT-Halan's statements for the second period in a row). The gap is EGP 12.23 per GB Corp share; the round mark alone equals 95% of the company's entire market value at the August quote — the market has already chosen its framing, and it is not the round.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2232"/>
        <w:gridCol w:w="2376"/>
        <w:gridCol w:w="2304"/>
      </w:tblGrid>
      <w:tr>
        <w:tc>
          <w:tcPr>
            <w:tcW w:type="dxa" w:w="3096"/>
            <w:shd w:val="clear" w:color="auto" w:fill="EAF0EE"/>
          </w:tcPr>
          <w:p>
            <w:pPr>
              <w:spacing w:after="20"/>
            </w:pPr>
            <w:r>
              <w:rPr>
                <w:b/>
                <w:color w:val="1C3A36"/>
                <w:sz w:val="17"/>
              </w:rPr>
              <w:t>If the second close lands at…</w:t>
            </w:r>
          </w:p>
        </w:tc>
        <w:tc>
          <w:tcPr>
            <w:tcW w:type="dxa" w:w="2232"/>
            <w:shd w:val="clear" w:color="auto" w:fill="EAF0EE"/>
          </w:tcPr>
          <w:p>
            <w:pPr>
              <w:spacing w:after="20"/>
            </w:pPr>
            <w:r>
              <w:rPr>
                <w:b/>
                <w:color w:val="1C3A36"/>
                <w:sz w:val="17"/>
              </w:rPr>
              <w:t>Stake value (EGP mn)</w:t>
            </w:r>
          </w:p>
        </w:tc>
        <w:tc>
          <w:tcPr>
            <w:tcW w:type="dxa" w:w="2376"/>
            <w:shd w:val="clear" w:color="auto" w:fill="EAF0EE"/>
          </w:tcPr>
          <w:p>
            <w:pPr>
              <w:spacing w:after="20"/>
            </w:pPr>
            <w:r>
              <w:rPr>
                <w:b/>
                <w:color w:val="1C3A36"/>
                <w:sz w:val="17"/>
              </w:rPr>
              <w:t>Sum of the parts / share</w:t>
            </w:r>
          </w:p>
        </w:tc>
        <w:tc>
          <w:tcPr>
            <w:tcW w:type="dxa" w:w="2304"/>
            <w:shd w:val="clear" w:color="auto" w:fill="EAF0EE"/>
          </w:tcPr>
          <w:p>
            <w:pPr>
              <w:spacing w:after="20"/>
            </w:pPr>
            <w:r>
              <w:rPr>
                <w:b/>
                <w:color w:val="1C3A36"/>
                <w:sz w:val="17"/>
              </w:rPr>
              <w:t>Weighted central / share</w:t>
            </w:r>
          </w:p>
        </w:tc>
      </w:tr>
      <w:tr>
        <w:tc>
          <w:tcPr>
            <w:tcW w:type="dxa" w:w="3096"/>
          </w:tcPr>
          <w:p>
            <w:pPr>
              <w:spacing w:after="20"/>
            </w:pPr>
            <w:r>
              <w:rPr>
                <w:color w:val="1C3A36"/>
                <w:sz w:val="17"/>
              </w:rPr>
              <w:t>USD 1,000mn</w:t>
            </w:r>
          </w:p>
        </w:tc>
        <w:tc>
          <w:tcPr>
            <w:tcW w:type="dxa" w:w="2232"/>
          </w:tcPr>
          <w:p>
            <w:pPr>
              <w:spacing w:after="20"/>
              <w:jc w:val="right"/>
            </w:pPr>
            <w:r>
              <w:rPr>
                <w:color w:val="1C3A36"/>
                <w:sz w:val="17"/>
              </w:rPr>
              <w:t>21,770</w:t>
            </w:r>
          </w:p>
        </w:tc>
        <w:tc>
          <w:tcPr>
            <w:tcW w:type="dxa" w:w="2376"/>
          </w:tcPr>
          <w:p>
            <w:pPr>
              <w:spacing w:after="20"/>
              <w:jc w:val="right"/>
            </w:pPr>
            <w:r>
              <w:rPr>
                <w:color w:val="1C3A36"/>
                <w:sz w:val="17"/>
              </w:rPr>
              <w:t>26.47</w:t>
            </w:r>
          </w:p>
        </w:tc>
        <w:tc>
          <w:tcPr>
            <w:tcW w:type="dxa" w:w="2304"/>
          </w:tcPr>
          <w:p>
            <w:pPr>
              <w:spacing w:after="20"/>
              <w:jc w:val="right"/>
            </w:pPr>
            <w:r>
              <w:rPr>
                <w:color w:val="1C3A36"/>
                <w:sz w:val="17"/>
              </w:rPr>
              <w:t>30.67</w:t>
            </w:r>
          </w:p>
        </w:tc>
      </w:tr>
      <w:tr>
        <w:tc>
          <w:tcPr>
            <w:tcW w:type="dxa" w:w="3096"/>
          </w:tcPr>
          <w:p>
            <w:pPr>
              <w:spacing w:after="20"/>
            </w:pPr>
            <w:r>
              <w:rPr>
                <w:color w:val="1C3A36"/>
                <w:sz w:val="17"/>
              </w:rPr>
              <w:t>USD 1,200mn</w:t>
            </w:r>
          </w:p>
        </w:tc>
        <w:tc>
          <w:tcPr>
            <w:tcW w:type="dxa" w:w="2232"/>
          </w:tcPr>
          <w:p>
            <w:pPr>
              <w:spacing w:after="20"/>
              <w:jc w:val="right"/>
            </w:pPr>
            <w:r>
              <w:rPr>
                <w:color w:val="1C3A36"/>
                <w:sz w:val="17"/>
              </w:rPr>
              <w:t>26,124</w:t>
            </w:r>
          </w:p>
        </w:tc>
        <w:tc>
          <w:tcPr>
            <w:tcW w:type="dxa" w:w="2376"/>
          </w:tcPr>
          <w:p>
            <w:pPr>
              <w:spacing w:after="20"/>
              <w:jc w:val="right"/>
            </w:pPr>
            <w:r>
              <w:rPr>
                <w:color w:val="1C3A36"/>
                <w:sz w:val="17"/>
              </w:rPr>
              <w:t>30.08</w:t>
            </w:r>
          </w:p>
        </w:tc>
        <w:tc>
          <w:tcPr>
            <w:tcW w:type="dxa" w:w="2304"/>
          </w:tcPr>
          <w:p>
            <w:pPr>
              <w:spacing w:after="20"/>
              <w:jc w:val="right"/>
            </w:pPr>
            <w:r>
              <w:rPr>
                <w:color w:val="1C3A36"/>
                <w:sz w:val="17"/>
              </w:rPr>
              <w:t>32.11</w:t>
            </w:r>
          </w:p>
        </w:tc>
      </w:tr>
      <w:tr>
        <w:tc>
          <w:tcPr>
            <w:tcW w:type="dxa" w:w="3096"/>
          </w:tcPr>
          <w:p>
            <w:pPr>
              <w:spacing w:after="20"/>
            </w:pPr>
            <w:r>
              <w:rPr>
                <w:color w:val="1C3A36"/>
                <w:sz w:val="17"/>
              </w:rPr>
              <w:t>USD 1,400mn</w:t>
            </w:r>
          </w:p>
        </w:tc>
        <w:tc>
          <w:tcPr>
            <w:tcW w:type="dxa" w:w="2232"/>
          </w:tcPr>
          <w:p>
            <w:pPr>
              <w:spacing w:after="20"/>
              <w:jc w:val="right"/>
            </w:pPr>
            <w:r>
              <w:rPr>
                <w:color w:val="1C3A36"/>
                <w:sz w:val="17"/>
              </w:rPr>
              <w:t>30,478</w:t>
            </w:r>
          </w:p>
        </w:tc>
        <w:tc>
          <w:tcPr>
            <w:tcW w:type="dxa" w:w="2376"/>
          </w:tcPr>
          <w:p>
            <w:pPr>
              <w:spacing w:after="20"/>
              <w:jc w:val="right"/>
            </w:pPr>
            <w:r>
              <w:rPr>
                <w:color w:val="1C3A36"/>
                <w:sz w:val="17"/>
              </w:rPr>
              <w:t>33.69</w:t>
            </w:r>
          </w:p>
        </w:tc>
        <w:tc>
          <w:tcPr>
            <w:tcW w:type="dxa" w:w="2304"/>
          </w:tcPr>
          <w:p>
            <w:pPr>
              <w:spacing w:after="20"/>
              <w:jc w:val="right"/>
            </w:pPr>
            <w:r>
              <w:rPr>
                <w:color w:val="1C3A36"/>
                <w:sz w:val="17"/>
              </w:rPr>
              <w:t>33.56</w:t>
            </w:r>
          </w:p>
        </w:tc>
      </w:tr>
      <w:tr>
        <w:tc>
          <w:tcPr>
            <w:tcW w:type="dxa" w:w="3096"/>
          </w:tcPr>
          <w:p>
            <w:pPr>
              <w:spacing w:after="20"/>
            </w:pPr>
            <w:r>
              <w:rPr>
                <w:color w:val="1C3A36"/>
                <w:sz w:val="17"/>
              </w:rPr>
              <w:t>USD 1,600mn</w:t>
            </w:r>
          </w:p>
        </w:tc>
        <w:tc>
          <w:tcPr>
            <w:tcW w:type="dxa" w:w="2232"/>
          </w:tcPr>
          <w:p>
            <w:pPr>
              <w:spacing w:after="20"/>
              <w:jc w:val="right"/>
            </w:pPr>
            <w:r>
              <w:rPr>
                <w:color w:val="1C3A36"/>
                <w:sz w:val="17"/>
              </w:rPr>
              <w:t>34,832</w:t>
            </w:r>
          </w:p>
        </w:tc>
        <w:tc>
          <w:tcPr>
            <w:tcW w:type="dxa" w:w="2376"/>
          </w:tcPr>
          <w:p>
            <w:pPr>
              <w:spacing w:after="20"/>
              <w:jc w:val="right"/>
            </w:pPr>
            <w:r>
              <w:rPr>
                <w:color w:val="1C3A36"/>
                <w:sz w:val="17"/>
              </w:rPr>
              <w:t>37.30</w:t>
            </w:r>
          </w:p>
        </w:tc>
        <w:tc>
          <w:tcPr>
            <w:tcW w:type="dxa" w:w="2304"/>
          </w:tcPr>
          <w:p>
            <w:pPr>
              <w:spacing w:after="20"/>
              <w:jc w:val="right"/>
            </w:pPr>
            <w:r>
              <w:rPr>
                <w:color w:val="1C3A36"/>
                <w:sz w:val="17"/>
              </w:rPr>
              <w:t>35.00</w:t>
            </w:r>
          </w:p>
        </w:tc>
      </w:tr>
      <w:tr>
        <w:tc>
          <w:tcPr>
            <w:tcW w:type="dxa" w:w="3096"/>
          </w:tcPr>
          <w:p>
            <w:pPr>
              <w:spacing w:after="20"/>
            </w:pPr>
            <w:r>
              <w:rPr>
                <w:color w:val="1C3A36"/>
                <w:sz w:val="17"/>
              </w:rPr>
              <w:t>the company's balance-sheet carrying</w:t>
            </w:r>
          </w:p>
        </w:tc>
        <w:tc>
          <w:tcPr>
            <w:tcW w:type="dxa" w:w="2232"/>
          </w:tcPr>
          <w:p>
            <w:pPr>
              <w:spacing w:after="20"/>
              <w:jc w:val="right"/>
            </w:pPr>
            <w:r>
              <w:rPr>
                <w:color w:val="1C3A36"/>
                <w:sz w:val="17"/>
              </w:rPr>
              <w:t>15,724</w:t>
            </w:r>
          </w:p>
        </w:tc>
        <w:tc>
          <w:tcPr>
            <w:tcW w:type="dxa" w:w="2376"/>
          </w:tcPr>
          <w:p>
            <w:pPr>
              <w:spacing w:after="20"/>
              <w:jc w:val="right"/>
            </w:pPr>
            <w:r>
              <w:rPr>
                <w:color w:val="1C3A36"/>
                <w:sz w:val="17"/>
              </w:rPr>
              <w:t>21.46</w:t>
            </w:r>
          </w:p>
        </w:tc>
        <w:tc>
          <w:tcPr>
            <w:tcW w:type="dxa" w:w="2304"/>
          </w:tcPr>
          <w:p>
            <w:pPr>
              <w:spacing w:after="20"/>
              <w:jc w:val="right"/>
            </w:pPr>
            <w:r>
              <w:rPr>
                <w:color w:val="1C3A36"/>
                <w:sz w:val="17"/>
              </w:rPr>
              <w:t>28.66</w:t>
            </w:r>
          </w:p>
        </w:tc>
      </w:tr>
    </w:tbl>
    <w:p>
      <w:pPr>
        <w:spacing w:after="40"/>
      </w:pPr>
    </w:p>
    <w:p>
      <w:pPr>
        <w:spacing w:after="200" w:before="0"/>
      </w:pPr>
      <w:r>
        <w:rPr>
          <w:b w:val="0"/>
          <w:i/>
          <w:color w:val="6E7B77"/>
          <w:sz w:val="17"/>
        </w:rPr>
        <w:t>The ladder prices the crux through the whole synthesis, not just the one line. What settles it: MNT-Halan's audited numbers reaching the reviewer, the second close completing, or any arm's-length secondary sale. Until then, both answers run through every table in this study.</w:t>
      </w:r>
    </w:p>
    <w:p>
      <w:pPr>
        <w:spacing w:after="80" w:before="200"/>
      </w:pPr>
      <w:r>
        <w:rPr>
          <w:b/>
          <w:i w:val="0"/>
          <w:color w:val="1C3A36"/>
          <w:sz w:val="24"/>
        </w:rPr>
        <w:t>1.8  Macro &amp; country — the cost of capital, built from scratch</w:t>
      </w:r>
    </w:p>
    <w:p>
      <w:pPr>
        <w:spacing w:after="120" w:before="0"/>
      </w:pPr>
      <w:r>
        <w:rPr>
          <w:b w:val="0"/>
          <w:i w:val="0"/>
          <w:color w:val="1C3A36"/>
          <w:sz w:val="21"/>
        </w:rPr>
        <w:t>Egypt's 10-year local bond yielded 22.92% on 19 August 2026. That yield already contains the sovereign's own default risk, so charging an emerging-market equity premium on top of the raw yield would count the same risk twice — the error that inflated the July study's discount rate and is corrected here. We strip the sovereign's default spread and add it back once, inside the equity premium, on two published bases: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944"/>
        <w:gridCol w:w="1944"/>
      </w:tblGrid>
      <w:tr>
        <w:tc>
          <w:tcPr>
            <w:tcW w:type="dxa" w:w="4752"/>
            <w:shd w:val="clear" w:color="auto" w:fill="EAF0EE"/>
          </w:tcPr>
          <w:p>
            <w:pPr>
              <w:spacing w:after="20"/>
            </w:pPr>
            <w:r>
              <w:rPr>
                <w:b/>
                <w:color w:val="1C3A36"/>
                <w:sz w:val="18"/>
              </w:rPr>
              <w:t>Cost of equity</w:t>
            </w:r>
          </w:p>
        </w:tc>
        <w:tc>
          <w:tcPr>
            <w:tcW w:type="dxa" w:w="1944"/>
            <w:shd w:val="clear" w:color="auto" w:fill="EAF0EE"/>
          </w:tcPr>
          <w:p>
            <w:pPr>
              <w:spacing w:after="20"/>
            </w:pPr>
            <w:r>
              <w:rPr>
                <w:b/>
                <w:color w:val="1C3A36"/>
                <w:sz w:val="18"/>
              </w:rPr>
              <w:t>CDS basis</w:t>
            </w:r>
          </w:p>
        </w:tc>
        <w:tc>
          <w:tcPr>
            <w:tcW w:type="dxa" w:w="1944"/>
            <w:shd w:val="clear" w:color="auto" w:fill="EAF0EE"/>
          </w:tcPr>
          <w:p>
            <w:pPr>
              <w:spacing w:after="20"/>
            </w:pPr>
            <w:r>
              <w:rPr>
                <w:b/>
                <w:color w:val="1C3A36"/>
                <w:sz w:val="18"/>
              </w:rPr>
              <w:t>Rating basis</w:t>
            </w:r>
          </w:p>
        </w:tc>
      </w:tr>
      <w:tr>
        <w:tc>
          <w:tcPr>
            <w:tcW w:type="dxa" w:w="4752"/>
          </w:tcPr>
          <w:p>
            <w:pPr>
              <w:spacing w:after="20"/>
            </w:pPr>
            <w:r>
              <w:rPr>
                <w:color w:val="1C3A36"/>
                <w:sz w:val="18"/>
              </w:rPr>
              <w:t>Observed 10Y local yield (19-Aug-26)</w:t>
            </w:r>
          </w:p>
        </w:tc>
        <w:tc>
          <w:tcPr>
            <w:tcW w:type="dxa" w:w="1944"/>
          </w:tcPr>
          <w:p>
            <w:pPr>
              <w:spacing w:after="20"/>
              <w:jc w:val="right"/>
            </w:pPr>
            <w:r>
              <w:rPr>
                <w:color w:val="1C3A36"/>
                <w:sz w:val="18"/>
              </w:rPr>
              <w:t>22.92%</w:t>
            </w:r>
          </w:p>
        </w:tc>
        <w:tc>
          <w:tcPr>
            <w:tcW w:type="dxa" w:w="1944"/>
          </w:tcPr>
          <w:p>
            <w:pPr>
              <w:spacing w:after="20"/>
              <w:jc w:val="right"/>
            </w:pPr>
            <w:r>
              <w:rPr>
                <w:color w:val="1C3A36"/>
                <w:sz w:val="18"/>
              </w:rPr>
              <w:t>22.92%</w:t>
            </w:r>
          </w:p>
        </w:tc>
      </w:tr>
      <w:tr>
        <w:tc>
          <w:tcPr>
            <w:tcW w:type="dxa" w:w="4752"/>
          </w:tcPr>
          <w:p>
            <w:pPr>
              <w:spacing w:after="20"/>
            </w:pPr>
            <w:r>
              <w:rPr>
                <w:color w:val="1C3A36"/>
                <w:sz w:val="18"/>
              </w:rPr>
              <w:t>less sovereign default spread</w:t>
            </w:r>
          </w:p>
        </w:tc>
        <w:tc>
          <w:tcPr>
            <w:tcW w:type="dxa" w:w="1944"/>
          </w:tcPr>
          <w:p>
            <w:pPr>
              <w:spacing w:after="20"/>
              <w:jc w:val="right"/>
            </w:pPr>
            <w:r>
              <w:rPr>
                <w:color w:val="1C3A36"/>
                <w:sz w:val="18"/>
              </w:rPr>
              <w:t>3.41%</w:t>
            </w:r>
          </w:p>
        </w:tc>
        <w:tc>
          <w:tcPr>
            <w:tcW w:type="dxa" w:w="1944"/>
          </w:tcPr>
          <w:p>
            <w:pPr>
              <w:spacing w:after="20"/>
              <w:jc w:val="right"/>
            </w:pPr>
            <w:r>
              <w:rPr>
                <w:color w:val="1C3A36"/>
                <w:sz w:val="18"/>
              </w:rPr>
              <w:t>6.37%</w:t>
            </w:r>
          </w:p>
        </w:tc>
      </w:tr>
      <w:tr>
        <w:tc>
          <w:tcPr>
            <w:tcW w:type="dxa" w:w="4752"/>
          </w:tcPr>
          <w:p>
            <w:pPr>
              <w:spacing w:after="20"/>
            </w:pPr>
            <w:r>
              <w:rPr>
                <w:color w:val="1C3A36"/>
                <w:sz w:val="18"/>
              </w:rPr>
              <w:t>risk-free, normalised</w:t>
            </w:r>
          </w:p>
        </w:tc>
        <w:tc>
          <w:tcPr>
            <w:tcW w:type="dxa" w:w="1944"/>
          </w:tcPr>
          <w:p>
            <w:pPr>
              <w:spacing w:after="20"/>
              <w:jc w:val="right"/>
            </w:pPr>
            <w:r>
              <w:rPr>
                <w:color w:val="1C3A36"/>
                <w:sz w:val="18"/>
              </w:rPr>
              <w:t>19.51%</w:t>
            </w:r>
          </w:p>
        </w:tc>
        <w:tc>
          <w:tcPr>
            <w:tcW w:type="dxa" w:w="1944"/>
          </w:tcPr>
          <w:p>
            <w:pPr>
              <w:spacing w:after="20"/>
              <w:jc w:val="right"/>
            </w:pPr>
            <w:r>
              <w:rPr>
                <w:color w:val="1C3A36"/>
                <w:sz w:val="18"/>
              </w:rPr>
              <w:t>16.55%</w:t>
            </w:r>
          </w:p>
        </w:tc>
      </w:tr>
      <w:tr>
        <w:tc>
          <w:tcPr>
            <w:tcW w:type="dxa" w:w="4752"/>
          </w:tcPr>
          <w:p>
            <w:pPr>
              <w:spacing w:after="20"/>
            </w:pPr>
            <w:r>
              <w:rPr>
                <w:color w:val="1C3A36"/>
                <w:sz w:val="18"/>
              </w:rPr>
              <w:t>equity risk premium (Egypt, Jan-26 tables)</w:t>
            </w:r>
          </w:p>
        </w:tc>
        <w:tc>
          <w:tcPr>
            <w:tcW w:type="dxa" w:w="1944"/>
          </w:tcPr>
          <w:p>
            <w:pPr>
              <w:spacing w:after="20"/>
              <w:jc w:val="right"/>
            </w:pPr>
            <w:r>
              <w:rPr>
                <w:color w:val="1C3A36"/>
                <w:sz w:val="18"/>
              </w:rPr>
              <w:t>9.41%</w:t>
            </w:r>
          </w:p>
        </w:tc>
        <w:tc>
          <w:tcPr>
            <w:tcW w:type="dxa" w:w="1944"/>
          </w:tcPr>
          <w:p>
            <w:pPr>
              <w:spacing w:after="20"/>
              <w:jc w:val="right"/>
            </w:pPr>
            <w:r>
              <w:rPr>
                <w:color w:val="1C3A36"/>
                <w:sz w:val="18"/>
              </w:rPr>
              <w:t>13.94%</w:t>
            </w:r>
          </w:p>
        </w:tc>
      </w:tr>
      <w:tr>
        <w:tc>
          <w:tcPr>
            <w:tcW w:type="dxa" w:w="4752"/>
          </w:tcPr>
          <w:p>
            <w:pPr>
              <w:spacing w:after="20"/>
            </w:pPr>
            <w:r>
              <w:rPr>
                <w:color w:val="1C3A36"/>
                <w:sz w:val="18"/>
              </w:rPr>
              <w:t>beta (own shares vs the EGX 30, weekly, five years)</w:t>
            </w:r>
          </w:p>
        </w:tc>
        <w:tc>
          <w:tcPr>
            <w:tcW w:type="dxa" w:w="1944"/>
          </w:tcPr>
          <w:p>
            <w:pPr>
              <w:spacing w:after="20"/>
              <w:jc w:val="right"/>
            </w:pPr>
            <w:r>
              <w:rPr>
                <w:color w:val="1C3A36"/>
                <w:sz w:val="18"/>
              </w:rPr>
              <w:t>0.893</w:t>
            </w:r>
          </w:p>
        </w:tc>
        <w:tc>
          <w:tcPr>
            <w:tcW w:type="dxa" w:w="1944"/>
          </w:tcPr>
          <w:p>
            <w:pPr>
              <w:spacing w:after="20"/>
              <w:jc w:val="right"/>
            </w:pPr>
            <w:r>
              <w:rPr>
                <w:color w:val="1C3A36"/>
                <w:sz w:val="18"/>
              </w:rPr>
              <w:t>0.893</w:t>
            </w:r>
          </w:p>
        </w:tc>
      </w:tr>
      <w:tr>
        <w:tc>
          <w:tcPr>
            <w:tcW w:type="dxa" w:w="4752"/>
            <w:shd w:val="clear" w:color="auto" w:fill="F6F1E6"/>
          </w:tcPr>
          <w:p>
            <w:pPr>
              <w:spacing w:after="20"/>
            </w:pPr>
            <w:r>
              <w:rPr>
                <w:b/>
                <w:color w:val="1C3A36"/>
                <w:sz w:val="18"/>
              </w:rPr>
              <w:t>Cost of equity</w:t>
            </w:r>
          </w:p>
        </w:tc>
        <w:tc>
          <w:tcPr>
            <w:tcW w:type="dxa" w:w="1944"/>
            <w:shd w:val="clear" w:color="auto" w:fill="F6F1E6"/>
          </w:tcPr>
          <w:p>
            <w:pPr>
              <w:spacing w:after="20"/>
              <w:jc w:val="right"/>
            </w:pPr>
            <w:r>
              <w:rPr>
                <w:b/>
                <w:color w:val="1C3A36"/>
                <w:sz w:val="18"/>
              </w:rPr>
              <w:t>27.91%</w:t>
            </w:r>
          </w:p>
        </w:tc>
        <w:tc>
          <w:tcPr>
            <w:tcW w:type="dxa" w:w="1944"/>
            <w:shd w:val="clear" w:color="auto" w:fill="F6F1E6"/>
          </w:tcPr>
          <w:p>
            <w:pPr>
              <w:spacing w:after="20"/>
              <w:jc w:val="right"/>
            </w:pPr>
            <w:r>
              <w:rPr>
                <w:b/>
                <w:color w:val="1C3A36"/>
                <w:sz w:val="18"/>
              </w:rPr>
              <w:t>28.99%</w:t>
            </w:r>
          </w:p>
        </w:tc>
      </w:tr>
    </w:tbl>
    <w:p>
      <w:pPr>
        <w:spacing w:after="40"/>
      </w:pPr>
    </w:p>
    <w:p>
      <w:pPr>
        <w:spacing w:after="120" w:before="0"/>
      </w:pPr>
      <w:r>
        <w:rPr>
          <w:b w:val="0"/>
          <w:i w:val="0"/>
          <w:color w:val="1C3A36"/>
          <w:sz w:val="21"/>
        </w:rPr>
        <w:t>The beta is this study's own regression of GBCO's weekly returns on the exchange's published index over five years: 0.893 with a standard error of 0.202 across 255 weeks, explaining 24% of the variance — a usable, conservative estimate that replaces the July study's assumption of exactly 1.0 (its earlier attempt, five annual observations, was rightly discarded as meaningless).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760"/>
        <w:gridCol w:w="1440"/>
        <w:gridCol w:w="1440"/>
      </w:tblGrid>
      <w:tr>
        <w:tc>
          <w:tcPr>
            <w:tcW w:type="dxa" w:w="5760"/>
            <w:shd w:val="clear" w:color="auto" w:fill="EAF0EE"/>
          </w:tcPr>
          <w:p>
            <w:pPr>
              <w:spacing w:after="20"/>
            </w:pPr>
            <w:r>
              <w:rPr>
                <w:b/>
                <w:color w:val="1C3A36"/>
                <w:sz w:val="18"/>
              </w:rPr>
              <w:t>Cost of debt — the evidence</w:t>
            </w:r>
          </w:p>
        </w:tc>
        <w:tc>
          <w:tcPr>
            <w:tcW w:type="dxa" w:w="1440"/>
            <w:shd w:val="clear" w:color="auto" w:fill="EAF0EE"/>
          </w:tcPr>
          <w:p>
            <w:pPr>
              <w:spacing w:after="20"/>
            </w:pPr>
            <w:r>
              <w:rPr>
                <w:b/>
                <w:color w:val="1C3A36"/>
                <w:sz w:val="18"/>
              </w:rPr>
              <w:t>Rate</w:t>
            </w:r>
          </w:p>
        </w:tc>
        <w:tc>
          <w:tcPr>
            <w:tcW w:type="dxa" w:w="1440"/>
            <w:shd w:val="clear" w:color="auto" w:fill="EAF0EE"/>
          </w:tcPr>
          <w:p>
            <w:pPr>
              <w:spacing w:after="20"/>
            </w:pPr>
            <w:r>
              <w:rPr>
                <w:b/>
                <w:color w:val="1C3A36"/>
                <w:sz w:val="18"/>
              </w:rPr>
              <w:t>Dated</w:t>
            </w:r>
          </w:p>
        </w:tc>
      </w:tr>
      <w:tr>
        <w:tc>
          <w:tcPr>
            <w:tcW w:type="dxa" w:w="5760"/>
          </w:tcPr>
          <w:p>
            <w:pPr>
              <w:spacing w:after="20"/>
            </w:pPr>
            <w:r>
              <w:rPr>
                <w:color w:val="1C3A36"/>
                <w:sz w:val="18"/>
              </w:rPr>
              <w:t>Company's own average on current EGP borrowings (H1-26 statements)</w:t>
            </w:r>
          </w:p>
        </w:tc>
        <w:tc>
          <w:tcPr>
            <w:tcW w:type="dxa" w:w="1440"/>
          </w:tcPr>
          <w:p>
            <w:pPr>
              <w:spacing w:after="20"/>
              <w:jc w:val="right"/>
            </w:pPr>
            <w:r>
              <w:rPr>
                <w:color w:val="1C3A36"/>
                <w:sz w:val="18"/>
              </w:rPr>
              <w:t>20.82%</w:t>
            </w:r>
          </w:p>
        </w:tc>
        <w:tc>
          <w:tcPr>
            <w:tcW w:type="dxa" w:w="1440"/>
          </w:tcPr>
          <w:p>
            <w:pPr>
              <w:spacing w:after="20"/>
              <w:jc w:val="right"/>
            </w:pPr>
            <w:r>
              <w:rPr>
                <w:color w:val="1C3A36"/>
                <w:sz w:val="18"/>
              </w:rPr>
              <w:t>13-Aug-26</w:t>
            </w:r>
          </w:p>
        </w:tc>
      </w:tr>
      <w:tr>
        <w:tc>
          <w:tcPr>
            <w:tcW w:type="dxa" w:w="5760"/>
          </w:tcPr>
          <w:p>
            <w:pPr>
              <w:spacing w:after="20"/>
            </w:pPr>
            <w:r>
              <w:rPr>
                <w:color w:val="1C3A36"/>
                <w:sz w:val="18"/>
              </w:rPr>
              <w:t>Company's own average on USD borrowings</w:t>
            </w:r>
          </w:p>
        </w:tc>
        <w:tc>
          <w:tcPr>
            <w:tcW w:type="dxa" w:w="1440"/>
          </w:tcPr>
          <w:p>
            <w:pPr>
              <w:spacing w:after="20"/>
              <w:jc w:val="right"/>
            </w:pPr>
            <w:r>
              <w:rPr>
                <w:color w:val="1C3A36"/>
                <w:sz w:val="18"/>
              </w:rPr>
              <w:t>7.78%</w:t>
            </w:r>
          </w:p>
        </w:tc>
        <w:tc>
          <w:tcPr>
            <w:tcW w:type="dxa" w:w="1440"/>
          </w:tcPr>
          <w:p>
            <w:pPr>
              <w:spacing w:after="20"/>
              <w:jc w:val="right"/>
            </w:pPr>
            <w:r>
              <w:rPr>
                <w:color w:val="1C3A36"/>
                <w:sz w:val="18"/>
              </w:rPr>
              <w:t>13-Aug-26</w:t>
            </w:r>
          </w:p>
        </w:tc>
      </w:tr>
      <w:tr>
        <w:tc>
          <w:tcPr>
            <w:tcW w:type="dxa" w:w="5760"/>
          </w:tcPr>
          <w:p>
            <w:pPr>
              <w:spacing w:after="20"/>
            </w:pPr>
            <w:r>
              <w:rPr>
                <w:color w:val="1C3A36"/>
                <w:sz w:val="18"/>
              </w:rPr>
              <w:t>Consumer-finance bond programme, 2022 vintage (fixed)</w:t>
            </w:r>
          </w:p>
        </w:tc>
        <w:tc>
          <w:tcPr>
            <w:tcW w:type="dxa" w:w="1440"/>
          </w:tcPr>
          <w:p>
            <w:pPr>
              <w:spacing w:after="20"/>
              <w:jc w:val="right"/>
            </w:pPr>
            <w:r>
              <w:rPr>
                <w:color w:val="1C3A36"/>
                <w:sz w:val="18"/>
              </w:rPr>
              <w:t>13.5–14.0%</w:t>
            </w:r>
          </w:p>
        </w:tc>
        <w:tc>
          <w:tcPr>
            <w:tcW w:type="dxa" w:w="1440"/>
          </w:tcPr>
          <w:p>
            <w:pPr>
              <w:spacing w:after="20"/>
              <w:jc w:val="right"/>
            </w:pPr>
            <w:r>
              <w:rPr>
                <w:color w:val="1C3A36"/>
                <w:sz w:val="18"/>
              </w:rPr>
              <w:t>2022</w:t>
            </w:r>
          </w:p>
        </w:tc>
      </w:tr>
      <w:tr>
        <w:tc>
          <w:tcPr>
            <w:tcW w:type="dxa" w:w="5760"/>
          </w:tcPr>
          <w:p>
            <w:pPr>
              <w:spacing w:after="20"/>
            </w:pPr>
            <w:r>
              <w:rPr>
                <w:color w:val="1C3A36"/>
                <w:sz w:val="18"/>
              </w:rPr>
              <w:t>Central-bank overnight deposit corridor (held, July meeting)</w:t>
            </w:r>
          </w:p>
        </w:tc>
        <w:tc>
          <w:tcPr>
            <w:tcW w:type="dxa" w:w="1440"/>
          </w:tcPr>
          <w:p>
            <w:pPr>
              <w:spacing w:after="20"/>
              <w:jc w:val="right"/>
            </w:pPr>
            <w:r>
              <w:rPr>
                <w:color w:val="1C3A36"/>
                <w:sz w:val="18"/>
              </w:rPr>
              <w:t>19.0%</w:t>
            </w:r>
          </w:p>
        </w:tc>
        <w:tc>
          <w:tcPr>
            <w:tcW w:type="dxa" w:w="1440"/>
          </w:tcPr>
          <w:p>
            <w:pPr>
              <w:spacing w:after="20"/>
              <w:jc w:val="right"/>
            </w:pPr>
            <w:r>
              <w:rPr>
                <w:color w:val="1C3A36"/>
                <w:sz w:val="18"/>
              </w:rPr>
              <w:t>11-Jul-26</w:t>
            </w:r>
          </w:p>
        </w:tc>
      </w:tr>
    </w:tbl>
    <w:p>
      <w:pPr>
        <w:spacing w:after="40"/>
      </w:pPr>
    </w:p>
    <w:p>
      <w:pPr>
        <w:spacing w:after="120" w:before="0"/>
      </w:pPr>
      <w:r>
        <w:rPr>
          <w:b w:val="0"/>
          <w:i w:val="0"/>
          <w:color w:val="1C3A36"/>
          <w:sz w:val="21"/>
        </w:rPr>
        <w:t>Essentially the whole EGP 43.5bn borrowing book floats, so the current average IS the marginal rate — it reprices as the central bank moves. The blended pre-tax cost is 20.71% (90% local at 20.82%, the dollar tranche carried at its coupon plus expected depreciation, 19.68% in pound terms — the currency split of the debt itself is not disclosed and is bounded at no more than 17% dollar from the statements' currency-exposure table; we carry 10% and flag it). One deliberate tension is disclosed rather than hidden: the borrowing average sits below the 10-year sovereign yield. That is tenor, not magic — the company borrows short against a policy corridor of 19% while the long end carries the fiscal premium; a corporate cannot out-borrow its sovereign at matched maturity, and at matched maturity it does not.</w:t>
      </w:r>
    </w:p>
    <w:p>
      <w:pPr>
        <w:spacing w:after="120" w:before="0"/>
      </w:pPr>
      <w:r>
        <w:rPr>
          <w:b w:val="0"/>
          <w:i w:val="0"/>
          <w:color w:val="1C3A36"/>
          <w:sz w:val="21"/>
        </w:rPr>
        <w:t>Weights use the market's own equity value (EGP 29.70 on the company's investor page, 19 August, times 1,085.5mn shares) against the automotive segment's gross debt including leasing notes — the lending platform's funding belongs to its loan book, not to the automotive capital structure, and is valued inside that leg instead. Result: equity 56% / debt 44%, and a weighted average cost of capital of 22.72% on the CDS basis (23.33% on the rating basis — both are used and shown, the CDS basis as primary, continuing the July study's choice). Every contested construction above is priced in section 1.9 rather than just named.</w:t>
      </w:r>
    </w:p>
    <w:p>
      <w:pPr>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5669280" cy="3282215"/>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5669280" cy="3282215"/>
                    </a:xfrm>
                    <a:prstGeom prst="rect"/>
                  </pic:spPr>
                </pic:pic>
              </a:graphicData>
            </a:graphic>
          </wp:inline>
        </w:drawing>
      </w:r>
    </w:p>
    <w:p>
      <w:pPr>
        <w:spacing w:after="200" w:before="0"/>
      </w:pPr>
      <w:r>
        <w:rPr>
          <w:b w:val="0"/>
          <w:i/>
          <w:color w:val="6E7B77"/>
          <w:sz w:val="17"/>
        </w:rPr>
        <w:t>The two live judgements, priced: what the stake is really worth, and how much conglomerate discount the structure deserves.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736"/>
        <w:gridCol w:w="2880"/>
      </w:tblGrid>
      <w:tr>
        <w:tc>
          <w:tcPr>
            <w:tcW w:type="dxa" w:w="4320"/>
            <w:shd w:val="clear" w:color="auto" w:fill="EAF0EE"/>
          </w:tcPr>
          <w:p>
            <w:pPr>
              <w:spacing w:after="20"/>
            </w:pPr>
            <w:r>
              <w:rPr>
                <w:b/>
                <w:color w:val="1C3A36"/>
                <w:sz w:val="17"/>
              </w:rPr>
              <w:t>One driver at a time (all else the base)</w:t>
            </w:r>
          </w:p>
        </w:tc>
        <w:tc>
          <w:tcPr>
            <w:tcW w:type="dxa" w:w="2736"/>
            <w:shd w:val="clear" w:color="auto" w:fill="EAF0EE"/>
          </w:tcPr>
          <w:p>
            <w:pPr>
              <w:spacing w:after="20"/>
            </w:pPr>
            <w:r>
              <w:rPr>
                <w:b/>
                <w:color w:val="1C3A36"/>
                <w:sz w:val="17"/>
              </w:rPr>
              <w:t>Automotive leg / share</w:t>
            </w:r>
          </w:p>
        </w:tc>
        <w:tc>
          <w:tcPr>
            <w:tcW w:type="dxa" w:w="2880"/>
            <w:shd w:val="clear" w:color="auto" w:fill="EAF0EE"/>
          </w:tcPr>
          <w:p>
            <w:pPr>
              <w:spacing w:after="20"/>
            </w:pPr>
            <w:r>
              <w:rPr>
                <w:b/>
                <w:color w:val="1C3A36"/>
                <w:sz w:val="17"/>
              </w:rPr>
              <w:t>Central / share moves by</w:t>
            </w:r>
          </w:p>
        </w:tc>
      </w:tr>
      <w:tr>
        <w:tc>
          <w:tcPr>
            <w:tcW w:type="dxa" w:w="4320"/>
          </w:tcPr>
          <w:p>
            <w:pPr>
              <w:spacing w:after="20"/>
            </w:pPr>
            <w:r>
              <w:rPr>
                <w:color w:val="1C3A36"/>
                <w:sz w:val="17"/>
              </w:rPr>
              <w:t>Terminal return 15% (the forward model's marginal)</w:t>
            </w:r>
          </w:p>
        </w:tc>
        <w:tc>
          <w:tcPr>
            <w:tcW w:type="dxa" w:w="2736"/>
          </w:tcPr>
          <w:p>
            <w:pPr>
              <w:spacing w:after="20"/>
              <w:jc w:val="right"/>
            </w:pPr>
            <w:r>
              <w:rPr>
                <w:color w:val="1C3A36"/>
                <w:sz w:val="17"/>
              </w:rPr>
              <w:t>-4.70</w:t>
            </w:r>
          </w:p>
        </w:tc>
        <w:tc>
          <w:tcPr>
            <w:tcW w:type="dxa" w:w="2880"/>
          </w:tcPr>
          <w:p>
            <w:pPr>
              <w:spacing w:after="20"/>
              <w:jc w:val="right"/>
            </w:pPr>
            <w:r>
              <w:rPr>
                <w:color w:val="1C3A36"/>
                <w:sz w:val="17"/>
              </w:rPr>
              <w:t>-2.65</w:t>
            </w:r>
          </w:p>
        </w:tc>
      </w:tr>
      <w:tr>
        <w:tc>
          <w:tcPr>
            <w:tcW w:type="dxa" w:w="4320"/>
          </w:tcPr>
          <w:p>
            <w:pPr>
              <w:spacing w:after="20"/>
            </w:pPr>
            <w:r>
              <w:rPr>
                <w:color w:val="1C3A36"/>
                <w:sz w:val="17"/>
              </w:rPr>
              <w:t>Terminal return 20%</w:t>
            </w:r>
          </w:p>
        </w:tc>
        <w:tc>
          <w:tcPr>
            <w:tcW w:type="dxa" w:w="2736"/>
          </w:tcPr>
          <w:p>
            <w:pPr>
              <w:spacing w:after="20"/>
              <w:jc w:val="right"/>
            </w:pPr>
            <w:r>
              <w:rPr>
                <w:color w:val="1C3A36"/>
                <w:sz w:val="17"/>
              </w:rPr>
              <w:t>0.83</w:t>
            </w:r>
          </w:p>
        </w:tc>
        <w:tc>
          <w:tcPr>
            <w:tcW w:type="dxa" w:w="2880"/>
          </w:tcPr>
          <w:p>
            <w:pPr>
              <w:spacing w:after="20"/>
              <w:jc w:val="right"/>
            </w:pPr>
            <w:r>
              <w:rPr>
                <w:color w:val="1C3A36"/>
                <w:sz w:val="17"/>
              </w:rPr>
              <w:t>-0.66</w:t>
            </w:r>
          </w:p>
        </w:tc>
      </w:tr>
      <w:tr>
        <w:tc>
          <w:tcPr>
            <w:tcW w:type="dxa" w:w="4320"/>
          </w:tcPr>
          <w:p>
            <w:pPr>
              <w:spacing w:after="20"/>
            </w:pPr>
            <w:r>
              <w:rPr>
                <w:color w:val="1C3A36"/>
                <w:sz w:val="17"/>
              </w:rPr>
              <w:t>Gordon on year-five cash flow (July construction)</w:t>
            </w:r>
          </w:p>
        </w:tc>
        <w:tc>
          <w:tcPr>
            <w:tcW w:type="dxa" w:w="2736"/>
          </w:tcPr>
          <w:p>
            <w:pPr>
              <w:spacing w:after="20"/>
              <w:jc w:val="right"/>
            </w:pPr>
            <w:r>
              <w:rPr>
                <w:color w:val="1C3A36"/>
                <w:sz w:val="17"/>
              </w:rPr>
              <w:t>4.37</w:t>
            </w:r>
          </w:p>
        </w:tc>
        <w:tc>
          <w:tcPr>
            <w:tcW w:type="dxa" w:w="2880"/>
          </w:tcPr>
          <w:p>
            <w:pPr>
              <w:spacing w:after="20"/>
              <w:jc w:val="right"/>
            </w:pPr>
            <w:r>
              <w:rPr>
                <w:color w:val="1C3A36"/>
                <w:sz w:val="17"/>
              </w:rPr>
              <w:t>0.61</w:t>
            </w:r>
          </w:p>
        </w:tc>
      </w:tr>
      <w:tr>
        <w:tc>
          <w:tcPr>
            <w:tcW w:type="dxa" w:w="4320"/>
          </w:tcPr>
          <w:p>
            <w:pPr>
              <w:spacing w:after="20"/>
            </w:pPr>
            <w:r>
              <w:rPr>
                <w:color w:val="1C3A36"/>
                <w:sz w:val="17"/>
              </w:rPr>
              <w:t>Margin compression compounds every year</w:t>
            </w:r>
          </w:p>
        </w:tc>
        <w:tc>
          <w:tcPr>
            <w:tcW w:type="dxa" w:w="2736"/>
          </w:tcPr>
          <w:p>
            <w:pPr>
              <w:spacing w:after="20"/>
              <w:jc w:val="right"/>
            </w:pPr>
            <w:r>
              <w:rPr>
                <w:color w:val="1C3A36"/>
                <w:sz w:val="17"/>
              </w:rPr>
              <w:t>-1.83</w:t>
            </w:r>
          </w:p>
        </w:tc>
        <w:tc>
          <w:tcPr>
            <w:tcW w:type="dxa" w:w="2880"/>
          </w:tcPr>
          <w:p>
            <w:pPr>
              <w:spacing w:after="20"/>
              <w:jc w:val="right"/>
            </w:pPr>
            <w:r>
              <w:rPr>
                <w:color w:val="1C3A36"/>
                <w:sz w:val="17"/>
              </w:rPr>
              <w:t>-1.62</w:t>
            </w:r>
          </w:p>
        </w:tc>
      </w:tr>
      <w:tr>
        <w:tc>
          <w:tcPr>
            <w:tcW w:type="dxa" w:w="4320"/>
          </w:tcPr>
          <w:p>
            <w:pPr>
              <w:spacing w:after="20"/>
            </w:pPr>
            <w:r>
              <w:rPr>
                <w:color w:val="1C3A36"/>
                <w:sz w:val="17"/>
              </w:rPr>
              <w:t>Effective tax stays at the H1 41.0%</w:t>
            </w:r>
          </w:p>
        </w:tc>
        <w:tc>
          <w:tcPr>
            <w:tcW w:type="dxa" w:w="2736"/>
          </w:tcPr>
          <w:p>
            <w:pPr>
              <w:spacing w:after="20"/>
              <w:jc w:val="right"/>
            </w:pPr>
            <w:r>
              <w:rPr>
                <w:color w:val="1C3A36"/>
                <w:sz w:val="17"/>
              </w:rPr>
              <w:t>-3.42</w:t>
            </w:r>
          </w:p>
        </w:tc>
        <w:tc>
          <w:tcPr>
            <w:tcW w:type="dxa" w:w="2880"/>
          </w:tcPr>
          <w:p>
            <w:pPr>
              <w:spacing w:after="20"/>
              <w:jc w:val="right"/>
            </w:pPr>
            <w:r>
              <w:rPr>
                <w:color w:val="1C3A36"/>
                <w:sz w:val="17"/>
              </w:rPr>
              <w:t>-2.19</w:t>
            </w:r>
          </w:p>
        </w:tc>
      </w:tr>
      <w:tr>
        <w:tc>
          <w:tcPr>
            <w:tcW w:type="dxa" w:w="4320"/>
          </w:tcPr>
          <w:p>
            <w:pPr>
              <w:spacing w:after="20"/>
            </w:pPr>
            <w:r>
              <w:rPr>
                <w:color w:val="1C3A36"/>
                <w:sz w:val="17"/>
              </w:rPr>
              <w:t>Working capital at the FY25 year-end peak</w:t>
            </w:r>
          </w:p>
        </w:tc>
        <w:tc>
          <w:tcPr>
            <w:tcW w:type="dxa" w:w="2736"/>
          </w:tcPr>
          <w:p>
            <w:pPr>
              <w:spacing w:after="20"/>
              <w:jc w:val="right"/>
            </w:pPr>
            <w:r>
              <w:rPr>
                <w:color w:val="1C3A36"/>
                <w:sz w:val="17"/>
              </w:rPr>
              <w:t>-4.51</w:t>
            </w:r>
          </w:p>
        </w:tc>
        <w:tc>
          <w:tcPr>
            <w:tcW w:type="dxa" w:w="2880"/>
          </w:tcPr>
          <w:p>
            <w:pPr>
              <w:spacing w:after="20"/>
              <w:jc w:val="right"/>
            </w:pPr>
            <w:r>
              <w:rPr>
                <w:color w:val="1C3A36"/>
                <w:sz w:val="17"/>
              </w:rPr>
              <w:t>-2.58</w:t>
            </w:r>
          </w:p>
        </w:tc>
      </w:tr>
    </w:tbl>
    <w:p>
      <w:pPr>
        <w:spacing w:after="40"/>
      </w:pPr>
    </w:p>
    <w:p>
      <w:pPr>
        <w:spacing w:after="120" w:before="0"/>
      </w:pPr>
      <w:r>
        <w:rPr>
          <w:b w:val="0"/>
          <w:i w:val="0"/>
          <w:color w:val="1C3A36"/>
          <w:sz w:val="21"/>
        </w:rPr>
        <w:t>The grid spans the whole disagreement: at the company's own book mark (52% of the round) with a 10% holding discount the sum of the parts is worth about EGP 21.46; at the full round mark, EGP 33.69. Beyond the grid: one point of automotive gross margin is worth about EGP 4.35 per share on the cash-flow leg; one point of discount rate about EGP 1.85 on the sum of the parts; the difference between the two equity-premium bases is 0.61% of discount rate. The published bear-to-bull range is wide because the honest range IS wide: it contains a real, unresolved factual question, not just parameter noise.</w:t>
      </w:r>
    </w:p>
    <w:p>
      <w:pPr>
        <w:spacing w:after="120" w:before="280"/>
      </w:pPr>
      <w:r>
        <w:rPr>
          <w:b/>
          <w:i w:val="0"/>
          <w:color w:val="1C3A36"/>
          <w:sz w:val="30"/>
        </w:rPr>
        <w:t>2  Technical &amp; price structure — as published, unchanged</w:t>
      </w:r>
    </w:p>
    <w:p>
      <w:pPr>
        <w:spacing w:after="120" w:before="0"/>
      </w:pPr>
      <w:r>
        <w:rPr>
          <w:b w:val="0"/>
          <w:i/>
          <w:color w:val="6E7B77"/>
          <w:sz w:val="19"/>
        </w:rPr>
        <w:t>This section reproduces our live page's technical read exactly as it stands. Its own stamps: computed 2026-08-17 on price data through 2026-07-22. This refresh did not touch it — a technical read moves only when the price library moves.</w:t>
      </w:r>
    </w:p>
    <w:p>
      <w:pPr>
        <w:spacing w:after="120" w:before="0"/>
      </w:pPr>
      <w:r>
        <w:rPr>
          <w:b w:val="0"/>
          <w:i w:val="0"/>
          <w:color w:val="1C3A36"/>
          <w:sz w:val="21"/>
        </w:rPr>
        <w:t>Trend: Consolidating below the near-term moving averages, above a rising 200-day.</w:t>
      </w:r>
    </w:p>
    <w:p>
      <w:pPr>
        <w:spacing w:after="120" w:before="0"/>
      </w:pPr>
      <w:r>
        <w:rPr>
          <w:b w:val="0"/>
          <w:i w:val="0"/>
          <w:color w:val="1C3A36"/>
          <w:sz w:val="21"/>
        </w:rPr>
        <w:t>The price closed 31.31 above a rising 50-day (29.25) and a rising 200-day (27.25), but below a rising 20-day (31.67). Momentum is neutral: RSI(14) is ~53 and the daily ATR near 1.23 (~3.9%) points to a lively tape. MACD (12·26·9) is above zero but rolling over (+0.81 / +0.95 / −0.14). Over the last year it has ranged 19.10–34.20; the last close sits 8% below that high and 64%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2304"/>
      </w:tblGrid>
      <w:tr>
        <w:tc>
          <w:tcPr>
            <w:tcW w:type="dxa" w:w="2304"/>
            <w:shd w:val="clear" w:color="auto" w:fill="EAF0EE"/>
          </w:tcPr>
          <w:p>
            <w:pPr>
              <w:spacing w:after="20"/>
            </w:pPr>
            <w:r>
              <w:rPr>
                <w:b/>
                <w:color w:val="1C3A36"/>
                <w:sz w:val="18"/>
              </w:rPr>
              <w:t>Resistance</w:t>
            </w:r>
          </w:p>
        </w:tc>
        <w:tc>
          <w:tcPr>
            <w:tcW w:type="dxa" w:w="2304"/>
            <w:shd w:val="clear" w:color="auto" w:fill="EAF0EE"/>
          </w:tcPr>
          <w:p>
            <w:pPr>
              <w:spacing w:after="20"/>
            </w:pPr>
            <w:r>
              <w:rPr>
                <w:b/>
                <w:color w:val="1C3A36"/>
                <w:sz w:val="18"/>
              </w:rPr>
              <w:t>Support</w:t>
            </w:r>
          </w:p>
        </w:tc>
      </w:tr>
      <w:tr>
        <w:tc>
          <w:tcPr>
            <w:tcW w:type="dxa" w:w="2304"/>
          </w:tcPr>
          <w:p>
            <w:pPr>
              <w:spacing w:after="20"/>
            </w:pPr>
            <w:r>
              <w:rPr>
                <w:color w:val="1C3A36"/>
                <w:sz w:val="18"/>
              </w:rPr>
              <w:t>31.70</w:t>
            </w:r>
          </w:p>
        </w:tc>
        <w:tc>
          <w:tcPr>
            <w:tcW w:type="dxa" w:w="2304"/>
          </w:tcPr>
          <w:p>
            <w:pPr>
              <w:spacing w:after="20"/>
              <w:jc w:val="right"/>
            </w:pPr>
            <w:r>
              <w:rPr>
                <w:color w:val="1C3A36"/>
                <w:sz w:val="18"/>
              </w:rPr>
              <w:t>29.96</w:t>
            </w:r>
          </w:p>
        </w:tc>
      </w:tr>
      <w:tr>
        <w:tc>
          <w:tcPr>
            <w:tcW w:type="dxa" w:w="2304"/>
          </w:tcPr>
          <w:p>
            <w:pPr>
              <w:spacing w:after="20"/>
            </w:pPr>
            <w:r>
              <w:rPr>
                <w:color w:val="1C3A36"/>
                <w:sz w:val="18"/>
              </w:rPr>
              <w:t>32.30</w:t>
            </w:r>
          </w:p>
        </w:tc>
        <w:tc>
          <w:tcPr>
            <w:tcW w:type="dxa" w:w="2304"/>
          </w:tcPr>
          <w:p>
            <w:pPr>
              <w:spacing w:after="20"/>
              <w:jc w:val="right"/>
            </w:pPr>
            <w:r>
              <w:rPr>
                <w:color w:val="1C3A36"/>
                <w:sz w:val="18"/>
              </w:rPr>
              <w:t>28.20</w:t>
            </w:r>
          </w:p>
        </w:tc>
      </w:tr>
      <w:tr>
        <w:tc>
          <w:tcPr>
            <w:tcW w:type="dxa" w:w="2304"/>
          </w:tcPr>
          <w:p>
            <w:pPr>
              <w:spacing w:after="20"/>
            </w:pPr>
            <w:r>
              <w:rPr>
                <w:color w:val="1C3A36"/>
                <w:sz w:val="18"/>
              </w:rPr>
              <w:t>33.40</w:t>
            </w:r>
          </w:p>
        </w:tc>
        <w:tc>
          <w:tcPr>
            <w:tcW w:type="dxa" w:w="2304"/>
          </w:tcPr>
          <w:p>
            <w:pPr>
              <w:spacing w:after="20"/>
              <w:jc w:val="right"/>
            </w:pPr>
            <w:r>
              <w:rPr>
                <w:color w:val="1C3A36"/>
                <w:sz w:val="18"/>
              </w:rPr>
              <w:t>26.73</w:t>
            </w:r>
          </w:p>
        </w:tc>
      </w:tr>
    </w:tbl>
    <w:p>
      <w:pPr>
        <w:spacing w:after="40"/>
      </w:pPr>
    </w:p>
    <w:p>
      <w:pPr>
        <w:pStyle w:val="ListBullet"/>
        <w:spacing w:after="60"/>
      </w:pPr>
      <w:r>
        <w:rPr>
          <w:b/>
          <w:color w:val="1C3A36"/>
          <w:sz w:val="21"/>
        </w:rPr>
        <w:t xml:space="preserve">Bull trigger: </w:t>
      </w:r>
      <w:r>
        <w:rPr>
          <w:color w:val="1C3A36"/>
          <w:sz w:val="21"/>
        </w:rPr>
        <w:t>A daily close back above 31.61 would clear the nearest resistance and open the 34.20 zone.</w:t>
      </w:r>
    </w:p>
    <w:p>
      <w:pPr>
        <w:pStyle w:val="ListBullet"/>
        <w:spacing w:after="60"/>
      </w:pPr>
      <w:r>
        <w:rPr>
          <w:b/>
          <w:color w:val="1C3A36"/>
          <w:sz w:val="21"/>
        </w:rPr>
        <w:t xml:space="preserve">Bear trigger: </w:t>
      </w:r>
      <w:r>
        <w:rPr>
          <w:color w:val="1C3A36"/>
          <w:sz w:val="21"/>
        </w:rPr>
        <w:t>A close below 28.64 would break the nearest support and open the 23.99 zone.</w:t>
      </w:r>
    </w:p>
    <w:p>
      <w:pPr>
        <w:spacing w:after="120" w:before="280"/>
      </w:pPr>
      <w:r>
        <w:rPr>
          <w:b/>
          <w:i w:val="0"/>
          <w:color w:val="1C3A36"/>
          <w:sz w:val="30"/>
        </w:rPr>
        <w:t>3  A probabilistic price map — as published, with its dates</w:t>
      </w:r>
    </w:p>
    <w:p>
      <w:pPr>
        <w:spacing w:after="120" w:before="0"/>
      </w:pPr>
      <w:r>
        <w:rPr>
          <w:b w:val="0"/>
          <w:i/>
          <w:color w:val="6E7B77"/>
          <w:sz w:val="19"/>
        </w:rPr>
        <w:t>The published probability cone was struck on the closing library of 2026-07-22 and computed on 2026-07-28. It is reproduced here unchanged and is now four weeks old against this refresh: its one-month window resolves on 2026-08-23, days away. Treat the levels below as the record of what was published, not as a fresh forecast — a new price data-set re-strikes the map on its own schedule, independently of this fundamental refresh.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224"/>
        <w:gridCol w:w="1224"/>
        <w:gridCol w:w="1224"/>
        <w:gridCol w:w="1224"/>
        <w:gridCol w:w="1224"/>
        <w:gridCol w:w="1656"/>
      </w:tblGrid>
      <w:tr>
        <w:tc>
          <w:tcPr>
            <w:tcW w:type="dxa" w:w="1512"/>
            <w:shd w:val="clear" w:color="auto" w:fill="EAF0EE"/>
          </w:tcPr>
          <w:p>
            <w:pPr>
              <w:spacing w:after="20"/>
            </w:pPr>
            <w:r>
              <w:rPr>
                <w:b/>
                <w:color w:val="1C3A36"/>
                <w:sz w:val="18"/>
              </w:rPr>
              <w:t>Horizon</w:t>
            </w:r>
          </w:p>
        </w:tc>
        <w:tc>
          <w:tcPr>
            <w:tcW w:type="dxa" w:w="1224"/>
            <w:shd w:val="clear" w:color="auto" w:fill="EAF0EE"/>
          </w:tcPr>
          <w:p>
            <w:pPr>
              <w:spacing w:after="20"/>
            </w:pPr>
            <w:r>
              <w:rPr>
                <w:b/>
                <w:color w:val="1C3A36"/>
                <w:sz w:val="18"/>
              </w:rPr>
              <w:t>5th</w:t>
            </w:r>
          </w:p>
        </w:tc>
        <w:tc>
          <w:tcPr>
            <w:tcW w:type="dxa" w:w="1224"/>
            <w:shd w:val="clear" w:color="auto" w:fill="EAF0EE"/>
          </w:tcPr>
          <w:p>
            <w:pPr>
              <w:spacing w:after="20"/>
            </w:pPr>
            <w:r>
              <w:rPr>
                <w:b/>
                <w:color w:val="1C3A36"/>
                <w:sz w:val="18"/>
              </w:rPr>
              <w:t>25th</w:t>
            </w:r>
          </w:p>
        </w:tc>
        <w:tc>
          <w:tcPr>
            <w:tcW w:type="dxa" w:w="1224"/>
            <w:shd w:val="clear" w:color="auto" w:fill="EAF0EE"/>
          </w:tcPr>
          <w:p>
            <w:pPr>
              <w:spacing w:after="20"/>
            </w:pPr>
            <w:r>
              <w:rPr>
                <w:b/>
                <w:color w:val="1C3A36"/>
                <w:sz w:val="18"/>
              </w:rPr>
              <w:t>median</w:t>
            </w:r>
          </w:p>
        </w:tc>
        <w:tc>
          <w:tcPr>
            <w:tcW w:type="dxa" w:w="1224"/>
            <w:shd w:val="clear" w:color="auto" w:fill="EAF0EE"/>
          </w:tcPr>
          <w:p>
            <w:pPr>
              <w:spacing w:after="20"/>
            </w:pPr>
            <w:r>
              <w:rPr>
                <w:b/>
                <w:color w:val="1C3A36"/>
                <w:sz w:val="18"/>
              </w:rPr>
              <w:t>75th</w:t>
            </w:r>
          </w:p>
        </w:tc>
        <w:tc>
          <w:tcPr>
            <w:tcW w:type="dxa" w:w="1224"/>
            <w:shd w:val="clear" w:color="auto" w:fill="EAF0EE"/>
          </w:tcPr>
          <w:p>
            <w:pPr>
              <w:spacing w:after="20"/>
            </w:pPr>
            <w:r>
              <w:rPr>
                <w:b/>
                <w:color w:val="1C3A36"/>
                <w:sz w:val="18"/>
              </w:rPr>
              <w:t>95th</w:t>
            </w:r>
          </w:p>
        </w:tc>
        <w:tc>
          <w:tcPr>
            <w:tcW w:type="dxa" w:w="1656"/>
            <w:shd w:val="clear" w:color="auto" w:fill="EAF0EE"/>
          </w:tcPr>
          <w:p>
            <w:pPr>
              <w:spacing w:after="20"/>
            </w:pPr>
            <w:r>
              <w:rPr>
                <w:b/>
                <w:color w:val="1C3A36"/>
                <w:sz w:val="18"/>
              </w:rPr>
              <w:t>resolves</w:t>
            </w:r>
          </w:p>
        </w:tc>
      </w:tr>
      <w:tr>
        <w:tc>
          <w:tcPr>
            <w:tcW w:type="dxa" w:w="1512"/>
          </w:tcPr>
          <w:p>
            <w:pPr>
              <w:spacing w:after="20"/>
            </w:pPr>
            <w:r>
              <w:rPr>
                <w:color w:val="1C3A36"/>
                <w:sz w:val="18"/>
              </w:rPr>
              <w:t>1 month</w:t>
            </w:r>
          </w:p>
        </w:tc>
        <w:tc>
          <w:tcPr>
            <w:tcW w:type="dxa" w:w="1224"/>
          </w:tcPr>
          <w:p>
            <w:pPr>
              <w:spacing w:after="20"/>
              <w:jc w:val="right"/>
            </w:pPr>
            <w:r>
              <w:rPr>
                <w:color w:val="1C3A36"/>
                <w:sz w:val="18"/>
              </w:rPr>
              <w:t>25.55</w:t>
            </w:r>
          </w:p>
        </w:tc>
        <w:tc>
          <w:tcPr>
            <w:tcW w:type="dxa" w:w="1224"/>
          </w:tcPr>
          <w:p>
            <w:pPr>
              <w:spacing w:after="20"/>
              <w:jc w:val="right"/>
            </w:pPr>
            <w:r>
              <w:rPr>
                <w:color w:val="1C3A36"/>
                <w:sz w:val="18"/>
              </w:rPr>
              <w:t>29.31</w:t>
            </w:r>
          </w:p>
        </w:tc>
        <w:tc>
          <w:tcPr>
            <w:tcW w:type="dxa" w:w="1224"/>
          </w:tcPr>
          <w:p>
            <w:pPr>
              <w:spacing w:after="20"/>
              <w:jc w:val="right"/>
            </w:pPr>
            <w:r>
              <w:rPr>
                <w:color w:val="1C3A36"/>
                <w:sz w:val="18"/>
              </w:rPr>
              <w:t>31.78</w:t>
            </w:r>
          </w:p>
        </w:tc>
        <w:tc>
          <w:tcPr>
            <w:tcW w:type="dxa" w:w="1224"/>
          </w:tcPr>
          <w:p>
            <w:pPr>
              <w:spacing w:after="20"/>
              <w:jc w:val="right"/>
            </w:pPr>
            <w:r>
              <w:rPr>
                <w:color w:val="1C3A36"/>
                <w:sz w:val="18"/>
              </w:rPr>
              <w:t>34.47</w:t>
            </w:r>
          </w:p>
        </w:tc>
        <w:tc>
          <w:tcPr>
            <w:tcW w:type="dxa" w:w="1224"/>
          </w:tcPr>
          <w:p>
            <w:pPr>
              <w:spacing w:after="20"/>
              <w:jc w:val="right"/>
            </w:pPr>
            <w:r>
              <w:rPr>
                <w:color w:val="1C3A36"/>
                <w:sz w:val="18"/>
              </w:rPr>
              <w:t>39.54</w:t>
            </w:r>
          </w:p>
        </w:tc>
        <w:tc>
          <w:tcPr>
            <w:tcW w:type="dxa" w:w="1656"/>
          </w:tcPr>
          <w:p>
            <w:pPr>
              <w:spacing w:after="20"/>
              <w:jc w:val="right"/>
            </w:pPr>
            <w:r>
              <w:rPr>
                <w:color w:val="1C3A36"/>
                <w:sz w:val="18"/>
              </w:rPr>
              <w:t>2026-08-23</w:t>
            </w:r>
          </w:p>
        </w:tc>
      </w:tr>
      <w:tr>
        <w:tc>
          <w:tcPr>
            <w:tcW w:type="dxa" w:w="1512"/>
          </w:tcPr>
          <w:p>
            <w:pPr>
              <w:spacing w:after="20"/>
            </w:pPr>
            <w:r>
              <w:rPr>
                <w:color w:val="1C3A36"/>
                <w:sz w:val="18"/>
              </w:rPr>
              <w:t>3 months</w:t>
            </w:r>
          </w:p>
        </w:tc>
        <w:tc>
          <w:tcPr>
            <w:tcW w:type="dxa" w:w="1224"/>
          </w:tcPr>
          <w:p>
            <w:pPr>
              <w:spacing w:after="20"/>
              <w:jc w:val="right"/>
            </w:pPr>
            <w:r>
              <w:rPr>
                <w:color w:val="1C3A36"/>
                <w:sz w:val="18"/>
              </w:rPr>
              <w:t>22.08</w:t>
            </w:r>
          </w:p>
        </w:tc>
        <w:tc>
          <w:tcPr>
            <w:tcW w:type="dxa" w:w="1224"/>
          </w:tcPr>
          <w:p>
            <w:pPr>
              <w:spacing w:after="20"/>
              <w:jc w:val="right"/>
            </w:pPr>
            <w:r>
              <w:rPr>
                <w:color w:val="1C3A36"/>
                <w:sz w:val="18"/>
              </w:rPr>
              <w:t>28.34</w:t>
            </w:r>
          </w:p>
        </w:tc>
        <w:tc>
          <w:tcPr>
            <w:tcW w:type="dxa" w:w="1224"/>
          </w:tcPr>
          <w:p>
            <w:pPr>
              <w:spacing w:after="20"/>
              <w:jc w:val="right"/>
            </w:pPr>
            <w:r>
              <w:rPr>
                <w:color w:val="1C3A36"/>
                <w:sz w:val="18"/>
              </w:rPr>
              <w:t>32.80</w:t>
            </w:r>
          </w:p>
        </w:tc>
        <w:tc>
          <w:tcPr>
            <w:tcW w:type="dxa" w:w="1224"/>
          </w:tcPr>
          <w:p>
            <w:pPr>
              <w:spacing w:after="20"/>
              <w:jc w:val="right"/>
            </w:pPr>
            <w:r>
              <w:rPr>
                <w:color w:val="1C3A36"/>
                <w:sz w:val="18"/>
              </w:rPr>
              <w:t>37.86</w:t>
            </w:r>
          </w:p>
        </w:tc>
        <w:tc>
          <w:tcPr>
            <w:tcW w:type="dxa" w:w="1224"/>
          </w:tcPr>
          <w:p>
            <w:pPr>
              <w:spacing w:after="20"/>
              <w:jc w:val="right"/>
            </w:pPr>
            <w:r>
              <w:rPr>
                <w:color w:val="1C3A36"/>
                <w:sz w:val="18"/>
              </w:rPr>
              <w:t>48.54</w:t>
            </w:r>
          </w:p>
        </w:tc>
        <w:tc>
          <w:tcPr>
            <w:tcW w:type="dxa" w:w="1656"/>
          </w:tcPr>
          <w:p>
            <w:pPr>
              <w:spacing w:after="20"/>
              <w:jc w:val="right"/>
            </w:pPr>
            <w:r>
              <w:rPr>
                <w:color w:val="1C3A36"/>
                <w:sz w:val="18"/>
              </w:rPr>
              <w:t>2026-10-22</w:t>
            </w:r>
          </w:p>
        </w:tc>
      </w:tr>
    </w:tbl>
    <w:p>
      <w:pPr>
        <w:spacing w:after="40"/>
      </w:pPr>
    </w:p>
    <w:p>
      <w:pPr>
        <w:spacing w:after="200" w:before="0"/>
      </w:pPr>
      <w:r>
        <w:rPr>
          <w:b w:val="0"/>
          <w:i/>
          <w:color w:val="6E7B77"/>
          <w:sz w:val="17"/>
        </w:rPr>
        <w:t>EGP per share, from a 50,000-path simulation anchored at the EGP 31.31 close of 2026-07-22.</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16"/>
        <w:gridCol w:w="2592"/>
        <w:gridCol w:w="2592"/>
      </w:tblGrid>
      <w:tr>
        <w:tc>
          <w:tcPr>
            <w:tcW w:type="dxa" w:w="2016"/>
            <w:shd w:val="clear" w:color="auto" w:fill="EAF0EE"/>
          </w:tcPr>
          <w:p>
            <w:pPr>
              <w:spacing w:after="20"/>
            </w:pPr>
            <w:r>
              <w:rPr>
                <w:b/>
                <w:color w:val="1C3A36"/>
                <w:sz w:val="18"/>
              </w:rPr>
              <w:t>Price level</w:t>
            </w:r>
          </w:p>
        </w:tc>
        <w:tc>
          <w:tcPr>
            <w:tcW w:type="dxa" w:w="2592"/>
            <w:shd w:val="clear" w:color="auto" w:fill="EAF0EE"/>
          </w:tcPr>
          <w:p>
            <w:pPr>
              <w:spacing w:after="20"/>
            </w:pPr>
            <w:r>
              <w:rPr>
                <w:b/>
                <w:color w:val="1C3A36"/>
                <w:sz w:val="18"/>
              </w:rPr>
              <w:t>Touch within 1 month</w:t>
            </w:r>
          </w:p>
        </w:tc>
        <w:tc>
          <w:tcPr>
            <w:tcW w:type="dxa" w:w="2592"/>
            <w:shd w:val="clear" w:color="auto" w:fill="EAF0EE"/>
          </w:tcPr>
          <w:p>
            <w:pPr>
              <w:spacing w:after="20"/>
            </w:pPr>
            <w:r>
              <w:rPr>
                <w:b/>
                <w:color w:val="1C3A36"/>
                <w:sz w:val="18"/>
              </w:rPr>
              <w:t>Touch within 3 months</w:t>
            </w:r>
          </w:p>
        </w:tc>
      </w:tr>
      <w:tr>
        <w:tc>
          <w:tcPr>
            <w:tcW w:type="dxa" w:w="2016"/>
          </w:tcPr>
          <w:p>
            <w:pPr>
              <w:spacing w:after="20"/>
            </w:pPr>
            <w:r>
              <w:rPr>
                <w:color w:val="1C3A36"/>
                <w:sz w:val="18"/>
              </w:rPr>
              <w:t>40.00</w:t>
            </w:r>
          </w:p>
        </w:tc>
        <w:tc>
          <w:tcPr>
            <w:tcW w:type="dxa" w:w="2592"/>
          </w:tcPr>
          <w:p>
            <w:pPr>
              <w:spacing w:after="20"/>
              <w:jc w:val="right"/>
            </w:pPr>
            <w:r>
              <w:rPr>
                <w:color w:val="1C3A36"/>
                <w:sz w:val="18"/>
              </w:rPr>
              <w:t>7%</w:t>
            </w:r>
          </w:p>
        </w:tc>
        <w:tc>
          <w:tcPr>
            <w:tcW w:type="dxa" w:w="2592"/>
          </w:tcPr>
          <w:p>
            <w:pPr>
              <w:spacing w:after="20"/>
              <w:jc w:val="right"/>
            </w:pPr>
            <w:r>
              <w:rPr>
                <w:color w:val="1C3A36"/>
                <w:sz w:val="18"/>
              </w:rPr>
              <w:t>30%</w:t>
            </w:r>
          </w:p>
        </w:tc>
      </w:tr>
      <w:tr>
        <w:tc>
          <w:tcPr>
            <w:tcW w:type="dxa" w:w="2016"/>
          </w:tcPr>
          <w:p>
            <w:pPr>
              <w:spacing w:after="20"/>
            </w:pPr>
            <w:r>
              <w:rPr>
                <w:color w:val="1C3A36"/>
                <w:sz w:val="18"/>
              </w:rPr>
              <w:t>38.00</w:t>
            </w:r>
          </w:p>
        </w:tc>
        <w:tc>
          <w:tcPr>
            <w:tcW w:type="dxa" w:w="2592"/>
          </w:tcPr>
          <w:p>
            <w:pPr>
              <w:spacing w:after="20"/>
              <w:jc w:val="right"/>
            </w:pPr>
            <w:r>
              <w:rPr>
                <w:color w:val="1C3A36"/>
                <w:sz w:val="18"/>
              </w:rPr>
              <w:t>13%</w:t>
            </w:r>
          </w:p>
        </w:tc>
        <w:tc>
          <w:tcPr>
            <w:tcW w:type="dxa" w:w="2592"/>
          </w:tcPr>
          <w:p>
            <w:pPr>
              <w:spacing w:after="20"/>
              <w:jc w:val="right"/>
            </w:pPr>
            <w:r>
              <w:rPr>
                <w:color w:val="1C3A36"/>
                <w:sz w:val="18"/>
              </w:rPr>
              <w:t>40%</w:t>
            </w:r>
          </w:p>
        </w:tc>
      </w:tr>
      <w:tr>
        <w:tc>
          <w:tcPr>
            <w:tcW w:type="dxa" w:w="2016"/>
          </w:tcPr>
          <w:p>
            <w:pPr>
              <w:spacing w:after="20"/>
            </w:pPr>
            <w:r>
              <w:rPr>
                <w:color w:val="1C3A36"/>
                <w:sz w:val="18"/>
              </w:rPr>
              <w:t>36.00</w:t>
            </w:r>
          </w:p>
        </w:tc>
        <w:tc>
          <w:tcPr>
            <w:tcW w:type="dxa" w:w="2592"/>
          </w:tcPr>
          <w:p>
            <w:pPr>
              <w:spacing w:after="20"/>
              <w:jc w:val="right"/>
            </w:pPr>
            <w:r>
              <w:rPr>
                <w:color w:val="1C3A36"/>
                <w:sz w:val="18"/>
              </w:rPr>
              <w:t>25%</w:t>
            </w:r>
          </w:p>
        </w:tc>
        <w:tc>
          <w:tcPr>
            <w:tcW w:type="dxa" w:w="2592"/>
          </w:tcPr>
          <w:p>
            <w:pPr>
              <w:spacing w:after="20"/>
              <w:jc w:val="right"/>
            </w:pPr>
            <w:r>
              <w:rPr>
                <w:color w:val="1C3A36"/>
                <w:sz w:val="18"/>
              </w:rPr>
              <w:t>54%</w:t>
            </w:r>
          </w:p>
        </w:tc>
      </w:tr>
      <w:tr>
        <w:tc>
          <w:tcPr>
            <w:tcW w:type="dxa" w:w="2016"/>
          </w:tcPr>
          <w:p>
            <w:pPr>
              <w:spacing w:after="20"/>
            </w:pPr>
            <w:r>
              <w:rPr>
                <w:color w:val="1C3A36"/>
                <w:sz w:val="18"/>
              </w:rPr>
              <w:t>34.00</w:t>
            </w:r>
          </w:p>
        </w:tc>
        <w:tc>
          <w:tcPr>
            <w:tcW w:type="dxa" w:w="2592"/>
          </w:tcPr>
          <w:p>
            <w:pPr>
              <w:spacing w:after="20"/>
              <w:jc w:val="right"/>
            </w:pPr>
            <w:r>
              <w:rPr>
                <w:color w:val="1C3A36"/>
                <w:sz w:val="18"/>
              </w:rPr>
              <w:t>46%</w:t>
            </w:r>
          </w:p>
        </w:tc>
        <w:tc>
          <w:tcPr>
            <w:tcW w:type="dxa" w:w="2592"/>
          </w:tcPr>
          <w:p>
            <w:pPr>
              <w:spacing w:after="20"/>
              <w:jc w:val="right"/>
            </w:pPr>
            <w:r>
              <w:rPr>
                <w:color w:val="1C3A36"/>
                <w:sz w:val="18"/>
              </w:rPr>
              <w:t>71%</w:t>
            </w:r>
          </w:p>
        </w:tc>
      </w:tr>
      <w:tr>
        <w:tc>
          <w:tcPr>
            <w:tcW w:type="dxa" w:w="2016"/>
          </w:tcPr>
          <w:p>
            <w:pPr>
              <w:spacing w:after="20"/>
            </w:pPr>
            <w:r>
              <w:rPr>
                <w:color w:val="1C3A36"/>
                <w:sz w:val="18"/>
              </w:rPr>
              <w:t>32.00</w:t>
            </w:r>
          </w:p>
        </w:tc>
        <w:tc>
          <w:tcPr>
            <w:tcW w:type="dxa" w:w="2592"/>
          </w:tcPr>
          <w:p>
            <w:pPr>
              <w:spacing w:after="20"/>
              <w:jc w:val="right"/>
            </w:pPr>
            <w:r>
              <w:rPr>
                <w:color w:val="1C3A36"/>
                <w:sz w:val="18"/>
              </w:rPr>
              <w:t>78%</w:t>
            </w:r>
          </w:p>
        </w:tc>
        <w:tc>
          <w:tcPr>
            <w:tcW w:type="dxa" w:w="2592"/>
          </w:tcPr>
          <w:p>
            <w:pPr>
              <w:spacing w:after="20"/>
              <w:jc w:val="right"/>
            </w:pPr>
            <w:r>
              <w:rPr>
                <w:color w:val="1C3A36"/>
                <w:sz w:val="18"/>
              </w:rPr>
              <w:t>89%</w:t>
            </w:r>
          </w:p>
        </w:tc>
      </w:tr>
      <w:tr>
        <w:tc>
          <w:tcPr>
            <w:tcW w:type="dxa" w:w="2016"/>
          </w:tcPr>
          <w:p>
            <w:pPr>
              <w:spacing w:after="20"/>
            </w:pPr>
            <w:r>
              <w:rPr>
                <w:color w:val="1C3A36"/>
                <w:sz w:val="18"/>
              </w:rPr>
              <w:t>30.00</w:t>
            </w:r>
          </w:p>
        </w:tc>
        <w:tc>
          <w:tcPr>
            <w:tcW w:type="dxa" w:w="2592"/>
          </w:tcPr>
          <w:p>
            <w:pPr>
              <w:spacing w:after="20"/>
              <w:jc w:val="right"/>
            </w:pPr>
            <w:r>
              <w:rPr>
                <w:color w:val="1C3A36"/>
                <w:sz w:val="18"/>
              </w:rPr>
              <w:t>59%</w:t>
            </w:r>
          </w:p>
        </w:tc>
        <w:tc>
          <w:tcPr>
            <w:tcW w:type="dxa" w:w="2592"/>
          </w:tcPr>
          <w:p>
            <w:pPr>
              <w:spacing w:after="20"/>
              <w:jc w:val="right"/>
            </w:pPr>
            <w:r>
              <w:rPr>
                <w:color w:val="1C3A36"/>
                <w:sz w:val="18"/>
              </w:rPr>
              <w:t>73%</w:t>
            </w:r>
          </w:p>
        </w:tc>
      </w:tr>
      <w:tr>
        <w:tc>
          <w:tcPr>
            <w:tcW w:type="dxa" w:w="2016"/>
          </w:tcPr>
          <w:p>
            <w:pPr>
              <w:spacing w:after="20"/>
            </w:pPr>
            <w:r>
              <w:rPr>
                <w:color w:val="1C3A36"/>
                <w:sz w:val="18"/>
              </w:rPr>
              <w:t>28.00</w:t>
            </w:r>
          </w:p>
        </w:tc>
        <w:tc>
          <w:tcPr>
            <w:tcW w:type="dxa" w:w="2592"/>
          </w:tcPr>
          <w:p>
            <w:pPr>
              <w:spacing w:after="20"/>
              <w:jc w:val="right"/>
            </w:pPr>
            <w:r>
              <w:rPr>
                <w:color w:val="1C3A36"/>
                <w:sz w:val="18"/>
              </w:rPr>
              <w:t>27%</w:t>
            </w:r>
          </w:p>
        </w:tc>
        <w:tc>
          <w:tcPr>
            <w:tcW w:type="dxa" w:w="2592"/>
          </w:tcPr>
          <w:p>
            <w:pPr>
              <w:spacing w:after="20"/>
              <w:jc w:val="right"/>
            </w:pPr>
            <w:r>
              <w:rPr>
                <w:color w:val="1C3A36"/>
                <w:sz w:val="18"/>
              </w:rPr>
              <w:t>48%</w:t>
            </w:r>
          </w:p>
        </w:tc>
      </w:tr>
      <w:tr>
        <w:tc>
          <w:tcPr>
            <w:tcW w:type="dxa" w:w="2016"/>
          </w:tcPr>
          <w:p>
            <w:pPr>
              <w:spacing w:after="20"/>
            </w:pPr>
            <w:r>
              <w:rPr>
                <w:color w:val="1C3A36"/>
                <w:sz w:val="18"/>
              </w:rPr>
              <w:t>26.00</w:t>
            </w:r>
          </w:p>
        </w:tc>
        <w:tc>
          <w:tcPr>
            <w:tcW w:type="dxa" w:w="2592"/>
          </w:tcPr>
          <w:p>
            <w:pPr>
              <w:spacing w:after="20"/>
              <w:jc w:val="right"/>
            </w:pPr>
            <w:r>
              <w:rPr>
                <w:color w:val="1C3A36"/>
                <w:sz w:val="18"/>
              </w:rPr>
              <w:t>11%</w:t>
            </w:r>
          </w:p>
        </w:tc>
        <w:tc>
          <w:tcPr>
            <w:tcW w:type="dxa" w:w="2592"/>
          </w:tcPr>
          <w:p>
            <w:pPr>
              <w:spacing w:after="20"/>
              <w:jc w:val="right"/>
            </w:pPr>
            <w:r>
              <w:rPr>
                <w:color w:val="1C3A36"/>
                <w:sz w:val="18"/>
              </w:rPr>
              <w:t>30%</w:t>
            </w:r>
          </w:p>
        </w:tc>
      </w:tr>
    </w:tbl>
    <w:p>
      <w:pPr>
        <w:spacing w:after="40"/>
      </w:pPr>
    </w:p>
    <w:p>
      <w:pPr>
        <w:spacing w:after="200" w:before="0"/>
      </w:pPr>
      <w:r>
        <w:rPr>
          <w:b w:val="0"/>
          <w:i/>
          <w:color w:val="6E7B77"/>
          <w:sz w:val="17"/>
        </w:rPr>
        <w:t>Probability of trading at the level at any point inside the window, not of finishing there.</w:t>
      </w:r>
    </w:p>
    <w:p>
      <w:pPr>
        <w:spacing w:after="120" w:before="0"/>
      </w:pPr>
      <w:r>
        <w:rPr>
          <w:b w:val="0"/>
          <w:i w:val="0"/>
          <w:color w:val="1C3A36"/>
          <w:sz w:val="21"/>
        </w:rPr>
        <w:t>When that map was built, the engine behind it had beaten its no-skill benchmark on this stock's own five-year record — its probability scores were 3.2% better than the benchmark on strictly non-overlapping three-month windows and 9.6% better sampled monthly, with 94% of outcomes inside its 90% bands (17 windows). Those statistics travel with the July strike; they are not re-measured here.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00"/>
        <w:gridCol w:w="3096"/>
        <w:gridCol w:w="3096"/>
        <w:gridCol w:w="1872"/>
      </w:tblGrid>
      <w:tr>
        <w:tc>
          <w:tcPr>
            <w:tcW w:type="dxa" w:w="1800"/>
            <w:shd w:val="clear" w:color="auto" w:fill="EAF0EE"/>
          </w:tcPr>
          <w:p>
            <w:pPr>
              <w:spacing w:after="20"/>
            </w:pPr>
            <w:r>
              <w:rPr>
                <w:b/>
                <w:color w:val="1C3A36"/>
                <w:sz w:val="18"/>
              </w:rPr>
              <w:t>Lens</w:t>
            </w:r>
          </w:p>
        </w:tc>
        <w:tc>
          <w:tcPr>
            <w:tcW w:type="dxa" w:w="3096"/>
            <w:shd w:val="clear" w:color="auto" w:fill="EAF0EE"/>
          </w:tcPr>
          <w:p>
            <w:pPr>
              <w:spacing w:after="20"/>
            </w:pPr>
            <w:r>
              <w:rPr>
                <w:b/>
                <w:color w:val="1C3A36"/>
                <w:sz w:val="18"/>
              </w:rPr>
              <w:t>What it sees</w:t>
            </w:r>
          </w:p>
        </w:tc>
        <w:tc>
          <w:tcPr>
            <w:tcW w:type="dxa" w:w="3096"/>
            <w:shd w:val="clear" w:color="auto" w:fill="EAF0EE"/>
          </w:tcPr>
          <w:p>
            <w:pPr>
              <w:spacing w:after="20"/>
            </w:pPr>
            <w:r>
              <w:rPr>
                <w:b/>
                <w:color w:val="1C3A36"/>
                <w:sz w:val="18"/>
              </w:rPr>
              <w:t>What it is blind to</w:t>
            </w:r>
          </w:p>
        </w:tc>
        <w:tc>
          <w:tcPr>
            <w:tcW w:type="dxa" w:w="1872"/>
            <w:shd w:val="clear" w:color="auto" w:fill="EAF0EE"/>
          </w:tcPr>
          <w:p>
            <w:pPr>
              <w:spacing w:after="20"/>
            </w:pPr>
            <w:r>
              <w:rPr>
                <w:b/>
                <w:color w:val="1C3A36"/>
                <w:sz w:val="18"/>
              </w:rPr>
              <w:t>Where it lands</w:t>
            </w:r>
          </w:p>
        </w:tc>
      </w:tr>
      <w:tr>
        <w:tc>
          <w:tcPr>
            <w:tcW w:type="dxa" w:w="1800"/>
          </w:tcPr>
          <w:p>
            <w:pPr>
              <w:spacing w:after="20"/>
            </w:pPr>
            <w:r>
              <w:rPr>
                <w:color w:val="1C3A36"/>
                <w:sz w:val="18"/>
              </w:rPr>
              <w:t>Sum of the parts</w:t>
            </w:r>
          </w:p>
        </w:tc>
        <w:tc>
          <w:tcPr>
            <w:tcW w:type="dxa" w:w="3096"/>
          </w:tcPr>
          <w:p>
            <w:pPr>
              <w:spacing w:after="20"/>
              <w:jc w:val="right"/>
            </w:pPr>
            <w:r>
              <w:rPr>
                <w:color w:val="1C3A36"/>
                <w:sz w:val="18"/>
              </w:rPr>
              <w:t>each business on its own economics; the stake at a real mark</w:t>
            </w:r>
          </w:p>
        </w:tc>
        <w:tc>
          <w:tcPr>
            <w:tcW w:type="dxa" w:w="3096"/>
          </w:tcPr>
          <w:p>
            <w:pPr>
              <w:spacing w:after="20"/>
              <w:jc w:val="right"/>
            </w:pPr>
            <w:r>
              <w:rPr>
                <w:color w:val="1C3A36"/>
                <w:sz w:val="18"/>
              </w:rPr>
              <w:t>which mark is true — so it is computed twice</w:t>
            </w:r>
          </w:p>
        </w:tc>
        <w:tc>
          <w:tcPr>
            <w:tcW w:type="dxa" w:w="1872"/>
          </w:tcPr>
          <w:p>
            <w:pPr>
              <w:spacing w:after="20"/>
              <w:jc w:val="right"/>
            </w:pPr>
            <w:r>
              <w:rPr>
                <w:color w:val="1C3A36"/>
                <w:sz w:val="18"/>
              </w:rPr>
              <w:t>21.5 or 33.7</w:t>
            </w:r>
          </w:p>
        </w:tc>
      </w:tr>
      <w:tr>
        <w:tc>
          <w:tcPr>
            <w:tcW w:type="dxa" w:w="1800"/>
          </w:tcPr>
          <w:p>
            <w:pPr>
              <w:spacing w:after="20"/>
            </w:pPr>
            <w:r>
              <w:rPr>
                <w:color w:val="1C3A36"/>
                <w:sz w:val="18"/>
              </w:rPr>
              <w:t>Book &amp; return</w:t>
            </w:r>
          </w:p>
        </w:tc>
        <w:tc>
          <w:tcPr>
            <w:tcW w:type="dxa" w:w="3096"/>
          </w:tcPr>
          <w:p>
            <w:pPr>
              <w:spacing w:after="20"/>
              <w:jc w:val="right"/>
            </w:pPr>
            <w:r>
              <w:rPr>
                <w:color w:val="1C3A36"/>
                <w:sz w:val="18"/>
              </w:rPr>
              <w:t>the restated accounting floor</w:t>
            </w:r>
          </w:p>
        </w:tc>
        <w:tc>
          <w:tcPr>
            <w:tcW w:type="dxa" w:w="3096"/>
          </w:tcPr>
          <w:p>
            <w:pPr>
              <w:spacing w:after="20"/>
              <w:jc w:val="right"/>
            </w:pPr>
            <w:r>
              <w:rPr>
                <w:color w:val="1C3A36"/>
                <w:sz w:val="18"/>
              </w:rPr>
              <w:t>franchise value above book; the unbooked round gain</w:t>
            </w:r>
          </w:p>
        </w:tc>
        <w:tc>
          <w:tcPr>
            <w:tcW w:type="dxa" w:w="1872"/>
          </w:tcPr>
          <w:p>
            <w:pPr>
              <w:spacing w:after="20"/>
              <w:jc w:val="right"/>
            </w:pPr>
            <w:r>
              <w:rPr>
                <w:color w:val="1C3A36"/>
                <w:sz w:val="18"/>
              </w:rPr>
              <w:t>30.8</w:t>
            </w:r>
          </w:p>
        </w:tc>
      </w:tr>
      <w:tr>
        <w:tc>
          <w:tcPr>
            <w:tcW w:type="dxa" w:w="1800"/>
          </w:tcPr>
          <w:p>
            <w:pPr>
              <w:spacing w:after="20"/>
            </w:pPr>
            <w:r>
              <w:rPr>
                <w:color w:val="1C3A36"/>
                <w:sz w:val="18"/>
              </w:rPr>
              <w:t>Relative multiples</w:t>
            </w:r>
          </w:p>
        </w:tc>
        <w:tc>
          <w:tcPr>
            <w:tcW w:type="dxa" w:w="3096"/>
          </w:tcPr>
          <w:p>
            <w:pPr>
              <w:spacing w:after="20"/>
              <w:jc w:val="right"/>
            </w:pPr>
            <w:r>
              <w:rPr>
                <w:color w:val="1C3A36"/>
                <w:sz w:val="18"/>
              </w:rPr>
              <w:t>what buyers pay today for comparable earnings</w:t>
            </w:r>
          </w:p>
        </w:tc>
        <w:tc>
          <w:tcPr>
            <w:tcW w:type="dxa" w:w="3096"/>
          </w:tcPr>
          <w:p>
            <w:pPr>
              <w:spacing w:after="20"/>
              <w:jc w:val="right"/>
            </w:pPr>
            <w:r>
              <w:rPr>
                <w:color w:val="1C3A36"/>
                <w:sz w:val="18"/>
              </w:rPr>
              <w:t>the stake entirely; the tax normalisation</w:t>
            </w:r>
          </w:p>
        </w:tc>
        <w:tc>
          <w:tcPr>
            <w:tcW w:type="dxa" w:w="1872"/>
          </w:tcPr>
          <w:p>
            <w:pPr>
              <w:spacing w:after="20"/>
              <w:jc w:val="right"/>
            </w:pPr>
            <w:r>
              <w:rPr>
                <w:color w:val="1C3A36"/>
                <w:sz w:val="18"/>
              </w:rPr>
              <w:t>26.8</w:t>
            </w:r>
          </w:p>
        </w:tc>
      </w:tr>
      <w:tr>
        <w:tc>
          <w:tcPr>
            <w:tcW w:type="dxa" w:w="1800"/>
          </w:tcPr>
          <w:p>
            <w:pPr>
              <w:spacing w:after="20"/>
            </w:pPr>
            <w:r>
              <w:rPr>
                <w:color w:val="1C3A36"/>
                <w:sz w:val="18"/>
              </w:rPr>
              <w:t>Normalised power</w:t>
            </w:r>
          </w:p>
        </w:tc>
        <w:tc>
          <w:tcPr>
            <w:tcW w:type="dxa" w:w="3096"/>
          </w:tcPr>
          <w:p>
            <w:pPr>
              <w:spacing w:after="20"/>
              <w:jc w:val="right"/>
            </w:pPr>
            <w:r>
              <w:rPr>
                <w:color w:val="1C3A36"/>
                <w:sz w:val="18"/>
              </w:rPr>
              <w:t>the business with the two distortions removed</w:t>
            </w:r>
          </w:p>
        </w:tc>
        <w:tc>
          <w:tcPr>
            <w:tcW w:type="dxa" w:w="3096"/>
          </w:tcPr>
          <w:p>
            <w:pPr>
              <w:spacing w:after="20"/>
              <w:jc w:val="right"/>
            </w:pPr>
            <w:r>
              <w:rPr>
                <w:color w:val="1C3A36"/>
                <w:sz w:val="18"/>
              </w:rPr>
              <w:t>how long the distortions actually last</w:t>
            </w:r>
          </w:p>
        </w:tc>
        <w:tc>
          <w:tcPr>
            <w:tcW w:type="dxa" w:w="1872"/>
          </w:tcPr>
          <w:p>
            <w:pPr>
              <w:spacing w:after="20"/>
              <w:jc w:val="right"/>
            </w:pPr>
            <w:r>
              <w:rPr>
                <w:color w:val="1C3A36"/>
                <w:sz w:val="18"/>
              </w:rPr>
              <w:t>40.4</w:t>
            </w:r>
          </w:p>
        </w:tc>
      </w:tr>
    </w:tbl>
    <w:p>
      <w:pPr>
        <w:spacing w:after="40"/>
      </w:pPr>
    </w:p>
    <w:p>
      <w:pPr>
        <w:spacing w:after="120" w:before="0"/>
      </w:pPr>
      <w:r>
        <w:rPr>
          <w:b w:val="0"/>
          <w:i w:val="0"/>
          <w:color w:val="1C3A36"/>
          <w:sz w:val="21"/>
        </w:rPr>
        <w:t>The pattern is the tell: the two stake-blind lenses sit at 27–40, the stake-aware framings at 29–34. The market's August quote of 29.7 prices GB Corp as if the operating businesses were nearly the whole story and MNT-Halan's round were mostly noise. That is a coherent position — it is the balance-sheet framing — but it leaves the round-mark upside as a free option on a documented, bank-led transaction.</w:t>
      </w:r>
    </w:p>
    <w:p>
      <w:pPr>
        <w:spacing w:after="120" w:before="280"/>
      </w:pPr>
      <w:r>
        <w:rPr>
          <w:b/>
          <w:i w:val="0"/>
          <w:color w:val="1C3A36"/>
          <w:sz w:val="30"/>
        </w:rPr>
        <w:t>5  Catalysts to watch</w:t>
      </w:r>
    </w:p>
    <w:p>
      <w:pPr>
        <w:pStyle w:val="ListBullet"/>
        <w:spacing w:after="60"/>
      </w:pPr>
      <w:r>
        <w:rPr>
          <w:b/>
          <w:color w:val="1C3A36"/>
          <w:sz w:val="21"/>
        </w:rPr>
        <w:t xml:space="preserve">The stake: </w:t>
      </w:r>
      <w:r>
        <w:rPr>
          <w:color w:val="1C3A36"/>
          <w:sz w:val="21"/>
        </w:rPr>
        <w:t>MNT-Halan's second closing — size and price either validate the USD 1.4bn mark or re-price the crux directly.</w:t>
      </w:r>
    </w:p>
    <w:p>
      <w:pPr>
        <w:pStyle w:val="ListBullet"/>
        <w:spacing w:after="60"/>
      </w:pPr>
      <w:r>
        <w:rPr>
          <w:b/>
          <w:color w:val="1C3A36"/>
          <w:sz w:val="21"/>
        </w:rPr>
        <w:t xml:space="preserve">Rates: </w:t>
      </w:r>
      <w:r>
        <w:rPr>
          <w:color w:val="1C3A36"/>
          <w:sz w:val="21"/>
        </w:rPr>
        <w:t>The central bank's next meetings against 14.9% July inflation: each cut reprices the floating funding book downward and extends car affordability.</w:t>
      </w:r>
    </w:p>
    <w:p>
      <w:pPr>
        <w:pStyle w:val="ListBullet"/>
        <w:spacing w:after="60"/>
      </w:pPr>
      <w:r>
        <w:rPr>
          <w:b/>
          <w:color w:val="1C3A36"/>
          <w:sz w:val="21"/>
        </w:rPr>
        <w:t xml:space="preserve">Launches: </w:t>
      </w:r>
      <w:r>
        <w:rPr>
          <w:color w:val="1C3A36"/>
          <w:sz w:val="21"/>
        </w:rPr>
        <w:t>September's additional Hyundai model, the third locally assembled Changan in the fourth quarter, and the new mainstream electric brand launched in August.</w:t>
      </w:r>
    </w:p>
    <w:p>
      <w:pPr>
        <w:pStyle w:val="ListBullet"/>
        <w:spacing w:after="60"/>
      </w:pPr>
      <w:r>
        <w:rPr>
          <w:b/>
          <w:color w:val="1C3A36"/>
          <w:sz w:val="21"/>
        </w:rPr>
        <w:t xml:space="preserve">Funding plumbing: </w:t>
      </w:r>
      <w:r>
        <w:rPr>
          <w:color w:val="1C3A36"/>
          <w:sz w:val="21"/>
        </w:rPr>
        <w:t>The new bank-participation rules in securitisation: management expects delayed issuance and dearer funding in the second half, normalising thereafter.</w:t>
      </w:r>
    </w:p>
    <w:p>
      <w:pPr>
        <w:pStyle w:val="ListBullet"/>
        <w:spacing w:after="60"/>
      </w:pPr>
      <w:r>
        <w:rPr>
          <w:b/>
          <w:color w:val="1C3A36"/>
          <w:sz w:val="21"/>
        </w:rPr>
        <w:t xml:space="preserve">Regional: </w:t>
      </w:r>
      <w:r>
        <w:rPr>
          <w:color w:val="1C3A36"/>
          <w:sz w:val="21"/>
        </w:rPr>
        <w:t>Iraq and Jordan: management guides the drag to largely end from the fourth quarter — the single biggest swing to the tax rate and to reported profit.</w:t>
      </w:r>
    </w:p>
    <w:p>
      <w:pPr>
        <w:pStyle w:val="ListBullet"/>
        <w:spacing w:after="60"/>
      </w:pPr>
      <w:r>
        <w:rPr>
          <w:b/>
          <w:color w:val="1C3A36"/>
          <w:sz w:val="21"/>
        </w:rPr>
        <w:t xml:space="preserve">The next print: </w:t>
      </w:r>
      <w:r>
        <w:rPr>
          <w:color w:val="1C3A36"/>
          <w:sz w:val="21"/>
        </w:rPr>
        <w:t>Full-year 2026 results: the first print against this refresh's forecast — revenue near EGP 104bn and earnings near EGP 2.8 per share are the marks to beat.</w:t>
      </w:r>
    </w:p>
    <w:p>
      <w:pPr>
        <w:spacing w:after="120" w:before="280"/>
      </w:pPr>
      <w:r>
        <w:rPr>
          <w:b/>
          <w:i w:val="0"/>
          <w:color w:val="1C3A36"/>
          <w:sz w:val="30"/>
        </w:rPr>
        <w:t>6  Reading the probability zones</w:t>
      </w:r>
    </w:p>
    <w:p>
      <w:pPr>
        <w:spacing w:after="120" w:before="0"/>
      </w:pPr>
      <w:r>
        <w:rPr>
          <w:b w:val="0"/>
          <w:i w:val="0"/>
          <w:color w:val="1C3A36"/>
          <w:sz w:val="21"/>
        </w:rPr>
        <w:t>The published three-month map (struck 2026-07-22) put the middle half of outcomes between 28.34 and 37.86, with a median of 32.80. Overlaying this refresh's fair-value range: the balance-sheet-mark central (28.7) sits inside the map's middle band — the market can reach the conservative framing on ordinary volatility. The round-mark central (33.6) sits near the map's upper quartile: reaching it inside a quarter historically required either the stake question resolving or an earnings surprise. The map is the July strike; the overlay is today's fundamentals — read the four-week gap between their dates accordingly.</w:t>
      </w:r>
    </w:p>
    <w:p>
      <w:pPr>
        <w:spacing w:after="120" w:before="280"/>
      </w:pPr>
      <w:r>
        <w:rPr>
          <w:b/>
          <w:i w:val="0"/>
          <w:color w:val="1C3A36"/>
          <w:sz w:val="30"/>
        </w:rPr>
        <w:t>7  Caveats — what would change our mind</w:t>
      </w:r>
    </w:p>
    <w:p>
      <w:pPr>
        <w:pStyle w:val="ListBullet"/>
        <w:spacing w:after="60"/>
      </w:pPr>
      <w:r>
        <w:rPr>
          <w:color w:val="1C3A36"/>
          <w:sz w:val="21"/>
        </w:rPr>
        <w:t>The reviewer could not verify the MNT-Halan carrying value (second consecutive period) and the associate contributed EGP 410mn of the period's profit. If audited numbers eventually disappoint, both framings fall, not just one.</w:t>
      </w:r>
    </w:p>
    <w:p>
      <w:pPr>
        <w:pStyle w:val="ListBullet"/>
        <w:spacing w:after="60"/>
      </w:pPr>
      <w:r>
        <w:rPr>
          <w:color w:val="1C3A36"/>
          <w:sz w:val="21"/>
        </w:rPr>
        <w:t>85% of the automotive enterprise value is terminal. A one-point widening of the spread between discount rate and terminal growth removes roughly a tenth of that leg.</w:t>
      </w:r>
    </w:p>
    <w:p>
      <w:pPr>
        <w:pStyle w:val="ListBullet"/>
        <w:spacing w:after="60"/>
      </w:pPr>
      <w:r>
        <w:rPr>
          <w:color w:val="1C3A36"/>
          <w:sz w:val="21"/>
        </w:rPr>
        <w:t>The margin path assumes exactly one more year of the measured compression, then stability. If supply keeps improving faster than localisation offsets it, the flat-after-FY27 assumption is the study's soft spot.</w:t>
      </w:r>
    </w:p>
    <w:p>
      <w:pPr>
        <w:pStyle w:val="ListBullet"/>
        <w:spacing w:after="60"/>
      </w:pPr>
      <w:r>
        <w:rPr>
          <w:color w:val="1C3A36"/>
          <w:sz w:val="21"/>
        </w:rPr>
        <w:t>The tax-rate glide to 22.5% depends on the regional losses actually ending. Each year they persist costs roughly EGP 0.4–0.5 of earnings per share against our path.</w:t>
      </w:r>
    </w:p>
    <w:p>
      <w:pPr>
        <w:pStyle w:val="ListBullet"/>
        <w:spacing w:after="60"/>
      </w:pPr>
      <w:r>
        <w:rPr>
          <w:color w:val="1C3A36"/>
          <w:sz w:val="21"/>
        </w:rPr>
        <w:t>The pound: the round mark is a dollar number. The same round is worth 6.8% more in pounds than at the July study purely from depreciation — and the mechanism runs both ways.</w:t>
      </w:r>
    </w:p>
    <w:p>
      <w:pPr>
        <w:pStyle w:val="ListBullet"/>
        <w:spacing w:after="60"/>
      </w:pPr>
      <w:r>
        <w:rPr>
          <w:color w:val="1C3A36"/>
          <w:sz w:val="21"/>
        </w:rPr>
        <w:t>Working capital is modelled on the measured cycle; the five disclosed quarters span 16.7–18.9bn but the year-end build is real. A repeat of the 2025 year-end peak (28.5% of revenue) would push the FY26E cash flow negative.</w:t>
      </w:r>
    </w:p>
    <w:p>
      <w:pPr>
        <w:pStyle w:val="ListBullet"/>
        <w:spacing w:after="60"/>
      </w:pPr>
      <w:r>
        <w:rPr>
          <w:color w:val="1C3A36"/>
          <w:sz w:val="21"/>
        </w:rPr>
        <w:t>The price-side of this document (the probability map and technical levels) is dated 2026-07-22 and is stale by four weeks at issue. It is reproduced for completeness, not re-struck.</w:t>
      </w:r>
    </w:p>
    <w:p>
      <w:pPr>
        <w:spacing w:after="120" w:before="280"/>
      </w:pPr>
      <w:r>
        <w:rPr>
          <w:b/>
          <w:i w:val="0"/>
          <w:color w:val="1C3A36"/>
          <w:sz w:val="30"/>
        </w:rPr>
        <w:t>Appendix A — Financial statements</w:t>
      </w:r>
    </w:p>
    <w:p>
      <w:pPr>
        <w:spacing w:after="80" w:before="200"/>
      </w:pPr>
      <w:r>
        <w:rPr>
          <w:b/>
          <w:i w:val="0"/>
          <w:color w:val="1C3A36"/>
          <w:sz w:val="24"/>
        </w:rPr>
        <w:t>A.1  Income statement — three disclosed years and the five-year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907"/>
        <w:gridCol w:w="907"/>
        <w:gridCol w:w="907"/>
        <w:gridCol w:w="950"/>
        <w:gridCol w:w="950"/>
        <w:gridCol w:w="950"/>
        <w:gridCol w:w="950"/>
        <w:gridCol w:w="950"/>
      </w:tblGrid>
      <w:tr>
        <w:tc>
          <w:tcPr>
            <w:tcW w:type="dxa" w:w="2592"/>
            <w:shd w:val="clear" w:color="auto" w:fill="EAF0EE"/>
          </w:tcPr>
          <w:p>
            <w:pPr>
              <w:spacing w:after="20"/>
            </w:pPr>
            <w:r>
              <w:rPr>
                <w:b/>
                <w:color w:val="1C3A36"/>
                <w:sz w:val="17"/>
              </w:rPr>
              <w:t>EGP mn</w:t>
            </w:r>
          </w:p>
        </w:tc>
        <w:tc>
          <w:tcPr>
            <w:tcW w:type="dxa" w:w="907"/>
            <w:shd w:val="clear" w:color="auto" w:fill="EAF0EE"/>
          </w:tcPr>
          <w:p>
            <w:pPr>
              <w:spacing w:after="20"/>
            </w:pPr>
            <w:r>
              <w:rPr>
                <w:b/>
                <w:color w:val="1C3A36"/>
                <w:sz w:val="17"/>
              </w:rPr>
              <w:t>FY23</w:t>
            </w:r>
          </w:p>
        </w:tc>
        <w:tc>
          <w:tcPr>
            <w:tcW w:type="dxa" w:w="907"/>
            <w:shd w:val="clear" w:color="auto" w:fill="EAF0EE"/>
          </w:tcPr>
          <w:p>
            <w:pPr>
              <w:spacing w:after="20"/>
            </w:pPr>
            <w:r>
              <w:rPr>
                <w:b/>
                <w:color w:val="1C3A36"/>
                <w:sz w:val="17"/>
              </w:rPr>
              <w:t>FY24</w:t>
            </w:r>
          </w:p>
        </w:tc>
        <w:tc>
          <w:tcPr>
            <w:tcW w:type="dxa" w:w="907"/>
            <w:shd w:val="clear" w:color="auto" w:fill="EAF0EE"/>
          </w:tcPr>
          <w:p>
            <w:pPr>
              <w:spacing w:after="20"/>
            </w:pPr>
            <w:r>
              <w:rPr>
                <w:b/>
                <w:color w:val="1C3A36"/>
                <w:sz w:val="17"/>
              </w:rPr>
              <w:t>FY25</w:t>
            </w:r>
          </w:p>
        </w:tc>
        <w:tc>
          <w:tcPr>
            <w:tcW w:type="dxa" w:w="950"/>
            <w:shd w:val="clear" w:color="auto" w:fill="EAF0EE"/>
          </w:tcPr>
          <w:p>
            <w:pPr>
              <w:spacing w:after="20"/>
            </w:pPr>
            <w:r>
              <w:rPr>
                <w:b/>
                <w:color w:val="1C3A36"/>
                <w:sz w:val="17"/>
              </w:rPr>
              <w:t>FY26E</w:t>
            </w:r>
          </w:p>
        </w:tc>
        <w:tc>
          <w:tcPr>
            <w:tcW w:type="dxa" w:w="950"/>
            <w:shd w:val="clear" w:color="auto" w:fill="EAF0EE"/>
          </w:tcPr>
          <w:p>
            <w:pPr>
              <w:spacing w:after="20"/>
            </w:pPr>
            <w:r>
              <w:rPr>
                <w:b/>
                <w:color w:val="1C3A36"/>
                <w:sz w:val="17"/>
              </w:rPr>
              <w:t>FY27E</w:t>
            </w:r>
          </w:p>
        </w:tc>
        <w:tc>
          <w:tcPr>
            <w:tcW w:type="dxa" w:w="950"/>
            <w:shd w:val="clear" w:color="auto" w:fill="EAF0EE"/>
          </w:tcPr>
          <w:p>
            <w:pPr>
              <w:spacing w:after="20"/>
            </w:pPr>
            <w:r>
              <w:rPr>
                <w:b/>
                <w:color w:val="1C3A36"/>
                <w:sz w:val="17"/>
              </w:rPr>
              <w:t>FY28E</w:t>
            </w:r>
          </w:p>
        </w:tc>
        <w:tc>
          <w:tcPr>
            <w:tcW w:type="dxa" w:w="950"/>
            <w:shd w:val="clear" w:color="auto" w:fill="EAF0EE"/>
          </w:tcPr>
          <w:p>
            <w:pPr>
              <w:spacing w:after="20"/>
            </w:pPr>
            <w:r>
              <w:rPr>
                <w:b/>
                <w:color w:val="1C3A36"/>
                <w:sz w:val="17"/>
              </w:rPr>
              <w:t>FY29E</w:t>
            </w:r>
          </w:p>
        </w:tc>
        <w:tc>
          <w:tcPr>
            <w:tcW w:type="dxa" w:w="950"/>
            <w:shd w:val="clear" w:color="auto" w:fill="EAF0EE"/>
          </w:tcPr>
          <w:p>
            <w:pPr>
              <w:spacing w:after="20"/>
            </w:pPr>
            <w:r>
              <w:rPr>
                <w:b/>
                <w:color w:val="1C3A36"/>
                <w:sz w:val="17"/>
              </w:rPr>
              <w:t>FY30E</w:t>
            </w:r>
          </w:p>
        </w:tc>
      </w:tr>
      <w:tr>
        <w:tc>
          <w:tcPr>
            <w:tcW w:type="dxa" w:w="2592"/>
          </w:tcPr>
          <w:p>
            <w:pPr>
              <w:spacing w:after="20"/>
            </w:pPr>
            <w:r>
              <w:rPr>
                <w:color w:val="1C3A36"/>
                <w:sz w:val="17"/>
              </w:rPr>
              <w:t>Automotive revenue</w:t>
            </w:r>
          </w:p>
        </w:tc>
        <w:tc>
          <w:tcPr>
            <w:tcW w:type="dxa" w:w="907"/>
          </w:tcPr>
          <w:p>
            <w:pPr>
              <w:spacing w:after="20"/>
              <w:jc w:val="right"/>
            </w:pPr>
            <w:r>
              <w:rPr>
                <w:color w:val="1C3A36"/>
                <w:sz w:val="17"/>
              </w:rPr>
              <w:t>23,854</w:t>
            </w:r>
          </w:p>
        </w:tc>
        <w:tc>
          <w:tcPr>
            <w:tcW w:type="dxa" w:w="907"/>
          </w:tcPr>
          <w:p>
            <w:pPr>
              <w:spacing w:after="20"/>
              <w:jc w:val="right"/>
            </w:pPr>
            <w:r>
              <w:rPr>
                <w:color w:val="1C3A36"/>
                <w:sz w:val="17"/>
              </w:rPr>
              <w:t>47,065</w:t>
            </w:r>
          </w:p>
        </w:tc>
        <w:tc>
          <w:tcPr>
            <w:tcW w:type="dxa" w:w="907"/>
          </w:tcPr>
          <w:p>
            <w:pPr>
              <w:spacing w:after="20"/>
              <w:jc w:val="right"/>
            </w:pPr>
            <w:r>
              <w:rPr>
                <w:color w:val="1C3A36"/>
                <w:sz w:val="17"/>
              </w:rPr>
              <w:t>66,358</w:t>
            </w:r>
          </w:p>
        </w:tc>
        <w:tc>
          <w:tcPr>
            <w:tcW w:type="dxa" w:w="950"/>
          </w:tcPr>
          <w:p>
            <w:pPr>
              <w:spacing w:after="20"/>
              <w:jc w:val="right"/>
            </w:pPr>
            <w:r>
              <w:rPr>
                <w:color w:val="1C3A36"/>
                <w:sz w:val="17"/>
              </w:rPr>
              <w:t>87,110</w:t>
            </w:r>
          </w:p>
        </w:tc>
        <w:tc>
          <w:tcPr>
            <w:tcW w:type="dxa" w:w="950"/>
          </w:tcPr>
          <w:p>
            <w:pPr>
              <w:spacing w:after="20"/>
              <w:jc w:val="right"/>
            </w:pPr>
            <w:r>
              <w:rPr>
                <w:color w:val="1C3A36"/>
                <w:sz w:val="17"/>
              </w:rPr>
              <w:t>102,729</w:t>
            </w:r>
          </w:p>
        </w:tc>
        <w:tc>
          <w:tcPr>
            <w:tcW w:type="dxa" w:w="950"/>
          </w:tcPr>
          <w:p>
            <w:pPr>
              <w:spacing w:after="20"/>
              <w:jc w:val="right"/>
            </w:pPr>
            <w:r>
              <w:rPr>
                <w:color w:val="1C3A36"/>
                <w:sz w:val="17"/>
              </w:rPr>
              <w:t>118,593</w:t>
            </w:r>
          </w:p>
        </w:tc>
        <w:tc>
          <w:tcPr>
            <w:tcW w:type="dxa" w:w="950"/>
          </w:tcPr>
          <w:p>
            <w:pPr>
              <w:spacing w:after="20"/>
              <w:jc w:val="right"/>
            </w:pPr>
            <w:r>
              <w:rPr>
                <w:color w:val="1C3A36"/>
                <w:sz w:val="17"/>
              </w:rPr>
              <w:t>133,511</w:t>
            </w:r>
          </w:p>
        </w:tc>
        <w:tc>
          <w:tcPr>
            <w:tcW w:type="dxa" w:w="950"/>
          </w:tcPr>
          <w:p>
            <w:pPr>
              <w:spacing w:after="20"/>
              <w:jc w:val="right"/>
            </w:pPr>
            <w:r>
              <w:rPr>
                <w:color w:val="1C3A36"/>
                <w:sz w:val="17"/>
              </w:rPr>
              <w:t>148,683</w:t>
            </w:r>
          </w:p>
        </w:tc>
      </w:tr>
      <w:tr>
        <w:tc>
          <w:tcPr>
            <w:tcW w:type="dxa" w:w="2592"/>
          </w:tcPr>
          <w:p>
            <w:pPr>
              <w:spacing w:after="20"/>
            </w:pPr>
            <w:r>
              <w:rPr>
                <w:color w:val="1C3A36"/>
                <w:sz w:val="17"/>
              </w:rPr>
              <w:t>GB Capital revenue</w:t>
            </w:r>
          </w:p>
        </w:tc>
        <w:tc>
          <w:tcPr>
            <w:tcW w:type="dxa" w:w="907"/>
          </w:tcPr>
          <w:p>
            <w:pPr>
              <w:spacing w:after="20"/>
              <w:jc w:val="right"/>
            </w:pPr>
            <w:r>
              <w:rPr>
                <w:color w:val="1C3A36"/>
                <w:sz w:val="17"/>
              </w:rPr>
              <w:t>4,951</w:t>
            </w:r>
          </w:p>
        </w:tc>
        <w:tc>
          <w:tcPr>
            <w:tcW w:type="dxa" w:w="907"/>
          </w:tcPr>
          <w:p>
            <w:pPr>
              <w:spacing w:after="20"/>
              <w:jc w:val="right"/>
            </w:pPr>
            <w:r>
              <w:rPr>
                <w:color w:val="1C3A36"/>
                <w:sz w:val="17"/>
              </w:rPr>
              <w:t>7,384</w:t>
            </w:r>
          </w:p>
        </w:tc>
        <w:tc>
          <w:tcPr>
            <w:tcW w:type="dxa" w:w="907"/>
          </w:tcPr>
          <w:p>
            <w:pPr>
              <w:spacing w:after="20"/>
              <w:jc w:val="right"/>
            </w:pPr>
            <w:r>
              <w:rPr>
                <w:color w:val="1C3A36"/>
                <w:sz w:val="17"/>
              </w:rPr>
              <w:t>14,743</w:t>
            </w:r>
          </w:p>
        </w:tc>
        <w:tc>
          <w:tcPr>
            <w:tcW w:type="dxa" w:w="950"/>
          </w:tcPr>
          <w:p>
            <w:pPr>
              <w:spacing w:after="20"/>
              <w:jc w:val="right"/>
            </w:pPr>
            <w:r>
              <w:rPr>
                <w:color w:val="1C3A36"/>
                <w:sz w:val="17"/>
              </w:rPr>
              <w:t>18,700</w:t>
            </w:r>
          </w:p>
        </w:tc>
        <w:tc>
          <w:tcPr>
            <w:tcW w:type="dxa" w:w="950"/>
          </w:tcPr>
          <w:p>
            <w:pPr>
              <w:spacing w:after="20"/>
              <w:jc w:val="right"/>
            </w:pPr>
            <w:r>
              <w:rPr>
                <w:color w:val="1C3A36"/>
                <w:sz w:val="17"/>
              </w:rPr>
              <w:t>22,440</w:t>
            </w:r>
          </w:p>
        </w:tc>
        <w:tc>
          <w:tcPr>
            <w:tcW w:type="dxa" w:w="950"/>
          </w:tcPr>
          <w:p>
            <w:pPr>
              <w:spacing w:after="20"/>
              <w:jc w:val="right"/>
            </w:pPr>
            <w:r>
              <w:rPr>
                <w:color w:val="1C3A36"/>
                <w:sz w:val="17"/>
              </w:rPr>
              <w:t>26,255</w:t>
            </w:r>
          </w:p>
        </w:tc>
        <w:tc>
          <w:tcPr>
            <w:tcW w:type="dxa" w:w="950"/>
          </w:tcPr>
          <w:p>
            <w:pPr>
              <w:spacing w:after="20"/>
              <w:jc w:val="right"/>
            </w:pPr>
            <w:r>
              <w:rPr>
                <w:color w:val="1C3A36"/>
                <w:sz w:val="17"/>
              </w:rPr>
              <w:t>30,193</w:t>
            </w:r>
          </w:p>
        </w:tc>
        <w:tc>
          <w:tcPr>
            <w:tcW w:type="dxa" w:w="950"/>
          </w:tcPr>
          <w:p>
            <w:pPr>
              <w:spacing w:after="20"/>
              <w:jc w:val="right"/>
            </w:pPr>
            <w:r>
              <w:rPr>
                <w:color w:val="1C3A36"/>
                <w:sz w:val="17"/>
              </w:rPr>
              <w:t>33,816</w:t>
            </w:r>
          </w:p>
        </w:tc>
      </w:tr>
      <w:tr>
        <w:tc>
          <w:tcPr>
            <w:tcW w:type="dxa" w:w="2592"/>
          </w:tcPr>
          <w:p>
            <w:pPr>
              <w:spacing w:after="20"/>
            </w:pPr>
            <w:r>
              <w:rPr>
                <w:color w:val="1C3A36"/>
                <w:sz w:val="17"/>
              </w:rPr>
              <w:t>Group revenue</w:t>
            </w:r>
          </w:p>
        </w:tc>
        <w:tc>
          <w:tcPr>
            <w:tcW w:type="dxa" w:w="907"/>
          </w:tcPr>
          <w:p>
            <w:pPr>
              <w:spacing w:after="20"/>
              <w:jc w:val="right"/>
            </w:pPr>
            <w:r>
              <w:rPr>
                <w:color w:val="1C3A36"/>
                <w:sz w:val="17"/>
              </w:rPr>
              <w:t>28,317</w:t>
            </w:r>
          </w:p>
        </w:tc>
        <w:tc>
          <w:tcPr>
            <w:tcW w:type="dxa" w:w="907"/>
          </w:tcPr>
          <w:p>
            <w:pPr>
              <w:spacing w:after="20"/>
              <w:jc w:val="right"/>
            </w:pPr>
            <w:r>
              <w:rPr>
                <w:color w:val="1C3A36"/>
                <w:sz w:val="17"/>
              </w:rPr>
              <w:t>53,970</w:t>
            </w:r>
          </w:p>
        </w:tc>
        <w:tc>
          <w:tcPr>
            <w:tcW w:type="dxa" w:w="907"/>
          </w:tcPr>
          <w:p>
            <w:pPr>
              <w:spacing w:after="20"/>
              <w:jc w:val="right"/>
            </w:pPr>
            <w:r>
              <w:rPr>
                <w:color w:val="1C3A36"/>
                <w:sz w:val="17"/>
              </w:rPr>
              <w:t>80,230</w:t>
            </w:r>
          </w:p>
        </w:tc>
        <w:tc>
          <w:tcPr>
            <w:tcW w:type="dxa" w:w="950"/>
          </w:tcPr>
          <w:p>
            <w:pPr>
              <w:spacing w:after="20"/>
              <w:jc w:val="right"/>
            </w:pPr>
            <w:r>
              <w:rPr>
                <w:color w:val="1C3A36"/>
                <w:sz w:val="17"/>
              </w:rPr>
              <w:t>104,435</w:t>
            </w:r>
          </w:p>
        </w:tc>
        <w:tc>
          <w:tcPr>
            <w:tcW w:type="dxa" w:w="950"/>
          </w:tcPr>
          <w:p>
            <w:pPr>
              <w:spacing w:after="20"/>
              <w:jc w:val="right"/>
            </w:pPr>
            <w:r>
              <w:rPr>
                <w:color w:val="1C3A36"/>
                <w:sz w:val="17"/>
              </w:rPr>
              <w:t>123,542</w:t>
            </w:r>
          </w:p>
        </w:tc>
        <w:tc>
          <w:tcPr>
            <w:tcW w:type="dxa" w:w="950"/>
          </w:tcPr>
          <w:p>
            <w:pPr>
              <w:spacing w:after="20"/>
              <w:jc w:val="right"/>
            </w:pPr>
            <w:r>
              <w:rPr>
                <w:color w:val="1C3A36"/>
                <w:sz w:val="17"/>
              </w:rPr>
              <w:t>142,964</w:t>
            </w:r>
          </w:p>
        </w:tc>
        <w:tc>
          <w:tcPr>
            <w:tcW w:type="dxa" w:w="950"/>
          </w:tcPr>
          <w:p>
            <w:pPr>
              <w:spacing w:after="20"/>
              <w:jc w:val="right"/>
            </w:pPr>
            <w:r>
              <w:rPr>
                <w:color w:val="1C3A36"/>
                <w:sz w:val="17"/>
              </w:rPr>
              <w:t>161,576</w:t>
            </w:r>
          </w:p>
        </w:tc>
        <w:tc>
          <w:tcPr>
            <w:tcW w:type="dxa" w:w="950"/>
          </w:tcPr>
          <w:p>
            <w:pPr>
              <w:spacing w:after="20"/>
              <w:jc w:val="right"/>
            </w:pPr>
            <w:r>
              <w:rPr>
                <w:color w:val="1C3A36"/>
                <w:sz w:val="17"/>
              </w:rPr>
              <w:t>180,127</w:t>
            </w:r>
          </w:p>
        </w:tc>
      </w:tr>
      <w:tr>
        <w:tc>
          <w:tcPr>
            <w:tcW w:type="dxa" w:w="2592"/>
          </w:tcPr>
          <w:p>
            <w:pPr>
              <w:spacing w:after="20"/>
            </w:pPr>
            <w:r>
              <w:rPr>
                <w:color w:val="1C3A36"/>
                <w:sz w:val="17"/>
              </w:rPr>
              <w:t>Automotive operating profit</w:t>
            </w:r>
          </w:p>
        </w:tc>
        <w:tc>
          <w:tcPr>
            <w:tcW w:type="dxa" w:w="907"/>
          </w:tcPr>
          <w:p>
            <w:pPr>
              <w:spacing w:after="20"/>
              <w:jc w:val="right"/>
            </w:pPr>
            <w:r>
              <w:rPr>
                <w:color w:val="1C3A36"/>
                <w:sz w:val="17"/>
              </w:rPr>
              <w:t>3,461</w:t>
            </w:r>
          </w:p>
        </w:tc>
        <w:tc>
          <w:tcPr>
            <w:tcW w:type="dxa" w:w="907"/>
          </w:tcPr>
          <w:p>
            <w:pPr>
              <w:spacing w:after="20"/>
              <w:jc w:val="right"/>
            </w:pPr>
            <w:r>
              <w:rPr>
                <w:color w:val="1C3A36"/>
                <w:sz w:val="17"/>
              </w:rPr>
              <w:t>5,565</w:t>
            </w:r>
          </w:p>
        </w:tc>
        <w:tc>
          <w:tcPr>
            <w:tcW w:type="dxa" w:w="907"/>
          </w:tcPr>
          <w:p>
            <w:pPr>
              <w:spacing w:after="20"/>
              <w:jc w:val="right"/>
            </w:pPr>
            <w:r>
              <w:rPr>
                <w:color w:val="1C3A36"/>
                <w:sz w:val="17"/>
              </w:rPr>
              <w:t>5,831</w:t>
            </w:r>
          </w:p>
        </w:tc>
        <w:tc>
          <w:tcPr>
            <w:tcW w:type="dxa" w:w="950"/>
          </w:tcPr>
          <w:p>
            <w:pPr>
              <w:spacing w:after="20"/>
              <w:jc w:val="right"/>
            </w:pPr>
            <w:r>
              <w:rPr>
                <w:color w:val="1C3A36"/>
                <w:sz w:val="17"/>
              </w:rPr>
              <w:t>6,225</w:t>
            </w:r>
          </w:p>
        </w:tc>
        <w:tc>
          <w:tcPr>
            <w:tcW w:type="dxa" w:w="950"/>
          </w:tcPr>
          <w:p>
            <w:pPr>
              <w:spacing w:after="20"/>
              <w:jc w:val="right"/>
            </w:pPr>
            <w:r>
              <w:rPr>
                <w:color w:val="1C3A36"/>
                <w:sz w:val="17"/>
              </w:rPr>
              <w:t>6,857</w:t>
            </w:r>
          </w:p>
        </w:tc>
        <w:tc>
          <w:tcPr>
            <w:tcW w:type="dxa" w:w="950"/>
          </w:tcPr>
          <w:p>
            <w:pPr>
              <w:spacing w:after="20"/>
              <w:jc w:val="right"/>
            </w:pPr>
            <w:r>
              <w:rPr>
                <w:color w:val="1C3A36"/>
                <w:sz w:val="17"/>
              </w:rPr>
              <w:t>7,967</w:t>
            </w:r>
          </w:p>
        </w:tc>
        <w:tc>
          <w:tcPr>
            <w:tcW w:type="dxa" w:w="950"/>
          </w:tcPr>
          <w:p>
            <w:pPr>
              <w:spacing w:after="20"/>
              <w:jc w:val="right"/>
            </w:pPr>
            <w:r>
              <w:rPr>
                <w:color w:val="1C3A36"/>
                <w:sz w:val="17"/>
              </w:rPr>
              <w:t>9,073</w:t>
            </w:r>
          </w:p>
        </w:tc>
        <w:tc>
          <w:tcPr>
            <w:tcW w:type="dxa" w:w="950"/>
          </w:tcPr>
          <w:p>
            <w:pPr>
              <w:spacing w:after="20"/>
              <w:jc w:val="right"/>
            </w:pPr>
            <w:r>
              <w:rPr>
                <w:color w:val="1C3A36"/>
                <w:sz w:val="17"/>
              </w:rPr>
              <w:t>10,202</w:t>
            </w:r>
          </w:p>
        </w:tc>
      </w:tr>
      <w:tr>
        <w:tc>
          <w:tcPr>
            <w:tcW w:type="dxa" w:w="2592"/>
          </w:tcPr>
          <w:p>
            <w:pPr>
              <w:spacing w:after="20"/>
            </w:pPr>
            <w:r>
              <w:rPr>
                <w:color w:val="1C3A36"/>
                <w:sz w:val="17"/>
              </w:rPr>
              <w:t>Financing cost (automotive)</w:t>
            </w:r>
          </w:p>
        </w:tc>
        <w:tc>
          <w:tcPr>
            <w:tcW w:type="dxa" w:w="907"/>
          </w:tcPr>
          <w:p>
            <w:pPr>
              <w:spacing w:after="20"/>
              <w:jc w:val="right"/>
            </w:pPr>
            <w:r>
              <w:rPr>
                <w:color w:val="1C3A36"/>
                <w:sz w:val="17"/>
              </w:rPr>
              <w:t>—</w:t>
            </w:r>
          </w:p>
        </w:tc>
        <w:tc>
          <w:tcPr>
            <w:tcW w:type="dxa" w:w="907"/>
          </w:tcPr>
          <w:p>
            <w:pPr>
              <w:spacing w:after="20"/>
              <w:jc w:val="right"/>
            </w:pPr>
            <w:r>
              <w:rPr>
                <w:color w:val="1C3A36"/>
                <w:sz w:val="17"/>
              </w:rPr>
              <w:t>—</w:t>
            </w:r>
          </w:p>
        </w:tc>
        <w:tc>
          <w:tcPr>
            <w:tcW w:type="dxa" w:w="907"/>
          </w:tcPr>
          <w:p>
            <w:pPr>
              <w:spacing w:after="20"/>
              <w:jc w:val="right"/>
            </w:pPr>
            <w:r>
              <w:rPr>
                <w:color w:val="1C3A36"/>
                <w:sz w:val="17"/>
              </w:rPr>
              <w:t>—</w:t>
            </w:r>
          </w:p>
        </w:tc>
        <w:tc>
          <w:tcPr>
            <w:tcW w:type="dxa" w:w="950"/>
          </w:tcPr>
          <w:p>
            <w:pPr>
              <w:spacing w:after="20"/>
              <w:jc w:val="right"/>
            </w:pPr>
            <w:r>
              <w:rPr>
                <w:color w:val="1C3A36"/>
                <w:sz w:val="17"/>
              </w:rPr>
              <w:t>-3,620</w:t>
            </w:r>
          </w:p>
        </w:tc>
        <w:tc>
          <w:tcPr>
            <w:tcW w:type="dxa" w:w="950"/>
          </w:tcPr>
          <w:p>
            <w:pPr>
              <w:spacing w:after="20"/>
              <w:jc w:val="right"/>
            </w:pPr>
            <w:r>
              <w:rPr>
                <w:color w:val="1C3A36"/>
                <w:sz w:val="17"/>
              </w:rPr>
              <w:t>-2,844</w:t>
            </w:r>
          </w:p>
        </w:tc>
        <w:tc>
          <w:tcPr>
            <w:tcW w:type="dxa" w:w="950"/>
          </w:tcPr>
          <w:p>
            <w:pPr>
              <w:spacing w:after="20"/>
              <w:jc w:val="right"/>
            </w:pPr>
            <w:r>
              <w:rPr>
                <w:color w:val="1C3A36"/>
                <w:sz w:val="17"/>
              </w:rPr>
              <w:t>-3,035</w:t>
            </w:r>
          </w:p>
        </w:tc>
        <w:tc>
          <w:tcPr>
            <w:tcW w:type="dxa" w:w="950"/>
          </w:tcPr>
          <w:p>
            <w:pPr>
              <w:spacing w:after="20"/>
              <w:jc w:val="right"/>
            </w:pPr>
            <w:r>
              <w:rPr>
                <w:color w:val="1C3A36"/>
                <w:sz w:val="17"/>
              </w:rPr>
              <w:t>-2,993</w:t>
            </w:r>
          </w:p>
        </w:tc>
        <w:tc>
          <w:tcPr>
            <w:tcW w:type="dxa" w:w="950"/>
          </w:tcPr>
          <w:p>
            <w:pPr>
              <w:spacing w:after="20"/>
              <w:jc w:val="right"/>
            </w:pPr>
            <w:r>
              <w:rPr>
                <w:color w:val="1C3A36"/>
                <w:sz w:val="17"/>
              </w:rPr>
              <w:t>-2,811</w:t>
            </w:r>
          </w:p>
        </w:tc>
      </w:tr>
      <w:tr>
        <w:tc>
          <w:tcPr>
            <w:tcW w:type="dxa" w:w="2592"/>
            <w:shd w:val="clear" w:color="auto" w:fill="F6F1E6"/>
          </w:tcPr>
          <w:p>
            <w:pPr>
              <w:spacing w:after="20"/>
            </w:pPr>
            <w:r>
              <w:rPr>
                <w:b/>
                <w:color w:val="1C3A36"/>
                <w:sz w:val="17"/>
              </w:rPr>
              <w:t>Group net profit (attributable)</w:t>
            </w:r>
          </w:p>
        </w:tc>
        <w:tc>
          <w:tcPr>
            <w:tcW w:type="dxa" w:w="907"/>
            <w:shd w:val="clear" w:color="auto" w:fill="F6F1E6"/>
          </w:tcPr>
          <w:p>
            <w:pPr>
              <w:spacing w:after="20"/>
              <w:jc w:val="right"/>
            </w:pPr>
            <w:r>
              <w:rPr>
                <w:b/>
                <w:color w:val="1C3A36"/>
                <w:sz w:val="17"/>
              </w:rPr>
              <w:t>1,891</w:t>
            </w:r>
          </w:p>
        </w:tc>
        <w:tc>
          <w:tcPr>
            <w:tcW w:type="dxa" w:w="907"/>
            <w:shd w:val="clear" w:color="auto" w:fill="F6F1E6"/>
          </w:tcPr>
          <w:p>
            <w:pPr>
              <w:spacing w:after="20"/>
              <w:jc w:val="right"/>
            </w:pPr>
            <w:r>
              <w:rPr>
                <w:b/>
                <w:color w:val="1C3A36"/>
                <w:sz w:val="17"/>
              </w:rPr>
              <w:t>2,928</w:t>
            </w:r>
          </w:p>
        </w:tc>
        <w:tc>
          <w:tcPr>
            <w:tcW w:type="dxa" w:w="907"/>
            <w:shd w:val="clear" w:color="auto" w:fill="F6F1E6"/>
          </w:tcPr>
          <w:p>
            <w:pPr>
              <w:spacing w:after="20"/>
              <w:jc w:val="right"/>
            </w:pPr>
            <w:r>
              <w:rPr>
                <w:b/>
                <w:color w:val="1C3A36"/>
                <w:sz w:val="17"/>
              </w:rPr>
              <w:t>2,880</w:t>
            </w:r>
          </w:p>
        </w:tc>
        <w:tc>
          <w:tcPr>
            <w:tcW w:type="dxa" w:w="950"/>
            <w:shd w:val="clear" w:color="auto" w:fill="F6F1E6"/>
          </w:tcPr>
          <w:p>
            <w:pPr>
              <w:spacing w:after="20"/>
              <w:jc w:val="right"/>
            </w:pPr>
            <w:r>
              <w:rPr>
                <w:b/>
                <w:color w:val="1C3A36"/>
                <w:sz w:val="17"/>
              </w:rPr>
              <w:t>3,065</w:t>
            </w:r>
          </w:p>
        </w:tc>
        <w:tc>
          <w:tcPr>
            <w:tcW w:type="dxa" w:w="950"/>
            <w:shd w:val="clear" w:color="auto" w:fill="F6F1E6"/>
          </w:tcPr>
          <w:p>
            <w:pPr>
              <w:spacing w:after="20"/>
              <w:jc w:val="right"/>
            </w:pPr>
            <w:r>
              <w:rPr>
                <w:b/>
                <w:color w:val="1C3A36"/>
                <w:sz w:val="17"/>
              </w:rPr>
              <w:t>4,560</w:t>
            </w:r>
          </w:p>
        </w:tc>
        <w:tc>
          <w:tcPr>
            <w:tcW w:type="dxa" w:w="950"/>
            <w:shd w:val="clear" w:color="auto" w:fill="F6F1E6"/>
          </w:tcPr>
          <w:p>
            <w:pPr>
              <w:spacing w:after="20"/>
              <w:jc w:val="right"/>
            </w:pPr>
            <w:r>
              <w:rPr>
                <w:b/>
                <w:color w:val="1C3A36"/>
                <w:sz w:val="17"/>
              </w:rPr>
              <w:t>5,699</w:t>
            </w:r>
          </w:p>
        </w:tc>
        <w:tc>
          <w:tcPr>
            <w:tcW w:type="dxa" w:w="950"/>
            <w:shd w:val="clear" w:color="auto" w:fill="F6F1E6"/>
          </w:tcPr>
          <w:p>
            <w:pPr>
              <w:spacing w:after="20"/>
              <w:jc w:val="right"/>
            </w:pPr>
            <w:r>
              <w:rPr>
                <w:b/>
                <w:color w:val="1C3A36"/>
                <w:sz w:val="17"/>
              </w:rPr>
              <w:t>6,971</w:t>
            </w:r>
          </w:p>
        </w:tc>
        <w:tc>
          <w:tcPr>
            <w:tcW w:type="dxa" w:w="950"/>
            <w:shd w:val="clear" w:color="auto" w:fill="F6F1E6"/>
          </w:tcPr>
          <w:p>
            <w:pPr>
              <w:spacing w:after="20"/>
              <w:jc w:val="right"/>
            </w:pPr>
            <w:r>
              <w:rPr>
                <w:b/>
                <w:color w:val="1C3A36"/>
                <w:sz w:val="17"/>
              </w:rPr>
              <w:t>8,378</w:t>
            </w:r>
          </w:p>
        </w:tc>
      </w:tr>
      <w:tr>
        <w:tc>
          <w:tcPr>
            <w:tcW w:type="dxa" w:w="2592"/>
            <w:shd w:val="clear" w:color="auto" w:fill="F6F1E6"/>
          </w:tcPr>
          <w:p>
            <w:pPr>
              <w:spacing w:after="20"/>
            </w:pPr>
            <w:r>
              <w:rPr>
                <w:b/>
                <w:color w:val="1C3A36"/>
                <w:sz w:val="17"/>
              </w:rPr>
              <w:t>Earnings per share (EGP)</w:t>
            </w:r>
          </w:p>
        </w:tc>
        <w:tc>
          <w:tcPr>
            <w:tcW w:type="dxa" w:w="907"/>
            <w:shd w:val="clear" w:color="auto" w:fill="F6F1E6"/>
          </w:tcPr>
          <w:p>
            <w:pPr>
              <w:spacing w:after="20"/>
              <w:jc w:val="right"/>
            </w:pPr>
            <w:r>
              <w:rPr>
                <w:b/>
                <w:color w:val="1C3A36"/>
                <w:sz w:val="17"/>
              </w:rPr>
              <w:t>1.74</w:t>
            </w:r>
          </w:p>
        </w:tc>
        <w:tc>
          <w:tcPr>
            <w:tcW w:type="dxa" w:w="907"/>
            <w:shd w:val="clear" w:color="auto" w:fill="F6F1E6"/>
          </w:tcPr>
          <w:p>
            <w:pPr>
              <w:spacing w:after="20"/>
              <w:jc w:val="right"/>
            </w:pPr>
            <w:r>
              <w:rPr>
                <w:b/>
                <w:color w:val="1C3A36"/>
                <w:sz w:val="17"/>
              </w:rPr>
              <w:t>2.70</w:t>
            </w:r>
          </w:p>
        </w:tc>
        <w:tc>
          <w:tcPr>
            <w:tcW w:type="dxa" w:w="907"/>
            <w:shd w:val="clear" w:color="auto" w:fill="F6F1E6"/>
          </w:tcPr>
          <w:p>
            <w:pPr>
              <w:spacing w:after="20"/>
              <w:jc w:val="right"/>
            </w:pPr>
            <w:r>
              <w:rPr>
                <w:b/>
                <w:color w:val="1C3A36"/>
                <w:sz w:val="17"/>
              </w:rPr>
              <w:t>2.65</w:t>
            </w:r>
          </w:p>
        </w:tc>
        <w:tc>
          <w:tcPr>
            <w:tcW w:type="dxa" w:w="950"/>
            <w:shd w:val="clear" w:color="auto" w:fill="F6F1E6"/>
          </w:tcPr>
          <w:p>
            <w:pPr>
              <w:spacing w:after="20"/>
              <w:jc w:val="right"/>
            </w:pPr>
            <w:r>
              <w:rPr>
                <w:b/>
                <w:color w:val="1C3A36"/>
                <w:sz w:val="17"/>
              </w:rPr>
              <w:t>2.82</w:t>
            </w:r>
          </w:p>
        </w:tc>
        <w:tc>
          <w:tcPr>
            <w:tcW w:type="dxa" w:w="950"/>
            <w:shd w:val="clear" w:color="auto" w:fill="F6F1E6"/>
          </w:tcPr>
          <w:p>
            <w:pPr>
              <w:spacing w:after="20"/>
              <w:jc w:val="right"/>
            </w:pPr>
            <w:r>
              <w:rPr>
                <w:b/>
                <w:color w:val="1C3A36"/>
                <w:sz w:val="17"/>
              </w:rPr>
              <w:t>4.20</w:t>
            </w:r>
          </w:p>
        </w:tc>
        <w:tc>
          <w:tcPr>
            <w:tcW w:type="dxa" w:w="950"/>
            <w:shd w:val="clear" w:color="auto" w:fill="F6F1E6"/>
          </w:tcPr>
          <w:p>
            <w:pPr>
              <w:spacing w:after="20"/>
              <w:jc w:val="right"/>
            </w:pPr>
            <w:r>
              <w:rPr>
                <w:b/>
                <w:color w:val="1C3A36"/>
                <w:sz w:val="17"/>
              </w:rPr>
              <w:t>5.25</w:t>
            </w:r>
          </w:p>
        </w:tc>
        <w:tc>
          <w:tcPr>
            <w:tcW w:type="dxa" w:w="950"/>
            <w:shd w:val="clear" w:color="auto" w:fill="F6F1E6"/>
          </w:tcPr>
          <w:p>
            <w:pPr>
              <w:spacing w:after="20"/>
              <w:jc w:val="right"/>
            </w:pPr>
            <w:r>
              <w:rPr>
                <w:b/>
                <w:color w:val="1C3A36"/>
                <w:sz w:val="17"/>
              </w:rPr>
              <w:t>6.42</w:t>
            </w:r>
          </w:p>
        </w:tc>
        <w:tc>
          <w:tcPr>
            <w:tcW w:type="dxa" w:w="950"/>
            <w:shd w:val="clear" w:color="auto" w:fill="F6F1E6"/>
          </w:tcPr>
          <w:p>
            <w:pPr>
              <w:spacing w:after="20"/>
              <w:jc w:val="right"/>
            </w:pPr>
            <w:r>
              <w:rPr>
                <w:b/>
                <w:color w:val="1C3A36"/>
                <w:sz w:val="17"/>
              </w:rPr>
              <w:t>7.72</w:t>
            </w:r>
          </w:p>
        </w:tc>
      </w:tr>
    </w:tbl>
    <w:p>
      <w:pPr>
        <w:spacing w:after="40"/>
      </w:pPr>
    </w:p>
    <w:p>
      <w:pPr>
        <w:spacing w:after="200" w:before="0"/>
      </w:pPr>
      <w:r>
        <w:rPr>
          <w:b w:val="0"/>
          <w:i/>
          <w:color w:val="6E7B77"/>
          <w:sz w:val="17"/>
        </w:rPr>
        <w:t>History from the company's issued statements (2026 comparatives restated where the company restated them). The half-year already delivered: revenue 48,474mn, attributable profit 1,262mn, earnings per share 1.163.</w:t>
      </w:r>
    </w:p>
    <w:p>
      <w:pPr>
        <w:spacing w:after="80" w:before="200"/>
      </w:pPr>
      <w:r>
        <w:rPr>
          <w:b/>
          <w:i w:val="0"/>
          <w:color w:val="1C3A36"/>
          <w:sz w:val="24"/>
        </w:rPr>
        <w:t>A.2  Balance sheet — the disclosed position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584"/>
        <w:gridCol w:w="1584"/>
        <w:gridCol w:w="1800"/>
        <w:gridCol w:w="1656"/>
      </w:tblGrid>
      <w:tr>
        <w:tc>
          <w:tcPr>
            <w:tcW w:type="dxa" w:w="3096"/>
            <w:shd w:val="clear" w:color="auto" w:fill="EAF0EE"/>
          </w:tcPr>
          <w:p>
            <w:pPr>
              <w:spacing w:after="20"/>
            </w:pPr>
            <w:r>
              <w:rPr>
                <w:b/>
                <w:color w:val="1C3A36"/>
                <w:sz w:val="17"/>
              </w:rPr>
              <w:t>EGP mn</w:t>
            </w:r>
          </w:p>
        </w:tc>
        <w:tc>
          <w:tcPr>
            <w:tcW w:type="dxa" w:w="1584"/>
            <w:shd w:val="clear" w:color="auto" w:fill="EAF0EE"/>
          </w:tcPr>
          <w:p>
            <w:pPr>
              <w:spacing w:after="20"/>
            </w:pPr>
            <w:r>
              <w:rPr>
                <w:b/>
                <w:color w:val="1C3A36"/>
                <w:sz w:val="17"/>
              </w:rPr>
              <w:t>FY23</w:t>
            </w:r>
          </w:p>
        </w:tc>
        <w:tc>
          <w:tcPr>
            <w:tcW w:type="dxa" w:w="1584"/>
            <w:shd w:val="clear" w:color="auto" w:fill="EAF0EE"/>
          </w:tcPr>
          <w:p>
            <w:pPr>
              <w:spacing w:after="20"/>
            </w:pPr>
            <w:r>
              <w:rPr>
                <w:b/>
                <w:color w:val="1C3A36"/>
                <w:sz w:val="17"/>
              </w:rPr>
              <w:t>FY24</w:t>
            </w:r>
          </w:p>
        </w:tc>
        <w:tc>
          <w:tcPr>
            <w:tcW w:type="dxa" w:w="1800"/>
            <w:shd w:val="clear" w:color="auto" w:fill="EAF0EE"/>
          </w:tcPr>
          <w:p>
            <w:pPr>
              <w:spacing w:after="20"/>
            </w:pPr>
            <w:r>
              <w:rPr>
                <w:b/>
                <w:color w:val="1C3A36"/>
                <w:sz w:val="17"/>
              </w:rPr>
              <w:t>FY25 (restated)</w:t>
            </w:r>
          </w:p>
        </w:tc>
        <w:tc>
          <w:tcPr>
            <w:tcW w:type="dxa" w:w="1656"/>
            <w:shd w:val="clear" w:color="auto" w:fill="EAF0EE"/>
          </w:tcPr>
          <w:p>
            <w:pPr>
              <w:spacing w:after="20"/>
            </w:pPr>
            <w:r>
              <w:rPr>
                <w:b/>
                <w:color w:val="1C3A36"/>
                <w:sz w:val="17"/>
              </w:rPr>
              <w:t>30-Jun-26</w:t>
            </w:r>
          </w:p>
        </w:tc>
      </w:tr>
      <w:tr>
        <w:tc>
          <w:tcPr>
            <w:tcW w:type="dxa" w:w="3096"/>
          </w:tcPr>
          <w:p>
            <w:pPr>
              <w:spacing w:after="20"/>
            </w:pPr>
            <w:r>
              <w:rPr>
                <w:color w:val="1C3A36"/>
                <w:sz w:val="17"/>
              </w:rPr>
              <w:t>Inventories</w:t>
            </w:r>
          </w:p>
        </w:tc>
        <w:tc>
          <w:tcPr>
            <w:tcW w:type="dxa" w:w="1584"/>
          </w:tcPr>
          <w:p>
            <w:pPr>
              <w:spacing w:after="20"/>
              <w:jc w:val="right"/>
            </w:pPr>
            <w:r>
              <w:rPr>
                <w:color w:val="1C3A36"/>
                <w:sz w:val="17"/>
              </w:rPr>
              <w:t>6,366</w:t>
            </w:r>
          </w:p>
        </w:tc>
        <w:tc>
          <w:tcPr>
            <w:tcW w:type="dxa" w:w="1584"/>
          </w:tcPr>
          <w:p>
            <w:pPr>
              <w:spacing w:after="20"/>
              <w:jc w:val="right"/>
            </w:pPr>
            <w:r>
              <w:rPr>
                <w:color w:val="1C3A36"/>
                <w:sz w:val="17"/>
              </w:rPr>
              <w:t>21,134</w:t>
            </w:r>
          </w:p>
        </w:tc>
        <w:tc>
          <w:tcPr>
            <w:tcW w:type="dxa" w:w="1800"/>
          </w:tcPr>
          <w:p>
            <w:pPr>
              <w:spacing w:after="20"/>
              <w:jc w:val="right"/>
            </w:pPr>
            <w:r>
              <w:rPr>
                <w:color w:val="1C3A36"/>
                <w:sz w:val="17"/>
              </w:rPr>
              <w:t>24,650</w:t>
            </w:r>
          </w:p>
        </w:tc>
        <w:tc>
          <w:tcPr>
            <w:tcW w:type="dxa" w:w="1656"/>
          </w:tcPr>
          <w:p>
            <w:pPr>
              <w:spacing w:after="20"/>
              <w:jc w:val="right"/>
            </w:pPr>
            <w:r>
              <w:rPr>
                <w:color w:val="1C3A36"/>
                <w:sz w:val="17"/>
              </w:rPr>
              <w:t>22,998</w:t>
            </w:r>
          </w:p>
        </w:tc>
      </w:tr>
      <w:tr>
        <w:tc>
          <w:tcPr>
            <w:tcW w:type="dxa" w:w="3096"/>
          </w:tcPr>
          <w:p>
            <w:pPr>
              <w:spacing w:after="20"/>
            </w:pPr>
            <w:r>
              <w:rPr>
                <w:color w:val="1C3A36"/>
                <w:sz w:val="17"/>
              </w:rPr>
              <w:t>Receivables &amp; debtors (current)</w:t>
            </w:r>
          </w:p>
        </w:tc>
        <w:tc>
          <w:tcPr>
            <w:tcW w:type="dxa" w:w="1584"/>
          </w:tcPr>
          <w:p>
            <w:pPr>
              <w:spacing w:after="20"/>
              <w:jc w:val="right"/>
            </w:pPr>
            <w:r>
              <w:rPr>
                <w:color w:val="1C3A36"/>
                <w:sz w:val="17"/>
              </w:rPr>
              <w:t>2,783</w:t>
            </w:r>
          </w:p>
        </w:tc>
        <w:tc>
          <w:tcPr>
            <w:tcW w:type="dxa" w:w="1584"/>
          </w:tcPr>
          <w:p>
            <w:pPr>
              <w:spacing w:after="20"/>
              <w:jc w:val="right"/>
            </w:pPr>
            <w:r>
              <w:rPr>
                <w:color w:val="1C3A36"/>
                <w:sz w:val="17"/>
              </w:rPr>
              <w:t>6,651</w:t>
            </w:r>
          </w:p>
        </w:tc>
        <w:tc>
          <w:tcPr>
            <w:tcW w:type="dxa" w:w="1800"/>
          </w:tcPr>
          <w:p>
            <w:pPr>
              <w:spacing w:after="20"/>
              <w:jc w:val="right"/>
            </w:pPr>
            <w:r>
              <w:rPr>
                <w:color w:val="1C3A36"/>
                <w:sz w:val="17"/>
              </w:rPr>
              <w:t>19,976</w:t>
            </w:r>
          </w:p>
        </w:tc>
        <w:tc>
          <w:tcPr>
            <w:tcW w:type="dxa" w:w="1656"/>
          </w:tcPr>
          <w:p>
            <w:pPr>
              <w:spacing w:after="20"/>
              <w:jc w:val="right"/>
            </w:pPr>
            <w:r>
              <w:rPr>
                <w:color w:val="1C3A36"/>
                <w:sz w:val="17"/>
              </w:rPr>
              <w:t>21,840</w:t>
            </w:r>
          </w:p>
        </w:tc>
      </w:tr>
      <w:tr>
        <w:tc>
          <w:tcPr>
            <w:tcW w:type="dxa" w:w="3096"/>
          </w:tcPr>
          <w:p>
            <w:pPr>
              <w:spacing w:after="20"/>
            </w:pPr>
            <w:r>
              <w:rPr>
                <w:color w:val="1C3A36"/>
                <w:sz w:val="17"/>
              </w:rPr>
              <w:t>Investments in associates</w:t>
            </w:r>
          </w:p>
        </w:tc>
        <w:tc>
          <w:tcPr>
            <w:tcW w:type="dxa" w:w="1584"/>
          </w:tcPr>
          <w:p>
            <w:pPr>
              <w:spacing w:after="20"/>
              <w:jc w:val="right"/>
            </w:pPr>
            <w:r>
              <w:rPr>
                <w:color w:val="1C3A36"/>
                <w:sz w:val="17"/>
              </w:rPr>
              <w:t>10,732</w:t>
            </w:r>
          </w:p>
        </w:tc>
        <w:tc>
          <w:tcPr>
            <w:tcW w:type="dxa" w:w="1584"/>
          </w:tcPr>
          <w:p>
            <w:pPr>
              <w:spacing w:after="20"/>
              <w:jc w:val="right"/>
            </w:pPr>
            <w:r>
              <w:rPr>
                <w:color w:val="1C3A36"/>
                <w:sz w:val="17"/>
              </w:rPr>
              <w:t>11,744</w:t>
            </w:r>
          </w:p>
        </w:tc>
        <w:tc>
          <w:tcPr>
            <w:tcW w:type="dxa" w:w="1800"/>
          </w:tcPr>
          <w:p>
            <w:pPr>
              <w:spacing w:after="20"/>
              <w:jc w:val="right"/>
            </w:pPr>
            <w:r>
              <w:rPr>
                <w:color w:val="1C3A36"/>
                <w:sz w:val="17"/>
              </w:rPr>
              <w:t>15,732</w:t>
            </w:r>
          </w:p>
        </w:tc>
        <w:tc>
          <w:tcPr>
            <w:tcW w:type="dxa" w:w="1656"/>
          </w:tcPr>
          <w:p>
            <w:pPr>
              <w:spacing w:after="20"/>
              <w:jc w:val="right"/>
            </w:pPr>
            <w:r>
              <w:rPr>
                <w:color w:val="1C3A36"/>
                <w:sz w:val="17"/>
              </w:rPr>
              <w:t>16,230</w:t>
            </w:r>
          </w:p>
        </w:tc>
      </w:tr>
      <w:tr>
        <w:tc>
          <w:tcPr>
            <w:tcW w:type="dxa" w:w="3096"/>
          </w:tcPr>
          <w:p>
            <w:pPr>
              <w:spacing w:after="20"/>
            </w:pPr>
            <w:r>
              <w:rPr>
                <w:color w:val="1C3A36"/>
                <w:sz w:val="17"/>
              </w:rPr>
              <w:t>Cash &amp; equivalents</w:t>
            </w:r>
          </w:p>
        </w:tc>
        <w:tc>
          <w:tcPr>
            <w:tcW w:type="dxa" w:w="1584"/>
          </w:tcPr>
          <w:p>
            <w:pPr>
              <w:spacing w:after="20"/>
              <w:jc w:val="right"/>
            </w:pPr>
            <w:r>
              <w:rPr>
                <w:color w:val="1C3A36"/>
                <w:sz w:val="17"/>
              </w:rPr>
              <w:t>4,504</w:t>
            </w:r>
          </w:p>
        </w:tc>
        <w:tc>
          <w:tcPr>
            <w:tcW w:type="dxa" w:w="1584"/>
          </w:tcPr>
          <w:p>
            <w:pPr>
              <w:spacing w:after="20"/>
              <w:jc w:val="right"/>
            </w:pPr>
            <w:r>
              <w:rPr>
                <w:color w:val="1C3A36"/>
                <w:sz w:val="17"/>
              </w:rPr>
              <w:t>7,421</w:t>
            </w:r>
          </w:p>
        </w:tc>
        <w:tc>
          <w:tcPr>
            <w:tcW w:type="dxa" w:w="1800"/>
          </w:tcPr>
          <w:p>
            <w:pPr>
              <w:spacing w:after="20"/>
              <w:jc w:val="right"/>
            </w:pPr>
            <w:r>
              <w:rPr>
                <w:color w:val="1C3A36"/>
                <w:sz w:val="17"/>
              </w:rPr>
              <w:t>9,524</w:t>
            </w:r>
          </w:p>
        </w:tc>
        <w:tc>
          <w:tcPr>
            <w:tcW w:type="dxa" w:w="1656"/>
          </w:tcPr>
          <w:p>
            <w:pPr>
              <w:spacing w:after="20"/>
              <w:jc w:val="right"/>
            </w:pPr>
            <w:r>
              <w:rPr>
                <w:color w:val="1C3A36"/>
                <w:sz w:val="17"/>
              </w:rPr>
              <w:t>10,952</w:t>
            </w:r>
          </w:p>
        </w:tc>
      </w:tr>
      <w:tr>
        <w:tc>
          <w:tcPr>
            <w:tcW w:type="dxa" w:w="3096"/>
          </w:tcPr>
          <w:p>
            <w:pPr>
              <w:spacing w:after="20"/>
            </w:pPr>
            <w:r>
              <w:rPr>
                <w:color w:val="1C3A36"/>
                <w:sz w:val="17"/>
              </w:rPr>
              <w:t>Total assets</w:t>
            </w:r>
          </w:p>
        </w:tc>
        <w:tc>
          <w:tcPr>
            <w:tcW w:type="dxa" w:w="1584"/>
          </w:tcPr>
          <w:p>
            <w:pPr>
              <w:spacing w:after="20"/>
              <w:jc w:val="right"/>
            </w:pPr>
            <w:r>
              <w:rPr>
                <w:color w:val="1C3A36"/>
                <w:sz w:val="17"/>
              </w:rPr>
              <w:t>42,586</w:t>
            </w:r>
          </w:p>
        </w:tc>
        <w:tc>
          <w:tcPr>
            <w:tcW w:type="dxa" w:w="1584"/>
          </w:tcPr>
          <w:p>
            <w:pPr>
              <w:spacing w:after="20"/>
              <w:jc w:val="right"/>
            </w:pPr>
            <w:r>
              <w:rPr>
                <w:color w:val="1C3A36"/>
                <w:sz w:val="17"/>
              </w:rPr>
              <w:t>62,725</w:t>
            </w:r>
          </w:p>
        </w:tc>
        <w:tc>
          <w:tcPr>
            <w:tcW w:type="dxa" w:w="1800"/>
          </w:tcPr>
          <w:p>
            <w:pPr>
              <w:spacing w:after="20"/>
              <w:jc w:val="right"/>
            </w:pPr>
            <w:r>
              <w:rPr>
                <w:color w:val="1C3A36"/>
                <w:sz w:val="17"/>
              </w:rPr>
              <w:t>94,288</w:t>
            </w:r>
          </w:p>
        </w:tc>
        <w:tc>
          <w:tcPr>
            <w:tcW w:type="dxa" w:w="1656"/>
          </w:tcPr>
          <w:p>
            <w:pPr>
              <w:spacing w:after="20"/>
              <w:jc w:val="right"/>
            </w:pPr>
            <w:r>
              <w:rPr>
                <w:color w:val="1C3A36"/>
                <w:sz w:val="17"/>
              </w:rPr>
              <w:t>100,921</w:t>
            </w:r>
          </w:p>
        </w:tc>
      </w:tr>
      <w:tr>
        <w:tc>
          <w:tcPr>
            <w:tcW w:type="dxa" w:w="3096"/>
          </w:tcPr>
          <w:p>
            <w:pPr>
              <w:spacing w:after="20"/>
            </w:pPr>
            <w:r>
              <w:rPr>
                <w:color w:val="1C3A36"/>
                <w:sz w:val="17"/>
              </w:rPr>
              <w:t>Borrowings &amp; overdrafts</w:t>
            </w:r>
          </w:p>
        </w:tc>
        <w:tc>
          <w:tcPr>
            <w:tcW w:type="dxa" w:w="1584"/>
          </w:tcPr>
          <w:p>
            <w:pPr>
              <w:spacing w:after="20"/>
              <w:jc w:val="right"/>
            </w:pPr>
            <w:r>
              <w:rPr>
                <w:color w:val="1C3A36"/>
                <w:sz w:val="17"/>
              </w:rPr>
              <w:t>12,518</w:t>
            </w:r>
          </w:p>
        </w:tc>
        <w:tc>
          <w:tcPr>
            <w:tcW w:type="dxa" w:w="1584"/>
          </w:tcPr>
          <w:p>
            <w:pPr>
              <w:spacing w:after="20"/>
              <w:jc w:val="right"/>
            </w:pPr>
            <w:r>
              <w:rPr>
                <w:color w:val="1C3A36"/>
                <w:sz w:val="17"/>
              </w:rPr>
              <w:t>22,609</w:t>
            </w:r>
          </w:p>
        </w:tc>
        <w:tc>
          <w:tcPr>
            <w:tcW w:type="dxa" w:w="1800"/>
          </w:tcPr>
          <w:p>
            <w:pPr>
              <w:spacing w:after="20"/>
              <w:jc w:val="right"/>
            </w:pPr>
            <w:r>
              <w:rPr>
                <w:color w:val="1C3A36"/>
                <w:sz w:val="17"/>
              </w:rPr>
              <w:t>37,921</w:t>
            </w:r>
          </w:p>
        </w:tc>
        <w:tc>
          <w:tcPr>
            <w:tcW w:type="dxa" w:w="1656"/>
          </w:tcPr>
          <w:p>
            <w:pPr>
              <w:spacing w:after="20"/>
              <w:jc w:val="right"/>
            </w:pPr>
            <w:r>
              <w:rPr>
                <w:color w:val="1C3A36"/>
                <w:sz w:val="17"/>
              </w:rPr>
              <w:t>42,476</w:t>
            </w:r>
          </w:p>
        </w:tc>
      </w:tr>
      <w:tr>
        <w:tc>
          <w:tcPr>
            <w:tcW w:type="dxa" w:w="3096"/>
          </w:tcPr>
          <w:p>
            <w:pPr>
              <w:spacing w:after="20"/>
            </w:pPr>
            <w:r>
              <w:rPr>
                <w:color w:val="1C3A36"/>
                <w:sz w:val="17"/>
              </w:rPr>
              <w:t>Parent equity</w:t>
            </w:r>
          </w:p>
        </w:tc>
        <w:tc>
          <w:tcPr>
            <w:tcW w:type="dxa" w:w="1584"/>
          </w:tcPr>
          <w:p>
            <w:pPr>
              <w:spacing w:after="20"/>
              <w:jc w:val="right"/>
            </w:pPr>
            <w:r>
              <w:rPr>
                <w:color w:val="1C3A36"/>
                <w:sz w:val="17"/>
              </w:rPr>
              <w:t>19,839</w:t>
            </w:r>
          </w:p>
        </w:tc>
        <w:tc>
          <w:tcPr>
            <w:tcW w:type="dxa" w:w="1584"/>
          </w:tcPr>
          <w:p>
            <w:pPr>
              <w:spacing w:after="20"/>
              <w:jc w:val="right"/>
            </w:pPr>
            <w:r>
              <w:rPr>
                <w:color w:val="1C3A36"/>
                <w:sz w:val="17"/>
              </w:rPr>
              <w:t>25,438</w:t>
            </w:r>
          </w:p>
        </w:tc>
        <w:tc>
          <w:tcPr>
            <w:tcW w:type="dxa" w:w="1800"/>
          </w:tcPr>
          <w:p>
            <w:pPr>
              <w:spacing w:after="20"/>
              <w:jc w:val="right"/>
            </w:pPr>
            <w:r>
              <w:rPr>
                <w:color w:val="1C3A36"/>
                <w:sz w:val="17"/>
              </w:rPr>
              <w:t>31,671</w:t>
            </w:r>
          </w:p>
        </w:tc>
        <w:tc>
          <w:tcPr>
            <w:tcW w:type="dxa" w:w="1656"/>
          </w:tcPr>
          <w:p>
            <w:pPr>
              <w:spacing w:after="20"/>
              <w:jc w:val="right"/>
            </w:pPr>
            <w:r>
              <w:rPr>
                <w:color w:val="1C3A36"/>
                <w:sz w:val="17"/>
              </w:rPr>
              <w:t>33,454</w:t>
            </w:r>
          </w:p>
        </w:tc>
      </w:tr>
      <w:tr>
        <w:tc>
          <w:tcPr>
            <w:tcW w:type="dxa" w:w="3096"/>
          </w:tcPr>
          <w:p>
            <w:pPr>
              <w:spacing w:after="20"/>
            </w:pPr>
            <w:r>
              <w:rPr>
                <w:color w:val="1C3A36"/>
                <w:sz w:val="17"/>
              </w:rPr>
              <w:t>Group net debt</w:t>
            </w:r>
          </w:p>
        </w:tc>
        <w:tc>
          <w:tcPr>
            <w:tcW w:type="dxa" w:w="1584"/>
          </w:tcPr>
          <w:p>
            <w:pPr>
              <w:spacing w:after="20"/>
              <w:jc w:val="right"/>
            </w:pPr>
            <w:r>
              <w:rPr>
                <w:color w:val="1C3A36"/>
                <w:sz w:val="17"/>
              </w:rPr>
              <w:t>8,014</w:t>
            </w:r>
          </w:p>
        </w:tc>
        <w:tc>
          <w:tcPr>
            <w:tcW w:type="dxa" w:w="1584"/>
          </w:tcPr>
          <w:p>
            <w:pPr>
              <w:spacing w:after="20"/>
              <w:jc w:val="right"/>
            </w:pPr>
            <w:r>
              <w:rPr>
                <w:color w:val="1C3A36"/>
                <w:sz w:val="17"/>
              </w:rPr>
              <w:t>15,188</w:t>
            </w:r>
          </w:p>
        </w:tc>
        <w:tc>
          <w:tcPr>
            <w:tcW w:type="dxa" w:w="1800"/>
          </w:tcPr>
          <w:p>
            <w:pPr>
              <w:spacing w:after="20"/>
              <w:jc w:val="right"/>
            </w:pPr>
            <w:r>
              <w:rPr>
                <w:color w:val="1C3A36"/>
                <w:sz w:val="17"/>
              </w:rPr>
              <w:t>29,299</w:t>
            </w:r>
          </w:p>
        </w:tc>
        <w:tc>
          <w:tcPr>
            <w:tcW w:type="dxa" w:w="1656"/>
          </w:tcPr>
          <w:p>
            <w:pPr>
              <w:spacing w:after="20"/>
              <w:jc w:val="right"/>
            </w:pPr>
            <w:r>
              <w:rPr>
                <w:color w:val="1C3A36"/>
                <w:sz w:val="17"/>
              </w:rPr>
              <w:t>32,270</w:t>
            </w:r>
          </w:p>
        </w:tc>
      </w:tr>
      <w:tr>
        <w:tc>
          <w:tcPr>
            <w:tcW w:type="dxa" w:w="3096"/>
            <w:shd w:val="clear" w:color="auto" w:fill="F6F1E6"/>
          </w:tcPr>
          <w:p>
            <w:pPr>
              <w:spacing w:after="20"/>
            </w:pPr>
            <w:r>
              <w:rPr>
                <w:b/>
                <w:color w:val="1C3A36"/>
                <w:sz w:val="17"/>
              </w:rPr>
              <w:t>Book value per share (EGP)</w:t>
            </w:r>
          </w:p>
        </w:tc>
        <w:tc>
          <w:tcPr>
            <w:tcW w:type="dxa" w:w="1584"/>
            <w:shd w:val="clear" w:color="auto" w:fill="F6F1E6"/>
          </w:tcPr>
          <w:p>
            <w:pPr>
              <w:spacing w:after="20"/>
              <w:jc w:val="right"/>
            </w:pPr>
            <w:r>
              <w:rPr>
                <w:b/>
                <w:color w:val="1C3A36"/>
                <w:sz w:val="17"/>
              </w:rPr>
              <w:t>18.28</w:t>
            </w:r>
          </w:p>
        </w:tc>
        <w:tc>
          <w:tcPr>
            <w:tcW w:type="dxa" w:w="1584"/>
            <w:shd w:val="clear" w:color="auto" w:fill="F6F1E6"/>
          </w:tcPr>
          <w:p>
            <w:pPr>
              <w:spacing w:after="20"/>
              <w:jc w:val="right"/>
            </w:pPr>
            <w:r>
              <w:rPr>
                <w:b/>
                <w:color w:val="1C3A36"/>
                <w:sz w:val="17"/>
              </w:rPr>
              <w:t>23.43</w:t>
            </w:r>
          </w:p>
        </w:tc>
        <w:tc>
          <w:tcPr>
            <w:tcW w:type="dxa" w:w="1800"/>
            <w:shd w:val="clear" w:color="auto" w:fill="F6F1E6"/>
          </w:tcPr>
          <w:p>
            <w:pPr>
              <w:spacing w:after="20"/>
              <w:jc w:val="right"/>
            </w:pPr>
            <w:r>
              <w:rPr>
                <w:b/>
                <w:color w:val="1C3A36"/>
                <w:sz w:val="17"/>
              </w:rPr>
              <w:t>29.18</w:t>
            </w:r>
          </w:p>
        </w:tc>
        <w:tc>
          <w:tcPr>
            <w:tcW w:type="dxa" w:w="1656"/>
            <w:shd w:val="clear" w:color="auto" w:fill="F6F1E6"/>
          </w:tcPr>
          <w:p>
            <w:pPr>
              <w:spacing w:after="20"/>
              <w:jc w:val="right"/>
            </w:pPr>
            <w:r>
              <w:rPr>
                <w:b/>
                <w:color w:val="1C3A36"/>
                <w:sz w:val="17"/>
              </w:rPr>
              <w:t>30.82</w:t>
            </w:r>
          </w:p>
        </w:tc>
      </w:tr>
    </w:tbl>
    <w:p>
      <w:pPr>
        <w:spacing w:after="40"/>
      </w:pPr>
    </w:p>
    <w:p>
      <w:pPr>
        <w:spacing w:after="200" w:before="0"/>
      </w:pPr>
      <w:r>
        <w:rPr>
          <w:b w:val="0"/>
          <w:i/>
          <w:color w:val="6E7B77"/>
          <w:sz w:val="17"/>
        </w:rPr>
        <w:t>FY25 as restated in the June-2026 statements (associates +2,460mn, receivables reclass, equity +2,883mn). The receivables line for FY23-24 groups automotive receivables and advances; from FY25 the group figures are shown.</w:t>
      </w:r>
    </w:p>
    <w:p>
      <w:pPr>
        <w:spacing w:after="80" w:before="200"/>
      </w:pPr>
      <w:r>
        <w:rPr>
          <w:b/>
          <w:i w:val="0"/>
          <w:color w:val="1C3A36"/>
          <w:sz w:val="24"/>
        </w:rPr>
        <w:t>A.3  Forecast balance-sheet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88"/>
        <w:gridCol w:w="1224"/>
        <w:gridCol w:w="1224"/>
        <w:gridCol w:w="1224"/>
        <w:gridCol w:w="1224"/>
        <w:gridCol w:w="1224"/>
      </w:tblGrid>
      <w:tr>
        <w:tc>
          <w:tcPr>
            <w:tcW w:type="dxa" w:w="3888"/>
            <w:shd w:val="clear" w:color="auto" w:fill="EAF0EE"/>
          </w:tcPr>
          <w:p>
            <w:pPr>
              <w:spacing w:after="20"/>
            </w:pPr>
            <w:r>
              <w:rPr>
                <w:b/>
                <w:color w:val="1C3A36"/>
                <w:sz w:val="17"/>
              </w:rPr>
              <w:t>Marker</w:t>
            </w:r>
          </w:p>
        </w:tc>
        <w:tc>
          <w:tcPr>
            <w:tcW w:type="dxa" w:w="1224"/>
            <w:shd w:val="clear" w:color="auto" w:fill="EAF0EE"/>
          </w:tcPr>
          <w:p>
            <w:pPr>
              <w:spacing w:after="20"/>
            </w:pPr>
            <w:r>
              <w:rPr>
                <w:b/>
                <w:color w:val="1C3A36"/>
                <w:sz w:val="17"/>
              </w:rPr>
              <w:t>FY26E</w:t>
            </w:r>
          </w:p>
        </w:tc>
        <w:tc>
          <w:tcPr>
            <w:tcW w:type="dxa" w:w="1224"/>
            <w:shd w:val="clear" w:color="auto" w:fill="EAF0EE"/>
          </w:tcPr>
          <w:p>
            <w:pPr>
              <w:spacing w:after="20"/>
            </w:pPr>
            <w:r>
              <w:rPr>
                <w:b/>
                <w:color w:val="1C3A36"/>
                <w:sz w:val="17"/>
              </w:rPr>
              <w:t>FY27E</w:t>
            </w:r>
          </w:p>
        </w:tc>
        <w:tc>
          <w:tcPr>
            <w:tcW w:type="dxa" w:w="1224"/>
            <w:shd w:val="clear" w:color="auto" w:fill="EAF0EE"/>
          </w:tcPr>
          <w:p>
            <w:pPr>
              <w:spacing w:after="20"/>
            </w:pPr>
            <w:r>
              <w:rPr>
                <w:b/>
                <w:color w:val="1C3A36"/>
                <w:sz w:val="17"/>
              </w:rPr>
              <w:t>FY28E</w:t>
            </w:r>
          </w:p>
        </w:tc>
        <w:tc>
          <w:tcPr>
            <w:tcW w:type="dxa" w:w="1224"/>
            <w:shd w:val="clear" w:color="auto" w:fill="EAF0EE"/>
          </w:tcPr>
          <w:p>
            <w:pPr>
              <w:spacing w:after="20"/>
            </w:pPr>
            <w:r>
              <w:rPr>
                <w:b/>
                <w:color w:val="1C3A36"/>
                <w:sz w:val="17"/>
              </w:rPr>
              <w:t>FY29E</w:t>
            </w:r>
          </w:p>
        </w:tc>
        <w:tc>
          <w:tcPr>
            <w:tcW w:type="dxa" w:w="1224"/>
            <w:shd w:val="clear" w:color="auto" w:fill="EAF0EE"/>
          </w:tcPr>
          <w:p>
            <w:pPr>
              <w:spacing w:after="20"/>
            </w:pPr>
            <w:r>
              <w:rPr>
                <w:b/>
                <w:color w:val="1C3A36"/>
                <w:sz w:val="17"/>
              </w:rPr>
              <w:t>FY30E</w:t>
            </w:r>
          </w:p>
        </w:tc>
      </w:tr>
      <w:tr>
        <w:tc>
          <w:tcPr>
            <w:tcW w:type="dxa" w:w="3888"/>
          </w:tcPr>
          <w:p>
            <w:pPr>
              <w:spacing w:after="20"/>
            </w:pPr>
            <w:r>
              <w:rPr>
                <w:color w:val="1C3A36"/>
                <w:sz w:val="17"/>
              </w:rPr>
              <w:t>Automotive working capital</w:t>
            </w:r>
          </w:p>
        </w:tc>
        <w:tc>
          <w:tcPr>
            <w:tcW w:type="dxa" w:w="1224"/>
          </w:tcPr>
          <w:p>
            <w:pPr>
              <w:spacing w:after="20"/>
              <w:jc w:val="right"/>
            </w:pPr>
            <w:r>
              <w:rPr>
                <w:color w:val="1C3A36"/>
                <w:sz w:val="17"/>
              </w:rPr>
              <w:t>20,035</w:t>
            </w:r>
          </w:p>
        </w:tc>
        <w:tc>
          <w:tcPr>
            <w:tcW w:type="dxa" w:w="1224"/>
          </w:tcPr>
          <w:p>
            <w:pPr>
              <w:spacing w:after="20"/>
              <w:jc w:val="right"/>
            </w:pPr>
            <w:r>
              <w:rPr>
                <w:color w:val="1C3A36"/>
                <w:sz w:val="17"/>
              </w:rPr>
              <w:t>23,114</w:t>
            </w:r>
          </w:p>
        </w:tc>
        <w:tc>
          <w:tcPr>
            <w:tcW w:type="dxa" w:w="1224"/>
          </w:tcPr>
          <w:p>
            <w:pPr>
              <w:spacing w:after="20"/>
              <w:jc w:val="right"/>
            </w:pPr>
            <w:r>
              <w:rPr>
                <w:color w:val="1C3A36"/>
                <w:sz w:val="17"/>
              </w:rPr>
              <w:t>26,090</w:t>
            </w:r>
          </w:p>
        </w:tc>
        <w:tc>
          <w:tcPr>
            <w:tcW w:type="dxa" w:w="1224"/>
          </w:tcPr>
          <w:p>
            <w:pPr>
              <w:spacing w:after="20"/>
              <w:jc w:val="right"/>
            </w:pPr>
            <w:r>
              <w:rPr>
                <w:color w:val="1C3A36"/>
                <w:sz w:val="17"/>
              </w:rPr>
              <w:t>28,705</w:t>
            </w:r>
          </w:p>
        </w:tc>
        <w:tc>
          <w:tcPr>
            <w:tcW w:type="dxa" w:w="1224"/>
          </w:tcPr>
          <w:p>
            <w:pPr>
              <w:spacing w:after="20"/>
              <w:jc w:val="right"/>
            </w:pPr>
            <w:r>
              <w:rPr>
                <w:color w:val="1C3A36"/>
                <w:sz w:val="17"/>
              </w:rPr>
              <w:t>31,223</w:t>
            </w:r>
          </w:p>
        </w:tc>
      </w:tr>
      <w:tr>
        <w:tc>
          <w:tcPr>
            <w:tcW w:type="dxa" w:w="3888"/>
          </w:tcPr>
          <w:p>
            <w:pPr>
              <w:spacing w:after="20"/>
            </w:pPr>
            <w:r>
              <w:rPr>
                <w:color w:val="1C3A36"/>
                <w:sz w:val="17"/>
              </w:rPr>
              <w:t>Automotive net debt (cash-sweep)</w:t>
            </w:r>
          </w:p>
        </w:tc>
        <w:tc>
          <w:tcPr>
            <w:tcW w:type="dxa" w:w="1224"/>
          </w:tcPr>
          <w:p>
            <w:pPr>
              <w:spacing w:after="20"/>
              <w:jc w:val="right"/>
            </w:pPr>
            <w:r>
              <w:rPr>
                <w:color w:val="1C3A36"/>
                <w:sz w:val="17"/>
              </w:rPr>
              <w:t>16,249</w:t>
            </w:r>
          </w:p>
        </w:tc>
        <w:tc>
          <w:tcPr>
            <w:tcW w:type="dxa" w:w="1224"/>
          </w:tcPr>
          <w:p>
            <w:pPr>
              <w:spacing w:after="20"/>
              <w:jc w:val="right"/>
            </w:pPr>
            <w:r>
              <w:rPr>
                <w:color w:val="1C3A36"/>
                <w:sz w:val="17"/>
              </w:rPr>
              <w:t>18,393</w:t>
            </w:r>
          </w:p>
        </w:tc>
        <w:tc>
          <w:tcPr>
            <w:tcW w:type="dxa" w:w="1224"/>
          </w:tcPr>
          <w:p>
            <w:pPr>
              <w:spacing w:after="20"/>
              <w:jc w:val="right"/>
            </w:pPr>
            <w:r>
              <w:rPr>
                <w:color w:val="1C3A36"/>
                <w:sz w:val="17"/>
              </w:rPr>
              <w:t>19,309</w:t>
            </w:r>
          </w:p>
        </w:tc>
        <w:tc>
          <w:tcPr>
            <w:tcW w:type="dxa" w:w="1224"/>
          </w:tcPr>
          <w:p>
            <w:pPr>
              <w:spacing w:after="20"/>
              <w:jc w:val="right"/>
            </w:pPr>
            <w:r>
              <w:rPr>
                <w:color w:val="1C3A36"/>
                <w:sz w:val="17"/>
              </w:rPr>
              <w:t>18,737</w:t>
            </w:r>
          </w:p>
        </w:tc>
        <w:tc>
          <w:tcPr>
            <w:tcW w:type="dxa" w:w="1224"/>
          </w:tcPr>
          <w:p>
            <w:pPr>
              <w:spacing w:after="20"/>
              <w:jc w:val="right"/>
            </w:pPr>
            <w:r>
              <w:rPr>
                <w:color w:val="1C3A36"/>
                <w:sz w:val="17"/>
              </w:rPr>
              <w:t>16,905</w:t>
            </w:r>
          </w:p>
        </w:tc>
      </w:tr>
      <w:tr>
        <w:tc>
          <w:tcPr>
            <w:tcW w:type="dxa" w:w="3888"/>
          </w:tcPr>
          <w:p>
            <w:pPr>
              <w:spacing w:after="20"/>
            </w:pPr>
            <w:r>
              <w:rPr>
                <w:color w:val="1C3A36"/>
                <w:sz w:val="17"/>
              </w:rPr>
              <w:t>Associates carrying (equity-method roll)</w:t>
            </w:r>
          </w:p>
        </w:tc>
        <w:tc>
          <w:tcPr>
            <w:tcW w:type="dxa" w:w="1224"/>
          </w:tcPr>
          <w:p>
            <w:pPr>
              <w:spacing w:after="20"/>
              <w:jc w:val="right"/>
            </w:pPr>
            <w:r>
              <w:rPr>
                <w:color w:val="1C3A36"/>
                <w:sz w:val="17"/>
              </w:rPr>
              <w:t>17,080</w:t>
            </w:r>
          </w:p>
        </w:tc>
        <w:tc>
          <w:tcPr>
            <w:tcW w:type="dxa" w:w="1224"/>
          </w:tcPr>
          <w:p>
            <w:pPr>
              <w:spacing w:after="20"/>
              <w:jc w:val="right"/>
            </w:pPr>
            <w:r>
              <w:rPr>
                <w:color w:val="1C3A36"/>
                <w:sz w:val="17"/>
              </w:rPr>
              <w:t>18,145</w:t>
            </w:r>
          </w:p>
        </w:tc>
        <w:tc>
          <w:tcPr>
            <w:tcW w:type="dxa" w:w="1224"/>
          </w:tcPr>
          <w:p>
            <w:pPr>
              <w:spacing w:after="20"/>
              <w:jc w:val="right"/>
            </w:pPr>
            <w:r>
              <w:rPr>
                <w:color w:val="1C3A36"/>
                <w:sz w:val="17"/>
              </w:rPr>
              <w:t>19,475</w:t>
            </w:r>
          </w:p>
        </w:tc>
        <w:tc>
          <w:tcPr>
            <w:tcW w:type="dxa" w:w="1224"/>
          </w:tcPr>
          <w:p>
            <w:pPr>
              <w:spacing w:after="20"/>
              <w:jc w:val="right"/>
            </w:pPr>
            <w:r>
              <w:rPr>
                <w:color w:val="1C3A36"/>
                <w:sz w:val="17"/>
              </w:rPr>
              <w:t>21,075</w:t>
            </w:r>
          </w:p>
        </w:tc>
        <w:tc>
          <w:tcPr>
            <w:tcW w:type="dxa" w:w="1224"/>
          </w:tcPr>
          <w:p>
            <w:pPr>
              <w:spacing w:after="20"/>
              <w:jc w:val="right"/>
            </w:pPr>
            <w:r>
              <w:rPr>
                <w:color w:val="1C3A36"/>
                <w:sz w:val="17"/>
              </w:rPr>
              <w:t>22,945</w:t>
            </w:r>
          </w:p>
        </w:tc>
      </w:tr>
      <w:tr>
        <w:tc>
          <w:tcPr>
            <w:tcW w:type="dxa" w:w="3888"/>
          </w:tcPr>
          <w:p>
            <w:pPr>
              <w:spacing w:after="20"/>
            </w:pPr>
            <w:r>
              <w:rPr>
                <w:color w:val="1C3A36"/>
                <w:sz w:val="17"/>
              </w:rPr>
              <w:t>Parent equity (profit less the held dividend)</w:t>
            </w:r>
          </w:p>
        </w:tc>
        <w:tc>
          <w:tcPr>
            <w:tcW w:type="dxa" w:w="1224"/>
          </w:tcPr>
          <w:p>
            <w:pPr>
              <w:spacing w:after="20"/>
              <w:jc w:val="right"/>
            </w:pPr>
            <w:r>
              <w:rPr>
                <w:color w:val="1C3A36"/>
                <w:sz w:val="17"/>
              </w:rPr>
              <w:t>36,139</w:t>
            </w:r>
          </w:p>
        </w:tc>
        <w:tc>
          <w:tcPr>
            <w:tcW w:type="dxa" w:w="1224"/>
          </w:tcPr>
          <w:p>
            <w:pPr>
              <w:spacing w:after="20"/>
              <w:jc w:val="right"/>
            </w:pPr>
            <w:r>
              <w:rPr>
                <w:color w:val="1C3A36"/>
                <w:sz w:val="17"/>
              </w:rPr>
              <w:t>40,319</w:t>
            </w:r>
          </w:p>
        </w:tc>
        <w:tc>
          <w:tcPr>
            <w:tcW w:type="dxa" w:w="1224"/>
          </w:tcPr>
          <w:p>
            <w:pPr>
              <w:spacing w:after="20"/>
              <w:jc w:val="right"/>
            </w:pPr>
            <w:r>
              <w:rPr>
                <w:color w:val="1C3A36"/>
                <w:sz w:val="17"/>
              </w:rPr>
              <w:t>45,639</w:t>
            </w:r>
          </w:p>
        </w:tc>
        <w:tc>
          <w:tcPr>
            <w:tcW w:type="dxa" w:w="1224"/>
          </w:tcPr>
          <w:p>
            <w:pPr>
              <w:spacing w:after="20"/>
              <w:jc w:val="right"/>
            </w:pPr>
            <w:r>
              <w:rPr>
                <w:color w:val="1C3A36"/>
                <w:sz w:val="17"/>
              </w:rPr>
              <w:t>52,230</w:t>
            </w:r>
          </w:p>
        </w:tc>
        <w:tc>
          <w:tcPr>
            <w:tcW w:type="dxa" w:w="1224"/>
          </w:tcPr>
          <w:p>
            <w:pPr>
              <w:spacing w:after="20"/>
              <w:jc w:val="right"/>
            </w:pPr>
            <w:r>
              <w:rPr>
                <w:color w:val="1C3A36"/>
                <w:sz w:val="17"/>
              </w:rPr>
              <w:t>60,228</w:t>
            </w:r>
          </w:p>
        </w:tc>
      </w:tr>
      <w:tr>
        <w:tc>
          <w:tcPr>
            <w:tcW w:type="dxa" w:w="3888"/>
          </w:tcPr>
          <w:p>
            <w:pPr>
              <w:spacing w:after="20"/>
            </w:pPr>
            <w:r>
              <w:rPr>
                <w:color w:val="1C3A36"/>
                <w:sz w:val="17"/>
              </w:rPr>
              <w:t>Book value per share (EGP)</w:t>
            </w:r>
          </w:p>
        </w:tc>
        <w:tc>
          <w:tcPr>
            <w:tcW w:type="dxa" w:w="1224"/>
          </w:tcPr>
          <w:p>
            <w:pPr>
              <w:spacing w:after="20"/>
              <w:jc w:val="right"/>
            </w:pPr>
            <w:r>
              <w:rPr>
                <w:color w:val="1C3A36"/>
                <w:sz w:val="17"/>
              </w:rPr>
              <w:t>33.29</w:t>
            </w:r>
          </w:p>
        </w:tc>
        <w:tc>
          <w:tcPr>
            <w:tcW w:type="dxa" w:w="1224"/>
          </w:tcPr>
          <w:p>
            <w:pPr>
              <w:spacing w:after="20"/>
              <w:jc w:val="right"/>
            </w:pPr>
            <w:r>
              <w:rPr>
                <w:color w:val="1C3A36"/>
                <w:sz w:val="17"/>
              </w:rPr>
              <w:t>37.14</w:t>
            </w:r>
          </w:p>
        </w:tc>
        <w:tc>
          <w:tcPr>
            <w:tcW w:type="dxa" w:w="1224"/>
          </w:tcPr>
          <w:p>
            <w:pPr>
              <w:spacing w:after="20"/>
              <w:jc w:val="right"/>
            </w:pPr>
            <w:r>
              <w:rPr>
                <w:color w:val="1C3A36"/>
                <w:sz w:val="17"/>
              </w:rPr>
              <w:t>42.04</w:t>
            </w:r>
          </w:p>
        </w:tc>
        <w:tc>
          <w:tcPr>
            <w:tcW w:type="dxa" w:w="1224"/>
          </w:tcPr>
          <w:p>
            <w:pPr>
              <w:spacing w:after="20"/>
              <w:jc w:val="right"/>
            </w:pPr>
            <w:r>
              <w:rPr>
                <w:color w:val="1C3A36"/>
                <w:sz w:val="17"/>
              </w:rPr>
              <w:t>48.12</w:t>
            </w:r>
          </w:p>
        </w:tc>
        <w:tc>
          <w:tcPr>
            <w:tcW w:type="dxa" w:w="1224"/>
          </w:tcPr>
          <w:p>
            <w:pPr>
              <w:spacing w:after="20"/>
              <w:jc w:val="right"/>
            </w:pPr>
            <w:r>
              <w:rPr>
                <w:color w:val="1C3A36"/>
                <w:sz w:val="17"/>
              </w:rPr>
              <w:t>55.48</w:t>
            </w:r>
          </w:p>
        </w:tc>
      </w:tr>
      <w:tr>
        <w:tc>
          <w:tcPr>
            <w:tcW w:type="dxa" w:w="3888"/>
          </w:tcPr>
          <w:p>
            <w:pPr>
              <w:spacing w:after="20"/>
            </w:pPr>
            <w:r>
              <w:rPr>
                <w:color w:val="1C3A36"/>
                <w:sz w:val="17"/>
              </w:rPr>
              <w:t>Return on equity</w:t>
            </w:r>
          </w:p>
        </w:tc>
        <w:tc>
          <w:tcPr>
            <w:tcW w:type="dxa" w:w="1224"/>
          </w:tcPr>
          <w:p>
            <w:pPr>
              <w:spacing w:after="20"/>
              <w:jc w:val="right"/>
            </w:pPr>
            <w:r>
              <w:rPr>
                <w:color w:val="1C3A36"/>
                <w:sz w:val="17"/>
              </w:rPr>
              <w:t>8.5%</w:t>
            </w:r>
          </w:p>
        </w:tc>
        <w:tc>
          <w:tcPr>
            <w:tcW w:type="dxa" w:w="1224"/>
          </w:tcPr>
          <w:p>
            <w:pPr>
              <w:spacing w:after="20"/>
              <w:jc w:val="right"/>
            </w:pPr>
            <w:r>
              <w:rPr>
                <w:color w:val="1C3A36"/>
                <w:sz w:val="17"/>
              </w:rPr>
              <w:t>11.3%</w:t>
            </w:r>
          </w:p>
        </w:tc>
        <w:tc>
          <w:tcPr>
            <w:tcW w:type="dxa" w:w="1224"/>
          </w:tcPr>
          <w:p>
            <w:pPr>
              <w:spacing w:after="20"/>
              <w:jc w:val="right"/>
            </w:pPr>
            <w:r>
              <w:rPr>
                <w:color w:val="1C3A36"/>
                <w:sz w:val="17"/>
              </w:rPr>
              <w:t>12.5%</w:t>
            </w:r>
          </w:p>
        </w:tc>
        <w:tc>
          <w:tcPr>
            <w:tcW w:type="dxa" w:w="1224"/>
          </w:tcPr>
          <w:p>
            <w:pPr>
              <w:spacing w:after="20"/>
              <w:jc w:val="right"/>
            </w:pPr>
            <w:r>
              <w:rPr>
                <w:color w:val="1C3A36"/>
                <w:sz w:val="17"/>
              </w:rPr>
              <w:t>13.3%</w:t>
            </w:r>
          </w:p>
        </w:tc>
        <w:tc>
          <w:tcPr>
            <w:tcW w:type="dxa" w:w="1224"/>
          </w:tcPr>
          <w:p>
            <w:pPr>
              <w:spacing w:after="20"/>
              <w:jc w:val="right"/>
            </w:pPr>
            <w:r>
              <w:rPr>
                <w:color w:val="1C3A36"/>
                <w:sz w:val="17"/>
              </w:rPr>
              <w:t>13.9%</w:t>
            </w:r>
          </w:p>
        </w:tc>
      </w:tr>
      <w:tr>
        <w:tc>
          <w:tcPr>
            <w:tcW w:type="dxa" w:w="3888"/>
          </w:tcPr>
          <w:p>
            <w:pPr>
              <w:spacing w:after="20"/>
            </w:pPr>
            <w:r>
              <w:rPr>
                <w:color w:val="1C3A36"/>
                <w:sz w:val="17"/>
              </w:rPr>
              <w:t>Free cash flow to the firm (automotive)</w:t>
            </w:r>
          </w:p>
        </w:tc>
        <w:tc>
          <w:tcPr>
            <w:tcW w:type="dxa" w:w="1224"/>
          </w:tcPr>
          <w:p>
            <w:pPr>
              <w:spacing w:after="20"/>
              <w:jc w:val="right"/>
            </w:pPr>
            <w:r>
              <w:rPr>
                <w:color w:val="1C3A36"/>
                <w:sz w:val="17"/>
              </w:rPr>
              <w:t>812</w:t>
            </w:r>
          </w:p>
        </w:tc>
        <w:tc>
          <w:tcPr>
            <w:tcW w:type="dxa" w:w="1224"/>
          </w:tcPr>
          <w:p>
            <w:pPr>
              <w:spacing w:after="20"/>
              <w:jc w:val="right"/>
            </w:pPr>
            <w:r>
              <w:rPr>
                <w:color w:val="1C3A36"/>
                <w:sz w:val="17"/>
              </w:rPr>
              <w:t>169</w:t>
            </w:r>
          </w:p>
        </w:tc>
        <w:tc>
          <w:tcPr>
            <w:tcW w:type="dxa" w:w="1224"/>
          </w:tcPr>
          <w:p>
            <w:pPr>
              <w:spacing w:after="20"/>
              <w:jc w:val="right"/>
            </w:pPr>
            <w:r>
              <w:rPr>
                <w:color w:val="1C3A36"/>
                <w:sz w:val="17"/>
              </w:rPr>
              <w:t>1,652</w:t>
            </w:r>
          </w:p>
        </w:tc>
        <w:tc>
          <w:tcPr>
            <w:tcW w:type="dxa" w:w="1224"/>
          </w:tcPr>
          <w:p>
            <w:pPr>
              <w:spacing w:after="20"/>
              <w:jc w:val="right"/>
            </w:pPr>
            <w:r>
              <w:rPr>
                <w:color w:val="1C3A36"/>
                <w:sz w:val="17"/>
              </w:rPr>
              <w:t>3,170</w:t>
            </w:r>
          </w:p>
        </w:tc>
        <w:tc>
          <w:tcPr>
            <w:tcW w:type="dxa" w:w="1224"/>
          </w:tcPr>
          <w:p>
            <w:pPr>
              <w:spacing w:after="20"/>
              <w:jc w:val="right"/>
            </w:pPr>
            <w:r>
              <w:rPr>
                <w:color w:val="1C3A36"/>
                <w:sz w:val="17"/>
              </w:rPr>
              <w:t>4,334</w:t>
            </w:r>
          </w:p>
        </w:tc>
      </w:tr>
    </w:tbl>
    <w:p>
      <w:pPr>
        <w:spacing w:after="40"/>
      </w:pPr>
    </w:p>
    <w:p>
      <w:pPr>
        <w:spacing w:after="120" w:before="280"/>
      </w:pPr>
      <w:r>
        <w:rPr>
          <w:b/>
          <w:i w:val="0"/>
          <w:color w:val="1C3A36"/>
          <w:sz w:val="30"/>
        </w:rPr>
        <w:t>Appendix B — Peer frame, risk register and the research base</w:t>
      </w:r>
    </w:p>
    <w:p>
      <w:pPr>
        <w:spacing w:after="80" w:before="200"/>
      </w:pPr>
      <w:r>
        <w:rPr>
          <w:b/>
          <w:i w:val="0"/>
          <w:color w:val="1C3A36"/>
          <w:sz w:val="24"/>
        </w:rPr>
        <w:t>B.1  Peers (context only)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1728"/>
        <w:gridCol w:w="3888"/>
      </w:tblGrid>
      <w:tr>
        <w:tc>
          <w:tcPr>
            <w:tcW w:type="dxa" w:w="4176"/>
            <w:shd w:val="clear" w:color="auto" w:fill="EAF0EE"/>
          </w:tcPr>
          <w:p>
            <w:pPr>
              <w:spacing w:after="20"/>
            </w:pPr>
            <w:r>
              <w:rPr>
                <w:b/>
                <w:color w:val="1C3A36"/>
                <w:sz w:val="18"/>
              </w:rPr>
              <w:t>Peer</w:t>
            </w:r>
          </w:p>
        </w:tc>
        <w:tc>
          <w:tcPr>
            <w:tcW w:type="dxa" w:w="1728"/>
            <w:shd w:val="clear" w:color="auto" w:fill="EAF0EE"/>
          </w:tcPr>
          <w:p>
            <w:pPr>
              <w:spacing w:after="20"/>
            </w:pPr>
            <w:r>
              <w:rPr>
                <w:b/>
                <w:color w:val="1C3A36"/>
                <w:sz w:val="18"/>
              </w:rPr>
              <w:t>Trailing P/E</w:t>
            </w:r>
          </w:p>
        </w:tc>
        <w:tc>
          <w:tcPr>
            <w:tcW w:type="dxa" w:w="3888"/>
            <w:shd w:val="clear" w:color="auto" w:fill="EAF0EE"/>
          </w:tcPr>
          <w:p>
            <w:pPr>
              <w:spacing w:after="20"/>
            </w:pPr>
            <w:r>
              <w:rPr>
                <w:b/>
                <w:color w:val="1C3A36"/>
                <w:sz w:val="18"/>
              </w:rPr>
              <w:t>Note</w:t>
            </w:r>
          </w:p>
        </w:tc>
      </w:tr>
      <w:tr>
        <w:tc>
          <w:tcPr>
            <w:tcW w:type="dxa" w:w="4176"/>
          </w:tcPr>
          <w:p>
            <w:pPr>
              <w:spacing w:after="20"/>
            </w:pPr>
            <w:r>
              <w:rPr>
                <w:color w:val="1C3A36"/>
                <w:sz w:val="18"/>
              </w:rPr>
              <w:t>Contact Financial (Egypt, consumer finance)</w:t>
            </w:r>
          </w:p>
        </w:tc>
        <w:tc>
          <w:tcPr>
            <w:tcW w:type="dxa" w:w="1728"/>
          </w:tcPr>
          <w:p>
            <w:pPr>
              <w:spacing w:after="20"/>
              <w:jc w:val="right"/>
            </w:pPr>
            <w:r>
              <w:rPr>
                <w:color w:val="1C3A36"/>
                <w:sz w:val="18"/>
              </w:rPr>
              <w:t>9.41</w:t>
            </w:r>
          </w:p>
        </w:tc>
        <w:tc>
          <w:tcPr>
            <w:tcW w:type="dxa" w:w="3888"/>
          </w:tcPr>
          <w:p>
            <w:pPr>
              <w:spacing w:after="20"/>
              <w:jc w:val="right"/>
            </w:pPr>
            <w:r>
              <w:rPr>
                <w:color w:val="1C3A36"/>
                <w:sz w:val="18"/>
              </w:rPr>
              <w:t>the direct local financing peer</w:t>
            </w:r>
          </w:p>
        </w:tc>
      </w:tr>
      <w:tr>
        <w:tc>
          <w:tcPr>
            <w:tcW w:type="dxa" w:w="4176"/>
          </w:tcPr>
          <w:p>
            <w:pPr>
              <w:spacing w:after="20"/>
            </w:pPr>
            <w:r>
              <w:rPr>
                <w:color w:val="1C3A36"/>
                <w:sz w:val="18"/>
              </w:rPr>
              <w:t>Dogus Otomotiv (Turkey, distribution)</w:t>
            </w:r>
          </w:p>
        </w:tc>
        <w:tc>
          <w:tcPr>
            <w:tcW w:type="dxa" w:w="1728"/>
          </w:tcPr>
          <w:p>
            <w:pPr>
              <w:spacing w:after="20"/>
              <w:jc w:val="right"/>
            </w:pPr>
            <w:r>
              <w:rPr>
                <w:color w:val="1C3A36"/>
                <w:sz w:val="18"/>
              </w:rPr>
              <w:t>12.55</w:t>
            </w:r>
          </w:p>
        </w:tc>
        <w:tc>
          <w:tcPr>
            <w:tcW w:type="dxa" w:w="3888"/>
          </w:tcPr>
          <w:p>
            <w:pPr>
              <w:spacing w:after="20"/>
              <w:jc w:val="right"/>
            </w:pPr>
            <w:r>
              <w:rPr>
                <w:color w:val="1C3A36"/>
                <w:sz w:val="18"/>
              </w:rPr>
              <w:t>P/B 0.62 on inflation-restated book</w:t>
            </w:r>
          </w:p>
        </w:tc>
      </w:tr>
      <w:tr>
        <w:tc>
          <w:tcPr>
            <w:tcW w:type="dxa" w:w="4176"/>
          </w:tcPr>
          <w:p>
            <w:pPr>
              <w:spacing w:after="20"/>
            </w:pPr>
            <w:r>
              <w:rPr>
                <w:color w:val="1C3A36"/>
                <w:sz w:val="18"/>
              </w:rPr>
              <w:t>AutoNation (US, auto retail)</w:t>
            </w:r>
          </w:p>
        </w:tc>
        <w:tc>
          <w:tcPr>
            <w:tcW w:type="dxa" w:w="1728"/>
          </w:tcPr>
          <w:p>
            <w:pPr>
              <w:spacing w:after="20"/>
              <w:jc w:val="right"/>
            </w:pPr>
            <w:r>
              <w:rPr>
                <w:color w:val="1C3A36"/>
                <w:sz w:val="18"/>
              </w:rPr>
              <w:t>9.11</w:t>
            </w:r>
          </w:p>
        </w:tc>
        <w:tc>
          <w:tcPr>
            <w:tcW w:type="dxa" w:w="3888"/>
          </w:tcPr>
          <w:p>
            <w:pPr>
              <w:spacing w:after="20"/>
              <w:jc w:val="right"/>
            </w:pPr>
            <w:r>
              <w:rPr>
                <w:color w:val="1C3A36"/>
                <w:sz w:val="18"/>
              </w:rPr>
              <w:t>forward 8.35</w:t>
            </w:r>
          </w:p>
        </w:tc>
      </w:tr>
      <w:tr>
        <w:tc>
          <w:tcPr>
            <w:tcW w:type="dxa" w:w="4176"/>
          </w:tcPr>
          <w:p>
            <w:pPr>
              <w:spacing w:after="20"/>
            </w:pPr>
            <w:r>
              <w:rPr>
                <w:color w:val="1C3A36"/>
                <w:sz w:val="18"/>
              </w:rPr>
              <w:t>Bajaj Auto (India, two-wheelers)</w:t>
            </w:r>
          </w:p>
        </w:tc>
        <w:tc>
          <w:tcPr>
            <w:tcW w:type="dxa" w:w="1728"/>
          </w:tcPr>
          <w:p>
            <w:pPr>
              <w:spacing w:after="20"/>
              <w:jc w:val="right"/>
            </w:pPr>
            <w:r>
              <w:rPr>
                <w:color w:val="1C3A36"/>
                <w:sz w:val="18"/>
              </w:rPr>
              <w:t>27.56</w:t>
            </w:r>
          </w:p>
        </w:tc>
        <w:tc>
          <w:tcPr>
            <w:tcW w:type="dxa" w:w="3888"/>
          </w:tcPr>
          <w:p>
            <w:pPr>
              <w:spacing w:after="20"/>
              <w:jc w:val="right"/>
            </w:pPr>
            <w:r>
              <w:rPr>
                <w:color w:val="1C3A36"/>
                <w:sz w:val="18"/>
              </w:rPr>
              <w:t>partner brand, far richer market</w:t>
            </w:r>
          </w:p>
        </w:tc>
      </w:tr>
      <w:tr>
        <w:tc>
          <w:tcPr>
            <w:tcW w:type="dxa" w:w="4176"/>
            <w:shd w:val="clear" w:color="auto" w:fill="F6F1E6"/>
          </w:tcPr>
          <w:p>
            <w:pPr>
              <w:spacing w:after="20"/>
            </w:pPr>
            <w:r>
              <w:rPr>
                <w:b/>
                <w:color w:val="1C3A36"/>
                <w:sz w:val="18"/>
              </w:rPr>
              <w:t>GB Corp at the July close / FY26E</w:t>
            </w:r>
          </w:p>
        </w:tc>
        <w:tc>
          <w:tcPr>
            <w:tcW w:type="dxa" w:w="1728"/>
            <w:shd w:val="clear" w:color="auto" w:fill="F6F1E6"/>
          </w:tcPr>
          <w:p>
            <w:pPr>
              <w:spacing w:after="20"/>
              <w:jc w:val="right"/>
            </w:pPr>
            <w:r>
              <w:rPr>
                <w:b/>
                <w:color w:val="1C3A36"/>
                <w:sz w:val="18"/>
              </w:rPr>
              <w:t>11.1</w:t>
            </w:r>
          </w:p>
        </w:tc>
        <w:tc>
          <w:tcPr>
            <w:tcW w:type="dxa" w:w="3888"/>
            <w:shd w:val="clear" w:color="auto" w:fill="F6F1E6"/>
          </w:tcPr>
          <w:p>
            <w:pPr>
              <w:spacing w:after="20"/>
              <w:jc w:val="right"/>
            </w:pPr>
            <w:r>
              <w:rPr>
                <w:b/>
                <w:color w:val="1C3A36"/>
                <w:sz w:val="18"/>
              </w:rPr>
              <w:t>on this study's forecast</w:t>
            </w:r>
          </w:p>
        </w:tc>
      </w:tr>
    </w:tbl>
    <w:p>
      <w:pPr>
        <w:spacing w:after="40"/>
      </w:pP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2952"/>
        <w:gridCol w:w="3312"/>
      </w:tblGrid>
      <w:tr>
        <w:tc>
          <w:tcPr>
            <w:tcW w:type="dxa" w:w="3672"/>
            <w:shd w:val="clear" w:color="auto" w:fill="EAF0EE"/>
          </w:tcPr>
          <w:p>
            <w:pPr>
              <w:spacing w:after="20"/>
            </w:pPr>
            <w:r>
              <w:rPr>
                <w:b/>
                <w:color w:val="1C3A36"/>
                <w:sz w:val="17"/>
              </w:rPr>
              <w:t>Risk</w:t>
            </w:r>
          </w:p>
        </w:tc>
        <w:tc>
          <w:tcPr>
            <w:tcW w:type="dxa" w:w="2952"/>
            <w:shd w:val="clear" w:color="auto" w:fill="EAF0EE"/>
          </w:tcPr>
          <w:p>
            <w:pPr>
              <w:spacing w:after="20"/>
            </w:pPr>
            <w:r>
              <w:rPr>
                <w:b/>
                <w:color w:val="1C3A36"/>
                <w:sz w:val="17"/>
              </w:rPr>
              <w:t>Where it bites</w:t>
            </w:r>
          </w:p>
        </w:tc>
        <w:tc>
          <w:tcPr>
            <w:tcW w:type="dxa" w:w="3312"/>
            <w:shd w:val="clear" w:color="auto" w:fill="EAF0EE"/>
          </w:tcPr>
          <w:p>
            <w:pPr>
              <w:spacing w:after="20"/>
            </w:pPr>
            <w:r>
              <w:rPr>
                <w:b/>
                <w:color w:val="1C3A36"/>
                <w:sz w:val="17"/>
              </w:rPr>
              <w:t>Mitigant / marker</w:t>
            </w:r>
          </w:p>
        </w:tc>
      </w:tr>
      <w:tr>
        <w:tc>
          <w:tcPr>
            <w:tcW w:type="dxa" w:w="3672"/>
          </w:tcPr>
          <w:p>
            <w:pPr>
              <w:spacing w:after="20"/>
            </w:pPr>
            <w:r>
              <w:rPr>
                <w:color w:val="1C3A36"/>
                <w:sz w:val="17"/>
              </w:rPr>
              <w:t>MNT-Halan opacity: reviewer not provided its accounts (twice)</w:t>
            </w:r>
          </w:p>
        </w:tc>
        <w:tc>
          <w:tcPr>
            <w:tcW w:type="dxa" w:w="2952"/>
          </w:tcPr>
          <w:p>
            <w:pPr>
              <w:spacing w:after="20"/>
              <w:jc w:val="right"/>
            </w:pPr>
            <w:r>
              <w:rPr>
                <w:color w:val="1C3A36"/>
                <w:sz w:val="17"/>
              </w:rPr>
              <w:t>the crux — both framings</w:t>
            </w:r>
          </w:p>
        </w:tc>
        <w:tc>
          <w:tcPr>
            <w:tcW w:type="dxa" w:w="3312"/>
          </w:tcPr>
          <w:p>
            <w:pPr>
              <w:spacing w:after="20"/>
              <w:jc w:val="right"/>
            </w:pPr>
            <w:r>
              <w:rPr>
                <w:color w:val="1C3A36"/>
                <w:sz w:val="17"/>
              </w:rPr>
              <w:t>audited numbers; the second close</w:t>
            </w:r>
          </w:p>
        </w:tc>
      </w:tr>
      <w:tr>
        <w:tc>
          <w:tcPr>
            <w:tcW w:type="dxa" w:w="3672"/>
          </w:tcPr>
          <w:p>
            <w:pPr>
              <w:spacing w:after="20"/>
            </w:pPr>
            <w:r>
              <w:rPr>
                <w:color w:val="1C3A36"/>
                <w:sz w:val="17"/>
              </w:rPr>
              <w:t>Regional losses persist (Iraq geopolitics, Jordan demand)</w:t>
            </w:r>
          </w:p>
        </w:tc>
        <w:tc>
          <w:tcPr>
            <w:tcW w:type="dxa" w:w="2952"/>
          </w:tcPr>
          <w:p>
            <w:pPr>
              <w:spacing w:after="20"/>
              <w:jc w:val="right"/>
            </w:pPr>
            <w:r>
              <w:rPr>
                <w:color w:val="1C3A36"/>
                <w:sz w:val="17"/>
              </w:rPr>
              <w:t>tax rate, reported profit</w:t>
            </w:r>
          </w:p>
        </w:tc>
        <w:tc>
          <w:tcPr>
            <w:tcW w:type="dxa" w:w="3312"/>
          </w:tcPr>
          <w:p>
            <w:pPr>
              <w:spacing w:after="20"/>
              <w:jc w:val="right"/>
            </w:pPr>
            <w:r>
              <w:rPr>
                <w:color w:val="1C3A36"/>
                <w:sz w:val="17"/>
              </w:rPr>
              <w:t>management guides the drag ending from Q4</w:t>
            </w:r>
          </w:p>
        </w:tc>
      </w:tr>
      <w:tr>
        <w:tc>
          <w:tcPr>
            <w:tcW w:type="dxa" w:w="3672"/>
          </w:tcPr>
          <w:p>
            <w:pPr>
              <w:spacing w:after="20"/>
            </w:pPr>
            <w:r>
              <w:rPr>
                <w:color w:val="1C3A36"/>
                <w:sz w:val="17"/>
              </w:rPr>
              <w:t>Securitisation rule change raises funding cost</w:t>
            </w:r>
          </w:p>
        </w:tc>
        <w:tc>
          <w:tcPr>
            <w:tcW w:type="dxa" w:w="2952"/>
          </w:tcPr>
          <w:p>
            <w:pPr>
              <w:spacing w:after="20"/>
              <w:jc w:val="right"/>
            </w:pPr>
            <w:r>
              <w:rPr>
                <w:color w:val="1C3A36"/>
                <w:sz w:val="17"/>
              </w:rPr>
              <w:t>GB Capital's second half</w:t>
            </w:r>
          </w:p>
        </w:tc>
        <w:tc>
          <w:tcPr>
            <w:tcW w:type="dxa" w:w="3312"/>
          </w:tcPr>
          <w:p>
            <w:pPr>
              <w:spacing w:after="20"/>
              <w:jc w:val="right"/>
            </w:pPr>
            <w:r>
              <w:rPr>
                <w:color w:val="1C3A36"/>
                <w:sz w:val="17"/>
              </w:rPr>
              <w:t>normalisation expected as banks adapt</w:t>
            </w:r>
          </w:p>
        </w:tc>
      </w:tr>
      <w:tr>
        <w:tc>
          <w:tcPr>
            <w:tcW w:type="dxa" w:w="3672"/>
          </w:tcPr>
          <w:p>
            <w:pPr>
              <w:spacing w:after="20"/>
            </w:pPr>
            <w:r>
              <w:rPr>
                <w:color w:val="1C3A36"/>
                <w:sz w:val="17"/>
              </w:rPr>
              <w:t>Pound step-devaluation</w:t>
            </w:r>
          </w:p>
        </w:tc>
        <w:tc>
          <w:tcPr>
            <w:tcW w:type="dxa" w:w="2952"/>
          </w:tcPr>
          <w:p>
            <w:pPr>
              <w:spacing w:after="20"/>
              <w:jc w:val="right"/>
            </w:pPr>
            <w:r>
              <w:rPr>
                <w:color w:val="1C3A36"/>
                <w:sz w:val="17"/>
              </w:rPr>
              <w:t>costs, the dollar debt, sentiment</w:t>
            </w:r>
          </w:p>
        </w:tc>
        <w:tc>
          <w:tcPr>
            <w:tcW w:type="dxa" w:w="3312"/>
          </w:tcPr>
          <w:p>
            <w:pPr>
              <w:spacing w:after="20"/>
              <w:jc w:val="right"/>
            </w:pPr>
            <w:r>
              <w:rPr>
                <w:color w:val="1C3A36"/>
                <w:sz w:val="17"/>
              </w:rPr>
              <w:t>pricing power demonstrated; stake mark rises in pounds</w:t>
            </w:r>
          </w:p>
        </w:tc>
      </w:tr>
      <w:tr>
        <w:tc>
          <w:tcPr>
            <w:tcW w:type="dxa" w:w="3672"/>
          </w:tcPr>
          <w:p>
            <w:pPr>
              <w:spacing w:after="20"/>
            </w:pPr>
            <w:r>
              <w:rPr>
                <w:color w:val="1C3A36"/>
                <w:sz w:val="17"/>
              </w:rPr>
              <w:t>Family control (63.4%)</w:t>
            </w:r>
          </w:p>
        </w:tc>
        <w:tc>
          <w:tcPr>
            <w:tcW w:type="dxa" w:w="2952"/>
          </w:tcPr>
          <w:p>
            <w:pPr>
              <w:spacing w:after="20"/>
              <w:jc w:val="right"/>
            </w:pPr>
            <w:r>
              <w:rPr>
                <w:color w:val="1C3A36"/>
                <w:sz w:val="17"/>
              </w:rPr>
              <w:t>governance discount</w:t>
            </w:r>
          </w:p>
        </w:tc>
        <w:tc>
          <w:tcPr>
            <w:tcW w:type="dxa" w:w="3312"/>
          </w:tcPr>
          <w:p>
            <w:pPr>
              <w:spacing w:after="20"/>
              <w:jc w:val="right"/>
            </w:pPr>
            <w:r>
              <w:rPr>
                <w:color w:val="1C3A36"/>
                <w:sz w:val="17"/>
              </w:rPr>
              <w:t>long listed record; institutional register</w:t>
            </w:r>
          </w:p>
        </w:tc>
      </w:tr>
      <w:tr>
        <w:tc>
          <w:tcPr>
            <w:tcW w:type="dxa" w:w="3672"/>
          </w:tcPr>
          <w:p>
            <w:pPr>
              <w:spacing w:after="20"/>
            </w:pPr>
            <w:r>
              <w:rPr>
                <w:color w:val="1C3A36"/>
                <w:sz w:val="17"/>
              </w:rPr>
              <w:t>Algeria arbitration (claim at least USD 24mn)</w:t>
            </w:r>
          </w:p>
        </w:tc>
        <w:tc>
          <w:tcPr>
            <w:tcW w:type="dxa" w:w="2952"/>
          </w:tcPr>
          <w:p>
            <w:pPr>
              <w:spacing w:after="20"/>
              <w:jc w:val="right"/>
            </w:pPr>
            <w:r>
              <w:rPr>
                <w:color w:val="1C3A36"/>
                <w:sz w:val="17"/>
              </w:rPr>
              <w:t>one-off recovery, not modelled</w:t>
            </w:r>
          </w:p>
        </w:tc>
        <w:tc>
          <w:tcPr>
            <w:tcW w:type="dxa" w:w="3312"/>
          </w:tcPr>
          <w:p>
            <w:pPr>
              <w:spacing w:after="20"/>
              <w:jc w:val="right"/>
            </w:pPr>
            <w:r>
              <w:rPr>
                <w:color w:val="1C3A36"/>
                <w:sz w:val="17"/>
              </w:rPr>
              <w:t>carried at zero in this study</w:t>
            </w:r>
          </w:p>
        </w:tc>
      </w:tr>
      <w:tr>
        <w:tc>
          <w:tcPr>
            <w:tcW w:type="dxa" w:w="3672"/>
          </w:tcPr>
          <w:p>
            <w:pPr>
              <w:spacing w:after="20"/>
            </w:pPr>
            <w:r>
              <w:rPr>
                <w:color w:val="1C3A36"/>
                <w:sz w:val="17"/>
              </w:rPr>
              <w:t>Year-end working-capital peak repeats</w:t>
            </w:r>
          </w:p>
        </w:tc>
        <w:tc>
          <w:tcPr>
            <w:tcW w:type="dxa" w:w="2952"/>
          </w:tcPr>
          <w:p>
            <w:pPr>
              <w:spacing w:after="20"/>
              <w:jc w:val="right"/>
            </w:pPr>
            <w:r>
              <w:rPr>
                <w:color w:val="1C3A36"/>
                <w:sz w:val="17"/>
              </w:rPr>
              <w:t>FY26 cash flow</w:t>
            </w:r>
          </w:p>
        </w:tc>
        <w:tc>
          <w:tcPr>
            <w:tcW w:type="dxa" w:w="3312"/>
          </w:tcPr>
          <w:p>
            <w:pPr>
              <w:spacing w:after="20"/>
              <w:jc w:val="right"/>
            </w:pPr>
            <w:r>
              <w:rPr>
                <w:color w:val="1C3A36"/>
                <w:sz w:val="17"/>
              </w:rPr>
              <w:t>five quarterly snapshots anchor the path</w:t>
            </w:r>
          </w:p>
        </w:tc>
      </w:tr>
    </w:tbl>
    <w:p>
      <w:pPr>
        <w:spacing w:after="40"/>
      </w:pPr>
    </w:p>
    <w:p>
      <w:pPr>
        <w:spacing w:after="80" w:before="200"/>
      </w:pPr>
      <w:r>
        <w:rPr>
          <w:b/>
          <w:i w:val="0"/>
          <w:color w:val="1C3A36"/>
          <w:sz w:val="24"/>
        </w:rPr>
        <w:t>B.3  The research base</w:t>
      </w:r>
    </w:p>
    <w:p>
      <w:pPr>
        <w:spacing w:after="120" w:before="0"/>
      </w:pPr>
      <w:r>
        <w:rPr>
          <w:b w:val="0"/>
          <w:i w:val="0"/>
          <w:color w:val="1C3A36"/>
          <w:sz w:val="21"/>
        </w:rPr>
        <w:t>Built on four layers of evidence, from the inside out: the company's own issued statements and releases (the only source for its reported numbers), its investor materials, official market and country data (exchange prices, the published index, central-bank and statistics-office prints, the January-2026 country-risk tables), and finally market aggregators for peer multiples only. Every input in the model carries its value, source, date and layer in the companion bibliography document, which also lists the judgement calls and what would overturn each, the searches that returned nothing, and one material discrepancy found between aggregators. 187 registered inputs across the model.</w:t>
      </w:r>
    </w:p>
    <w:p>
      <w:pPr>
        <w:spacing w:after="120" w:before="280"/>
      </w:pPr>
      <w:r>
        <w:rPr>
          <w:b/>
          <w:i w:val="0"/>
          <w:color w:val="1C3A36"/>
          <w:sz w:val="30"/>
        </w:rPr>
        <w:t>Appendix C — Three experts, one company</w:t>
      </w:r>
    </w:p>
    <w:p>
      <w:pPr>
        <w:spacing w:after="80" w:before="200"/>
      </w:pPr>
      <w:r>
        <w:rPr>
          <w:b/>
          <w:i w:val="0"/>
          <w:color w:val="1C3A36"/>
          <w:sz w:val="24"/>
        </w:rPr>
        <w:t>C.1  Expert 1 — the sum-of-the-parts practitioner</w:t>
      </w:r>
    </w:p>
    <w:p>
      <w:pPr>
        <w:spacing w:after="120" w:before="0"/>
      </w:pPr>
      <w:r>
        <w:rPr>
          <w:b w:val="0"/>
          <w:i w:val="0"/>
          <w:color w:val="1C3A36"/>
          <w:sz w:val="21"/>
        </w:rPr>
        <w:t>Worldview: conglomerates are collections of separable claims; value each at its own economics and let the structure discount tell you about governance, not about the assets. Works best when the parts have observable marks; fails when the biggest mark is itself the question — which this expert answers by taking the most recent arm's-length transaction as primary evidence.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304"/>
      </w:tblGrid>
      <w:tr>
        <w:tc>
          <w:tcPr>
            <w:tcW w:type="dxa" w:w="6624"/>
            <w:shd w:val="clear" w:color="auto" w:fill="EAF0EE"/>
          </w:tcPr>
          <w:p>
            <w:pPr>
              <w:spacing w:after="20"/>
            </w:pPr>
            <w:r>
              <w:rPr>
                <w:b/>
                <w:color w:val="1C3A36"/>
                <w:sz w:val="18"/>
              </w:rPr>
              <w:t>Worked valuation</w:t>
            </w:r>
          </w:p>
        </w:tc>
        <w:tc>
          <w:tcPr>
            <w:tcW w:type="dxa" w:w="2304"/>
            <w:shd w:val="clear" w:color="auto" w:fill="EAF0EE"/>
          </w:tcPr>
          <w:p>
            <w:pPr>
              <w:spacing w:after="20"/>
            </w:pPr>
            <w:r>
              <w:rPr>
                <w:b/>
                <w:color w:val="1C3A36"/>
                <w:sz w:val="18"/>
              </w:rPr>
              <w:t>EGP mn</w:t>
            </w:r>
          </w:p>
        </w:tc>
      </w:tr>
      <w:tr>
        <w:tc>
          <w:tcPr>
            <w:tcW w:type="dxa" w:w="6624"/>
          </w:tcPr>
          <w:p>
            <w:pPr>
              <w:spacing w:after="20"/>
            </w:pPr>
            <w:r>
              <w:rPr>
                <w:color w:val="1C3A36"/>
                <w:sz w:val="18"/>
              </w:rPr>
              <w:t>Automotive equity (cash-flow model)</w:t>
            </w:r>
          </w:p>
        </w:tc>
        <w:tc>
          <w:tcPr>
            <w:tcW w:type="dxa" w:w="2304"/>
          </w:tcPr>
          <w:p>
            <w:pPr>
              <w:spacing w:after="20"/>
              <w:jc w:val="right"/>
            </w:pPr>
            <w:r>
              <w:rPr>
                <w:color w:val="1C3A36"/>
                <w:sz w:val="18"/>
              </w:rPr>
              <w:t>2,894</w:t>
            </w:r>
          </w:p>
        </w:tc>
      </w:tr>
      <w:tr>
        <w:tc>
          <w:tcPr>
            <w:tcW w:type="dxa" w:w="6624"/>
          </w:tcPr>
          <w:p>
            <w:pPr>
              <w:spacing w:after="20"/>
            </w:pPr>
            <w:r>
              <w:rPr>
                <w:color w:val="1C3A36"/>
                <w:sz w:val="18"/>
              </w:rPr>
              <w:t>GB Capital operating equity</w:t>
            </w:r>
          </w:p>
        </w:tc>
        <w:tc>
          <w:tcPr>
            <w:tcW w:type="dxa" w:w="2304"/>
          </w:tcPr>
          <w:p>
            <w:pPr>
              <w:spacing w:after="20"/>
              <w:jc w:val="right"/>
            </w:pPr>
            <w:r>
              <w:rPr>
                <w:color w:val="1C3A36"/>
                <w:sz w:val="18"/>
              </w:rPr>
              <w:t>6,267</w:t>
            </w:r>
          </w:p>
        </w:tc>
      </w:tr>
      <w:tr>
        <w:tc>
          <w:tcPr>
            <w:tcW w:type="dxa" w:w="6624"/>
          </w:tcPr>
          <w:p>
            <w:pPr>
              <w:spacing w:after="20"/>
            </w:pPr>
            <w:r>
              <w:rPr>
                <w:color w:val="1C3A36"/>
                <w:sz w:val="18"/>
              </w:rPr>
              <w:t>MNT-Halan at the round (42.93% x USD 1.4bn x 50.71)</w:t>
            </w:r>
          </w:p>
        </w:tc>
        <w:tc>
          <w:tcPr>
            <w:tcW w:type="dxa" w:w="2304"/>
          </w:tcPr>
          <w:p>
            <w:pPr>
              <w:spacing w:after="20"/>
              <w:jc w:val="right"/>
            </w:pPr>
            <w:r>
              <w:rPr>
                <w:color w:val="1C3A36"/>
                <w:sz w:val="18"/>
              </w:rPr>
              <w:t>30,478</w:t>
            </w:r>
          </w:p>
        </w:tc>
      </w:tr>
      <w:tr>
        <w:tc>
          <w:tcPr>
            <w:tcW w:type="dxa" w:w="6624"/>
          </w:tcPr>
          <w:p>
            <w:pPr>
              <w:spacing w:after="20"/>
            </w:pPr>
            <w:r>
              <w:rPr>
                <w:color w:val="1C3A36"/>
                <w:sz w:val="18"/>
              </w:rPr>
              <w:t>Other associates and holdings</w:t>
            </w:r>
          </w:p>
        </w:tc>
        <w:tc>
          <w:tcPr>
            <w:tcW w:type="dxa" w:w="2304"/>
          </w:tcPr>
          <w:p>
            <w:pPr>
              <w:spacing w:after="20"/>
              <w:jc w:val="right"/>
            </w:pPr>
            <w:r>
              <w:rPr>
                <w:color w:val="1C3A36"/>
                <w:sz w:val="18"/>
              </w:rPr>
              <w:t>996</w:t>
            </w:r>
          </w:p>
        </w:tc>
      </w:tr>
      <w:tr>
        <w:tc>
          <w:tcPr>
            <w:tcW w:type="dxa" w:w="6624"/>
          </w:tcPr>
          <w:p>
            <w:pPr>
              <w:spacing w:after="20"/>
            </w:pPr>
            <w:r>
              <w:rPr>
                <w:color w:val="1C3A36"/>
                <w:sz w:val="18"/>
              </w:rPr>
              <w:t>Sum</w:t>
            </w:r>
          </w:p>
        </w:tc>
        <w:tc>
          <w:tcPr>
            <w:tcW w:type="dxa" w:w="2304"/>
          </w:tcPr>
          <w:p>
            <w:pPr>
              <w:spacing w:after="20"/>
              <w:jc w:val="right"/>
            </w:pPr>
            <w:r>
              <w:rPr>
                <w:color w:val="1C3A36"/>
                <w:sz w:val="18"/>
              </w:rPr>
              <w:t>40,635</w:t>
            </w:r>
          </w:p>
        </w:tc>
      </w:tr>
      <w:tr>
        <w:tc>
          <w:tcPr>
            <w:tcW w:type="dxa" w:w="6624"/>
          </w:tcPr>
          <w:p>
            <w:pPr>
              <w:spacing w:after="20"/>
            </w:pPr>
            <w:r>
              <w:rPr>
                <w:color w:val="1C3A36"/>
                <w:sz w:val="18"/>
              </w:rPr>
              <w:t>Structure discount at 8% (thinner than the house 10%: a bank-led round IS the evidence)</w:t>
            </w:r>
          </w:p>
        </w:tc>
        <w:tc>
          <w:tcPr>
            <w:tcW w:type="dxa" w:w="2304"/>
          </w:tcPr>
          <w:p>
            <w:pPr>
              <w:spacing w:after="20"/>
              <w:jc w:val="right"/>
            </w:pPr>
            <w:r>
              <w:rPr>
                <w:color w:val="1C3A36"/>
                <w:sz w:val="18"/>
              </w:rPr>
              <w:t>-3,251</w:t>
            </w:r>
          </w:p>
        </w:tc>
      </w:tr>
      <w:tr>
        <w:tc>
          <w:tcPr>
            <w:tcW w:type="dxa" w:w="6624"/>
            <w:shd w:val="clear" w:color="auto" w:fill="F6F1E6"/>
          </w:tcPr>
          <w:p>
            <w:pPr>
              <w:spacing w:after="20"/>
            </w:pPr>
            <w:r>
              <w:rPr>
                <w:b/>
                <w:color w:val="1C3A36"/>
                <w:sz w:val="18"/>
              </w:rPr>
              <w:t>Equity  /  per share</w:t>
            </w:r>
          </w:p>
        </w:tc>
        <w:tc>
          <w:tcPr>
            <w:tcW w:type="dxa" w:w="2304"/>
            <w:shd w:val="clear" w:color="auto" w:fill="F6F1E6"/>
          </w:tcPr>
          <w:p>
            <w:pPr>
              <w:spacing w:after="20"/>
              <w:jc w:val="right"/>
            </w:pPr>
            <w:r>
              <w:rPr>
                <w:b/>
                <w:color w:val="1C3A36"/>
                <w:sz w:val="18"/>
              </w:rPr>
              <w:t>37,384  /  34.44</w:t>
            </w:r>
          </w:p>
        </w:tc>
      </w:tr>
    </w:tbl>
    <w:p>
      <w:pPr>
        <w:spacing w:after="40"/>
      </w:pPr>
    </w:p>
    <w:p>
      <w:pPr>
        <w:spacing w:after="120" w:before="0"/>
      </w:pPr>
      <w:r>
        <w:rPr>
          <w:b w:val="0"/>
          <w:i w:val="0"/>
          <w:color w:val="1C3A36"/>
          <w:sz w:val="21"/>
        </w:rPr>
        <w:t>Named sensitivity: every 10% shaved off the round mark costs EGP 2.58 per share. Falsifier, stated in advance: the second closing completes below USD 1.4bn, or the next audited accounts carry the stake below its current book — either overturns the primary-evidence claim and this valuation with it.</w:t>
      </w:r>
    </w:p>
    <w:p>
      <w:pPr>
        <w:spacing w:after="80" w:before="200"/>
      </w:pPr>
      <w:r>
        <w:rPr>
          <w:b/>
          <w:i w:val="0"/>
          <w:color w:val="1C3A36"/>
          <w:sz w:val="24"/>
        </w:rPr>
        <w:t>C.2  Expert 2 — the normalised-earnings conservative</w:t>
      </w:r>
    </w:p>
    <w:p>
      <w:pPr>
        <w:spacing w:after="120" w:before="0"/>
      </w:pPr>
      <w:r>
        <w:rPr>
          <w:b w:val="0"/>
          <w:i w:val="0"/>
          <w:color w:val="1C3A36"/>
          <w:sz w:val="21"/>
        </w:rPr>
        <w:t>Worldview: pay for demonstrated earning power, normalised for distortions you can name and date; never pay for marks you cannot audit. Works best when distortions are genuinely temporary; fails when 'temporary' becomes structural — Egypt has taught that lesson before.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304"/>
      </w:tblGrid>
      <w:tr>
        <w:tc>
          <w:tcPr>
            <w:tcW w:type="dxa" w:w="6624"/>
            <w:shd w:val="clear" w:color="auto" w:fill="EAF0EE"/>
          </w:tcPr>
          <w:p>
            <w:pPr>
              <w:spacing w:after="20"/>
            </w:pPr>
            <w:r>
              <w:rPr>
                <w:b/>
                <w:color w:val="1C3A36"/>
                <w:sz w:val="18"/>
              </w:rPr>
              <w:t>Worked valuation</w:t>
            </w:r>
          </w:p>
        </w:tc>
        <w:tc>
          <w:tcPr>
            <w:tcW w:type="dxa" w:w="2304"/>
            <w:shd w:val="clear" w:color="auto" w:fill="EAF0EE"/>
          </w:tcPr>
          <w:p>
            <w:pPr>
              <w:spacing w:after="20"/>
            </w:pPr>
            <w:r>
              <w:rPr>
                <w:b/>
                <w:color w:val="1C3A36"/>
                <w:sz w:val="18"/>
              </w:rPr>
              <w:t>Value</w:t>
            </w:r>
          </w:p>
        </w:tc>
      </w:tr>
      <w:tr>
        <w:tc>
          <w:tcPr>
            <w:tcW w:type="dxa" w:w="6624"/>
          </w:tcPr>
          <w:p>
            <w:pPr>
              <w:spacing w:after="20"/>
            </w:pPr>
            <w:r>
              <w:rPr>
                <w:color w:val="1C3A36"/>
                <w:sz w:val="18"/>
              </w:rPr>
              <w:t>Normalised group profit (walk in section 1.4)</w:t>
            </w:r>
          </w:p>
        </w:tc>
        <w:tc>
          <w:tcPr>
            <w:tcW w:type="dxa" w:w="2304"/>
          </w:tcPr>
          <w:p>
            <w:pPr>
              <w:spacing w:after="20"/>
              <w:jc w:val="right"/>
            </w:pPr>
            <w:r>
              <w:rPr>
                <w:color w:val="1C3A36"/>
                <w:sz w:val="18"/>
              </w:rPr>
              <w:t>5,155 mn</w:t>
            </w:r>
          </w:p>
        </w:tc>
      </w:tr>
      <w:tr>
        <w:tc>
          <w:tcPr>
            <w:tcW w:type="dxa" w:w="6624"/>
          </w:tcPr>
          <w:p>
            <w:pPr>
              <w:spacing w:after="20"/>
            </w:pPr>
            <w:r>
              <w:rPr>
                <w:color w:val="1C3A36"/>
                <w:sz w:val="18"/>
              </w:rPr>
              <w:t>Per share</w:t>
            </w:r>
          </w:p>
        </w:tc>
        <w:tc>
          <w:tcPr>
            <w:tcW w:type="dxa" w:w="2304"/>
          </w:tcPr>
          <w:p>
            <w:pPr>
              <w:spacing w:after="20"/>
              <w:jc w:val="right"/>
            </w:pPr>
            <w:r>
              <w:rPr>
                <w:color w:val="1C3A36"/>
                <w:sz w:val="18"/>
              </w:rPr>
              <w:t>4.75</w:t>
            </w:r>
          </w:p>
        </w:tc>
      </w:tr>
      <w:tr>
        <w:tc>
          <w:tcPr>
            <w:tcW w:type="dxa" w:w="6624"/>
          </w:tcPr>
          <w:p>
            <w:pPr>
              <w:spacing w:after="20"/>
            </w:pPr>
            <w:r>
              <w:rPr>
                <w:color w:val="1C3A36"/>
                <w:sz w:val="18"/>
              </w:rPr>
              <w:t>Multiple (between the local financing peer and mature retail)</w:t>
            </w:r>
          </w:p>
        </w:tc>
        <w:tc>
          <w:tcPr>
            <w:tcW w:type="dxa" w:w="2304"/>
          </w:tcPr>
          <w:p>
            <w:pPr>
              <w:spacing w:after="20"/>
              <w:jc w:val="right"/>
            </w:pPr>
            <w:r>
              <w:rPr>
                <w:color w:val="1C3A36"/>
                <w:sz w:val="18"/>
              </w:rPr>
              <w:t>8.5x</w:t>
            </w:r>
          </w:p>
        </w:tc>
      </w:tr>
      <w:tr>
        <w:tc>
          <w:tcPr>
            <w:tcW w:type="dxa" w:w="6624"/>
            <w:shd w:val="clear" w:color="auto" w:fill="F6F1E6"/>
          </w:tcPr>
          <w:p>
            <w:pPr>
              <w:spacing w:after="20"/>
            </w:pPr>
            <w:r>
              <w:rPr>
                <w:b/>
                <w:color w:val="1C3A36"/>
                <w:sz w:val="18"/>
              </w:rPr>
              <w:t>Value  /  range</w:t>
            </w:r>
          </w:p>
        </w:tc>
        <w:tc>
          <w:tcPr>
            <w:tcW w:type="dxa" w:w="2304"/>
            <w:shd w:val="clear" w:color="auto" w:fill="F6F1E6"/>
          </w:tcPr>
          <w:p>
            <w:pPr>
              <w:spacing w:after="20"/>
              <w:jc w:val="right"/>
            </w:pPr>
            <w:r>
              <w:rPr>
                <w:b/>
                <w:color w:val="1C3A36"/>
                <w:sz w:val="18"/>
              </w:rPr>
              <w:t>40.37  /  30.3–50.5</w:t>
            </w:r>
          </w:p>
        </w:tc>
      </w:tr>
    </w:tbl>
    <w:p>
      <w:pPr>
        <w:spacing w:after="40"/>
      </w:pPr>
    </w:p>
    <w:p>
      <w:pPr>
        <w:spacing w:after="120" w:before="0"/>
      </w:pPr>
      <w:r>
        <w:rPr>
          <w:b w:val="0"/>
          <w:i w:val="0"/>
          <w:color w:val="1C3A36"/>
          <w:sz w:val="21"/>
        </w:rPr>
        <w:t>Named sensitivity: if normalised funding costs land at 20% instead of 17%, the walk loses EGP 337mn of profit — about EGP 2.64 of value at the same multiple. Falsifier: the regional losses are still distorting the tax line in the FY27 accounts, or the easing cycle stalls with inflation re-accelerating past 20%.</w:t>
      </w:r>
    </w:p>
    <w:p>
      <w:pPr>
        <w:spacing w:after="80" w:before="200"/>
      </w:pPr>
      <w:r>
        <w:rPr>
          <w:b/>
          <w:i w:val="0"/>
          <w:color w:val="1C3A36"/>
          <w:sz w:val="24"/>
        </w:rPr>
        <w:t>C.3  Expert 3 — the returns-on-capital sceptic</w:t>
      </w:r>
    </w:p>
    <w:p>
      <w:pPr>
        <w:spacing w:after="120" w:before="0"/>
      </w:pPr>
      <w:r>
        <w:rPr>
          <w:b w:val="0"/>
          <w:i w:val="0"/>
          <w:color w:val="1C3A36"/>
          <w:sz w:val="21"/>
        </w:rPr>
        <w:t>Worldview: a business is worth its capital employed scaled by the ratio of what it earns to what that capital costs; growth without spread is a treadmill. Works best at cycle mid-points; fails at inflection points, which it systematically undervalues — this expert accepts that bias knowingly.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304"/>
      </w:tblGrid>
      <w:tr>
        <w:tc>
          <w:tcPr>
            <w:tcW w:type="dxa" w:w="6624"/>
            <w:shd w:val="clear" w:color="auto" w:fill="EAF0EE"/>
          </w:tcPr>
          <w:p>
            <w:pPr>
              <w:spacing w:after="20"/>
            </w:pPr>
            <w:r>
              <w:rPr>
                <w:b/>
                <w:color w:val="1C3A36"/>
                <w:sz w:val="18"/>
              </w:rPr>
              <w:t>Worked valuation</w:t>
            </w:r>
          </w:p>
        </w:tc>
        <w:tc>
          <w:tcPr>
            <w:tcW w:type="dxa" w:w="2304"/>
            <w:shd w:val="clear" w:color="auto" w:fill="EAF0EE"/>
          </w:tcPr>
          <w:p>
            <w:pPr>
              <w:spacing w:after="20"/>
            </w:pPr>
            <w:r>
              <w:rPr>
                <w:b/>
                <w:color w:val="1C3A36"/>
                <w:sz w:val="18"/>
              </w:rPr>
              <w:t>EGP mn</w:t>
            </w:r>
          </w:p>
        </w:tc>
      </w:tr>
      <w:tr>
        <w:tc>
          <w:tcPr>
            <w:tcW w:type="dxa" w:w="6624"/>
          </w:tcPr>
          <w:p>
            <w:pPr>
              <w:spacing w:after="20"/>
            </w:pPr>
            <w:r>
              <w:rPr>
                <w:color w:val="1C3A36"/>
                <w:sz w:val="18"/>
              </w:rPr>
              <w:t>Automotive capital employed (June-26)</w:t>
            </w:r>
          </w:p>
        </w:tc>
        <w:tc>
          <w:tcPr>
            <w:tcW w:type="dxa" w:w="2304"/>
          </w:tcPr>
          <w:p>
            <w:pPr>
              <w:spacing w:after="20"/>
              <w:jc w:val="right"/>
            </w:pPr>
            <w:r>
              <w:rPr>
                <w:color w:val="1C3A36"/>
                <w:sz w:val="18"/>
              </w:rPr>
              <w:t>28,185</w:t>
            </w:r>
          </w:p>
        </w:tc>
      </w:tr>
      <w:tr>
        <w:tc>
          <w:tcPr>
            <w:tcW w:type="dxa" w:w="6624"/>
          </w:tcPr>
          <w:p>
            <w:pPr>
              <w:spacing w:after="20"/>
            </w:pPr>
            <w:r>
              <w:rPr>
                <w:color w:val="1C3A36"/>
                <w:sz w:val="18"/>
              </w:rPr>
              <w:t>Trailing return on it</w:t>
            </w:r>
          </w:p>
        </w:tc>
        <w:tc>
          <w:tcPr>
            <w:tcW w:type="dxa" w:w="2304"/>
          </w:tcPr>
          <w:p>
            <w:pPr>
              <w:spacing w:after="20"/>
              <w:jc w:val="right"/>
            </w:pPr>
            <w:r>
              <w:rPr>
                <w:color w:val="1C3A36"/>
                <w:sz w:val="18"/>
              </w:rPr>
              <w:t>22.9%</w:t>
            </w:r>
          </w:p>
        </w:tc>
      </w:tr>
      <w:tr>
        <w:tc>
          <w:tcPr>
            <w:tcW w:type="dxa" w:w="6624"/>
          </w:tcPr>
          <w:p>
            <w:pPr>
              <w:spacing w:after="20"/>
            </w:pPr>
            <w:r>
              <w:rPr>
                <w:color w:val="1C3A36"/>
                <w:sz w:val="18"/>
              </w:rPr>
              <w:t>Cost of capital</w:t>
            </w:r>
          </w:p>
        </w:tc>
        <w:tc>
          <w:tcPr>
            <w:tcW w:type="dxa" w:w="2304"/>
          </w:tcPr>
          <w:p>
            <w:pPr>
              <w:spacing w:after="20"/>
              <w:jc w:val="right"/>
            </w:pPr>
            <w:r>
              <w:rPr>
                <w:color w:val="1C3A36"/>
                <w:sz w:val="18"/>
              </w:rPr>
              <w:t>22.72%</w:t>
            </w:r>
          </w:p>
        </w:tc>
      </w:tr>
      <w:tr>
        <w:tc>
          <w:tcPr>
            <w:tcW w:type="dxa" w:w="6624"/>
          </w:tcPr>
          <w:p>
            <w:pPr>
              <w:spacing w:after="20"/>
            </w:pPr>
            <w:r>
              <w:rPr>
                <w:color w:val="1C3A36"/>
                <w:sz w:val="18"/>
              </w:rPr>
              <w:t>Implied automotive enterprise value (capital x return/cost)</w:t>
            </w:r>
          </w:p>
        </w:tc>
        <w:tc>
          <w:tcPr>
            <w:tcW w:type="dxa" w:w="2304"/>
          </w:tcPr>
          <w:p>
            <w:pPr>
              <w:spacing w:after="20"/>
              <w:jc w:val="right"/>
            </w:pPr>
            <w:r>
              <w:rPr>
                <w:color w:val="1C3A36"/>
                <w:sz w:val="18"/>
              </w:rPr>
              <w:t>28,408</w:t>
            </w:r>
          </w:p>
        </w:tc>
      </w:tr>
      <w:tr>
        <w:tc>
          <w:tcPr>
            <w:tcW w:type="dxa" w:w="6624"/>
          </w:tcPr>
          <w:p>
            <w:pPr>
              <w:spacing w:after="20"/>
            </w:pPr>
            <w:r>
              <w:rPr>
                <w:color w:val="1C3A36"/>
                <w:sz w:val="18"/>
              </w:rPr>
              <w:t>less net debt and minorities</w:t>
            </w:r>
          </w:p>
        </w:tc>
        <w:tc>
          <w:tcPr>
            <w:tcW w:type="dxa" w:w="2304"/>
          </w:tcPr>
          <w:p>
            <w:pPr>
              <w:spacing w:after="20"/>
              <w:jc w:val="right"/>
            </w:pPr>
            <w:r>
              <w:rPr>
                <w:color w:val="1C3A36"/>
                <w:sz w:val="18"/>
              </w:rPr>
              <w:t>-15,084</w:t>
            </w:r>
          </w:p>
        </w:tc>
      </w:tr>
      <w:tr>
        <w:tc>
          <w:tcPr>
            <w:tcW w:type="dxa" w:w="6624"/>
          </w:tcPr>
          <w:p>
            <w:pPr>
              <w:spacing w:after="20"/>
            </w:pPr>
            <w:r>
              <w:rPr>
                <w:color w:val="1C3A36"/>
                <w:sz w:val="18"/>
              </w:rPr>
              <w:t>GB Capital at 0.9x operating book</w:t>
            </w:r>
          </w:p>
        </w:tc>
        <w:tc>
          <w:tcPr>
            <w:tcW w:type="dxa" w:w="2304"/>
          </w:tcPr>
          <w:p>
            <w:pPr>
              <w:spacing w:after="20"/>
              <w:jc w:val="right"/>
            </w:pPr>
            <w:r>
              <w:rPr>
                <w:color w:val="1C3A36"/>
                <w:sz w:val="18"/>
              </w:rPr>
              <w:t>5,641</w:t>
            </w:r>
          </w:p>
        </w:tc>
      </w:tr>
      <w:tr>
        <w:tc>
          <w:tcPr>
            <w:tcW w:type="dxa" w:w="6624"/>
          </w:tcPr>
          <w:p>
            <w:pPr>
              <w:spacing w:after="20"/>
            </w:pPr>
            <w:r>
              <w:rPr>
                <w:color w:val="1C3A36"/>
                <w:sz w:val="18"/>
              </w:rPr>
              <w:t>Associates at 0.85x the balance-sheet carrying (no round credit)</w:t>
            </w:r>
          </w:p>
        </w:tc>
        <w:tc>
          <w:tcPr>
            <w:tcW w:type="dxa" w:w="2304"/>
          </w:tcPr>
          <w:p>
            <w:pPr>
              <w:spacing w:after="20"/>
              <w:jc w:val="right"/>
            </w:pPr>
            <w:r>
              <w:rPr>
                <w:color w:val="1C3A36"/>
                <w:sz w:val="18"/>
              </w:rPr>
              <w:t>14,212</w:t>
            </w:r>
          </w:p>
        </w:tc>
      </w:tr>
      <w:tr>
        <w:tc>
          <w:tcPr>
            <w:tcW w:type="dxa" w:w="6624"/>
            <w:shd w:val="clear" w:color="auto" w:fill="F6F1E6"/>
          </w:tcPr>
          <w:p>
            <w:pPr>
              <w:spacing w:after="20"/>
            </w:pPr>
            <w:r>
              <w:rPr>
                <w:b/>
                <w:color w:val="1C3A36"/>
                <w:sz w:val="18"/>
              </w:rPr>
              <w:t>Equity  /  per share</w:t>
            </w:r>
          </w:p>
        </w:tc>
        <w:tc>
          <w:tcPr>
            <w:tcW w:type="dxa" w:w="2304"/>
            <w:shd w:val="clear" w:color="auto" w:fill="F6F1E6"/>
          </w:tcPr>
          <w:p>
            <w:pPr>
              <w:spacing w:after="20"/>
              <w:jc w:val="right"/>
            </w:pPr>
            <w:r>
              <w:rPr>
                <w:b/>
                <w:color w:val="1C3A36"/>
                <w:sz w:val="18"/>
              </w:rPr>
              <w:t>—  /  30.56</w:t>
            </w:r>
          </w:p>
        </w:tc>
      </w:tr>
    </w:tbl>
    <w:p>
      <w:pPr>
        <w:spacing w:after="40"/>
      </w:pPr>
    </w:p>
    <w:p>
      <w:pPr>
        <w:spacing w:after="120" w:before="0"/>
      </w:pPr>
      <w:r>
        <w:rPr>
          <w:b w:val="0"/>
          <w:i w:val="0"/>
          <w:color w:val="1C3A36"/>
          <w:sz w:val="21"/>
        </w:rPr>
        <w:t>Named sensitivity: two points of return on capital either way move this reading by about EGP 2.29. Falsifier: returns on capital recover above 26% with the working-capital cycle holding — the treadmill claim dies and the sceptic concedes the growth is funded.</w:t>
      </w:r>
    </w:p>
    <w:p>
      <w:pPr>
        <w:spacing w:after="80" w:before="200"/>
      </w:pPr>
      <w:r>
        <w:rPr>
          <w:b/>
          <w:i w:val="0"/>
          <w:color w:val="1C3A36"/>
          <w:sz w:val="24"/>
        </w:rPr>
        <w:t>C.4  Cross-examination</w:t>
      </w:r>
    </w:p>
    <w:p>
      <w:pPr>
        <w:pStyle w:val="ListBullet"/>
        <w:spacing w:after="60"/>
      </w:pPr>
      <w:r>
        <w:rPr>
          <w:color w:val="1C3A36"/>
          <w:sz w:val="21"/>
        </w:rPr>
        <w:t>Expert 2 to Expert 1: 'Your primary evidence is one round the auditor never saw close.' — Partially conceded: the first close is documented and bank-led; the second is pending. The 8% discount stands, but Expert 1 accepts the bear leg must live in the book-mark world.</w:t>
      </w:r>
    </w:p>
    <w:p>
      <w:pPr>
        <w:pStyle w:val="ListBullet"/>
        <w:spacing w:after="60"/>
      </w:pPr>
      <w:r>
        <w:rPr>
          <w:color w:val="1C3A36"/>
          <w:sz w:val="21"/>
        </w:rPr>
        <w:t>Expert 1 to Expert 3: 'You value a franchise gaining share in an 18%-growth market at its trailing return.' — Rejected by Expert 3: trailing is what is proven; the model's own forward returns barely clear the hurdle.</w:t>
      </w:r>
    </w:p>
    <w:p>
      <w:pPr>
        <w:pStyle w:val="ListBullet"/>
        <w:spacing w:after="60"/>
      </w:pPr>
      <w:r>
        <w:rPr>
          <w:color w:val="1C3A36"/>
          <w:sz w:val="21"/>
        </w:rPr>
        <w:t>Expert 3 to Expert 2: 'Your normalisation assumes the easing cycle completes on schedule.' — Conceded in part: the walk uses 17%, not the corridor's eventual floor; the bear case (0.85x profit, 7.5x) absorbs a stall.</w:t>
      </w:r>
    </w:p>
    <w:p>
      <w:pPr>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5852160" cy="2041451"/>
            <wp:docPr id="5" name="Picture 5"/>
            <wp:cNvGraphicFramePr>
              <a:graphicFrameLocks noChangeAspect="1"/>
            </wp:cNvGraphicFramePr>
            <a:graphic>
              <a:graphicData uri="http://schemas.openxmlformats.org/drawingml/2006/picture">
                <pic:pic>
                  <pic:nvPicPr>
                    <pic:cNvPr id="0" name="figD1_experts.png"/>
                    <pic:cNvPicPr/>
                  </pic:nvPicPr>
                  <pic:blipFill>
                    <a:blip r:embed="rId13"/>
                    <a:stretch>
                      <a:fillRect/>
                    </a:stretch>
                  </pic:blipFill>
                  <pic:spPr>
                    <a:xfrm>
                      <a:off x="0" y="0"/>
                      <a:ext cx="5852160" cy="2041451"/>
                    </a:xfrm>
                    <a:prstGeom prst="rect"/>
                  </pic:spPr>
                </pic:pic>
              </a:graphicData>
            </a:graphic>
          </wp:inline>
        </w:drawing>
      </w:r>
    </w:p>
    <w:p>
      <w:pPr>
        <w:spacing w:after="200" w:before="0"/>
      </w:pPr>
      <w:r>
        <w:rPr>
          <w:b w:val="0"/>
          <w:i/>
          <w:color w:val="6E7B77"/>
          <w:sz w:val="17"/>
        </w:rPr>
        <w:t>Three methods, one company.</w:t>
      </w:r>
    </w:p>
    <w:p>
      <w:pPr>
        <w:spacing w:after="120" w:before="0"/>
      </w:pPr>
      <w:r>
        <w:rPr>
          <w:b w:val="0"/>
          <w:i w:val="0"/>
          <w:color w:val="1C3A36"/>
          <w:sz w:val="21"/>
        </w:rPr>
        <w:t>The room agrees on more than the spread suggests: all three would own the operating businesses near 31; the entire quarrel is the stake and the speed of normalisation. The panel's span — 30.6 to 40.4 at the centres — brackets the published central from both sides.</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2736"/>
        <w:gridCol w:w="2160"/>
      </w:tblGrid>
      <w:tr>
        <w:tc>
          <w:tcPr>
            <w:tcW w:type="dxa" w:w="4464"/>
            <w:shd w:val="clear" w:color="auto" w:fill="EAF0EE"/>
          </w:tcPr>
          <w:p>
            <w:pPr>
              <w:spacing w:after="20"/>
            </w:pPr>
            <w:r>
              <w:rPr>
                <w:b/>
                <w:color w:val="1C3A36"/>
                <w:sz w:val="18"/>
              </w:rPr>
              <w:t>Assumption</w:t>
            </w:r>
          </w:p>
        </w:tc>
        <w:tc>
          <w:tcPr>
            <w:tcW w:type="dxa" w:w="2736"/>
            <w:shd w:val="clear" w:color="auto" w:fill="EAF0EE"/>
          </w:tcPr>
          <w:p>
            <w:pPr>
              <w:spacing w:after="20"/>
            </w:pPr>
            <w:r>
              <w:rPr>
                <w:b/>
                <w:color w:val="1C3A36"/>
                <w:sz w:val="18"/>
              </w:rPr>
              <w:t>Who differs</w:t>
            </w:r>
          </w:p>
        </w:tc>
        <w:tc>
          <w:tcPr>
            <w:tcW w:type="dxa" w:w="2160"/>
            <w:shd w:val="clear" w:color="auto" w:fill="EAF0EE"/>
          </w:tcPr>
          <w:p>
            <w:pPr>
              <w:spacing w:after="20"/>
            </w:pPr>
            <w:r>
              <w:rPr>
                <w:b/>
                <w:color w:val="1C3A36"/>
                <w:sz w:val="18"/>
              </w:rPr>
              <w:t>Worth per share</w:t>
            </w:r>
          </w:p>
        </w:tc>
      </w:tr>
      <w:tr>
        <w:tc>
          <w:tcPr>
            <w:tcW w:type="dxa" w:w="4464"/>
          </w:tcPr>
          <w:p>
            <w:pPr>
              <w:spacing w:after="20"/>
            </w:pPr>
            <w:r>
              <w:rPr>
                <w:color w:val="1C3A36"/>
                <w:sz w:val="18"/>
              </w:rPr>
              <w:t>MNT-Halan: round mark vs balance-sheet carrying</w:t>
            </w:r>
          </w:p>
        </w:tc>
        <w:tc>
          <w:tcPr>
            <w:tcW w:type="dxa" w:w="2736"/>
          </w:tcPr>
          <w:p>
            <w:pPr>
              <w:spacing w:after="20"/>
              <w:jc w:val="right"/>
            </w:pPr>
            <w:r>
              <w:rPr>
                <w:color w:val="1C3A36"/>
                <w:sz w:val="18"/>
              </w:rPr>
              <w:t>Expert 1 vs Expert 3</w:t>
            </w:r>
          </w:p>
        </w:tc>
        <w:tc>
          <w:tcPr>
            <w:tcW w:type="dxa" w:w="2160"/>
          </w:tcPr>
          <w:p>
            <w:pPr>
              <w:spacing w:after="20"/>
              <w:jc w:val="right"/>
            </w:pPr>
            <w:r>
              <w:rPr>
                <w:color w:val="1C3A36"/>
                <w:sz w:val="18"/>
              </w:rPr>
              <w:t>12.23</w:t>
            </w:r>
          </w:p>
        </w:tc>
      </w:tr>
      <w:tr>
        <w:tc>
          <w:tcPr>
            <w:tcW w:type="dxa" w:w="4464"/>
          </w:tcPr>
          <w:p>
            <w:pPr>
              <w:spacing w:after="20"/>
            </w:pPr>
            <w:r>
              <w:rPr>
                <w:color w:val="1C3A36"/>
                <w:sz w:val="18"/>
              </w:rPr>
              <w:t>Normalisation completes vs trailing persists</w:t>
            </w:r>
          </w:p>
        </w:tc>
        <w:tc>
          <w:tcPr>
            <w:tcW w:type="dxa" w:w="2736"/>
          </w:tcPr>
          <w:p>
            <w:pPr>
              <w:spacing w:after="20"/>
              <w:jc w:val="right"/>
            </w:pPr>
            <w:r>
              <w:rPr>
                <w:color w:val="1C3A36"/>
                <w:sz w:val="18"/>
              </w:rPr>
              <w:t>Expert 2 vs Expert 3</w:t>
            </w:r>
          </w:p>
        </w:tc>
        <w:tc>
          <w:tcPr>
            <w:tcW w:type="dxa" w:w="2160"/>
          </w:tcPr>
          <w:p>
            <w:pPr>
              <w:spacing w:after="20"/>
              <w:jc w:val="right"/>
            </w:pPr>
            <w:r>
              <w:rPr>
                <w:color w:val="1C3A36"/>
                <w:sz w:val="18"/>
              </w:rPr>
              <w:t>9.80</w:t>
            </w:r>
          </w:p>
        </w:tc>
      </w:tr>
      <w:tr>
        <w:tc>
          <w:tcPr>
            <w:tcW w:type="dxa" w:w="4464"/>
          </w:tcPr>
          <w:p>
            <w:pPr>
              <w:spacing w:after="20"/>
            </w:pPr>
            <w:r>
              <w:rPr>
                <w:color w:val="1C3A36"/>
                <w:sz w:val="18"/>
              </w:rPr>
              <w:t>Structure discount 8% vs the house 10%</w:t>
            </w:r>
          </w:p>
        </w:tc>
        <w:tc>
          <w:tcPr>
            <w:tcW w:type="dxa" w:w="2736"/>
          </w:tcPr>
          <w:p>
            <w:pPr>
              <w:spacing w:after="20"/>
              <w:jc w:val="right"/>
            </w:pPr>
            <w:r>
              <w:rPr>
                <w:color w:val="1C3A36"/>
                <w:sz w:val="18"/>
              </w:rPr>
              <w:t>Expert 1 vs the house</w:t>
            </w:r>
          </w:p>
        </w:tc>
        <w:tc>
          <w:tcPr>
            <w:tcW w:type="dxa" w:w="2160"/>
          </w:tcPr>
          <w:p>
            <w:pPr>
              <w:spacing w:after="20"/>
              <w:jc w:val="right"/>
            </w:pPr>
            <w:r>
              <w:rPr>
                <w:color w:val="1C3A36"/>
                <w:sz w:val="18"/>
              </w:rPr>
              <w:t>0.75</w:t>
            </w:r>
          </w:p>
        </w:tc>
      </w:tr>
      <w:tr>
        <w:tc>
          <w:tcPr>
            <w:tcW w:type="dxa" w:w="4464"/>
          </w:tcPr>
          <w:p>
            <w:pPr>
              <w:spacing w:after="20"/>
            </w:pPr>
            <w:r>
              <w:rPr>
                <w:color w:val="1C3A36"/>
                <w:sz w:val="18"/>
              </w:rPr>
              <w:t>Equity-premium basis (CDS vs rating)</w:t>
            </w:r>
          </w:p>
        </w:tc>
        <w:tc>
          <w:tcPr>
            <w:tcW w:type="dxa" w:w="2736"/>
          </w:tcPr>
          <w:p>
            <w:pPr>
              <w:spacing w:after="20"/>
              <w:jc w:val="right"/>
            </w:pPr>
            <w:r>
              <w:rPr>
                <w:color w:val="1C3A36"/>
                <w:sz w:val="18"/>
              </w:rPr>
              <w:t>inside the house model</w:t>
            </w:r>
          </w:p>
        </w:tc>
        <w:tc>
          <w:tcPr>
            <w:tcW w:type="dxa" w:w="2160"/>
          </w:tcPr>
          <w:p>
            <w:pPr>
              <w:spacing w:after="20"/>
              <w:jc w:val="right"/>
            </w:pPr>
            <w:r>
              <w:rPr>
                <w:color w:val="1C3A36"/>
                <w:sz w:val="18"/>
              </w:rPr>
              <w:t>1.13</w:t>
            </w:r>
          </w:p>
        </w:tc>
      </w:tr>
    </w:tbl>
    <w:p>
      <w:pPr>
        <w:spacing w:after="40"/>
      </w:pPr>
    </w:p>
    <w:p>
      <w:pPr>
        <w:spacing w:after="120" w:before="280"/>
      </w:pPr>
      <w:r>
        <w:rPr>
          <w:b/>
          <w:i w:val="0"/>
          <w:color w:val="1C3A36"/>
          <w:sz w:val="30"/>
        </w:rPr>
        <w:t>About this series</w:t>
      </w:r>
    </w:p>
    <w:p>
      <w:pPr>
        <w:spacing w:after="120" w:before="0"/>
      </w:pPr>
      <w:r>
        <w:rPr>
          <w:b w:val="0"/>
          <w:i w:val="0"/>
          <w:color w:val="1C3A36"/>
          <w:sz w:val="21"/>
        </w:rPr>
        <w:t>Standing research on Egyptian and regional listed companies: full fundamental studies, probability-calibrated price maps graded in public, and refreshes like this one whenever the company's own disclosures move the evidence. Every forecast this series publishes is dated, resolved on its date, and scored against what happened; the record — hits and misses alike — stays on the site.</w:t>
      </w:r>
    </w:p>
    <w:p>
      <w:pPr>
        <w:spacing w:after="120" w:before="280"/>
      </w:pPr>
      <w:r>
        <w:rPr>
          <w:b/>
          <w:i w:val="0"/>
          <w:color w:val="1C3A36"/>
          <w:sz w:val="30"/>
        </w:rPr>
        <w:t>Disclosure &amp; disclaimer</w:t>
      </w:r>
    </w:p>
    <w:p>
      <w:pPr>
        <w:spacing w:after="120" w:before="0"/>
      </w:pPr>
      <w:r>
        <w:rPr>
          <w:b w:val="0"/>
          <w:i w:val="0"/>
          <w:color w:val="6E7B77"/>
          <w:sz w:val="18"/>
        </w:rPr>
        <w:t>This document is research, not investment advice, and contains no rating and no price target. Fair values are ranges with stated assumptions; probabilities are model outputs with stated calibration records. The authors hold no position in the securities discussed. Figures derive from the company's own published statements and releases and from sourced public market data, each dated in the companion bibliography; errors are ours alone. Prices can and do leave any range. Do your own 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