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cap_increase_fy24</w:t>
            </w:r>
          </w:p>
        </w:tc>
        <w:tc>
          <w:tcPr>
            <w:tcW w:type="dxa" w:w="1325"/>
          </w:tcPr>
          <w:p>
            <w:pPr>
              <w:spacing w:after="20"/>
            </w:pPr>
            <w:r>
              <w:rPr>
                <w:color w:val="1C3A36"/>
                <w:sz w:val="14"/>
              </w:rPr>
              <w:t>1,277.4661</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"Paid under capital increase", note 17, nil in the comparative column and EGP 1,277,466,100 at 31 December 2024. This is the line the equity roll was missing</w:t>
            </w:r>
          </w:p>
        </w:tc>
        <w:tc>
          <w:tcPr>
            <w:tcW w:type="dxa" w:w="1210"/>
          </w:tcPr>
          <w:p>
            <w:pPr>
              <w:spacing w:after="20"/>
            </w:pPr>
            <w:r>
              <w:rPr>
                <w:color w:val="1C3A36"/>
                <w:sz w:val="14"/>
              </w:rPr>
              <w:t>2024-12-31</w:t>
            </w:r>
          </w:p>
        </w:tc>
      </w:tr>
      <w:tr>
        <w:tc>
          <w:tcPr>
            <w:tcW w:type="dxa" w:w="518"/>
          </w:tcPr>
          <w:p>
            <w:pPr>
              <w:spacing w:after="20"/>
            </w:pPr>
            <w:r>
              <w:rPr>
                <w:color w:val="1C3A36"/>
                <w:sz w:val="14"/>
              </w:rPr>
              <w:t>6</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7</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9</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10</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11</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15</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16</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BOOK depreciation rate carried forward on gross cost, being note 3/2's disclosed rates at the midpoint of the two ranges, cost-weighted as an arithmetic mean of lives on note 4's own mix. It is used ONLY for the forward book charge, which is what a rate is for. IT IS NOT THE TERMINAL'S USEFUL LIFE and revision 3 used its reciprocal as one: 1/0.038626 = 25.89 years, justified on the grounds that it 'reproduces the filed FY2025 charge to within 1.2% (121.3 against 122.6)'. THAT VALIDATION WAS TWO ERRORS CANCELLING - the 121.3 is an arithmetic-mean rate that understates the disclosed rates' own product of 151.5mn, and the 122.6 includes intangible amortisation against a filed FIXED-ASSET charge of 99.2mn. See useful_lives.json</w:t>
            </w:r>
          </w:p>
        </w:tc>
        <w:tc>
          <w:tcPr>
            <w:tcW w:type="dxa" w:w="1210"/>
          </w:tcPr>
          <w:p>
            <w:pPr>
              <w:spacing w:after="20"/>
            </w:pPr>
            <w:r>
              <w:rPr>
                <w:color w:val="1C3A36"/>
                <w:sz w:val="14"/>
              </w:rPr>
              <w:t>2025-12-31</w:t>
            </w:r>
          </w:p>
        </w:tc>
      </w:tr>
      <w:tr>
        <w:tc>
          <w:tcPr>
            <w:tcW w:type="dxa" w:w="518"/>
          </w:tcPr>
          <w:p>
            <w:pPr>
              <w:spacing w:after="20"/>
            </w:pPr>
            <w:r>
              <w:rPr>
                <w:color w:val="1C3A36"/>
                <w:sz w:val="14"/>
              </w:rPr>
              <w:t>17</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18</w:t>
            </w:r>
          </w:p>
        </w:tc>
        <w:tc>
          <w:tcPr>
            <w:tcW w:type="dxa" w:w="2448"/>
          </w:tcPr>
          <w:p>
            <w:pPr>
              <w:spacing w:after="20"/>
            </w:pPr>
            <w:r>
              <w:rPr>
                <w:color w:val="1C3A36"/>
                <w:sz w:val="14"/>
              </w:rPr>
              <w:t>eq_fy23_rep</w:t>
            </w:r>
          </w:p>
        </w:tc>
        <w:tc>
          <w:tcPr>
            <w:tcW w:type="dxa" w:w="1325"/>
          </w:tcPr>
          <w:p>
            <w:pPr>
              <w:spacing w:after="20"/>
            </w:pPr>
            <w:r>
              <w:rPr>
                <w:color w:val="1C3A36"/>
                <w:sz w:val="14"/>
              </w:rPr>
              <w:t>-614.0282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equity at 31 December 2023, the comparative column of the same page. It is NEGATIVE, and the filing's own totals foot: liabilities of 4,116,928,922 plus equity of (614,028,180) give total assets of 3,502,900,742, which is also that column's non-current 1,232,905,958 plus current 2,269,994,784</w:t>
            </w:r>
          </w:p>
        </w:tc>
        <w:tc>
          <w:tcPr>
            <w:tcW w:type="dxa" w:w="1210"/>
          </w:tcPr>
          <w:p>
            <w:pPr>
              <w:spacing w:after="20"/>
            </w:pPr>
            <w:r>
              <w:rPr>
                <w:color w:val="1C3A36"/>
                <w:sz w:val="14"/>
              </w:rPr>
              <w:t>2023-12-31</w:t>
            </w:r>
          </w:p>
        </w:tc>
      </w:tr>
      <w:tr>
        <w:tc>
          <w:tcPr>
            <w:tcW w:type="dxa" w:w="518"/>
          </w:tcPr>
          <w:p>
            <w:pPr>
              <w:spacing w:after="20"/>
            </w:pPr>
            <w:r>
              <w:rPr>
                <w:color w:val="1C3A36"/>
                <w:sz w:val="14"/>
              </w:rPr>
              <w:t>19</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21</w:t>
            </w:r>
          </w:p>
        </w:tc>
        <w:tc>
          <w:tcPr>
            <w:tcW w:type="dxa" w:w="2448"/>
          </w:tcPr>
          <w:p>
            <w:pPr>
              <w:spacing w:after="20"/>
            </w:pPr>
            <w:r>
              <w:rPr>
                <w:color w:val="1C3A36"/>
                <w:sz w:val="14"/>
              </w:rPr>
              <w:t>free_float</w:t>
            </w:r>
          </w:p>
        </w:tc>
        <w:tc>
          <w:tcPr>
            <w:tcW w:type="dxa" w:w="1325"/>
          </w:tcPr>
          <w:p>
            <w:pPr>
              <w:spacing w:after="20"/>
            </w:pPr>
            <w:r>
              <w:rPr>
                <w:color w:val="1C3A36"/>
                <w:sz w:val="14"/>
              </w:rPr>
              <w:t>0.224</w:t>
            </w:r>
          </w:p>
        </w:tc>
        <w:tc>
          <w:tcPr>
            <w:tcW w:type="dxa" w:w="1066"/>
          </w:tcPr>
          <w:p>
            <w:pPr>
              <w:spacing w:after="20"/>
            </w:pPr>
            <w:r>
              <w:rPr>
                <w:color w:val="1C3A36"/>
                <w:sz w:val="14"/>
              </w:rPr>
              <w:t>Company</w:t>
            </w:r>
          </w:p>
        </w:tc>
        <w:tc>
          <w:tcPr>
            <w:tcW w:type="dxa" w:w="7085"/>
          </w:tcPr>
          <w:p>
            <w:pPr>
              <w:spacing w:after="20"/>
            </w:pPr>
            <w:r>
              <w:rPr>
                <w:color w:val="1C3A36"/>
                <w:sz w:val="14"/>
              </w:rPr>
              <w:t>The public float, being one less Vicat's holding. DERIVED: 1 - vicat_stake, and it is the share count the same tender offer names (58,416,664 of 260,812,477 = 22.4%), which is the check that the two figures are one fact and not two</w:t>
            </w:r>
          </w:p>
        </w:tc>
        <w:tc>
          <w:tcPr>
            <w:tcW w:type="dxa" w:w="1210"/>
          </w:tcPr>
          <w:p>
            <w:pPr>
              <w:spacing w:after="20"/>
            </w:pPr>
            <w:r>
              <w:rPr>
                <w:color w:val="1C3A36"/>
                <w:sz w:val="14"/>
              </w:rPr>
              <w:t>2025-07-28</w:t>
            </w:r>
          </w:p>
        </w:tc>
      </w:tr>
      <w:tr>
        <w:tc>
          <w:tcPr>
            <w:tcW w:type="dxa" w:w="518"/>
          </w:tcPr>
          <w:p>
            <w:pPr>
              <w:spacing w:after="20"/>
            </w:pPr>
            <w:r>
              <w:rPr>
                <w:color w:val="1C3A36"/>
                <w:sz w:val="14"/>
              </w:rPr>
              <w:t>22</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24</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25</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28</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29</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30</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31</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32</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33</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34</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35</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36</w:t>
            </w:r>
          </w:p>
        </w:tc>
        <w:tc>
          <w:tcPr>
            <w:tcW w:type="dxa" w:w="2448"/>
          </w:tcPr>
          <w:p>
            <w:pPr>
              <w:spacing w:after="20"/>
            </w:pPr>
            <w:r>
              <w:rPr>
                <w:color w:val="1C3A36"/>
                <w:sz w:val="14"/>
              </w:rPr>
              <w:t>ta_fy24</w:t>
            </w:r>
          </w:p>
        </w:tc>
        <w:tc>
          <w:tcPr>
            <w:tcW w:type="dxa" w:w="1325"/>
          </w:tcPr>
          <w:p>
            <w:pPr>
              <w:spacing w:after="20"/>
            </w:pPr>
            <w:r>
              <w:rPr>
                <w:color w:val="1C3A36"/>
                <w:sz w:val="14"/>
              </w:rPr>
              <w:t>5,695.6082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assets</w:t>
            </w:r>
          </w:p>
        </w:tc>
        <w:tc>
          <w:tcPr>
            <w:tcW w:type="dxa" w:w="1210"/>
          </w:tcPr>
          <w:p>
            <w:pPr>
              <w:spacing w:after="20"/>
            </w:pPr>
            <w:r>
              <w:rPr>
                <w:color w:val="1C3A36"/>
                <w:sz w:val="14"/>
              </w:rPr>
              <w:t>2024-12-31</w:t>
            </w:r>
          </w:p>
        </w:tc>
      </w:tr>
      <w:tr>
        <w:tc>
          <w:tcPr>
            <w:tcW w:type="dxa" w:w="518"/>
          </w:tcPr>
          <w:p>
            <w:pPr>
              <w:spacing w:after="20"/>
            </w:pPr>
            <w:r>
              <w:rPr>
                <w:color w:val="1C3A36"/>
                <w:sz w:val="14"/>
              </w:rPr>
              <w:t>37</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38</w:t>
            </w:r>
          </w:p>
        </w:tc>
        <w:tc>
          <w:tcPr>
            <w:tcW w:type="dxa" w:w="2448"/>
          </w:tcPr>
          <w:p>
            <w:pPr>
              <w:spacing w:after="20"/>
            </w:pPr>
            <w:r>
              <w:rPr>
                <w:color w:val="1C3A36"/>
                <w:sz w:val="14"/>
              </w:rPr>
              <w:t>tl_fy24</w:t>
            </w:r>
          </w:p>
        </w:tc>
        <w:tc>
          <w:tcPr>
            <w:tcW w:type="dxa" w:w="1325"/>
          </w:tcPr>
          <w:p>
            <w:pPr>
              <w:spacing w:after="20"/>
            </w:pPr>
            <w:r>
              <w:rPr>
                <w:color w:val="1C3A36"/>
                <w:sz w:val="14"/>
              </w:rPr>
              <w:t>1,959.8085</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liabilities</w:t>
            </w:r>
          </w:p>
        </w:tc>
        <w:tc>
          <w:tcPr>
            <w:tcW w:type="dxa" w:w="1210"/>
          </w:tcPr>
          <w:p>
            <w:pPr>
              <w:spacing w:after="20"/>
            </w:pPr>
            <w:r>
              <w:rPr>
                <w:color w:val="1C3A36"/>
                <w:sz w:val="14"/>
              </w:rPr>
              <w:t>2024-12-31</w:t>
            </w:r>
          </w:p>
        </w:tc>
      </w:tr>
      <w:tr>
        <w:tc>
          <w:tcPr>
            <w:tcW w:type="dxa" w:w="518"/>
          </w:tcPr>
          <w:p>
            <w:pPr>
              <w:spacing w:after="20"/>
            </w:pPr>
            <w:r>
              <w:rPr>
                <w:color w:val="1C3A36"/>
                <w:sz w:val="14"/>
              </w:rPr>
              <w:t>39</w:t>
            </w:r>
          </w:p>
        </w:tc>
        <w:tc>
          <w:tcPr>
            <w:tcW w:type="dxa" w:w="2448"/>
          </w:tcPr>
          <w:p>
            <w:pPr>
              <w:spacing w:after="20"/>
            </w:pPr>
            <w:r>
              <w:rPr>
                <w:color w:val="1C3A36"/>
                <w:sz w:val="14"/>
              </w:rPr>
              <w:t>useful_life_disclosed</w:t>
            </w:r>
          </w:p>
        </w:tc>
        <w:tc>
          <w:tcPr>
            <w:tcW w:type="dxa" w:w="1325"/>
          </w:tcPr>
          <w:p>
            <w:pPr>
              <w:spacing w:after="20"/>
            </w:pPr>
            <w:r>
              <w:rPr>
                <w:color w:val="1C3A36"/>
                <w:sz w:val="14"/>
              </w:rPr>
              <w:t>20</w:t>
            </w:r>
          </w:p>
        </w:tc>
        <w:tc>
          <w:tcPr>
            <w:tcW w:type="dxa" w:w="1066"/>
          </w:tcPr>
          <w:p>
            <w:pPr>
              <w:spacing w:after="20"/>
            </w:pPr>
            <w:r>
              <w:rPr>
                <w:color w:val="1C3A36"/>
                <w:sz w:val="14"/>
              </w:rPr>
              <w:t>Company</w:t>
            </w:r>
          </w:p>
        </w:tc>
        <w:tc>
          <w:tcPr>
            <w:tcW w:type="dxa" w:w="7085"/>
          </w:tcPr>
          <w:p>
            <w:pPr>
              <w:spacing w:after="20"/>
            </w:pPr>
            <w:r>
              <w:rPr>
                <w:color w:val="1C3A36"/>
                <w:sz w:val="14"/>
              </w:rPr>
              <w:t>THE DISCLOSED USEFUL LIFE behind the terminal maintenance charge, route one: note 3/2, printed page 8 of the audited statements for the year ended 31 December 2025, states MACHINERY at a SCALAR 5% - a 20-year life - and note 4 shows machinery is EGP 2,182.6mn of a EGP 3,140.9mn gross cost, 69.5%, the class that dominates the capacity-based replacement cost this study capitalises. No average across the two disclosed RANGES is required, which matters because the two ordinary ways of blending disagree by a quarter (25.9 years on a cost-weighted mean of lives, 20.7 on the charge-reproducing harmonic mean). The FY2022, FY2023 and FY2024 filings carry the identical table. Read by the fundamental walk-forward of 07-09-2026 into useful_lives.json, route and cross-check recorded there</w:t>
            </w:r>
          </w:p>
        </w:tc>
        <w:tc>
          <w:tcPr>
            <w:tcW w:type="dxa" w:w="1210"/>
          </w:tcPr>
          <w:p>
            <w:pPr>
              <w:spacing w:after="20"/>
            </w:pPr>
            <w:r>
              <w:rPr>
                <w:color w:val="1C3A36"/>
                <w:sz w:val="14"/>
              </w:rPr>
              <w:t>2025-12-31</w:t>
            </w:r>
          </w:p>
        </w:tc>
      </w:tr>
      <w:tr>
        <w:tc>
          <w:tcPr>
            <w:tcW w:type="dxa" w:w="518"/>
          </w:tcPr>
          <w:p>
            <w:pPr>
              <w:spacing w:after="20"/>
            </w:pPr>
            <w:r>
              <w:rPr>
                <w:color w:val="1C3A36"/>
                <w:sz w:val="14"/>
              </w:rPr>
              <w:t>40</w:t>
            </w:r>
          </w:p>
        </w:tc>
        <w:tc>
          <w:tcPr>
            <w:tcW w:type="dxa" w:w="2448"/>
          </w:tcPr>
          <w:p>
            <w:pPr>
              <w:spacing w:after="20"/>
            </w:pPr>
            <w:r>
              <w:rPr>
                <w:color w:val="1C3A36"/>
                <w:sz w:val="14"/>
              </w:rPr>
              <w:t>vicat_stake</w:t>
            </w:r>
          </w:p>
        </w:tc>
        <w:tc>
          <w:tcPr>
            <w:tcW w:type="dxa" w:w="1325"/>
          </w:tcPr>
          <w:p>
            <w:pPr>
              <w:spacing w:after="20"/>
            </w:pPr>
            <w:r>
              <w:rPr>
                <w:color w:val="1C3A36"/>
                <w:sz w:val="14"/>
              </w:rPr>
              <w:t>0.776</w:t>
            </w:r>
          </w:p>
        </w:tc>
        <w:tc>
          <w:tcPr>
            <w:tcW w:type="dxa" w:w="1066"/>
          </w:tcPr>
          <w:p>
            <w:pPr>
              <w:spacing w:after="20"/>
            </w:pPr>
            <w:r>
              <w:rPr>
                <w:color w:val="1C3A36"/>
                <w:sz w:val="14"/>
              </w:rPr>
              <w:t>Company</w:t>
            </w:r>
          </w:p>
        </w:tc>
        <w:tc>
          <w:tcPr>
            <w:tcW w:type="dxa" w:w="7085"/>
          </w:tcPr>
          <w:p>
            <w:pPr>
              <w:spacing w:after="20"/>
            </w:pPr>
            <w:r>
              <w:rPr>
                <w:color w:val="1C3A36"/>
                <w:sz w:val="14"/>
              </w:rPr>
              <w:t>Vicat's holding through Vicat Egypt Cement Industries, from the Financial Regulatory Authority filing of the July 2025 mandatory tender offer for the remaining 58,416,664 shares (22.4%) at EGP 41.00 a share. REGISTERED rather than typed: it is quoted in nine places across the two delivered documents and a figure a reader sees must be computed, not typed, even when its source is an external filing rather than this model</w:t>
            </w:r>
          </w:p>
        </w:tc>
        <w:tc>
          <w:tcPr>
            <w:tcW w:type="dxa" w:w="1210"/>
          </w:tcPr>
          <w:p>
            <w:pPr>
              <w:spacing w:after="20"/>
            </w:pPr>
            <w:r>
              <w:rPr>
                <w:color w:val="1C3A36"/>
                <w:sz w:val="14"/>
              </w:rPr>
              <w:t>2025-07-28</w:t>
            </w:r>
          </w:p>
        </w:tc>
      </w:tr>
      <w:tr>
        <w:tc>
          <w:tcPr>
            <w:tcW w:type="dxa" w:w="518"/>
          </w:tcPr>
          <w:p>
            <w:pPr>
              <w:spacing w:after="20"/>
            </w:pPr>
            <w:r>
              <w:rPr>
                <w:color w:val="1C3A36"/>
                <w:sz w:val="14"/>
              </w:rPr>
              <w:t>41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42</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43</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44</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45</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46</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47</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48</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49</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50</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51</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52</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53</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54</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55</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56</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57</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58</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59</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60</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61</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62</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63</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64</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65</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66</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67</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68</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69</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70</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71</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72</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73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74</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beta. The own-stock regression FAILS the usability gate (R-squared 0.038 against a 0.05 floor) though n=256 and SE 0.153 both pass. The lead-lag corrected estimate is 0.837 and its 90% interval contains 1.00. Rounding up to 1.00 COSTS 1.84% of the central; that price is now stated rather than left implicit</w:t>
            </w:r>
          </w:p>
        </w:tc>
        <w:tc>
          <w:tcPr>
            <w:tcW w:type="dxa" w:w="1210"/>
          </w:tcPr>
          <w:p>
            <w:pPr>
              <w:spacing w:after="20"/>
            </w:pPr>
            <w:r>
              <w:rPr>
                <w:color w:val="1C3A36"/>
                <w:sz w:val="14"/>
              </w:rPr>
              <w:t>2026-08-06</w:t>
            </w:r>
          </w:p>
        </w:tc>
      </w:tr>
      <w:tr>
        <w:tc>
          <w:tcPr>
            <w:tcW w:type="dxa" w:w="518"/>
          </w:tcPr>
          <w:p>
            <w:pPr>
              <w:spacing w:after="20"/>
            </w:pPr>
            <w:r>
              <w:rPr>
                <w:color w:val="1C3A36"/>
                <w:sz w:val="14"/>
              </w:rPr>
              <w:t>75</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76</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77</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81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82</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83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84</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86</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88</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90</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91</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92</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96</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085"/>
          </w:tcPr>
          <w:p>
            <w:pPr>
              <w:spacing w:after="20"/>
            </w:pPr>
            <w:r>
              <w:rPr>
                <w:color w:val="1C3A36"/>
                <w:sz w:val="14"/>
              </w:rPr>
              <w:t>Terminal risk-free rate, norm-built from the CBE's OPERATIVE Q4-2026 inflation target of 7% plus a ~5.5pp emerging-market real-rate convention. Revision 1 used the later 5% target while its own text cited 'the 7% and then 5% targets'. REVIEWABLE CHOICE: reverting to 10.5% adds ~1.8%</w:t>
            </w:r>
          </w:p>
        </w:tc>
        <w:tc>
          <w:tcPr>
            <w:tcW w:type="dxa" w:w="1210"/>
          </w:tcPr>
          <w:p>
            <w:pPr>
              <w:spacing w:after="20"/>
            </w:pPr>
            <w:r>
              <w:rPr>
                <w:color w:val="1C3A36"/>
                <w:sz w:val="14"/>
              </w:rPr>
              <w:t>2026-08-06</w:t>
            </w:r>
          </w:p>
        </w:tc>
      </w:tr>
      <w:tr>
        <w:tc>
          <w:tcPr>
            <w:tcW w:type="dxa" w:w="518"/>
          </w:tcPr>
          <w:p>
            <w:pPr>
              <w:spacing w:after="20"/>
            </w:pPr>
            <w:r>
              <w:rPr>
                <w:color w:val="1C3A36"/>
                <w:sz w:val="14"/>
              </w:rPr>
              <w:t>97</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98</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99</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101</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102</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103</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104</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A five-year weekly regression of the shares against a 32-name equal-weight Egyptian composite returns 0.485 with an R-squared of 0.038 over 256 observations. That R-squared is below the 5% usability floor, so the regression result is NOT used. No Egyptian listed cement peer carries a price history in the covered library, so a re-levered peer beta is unavailable. 1.00 is adopted and corroborated: a lead-and-lag estimator correcting for the 29.3% of sessions that close unchanged gives 0.837, whose 90% interval contains 1.00.</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