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217</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249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174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Where assets are depreciated to a RESIDUAL VALUE the charge is (cost less residual) over life, so the same accumulated balance buys more years and the ratio OVERSTATES the age; where a useful life has been REASSESSED mid-life the charge is not level across the base's history and the identity is broken outright rather than merely biased. Both are disclosed in the accounting-policies note, so both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and the cross-check will say so.</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