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17.63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The holding in Alexandria Wax Products S.A.E. is registered separately as awp_stake. The previous edition inferred 3.0% from the gap between consolidated and standalone profit; the filing says 4.645%</w:t>
            </w:r>
          </w:p>
        </w:tc>
      </w:tr>
      <w:tr>
        <w:tc>
          <w:tcPr>
            <w:tcW w:type="dxa" w:w="2736"/>
          </w:tcPr>
          <w:p>
            <w:pPr>
              <w:spacing w:after="20"/>
            </w:pPr>
            <w:r>
              <w:rPr>
                <w:color w:val="1C3A36"/>
                <w:sz w:val="15"/>
              </w:rPr>
              <w:t>awp_stake</w:t>
            </w:r>
          </w:p>
        </w:tc>
        <w:tc>
          <w:tcPr>
            <w:tcW w:type="dxa" w:w="2232"/>
          </w:tcPr>
          <w:p>
            <w:pPr>
              <w:spacing w:after="20"/>
            </w:pPr>
            <w:r>
              <w:rPr>
                <w:color w:val="1C3A36"/>
                <w:sz w:val="15"/>
              </w:rPr>
              <w:t>0.8645</w:t>
            </w:r>
          </w:p>
        </w:tc>
        <w:tc>
          <w:tcPr>
            <w:tcW w:type="dxa" w:w="1368"/>
          </w:tcPr>
          <w:p>
            <w:pPr>
              <w:spacing w:after="20"/>
            </w:pPr>
            <w:r>
              <w:rPr>
                <w:color w:val="1C3A36"/>
                <w:sz w:val="15"/>
              </w:rPr>
              <w:t>2025-12-31</w:t>
            </w:r>
          </w:p>
        </w:tc>
        <w:tc>
          <w:tcPr>
            <w:tcW w:type="dxa" w:w="3845"/>
          </w:tcPr>
          <w:p>
            <w:pPr>
              <w:spacing w:after="20"/>
            </w:pPr>
            <w:r>
              <w:rPr>
                <w:color w:val="1C3A36"/>
                <w:sz w:val="15"/>
              </w:rPr>
              <w:t>AMOC's holding in Alexandria Wax Products S.A.E. (note 1-2). This is the counterpart of the non-controlling interest above: the 13.55% AMOC does not own is what the minority's share of profit and of the enterprise is struck on.</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while wax and LPG grew. THE PER-LINE COMPOUND RATES ARE NO LONGER PRINTED [08-09-2026]. This note used to give four of them to a decimal place, and NOTHING IN THIS REPOSITORY CARRIES THE SERIES THEY COME FROM: the three committed filings are two December-2025 statements and one June-2025, note 14-A gives one half's tonnage by line with a value-only comparative, and FY2022 to FY2024 per-line tonnage is in filings this study does not hold. The prose check caught one of the four and the other three were unflagged rather than verified. Under SIGCM a figure this desk cannot source is a figure it does not print, so the DIRECTION survives — six lines down, two up, and that is what the argument needs — and the decimals go. The five annual totals above stand on the same footing and are ESCALATED rather than removed, because the bear case is anchored to them.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cuts tonnage harder than that mean requires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0.9063</w:t>
            </w:r>
          </w:p>
        </w:tc>
        <w:tc>
          <w:tcPr>
            <w:tcW w:type="dxa" w:w="1368"/>
          </w:tcPr>
          <w:p>
            <w:pPr>
              <w:spacing w:after="20"/>
            </w:pPr>
            <w:r>
              <w:rPr>
                <w:color w:val="1C3A36"/>
                <w:sz w:val="15"/>
              </w:rPr>
              <w:t>2026-09-08</w:t>
            </w:r>
          </w:p>
        </w:tc>
        <w:tc>
          <w:tcPr>
            <w:tcW w:type="dxa" w:w="3845"/>
          </w:tcPr>
          <w:p>
            <w:pPr>
              <w:spacing w:after="20"/>
            </w:pPr>
            <w:r>
              <w:rPr>
                <w:color w:val="1C3A36"/>
                <w:sz w:val="15"/>
              </w:rPr>
              <w:t>Own-stock tier-1 regression, AMOC weekly log-returns against raw_indices/EG/EGX30.csv — the published index of the exchange AMOC is listed on, series as of 2026-09-08, resolved by beta_regression.own_stock_beta() rather than hand-rolled. R-squared 0.236, n = 256, standard error 0.175, 90% confidence interval [0.619, 1.193].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and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gm_superseded_annualised</w:t>
            </w:r>
          </w:p>
        </w:tc>
        <w:tc>
          <w:tcPr>
            <w:tcW w:type="dxa" w:w="2232"/>
          </w:tcPr>
          <w:p>
            <w:pPr>
              <w:spacing w:after="20"/>
            </w:pPr>
            <w:r>
              <w:rPr>
                <w:color w:val="1C3A36"/>
                <w:sz w:val="15"/>
              </w:rPr>
              <w:t>0.0708</w:t>
            </w:r>
          </w:p>
        </w:tc>
        <w:tc>
          <w:tcPr>
            <w:tcW w:type="dxa" w:w="1368"/>
          </w:tcPr>
          <w:p>
            <w:pPr>
              <w:spacing w:after="20"/>
            </w:pPr>
            <w:r>
              <w:rPr>
                <w:color w:val="1C3A36"/>
                <w:sz w:val="15"/>
              </w:rPr>
              <w:t>2026-08-06</w:t>
            </w:r>
          </w:p>
        </w:tc>
        <w:tc>
          <w:tcPr>
            <w:tcW w:type="dxa" w:w="3845"/>
          </w:tcPr>
          <w:p>
            <w:pPr>
              <w:spacing w:after="20"/>
            </w:pPr>
            <w:r>
              <w:rPr>
                <w:color w:val="1C3A36"/>
                <w:sz w:val="15"/>
              </w:rPr>
              <w:t>Base-year gross margin published by the 06-08-2026 edition of this study, which built revenue from the six-month product table doubled while annualising cost of sales from nine months by four thirds — so it corresponded to no filed period at all. Quoted in section 1.2 to show what changed; not an input to anything.</w:t>
            </w:r>
          </w:p>
        </w:tc>
      </w:tr>
      <w:tr>
        <w:tc>
          <w:tcPr>
            <w:tcW w:type="dxa" w:w="2736"/>
          </w:tcPr>
          <w:p>
            <w:pPr>
              <w:spacing w:after="20"/>
            </w:pPr>
            <w:r>
              <w:rPr>
                <w:color w:val="1C3A36"/>
                <w:sz w:val="15"/>
              </w:rPr>
              <w:t>tv_share_superseded</w:t>
            </w:r>
          </w:p>
        </w:tc>
        <w:tc>
          <w:tcPr>
            <w:tcW w:type="dxa" w:w="2232"/>
          </w:tcPr>
          <w:p>
            <w:pPr>
              <w:spacing w:after="20"/>
            </w:pPr>
            <w:r>
              <w:rPr>
                <w:color w:val="1C3A36"/>
                <w:sz w:val="15"/>
              </w:rPr>
              <w:t>0.587</w:t>
            </w:r>
          </w:p>
        </w:tc>
        <w:tc>
          <w:tcPr>
            <w:tcW w:type="dxa" w:w="1368"/>
          </w:tcPr>
          <w:p>
            <w:pPr>
              <w:spacing w:after="20"/>
            </w:pPr>
            <w:r>
              <w:rPr>
                <w:color w:val="1C3A36"/>
                <w:sz w:val="15"/>
              </w:rPr>
              <w:t>2026-08-06</w:t>
            </w:r>
          </w:p>
        </w:tc>
        <w:tc>
          <w:tcPr>
            <w:tcW w:type="dxa" w:w="3845"/>
          </w:tcPr>
          <w:p>
            <w:pPr>
              <w:spacing w:after="20"/>
            </w:pPr>
            <w:r>
              <w:rPr>
                <w:color w:val="1C3A36"/>
                <w:sz w:val="15"/>
              </w:rPr>
              <w:t>Terminal value as a share of enterprise value in the 06-08-2026 edition, before the terminal return was struck on invested capital at REPLACEMENT cost. Quoted in section 1.9 to show the direction of the change; not an input to anything.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-3.1%</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