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17.63 a share against a market price of EGP 13.50. Fair value sits 30.6% ABOVE the price; equivalently the price stands 23.4% BELOW fair value. The range across the lenses is EGP 1.67 to 23.93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19.16, 41.9%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10.57%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57%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17.63</w:t>
            </w:r>
          </w:p>
        </w:tc>
        <w:tc>
          <w:tcPr>
            <w:tcW w:type="dxa" w:w="1037"/>
          </w:tcPr>
          <w:p>
            <w:pPr>
              <w:spacing w:after="20"/>
              <w:jc w:val="right"/>
            </w:pPr>
            <w:r>
              <w:rPr>
                <w:color w:val="1C3A36"/>
                <w:sz w:val="18"/>
              </w:rPr>
              <w:t>23.93</w:t>
            </w:r>
          </w:p>
        </w:tc>
        <w:tc>
          <w:tcPr>
            <w:tcW w:type="dxa" w:w="1037"/>
          </w:tcPr>
          <w:p>
            <w:pPr>
              <w:spacing w:after="20"/>
              <w:jc w:val="right"/>
            </w:pPr>
            <w:r>
              <w:rPr>
                <w:color w:val="1C3A36"/>
                <w:sz w:val="18"/>
              </w:rPr>
              <w:t>30.6%</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-53.8%</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17.63</w:t>
            </w:r>
          </w:p>
        </w:tc>
        <w:tc>
          <w:tcPr>
            <w:tcW w:type="dxa" w:w="1037"/>
            <w:shd w:val="clear" w:color="auto" w:fill="F6F1E6"/>
          </w:tcPr>
          <w:p>
            <w:pPr>
              <w:spacing w:after="20"/>
              <w:jc w:val="right"/>
            </w:pPr>
            <w:r>
              <w:rPr>
                <w:b/>
                <w:color w:val="1C3A36"/>
                <w:sz w:val="18"/>
              </w:rPr>
              <w:t>23.93</w:t>
            </w:r>
          </w:p>
        </w:tc>
        <w:tc>
          <w:tcPr>
            <w:tcW w:type="dxa" w:w="1037"/>
            <w:shd w:val="clear" w:color="auto" w:fill="F6F1E6"/>
          </w:tcPr>
          <w:p>
            <w:pPr>
              <w:spacing w:after="20"/>
              <w:jc w:val="right"/>
            </w:pPr>
            <w:r>
              <w:rPr>
                <w:b/>
                <w:color w:val="1C3A36"/>
                <w:sz w:val="18"/>
              </w:rPr>
              <w:t>30.6%</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1.67–23.93; that is reported as an ENVELOPE. The retired 45/20/20/15 blend of these four would read EGP 13.98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17.92  (+1.6%)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18.40  (+4.4%)</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17.83  (+1.1%)</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18.84%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18.13%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22.63%</w:t>
            </w:r>
          </w:p>
        </w:tc>
        <w:tc>
          <w:tcPr>
            <w:tcW w:type="dxa" w:w="1195"/>
          </w:tcPr>
          <w:p>
            <w:pPr>
              <w:spacing w:after="20"/>
              <w:jc w:val="right"/>
            </w:pPr>
            <w:r>
              <w:rPr>
                <w:color w:val="1C3A36"/>
                <w:sz w:val="17"/>
              </w:rPr>
              <w:t>20.63%</w:t>
            </w:r>
          </w:p>
        </w:tc>
        <w:tc>
          <w:tcPr>
            <w:tcW w:type="dxa" w:w="1195"/>
          </w:tcPr>
          <w:p>
            <w:pPr>
              <w:spacing w:after="20"/>
              <w:jc w:val="right"/>
            </w:pPr>
            <w:r>
              <w:rPr>
                <w:color w:val="1C3A36"/>
                <w:sz w:val="17"/>
              </w:rPr>
              <w:t>19.13%</w:t>
            </w:r>
          </w:p>
        </w:tc>
        <w:tc>
          <w:tcPr>
            <w:tcW w:type="dxa" w:w="1195"/>
          </w:tcPr>
          <w:p>
            <w:pPr>
              <w:spacing w:after="20"/>
              <w:jc w:val="right"/>
            </w:pPr>
            <w:r>
              <w:rPr>
                <w:color w:val="1C3A36"/>
                <w:sz w:val="17"/>
              </w:rPr>
              <w:t>18.13%</w:t>
            </w:r>
          </w:p>
        </w:tc>
        <w:tc>
          <w:tcPr>
            <w:tcW w:type="dxa" w:w="1224"/>
          </w:tcPr>
          <w:p>
            <w:pPr>
              <w:spacing w:after="20"/>
              <w:jc w:val="right"/>
            </w:pPr>
            <w:r>
              <w:rPr>
                <w:color w:val="1C3A36"/>
                <w:sz w:val="17"/>
              </w:rPr>
              <w:t>18.13%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0.63989</w:t>
            </w:r>
          </w:p>
        </w:tc>
        <w:tc>
          <w:tcPr>
            <w:tcW w:type="dxa" w:w="1195"/>
          </w:tcPr>
          <w:p>
            <w:pPr>
              <w:spacing w:after="20"/>
              <w:jc w:val="right"/>
            </w:pPr>
            <w:r>
              <w:rPr>
                <w:color w:val="1C3A36"/>
                <w:sz w:val="17"/>
              </w:rPr>
              <w:t>0.53047</w:t>
            </w:r>
          </w:p>
        </w:tc>
        <w:tc>
          <w:tcPr>
            <w:tcW w:type="dxa" w:w="1195"/>
          </w:tcPr>
          <w:p>
            <w:pPr>
              <w:spacing w:after="20"/>
              <w:jc w:val="right"/>
            </w:pPr>
            <w:r>
              <w:rPr>
                <w:color w:val="1C3A36"/>
                <w:sz w:val="17"/>
              </w:rPr>
              <w:t>0.44529</w:t>
            </w:r>
          </w:p>
        </w:tc>
        <w:tc>
          <w:tcPr>
            <w:tcW w:type="dxa" w:w="1195"/>
          </w:tcPr>
          <w:p>
            <w:pPr>
              <w:spacing w:after="20"/>
              <w:jc w:val="right"/>
            </w:pPr>
            <w:r>
              <w:rPr>
                <w:color w:val="1C3A36"/>
                <w:sz w:val="17"/>
              </w:rPr>
              <w:t>0.37696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0.63989</w:t>
            </w:r>
          </w:p>
        </w:tc>
        <w:tc>
          <w:tcPr>
            <w:tcW w:type="dxa" w:w="1238"/>
          </w:tcPr>
          <w:p>
            <w:pPr>
              <w:spacing w:after="20"/>
              <w:jc w:val="right"/>
            </w:pPr>
            <w:r>
              <w:rPr>
                <w:color w:val="1C3A36"/>
                <w:sz w:val="17"/>
              </w:rPr>
              <w:t>0.53047</w:t>
            </w:r>
          </w:p>
        </w:tc>
        <w:tc>
          <w:tcPr>
            <w:tcW w:type="dxa" w:w="1238"/>
          </w:tcPr>
          <w:p>
            <w:pPr>
              <w:spacing w:after="20"/>
              <w:jc w:val="right"/>
            </w:pPr>
            <w:r>
              <w:rPr>
                <w:color w:val="1C3A36"/>
                <w:sz w:val="17"/>
              </w:rPr>
              <w:t>0.44529</w:t>
            </w:r>
          </w:p>
        </w:tc>
        <w:tc>
          <w:tcPr>
            <w:tcW w:type="dxa" w:w="1238"/>
          </w:tcPr>
          <w:p>
            <w:pPr>
              <w:spacing w:after="20"/>
              <w:jc w:val="right"/>
            </w:pPr>
            <w:r>
              <w:rPr>
                <w:color w:val="1C3A36"/>
                <w:sz w:val="17"/>
              </w:rPr>
              <w:t>0.37696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2,010</w:t>
            </w:r>
          </w:p>
        </w:tc>
        <w:tc>
          <w:tcPr>
            <w:tcW w:type="dxa" w:w="1238"/>
            <w:shd w:val="clear" w:color="auto" w:fill="F6F1E6"/>
          </w:tcPr>
          <w:p>
            <w:pPr>
              <w:spacing w:after="20"/>
              <w:jc w:val="right"/>
            </w:pPr>
            <w:r>
              <w:rPr>
                <w:b/>
                <w:color w:val="1C3A36"/>
                <w:sz w:val="17"/>
              </w:rPr>
              <w:t>1,808</w:t>
            </w:r>
          </w:p>
        </w:tc>
        <w:tc>
          <w:tcPr>
            <w:tcW w:type="dxa" w:w="1238"/>
            <w:shd w:val="clear" w:color="auto" w:fill="F6F1E6"/>
          </w:tcPr>
          <w:p>
            <w:pPr>
              <w:spacing w:after="20"/>
              <w:jc w:val="right"/>
            </w:pPr>
            <w:r>
              <w:rPr>
                <w:b/>
                <w:color w:val="1C3A36"/>
                <w:sz w:val="17"/>
              </w:rPr>
              <w:t>1,598</w:t>
            </w:r>
          </w:p>
        </w:tc>
        <w:tc>
          <w:tcPr>
            <w:tcW w:type="dxa" w:w="1238"/>
            <w:shd w:val="clear" w:color="auto" w:fill="F6F1E6"/>
          </w:tcPr>
          <w:p>
            <w:pPr>
              <w:spacing w:after="20"/>
              <w:jc w:val="right"/>
            </w:pPr>
            <w:r>
              <w:rPr>
                <w:b/>
                <w:color w:val="1C3A36"/>
                <w:sz w:val="17"/>
              </w:rPr>
              <w:t>1,401</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9,006</w:t>
            </w:r>
          </w:p>
        </w:tc>
        <w:tc>
          <w:tcPr>
            <w:tcW w:type="dxa" w:w="1296"/>
          </w:tcPr>
          <w:p>
            <w:pPr>
              <w:spacing w:after="20"/>
              <w:jc w:val="right"/>
            </w:pPr>
            <w:r>
              <w:rPr>
                <w:color w:val="1C3A36"/>
                <w:sz w:val="17"/>
              </w:rPr>
              <w:t>6.97</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12,141</w:t>
            </w:r>
          </w:p>
        </w:tc>
        <w:tc>
          <w:tcPr>
            <w:tcW w:type="dxa" w:w="1296"/>
          </w:tcPr>
          <w:p>
            <w:pPr>
              <w:spacing w:after="20"/>
              <w:jc w:val="right"/>
            </w:pPr>
            <w:r>
              <w:rPr>
                <w:color w:val="1C3A36"/>
                <w:sz w:val="17"/>
              </w:rPr>
              <w:t>9.40</w:t>
            </w:r>
          </w:p>
        </w:tc>
        <w:tc>
          <w:tcPr>
            <w:tcW w:type="dxa" w:w="3600"/>
          </w:tcPr>
          <w:p>
            <w:pPr>
              <w:spacing w:after="20"/>
            </w:pPr>
            <w:r>
              <w:rPr>
                <w:color w:val="1C3A36"/>
                <w:sz w:val="17"/>
              </w:rPr>
              <w:t>57.4%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21,147</w:t>
            </w:r>
          </w:p>
        </w:tc>
        <w:tc>
          <w:tcPr>
            <w:tcW w:type="dxa" w:w="1296"/>
            <w:shd w:val="clear" w:color="auto" w:fill="F6F1E6"/>
          </w:tcPr>
          <w:p>
            <w:pPr>
              <w:spacing w:after="20"/>
              <w:jc w:val="right"/>
            </w:pPr>
            <w:r>
              <w:rPr>
                <w:b/>
                <w:color w:val="1C3A36"/>
                <w:sz w:val="17"/>
              </w:rPr>
              <w:t>16.37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24,149</w:t>
            </w:r>
          </w:p>
        </w:tc>
        <w:tc>
          <w:tcPr>
            <w:tcW w:type="dxa" w:w="1296"/>
          </w:tcPr>
          <w:p>
            <w:pPr>
              <w:spacing w:after="20"/>
              <w:jc w:val="right"/>
            </w:pPr>
            <w:r>
              <w:rPr>
                <w:color w:val="1C3A36"/>
                <w:sz w:val="17"/>
              </w:rPr>
              <w:t>18.70</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(715)</w:t>
            </w:r>
          </w:p>
        </w:tc>
        <w:tc>
          <w:tcPr>
            <w:tcW w:type="dxa" w:w="1296"/>
          </w:tcPr>
          <w:p>
            <w:pPr>
              <w:spacing w:after="20"/>
              <w:jc w:val="right"/>
            </w:pPr>
            <w:r>
              <w:rPr>
                <w:color w:val="1C3A36"/>
                <w:sz w:val="17"/>
              </w:rPr>
              <w:t>(0.55)</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22,773</w:t>
            </w:r>
          </w:p>
        </w:tc>
        <w:tc>
          <w:tcPr>
            <w:tcW w:type="dxa" w:w="1296"/>
            <w:shd w:val="clear" w:color="auto" w:fill="F6F1E6"/>
          </w:tcPr>
          <w:p>
            <w:pPr>
              <w:spacing w:after="20"/>
              <w:jc w:val="right"/>
            </w:pPr>
            <w:r>
              <w:rPr>
                <w:b/>
                <w:color w:val="1C3A36"/>
                <w:sz w:val="17"/>
              </w:rPr>
              <w:t>17.63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1.07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57.4%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15.61 at 3% to 17.63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15.37</w:t>
            </w:r>
          </w:p>
        </w:tc>
        <w:tc>
          <w:tcPr>
            <w:tcW w:type="dxa" w:w="1080"/>
          </w:tcPr>
          <w:p>
            <w:pPr>
              <w:spacing w:after="20"/>
              <w:jc w:val="right"/>
            </w:pPr>
            <w:r>
              <w:rPr>
                <w:color w:val="1C3A36"/>
                <w:sz w:val="17"/>
              </w:rPr>
              <w:t>16.50</w:t>
            </w:r>
          </w:p>
        </w:tc>
        <w:tc>
          <w:tcPr>
            <w:tcW w:type="dxa" w:w="1080"/>
          </w:tcPr>
          <w:p>
            <w:pPr>
              <w:spacing w:after="20"/>
              <w:jc w:val="right"/>
            </w:pPr>
            <w:r>
              <w:rPr>
                <w:color w:val="1C3A36"/>
                <w:sz w:val="17"/>
              </w:rPr>
              <w:t>17.63</w:t>
            </w:r>
          </w:p>
        </w:tc>
        <w:tc>
          <w:tcPr>
            <w:tcW w:type="dxa" w:w="1080"/>
          </w:tcPr>
          <w:p>
            <w:pPr>
              <w:spacing w:after="20"/>
              <w:jc w:val="right"/>
            </w:pPr>
            <w:r>
              <w:rPr>
                <w:color w:val="1C3A36"/>
                <w:sz w:val="17"/>
              </w:rPr>
              <w:t>18.77</w:t>
            </w:r>
          </w:p>
        </w:tc>
        <w:tc>
          <w:tcPr>
            <w:tcW w:type="dxa" w:w="1080"/>
          </w:tcPr>
          <w:p>
            <w:pPr>
              <w:spacing w:after="20"/>
              <w:jc w:val="right"/>
            </w:pPr>
            <w:r>
              <w:rPr>
                <w:color w:val="1C3A36"/>
                <w:sz w:val="17"/>
              </w:rPr>
              <w:t>19.90</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12.42</w:t>
            </w:r>
          </w:p>
        </w:tc>
        <w:tc>
          <w:tcPr>
            <w:tcW w:type="dxa" w:w="1080"/>
          </w:tcPr>
          <w:p>
            <w:pPr>
              <w:spacing w:after="20"/>
              <w:jc w:val="right"/>
            </w:pPr>
            <w:r>
              <w:rPr>
                <w:color w:val="1C3A36"/>
                <w:sz w:val="17"/>
              </w:rPr>
              <w:t>14.88</w:t>
            </w:r>
          </w:p>
        </w:tc>
        <w:tc>
          <w:tcPr>
            <w:tcW w:type="dxa" w:w="1080"/>
          </w:tcPr>
          <w:p>
            <w:pPr>
              <w:spacing w:after="20"/>
              <w:jc w:val="right"/>
            </w:pPr>
            <w:r>
              <w:rPr>
                <w:color w:val="1C3A36"/>
                <w:sz w:val="17"/>
              </w:rPr>
              <w:t>17.63</w:t>
            </w:r>
          </w:p>
        </w:tc>
        <w:tc>
          <w:tcPr>
            <w:tcW w:type="dxa" w:w="1080"/>
          </w:tcPr>
          <w:p>
            <w:pPr>
              <w:spacing w:after="20"/>
              <w:jc w:val="right"/>
            </w:pPr>
            <w:r>
              <w:rPr>
                <w:color w:val="1C3A36"/>
                <w:sz w:val="17"/>
              </w:rPr>
              <w:t>20.23</w:t>
            </w:r>
          </w:p>
        </w:tc>
        <w:tc>
          <w:tcPr>
            <w:tcW w:type="dxa" w:w="1080"/>
          </w:tcPr>
          <w:p>
            <w:pPr>
              <w:spacing w:after="20"/>
              <w:jc w:val="right"/>
            </w:pPr>
            <w:r>
              <w:rPr>
                <w:color w:val="1C3A36"/>
                <w:sz w:val="17"/>
              </w:rPr>
              <w:t>23.12</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16.88</w:t>
            </w:r>
          </w:p>
        </w:tc>
        <w:tc>
          <w:tcPr>
            <w:tcW w:type="dxa" w:w="1080"/>
          </w:tcPr>
          <w:p>
            <w:pPr>
              <w:spacing w:after="20"/>
              <w:jc w:val="right"/>
            </w:pPr>
            <w:r>
              <w:rPr>
                <w:color w:val="1C3A36"/>
                <w:sz w:val="17"/>
              </w:rPr>
              <w:t>17.25</w:t>
            </w:r>
          </w:p>
        </w:tc>
        <w:tc>
          <w:tcPr>
            <w:tcW w:type="dxa" w:w="1080"/>
          </w:tcPr>
          <w:p>
            <w:pPr>
              <w:spacing w:after="20"/>
              <w:jc w:val="right"/>
            </w:pPr>
            <w:r>
              <w:rPr>
                <w:color w:val="1C3A36"/>
                <w:sz w:val="17"/>
              </w:rPr>
              <w:t>17.63</w:t>
            </w:r>
          </w:p>
        </w:tc>
        <w:tc>
          <w:tcPr>
            <w:tcW w:type="dxa" w:w="1080"/>
          </w:tcPr>
          <w:p>
            <w:pPr>
              <w:spacing w:after="20"/>
              <w:jc w:val="right"/>
            </w:pPr>
            <w:r>
              <w:rPr>
                <w:color w:val="1C3A36"/>
                <w:sz w:val="17"/>
              </w:rPr>
              <w:t>18.02</w:t>
            </w:r>
          </w:p>
        </w:tc>
        <w:tc>
          <w:tcPr>
            <w:tcW w:type="dxa" w:w="1080"/>
          </w:tcPr>
          <w:p>
            <w:pPr>
              <w:spacing w:after="20"/>
              <w:jc w:val="right"/>
            </w:pPr>
            <w:r>
              <w:rPr>
                <w:color w:val="1C3A36"/>
                <w:sz w:val="17"/>
              </w:rPr>
              <w:t>18.40</w:t>
            </w:r>
          </w:p>
        </w:tc>
      </w:tr>
      <w:tr>
        <w:tc>
          <w:tcPr>
            <w:tcW w:type="dxa" w:w="4104"/>
          </w:tcPr>
          <w:p>
            <w:pPr>
              <w:spacing w:after="20"/>
            </w:pPr>
            <w:r>
              <w:rPr>
                <w:color w:val="1C3A36"/>
                <w:sz w:val="17"/>
              </w:rPr>
              <w:t>Beta</w:t>
            </w:r>
          </w:p>
        </w:tc>
        <w:tc>
          <w:tcPr>
            <w:tcW w:type="dxa" w:w="1080"/>
          </w:tcPr>
          <w:p>
            <w:pPr>
              <w:spacing w:after="20"/>
              <w:jc w:val="right"/>
            </w:pPr>
            <w:r>
              <w:rPr>
                <w:color w:val="1C3A36"/>
                <w:sz w:val="17"/>
              </w:rPr>
              <w:t>21.03</w:t>
            </w:r>
          </w:p>
        </w:tc>
        <w:tc>
          <w:tcPr>
            <w:tcW w:type="dxa" w:w="1080"/>
          </w:tcPr>
          <w:p>
            <w:pPr>
              <w:spacing w:after="20"/>
              <w:jc w:val="right"/>
            </w:pPr>
            <w:r>
              <w:rPr>
                <w:color w:val="1C3A36"/>
                <w:sz w:val="17"/>
              </w:rPr>
              <w:t>18.67</w:t>
            </w:r>
          </w:p>
        </w:tc>
        <w:tc>
          <w:tcPr>
            <w:tcW w:type="dxa" w:w="1080"/>
          </w:tcPr>
          <w:p>
            <w:pPr>
              <w:spacing w:after="20"/>
              <w:jc w:val="right"/>
            </w:pPr>
            <w:r>
              <w:rPr>
                <w:color w:val="1C3A36"/>
                <w:sz w:val="17"/>
              </w:rPr>
              <w:t>17.63</w:t>
            </w:r>
          </w:p>
        </w:tc>
        <w:tc>
          <w:tcPr>
            <w:tcW w:type="dxa" w:w="1080"/>
          </w:tcPr>
          <w:p>
            <w:pPr>
              <w:spacing w:after="20"/>
              <w:jc w:val="right"/>
            </w:pPr>
            <w:r>
              <w:rPr>
                <w:color w:val="1C3A36"/>
                <w:sz w:val="17"/>
              </w:rPr>
              <w:t>15.67</w:t>
            </w:r>
          </w:p>
        </w:tc>
        <w:tc>
          <w:tcPr>
            <w:tcW w:type="dxa" w:w="1080"/>
          </w:tcPr>
          <w:p>
            <w:pPr>
              <w:spacing w:after="20"/>
              <w:jc w:val="right"/>
            </w:pPr>
            <w:r>
              <w:rPr>
                <w:color w:val="1C3A36"/>
                <w:sz w:val="17"/>
              </w:rPr>
              <w:t>14.68</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19.40</w:t>
            </w:r>
          </w:p>
        </w:tc>
        <w:tc>
          <w:tcPr>
            <w:tcW w:type="dxa" w:w="1080"/>
          </w:tcPr>
          <w:p>
            <w:pPr>
              <w:spacing w:after="20"/>
              <w:jc w:val="right"/>
            </w:pPr>
            <w:r>
              <w:rPr>
                <w:color w:val="1C3A36"/>
                <w:sz w:val="17"/>
              </w:rPr>
              <w:t>18.52</w:t>
            </w:r>
          </w:p>
        </w:tc>
        <w:tc>
          <w:tcPr>
            <w:tcW w:type="dxa" w:w="1080"/>
          </w:tcPr>
          <w:p>
            <w:pPr>
              <w:spacing w:after="20"/>
              <w:jc w:val="right"/>
            </w:pPr>
            <w:r>
              <w:rPr>
                <w:color w:val="1C3A36"/>
                <w:sz w:val="17"/>
              </w:rPr>
              <w:t>17.63</w:t>
            </w:r>
          </w:p>
        </w:tc>
        <w:tc>
          <w:tcPr>
            <w:tcW w:type="dxa" w:w="1080"/>
          </w:tcPr>
          <w:p>
            <w:pPr>
              <w:spacing w:after="20"/>
              <w:jc w:val="right"/>
            </w:pPr>
            <w:r>
              <w:rPr>
                <w:color w:val="1C3A36"/>
                <w:sz w:val="17"/>
              </w:rPr>
              <w:t>16.75</w:t>
            </w:r>
          </w:p>
        </w:tc>
        <w:tc>
          <w:tcPr>
            <w:tcW w:type="dxa" w:w="1080"/>
          </w:tcPr>
          <w:p>
            <w:pPr>
              <w:spacing w:after="20"/>
              <w:jc w:val="right"/>
            </w:pPr>
            <w:r>
              <w:rPr>
                <w:color w:val="1C3A36"/>
                <w:sz w:val="17"/>
              </w:rPr>
              <w:t>15.86</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15.61</w:t>
            </w:r>
          </w:p>
        </w:tc>
        <w:tc>
          <w:tcPr>
            <w:tcW w:type="dxa" w:w="1080"/>
          </w:tcPr>
          <w:p>
            <w:pPr>
              <w:spacing w:after="20"/>
              <w:jc w:val="right"/>
            </w:pPr>
            <w:r>
              <w:rPr>
                <w:color w:val="1C3A36"/>
                <w:sz w:val="17"/>
              </w:rPr>
              <w:t>16.01</w:t>
            </w:r>
          </w:p>
        </w:tc>
        <w:tc>
          <w:tcPr>
            <w:tcW w:type="dxa" w:w="1080"/>
          </w:tcPr>
          <w:p>
            <w:pPr>
              <w:spacing w:after="20"/>
              <w:jc w:val="right"/>
            </w:pPr>
            <w:r>
              <w:rPr>
                <w:color w:val="1C3A36"/>
                <w:sz w:val="17"/>
              </w:rPr>
              <w:t>16.47</w:t>
            </w:r>
          </w:p>
        </w:tc>
        <w:tc>
          <w:tcPr>
            <w:tcW w:type="dxa" w:w="1080"/>
          </w:tcPr>
          <w:p>
            <w:pPr>
              <w:spacing w:after="20"/>
              <w:jc w:val="right"/>
            </w:pPr>
            <w:r>
              <w:rPr>
                <w:color w:val="1C3A36"/>
                <w:sz w:val="17"/>
              </w:rPr>
              <w:t>17.00</w:t>
            </w:r>
          </w:p>
        </w:tc>
        <w:tc>
          <w:tcPr>
            <w:tcW w:type="dxa" w:w="1080"/>
          </w:tcPr>
          <w:p>
            <w:pPr>
              <w:spacing w:after="20"/>
              <w:jc w:val="right"/>
            </w:pPr>
            <w:r>
              <w:rPr>
                <w:color w:val="1C3A36"/>
                <w:sz w:val="17"/>
              </w:rPr>
              <w:t>17.63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16.13%</w:t>
            </w:r>
          </w:p>
        </w:tc>
        <w:tc>
          <w:tcPr>
            <w:tcW w:type="dxa" w:w="1224"/>
          </w:tcPr>
          <w:p>
            <w:pPr>
              <w:spacing w:after="20"/>
              <w:jc w:val="right"/>
            </w:pPr>
            <w:r>
              <w:rPr>
                <w:color w:val="1C3A36"/>
                <w:sz w:val="17"/>
              </w:rPr>
              <w:t>17.28</w:t>
            </w:r>
          </w:p>
        </w:tc>
        <w:tc>
          <w:tcPr>
            <w:tcW w:type="dxa" w:w="1224"/>
          </w:tcPr>
          <w:p>
            <w:pPr>
              <w:spacing w:after="20"/>
              <w:jc w:val="right"/>
            </w:pPr>
            <w:r>
              <w:rPr>
                <w:color w:val="1C3A36"/>
                <w:sz w:val="17"/>
              </w:rPr>
              <w:t>17.86</w:t>
            </w:r>
          </w:p>
        </w:tc>
        <w:tc>
          <w:tcPr>
            <w:tcW w:type="dxa" w:w="1224"/>
          </w:tcPr>
          <w:p>
            <w:pPr>
              <w:spacing w:after="20"/>
              <w:jc w:val="right"/>
            </w:pPr>
            <w:r>
              <w:rPr>
                <w:color w:val="1C3A36"/>
                <w:sz w:val="17"/>
              </w:rPr>
              <w:t>18.55</w:t>
            </w:r>
          </w:p>
        </w:tc>
        <w:tc>
          <w:tcPr>
            <w:tcW w:type="dxa" w:w="1224"/>
          </w:tcPr>
          <w:p>
            <w:pPr>
              <w:spacing w:after="20"/>
              <w:jc w:val="right"/>
            </w:pPr>
            <w:r>
              <w:rPr>
                <w:color w:val="1C3A36"/>
                <w:sz w:val="17"/>
              </w:rPr>
              <w:t>19.37</w:t>
            </w:r>
          </w:p>
        </w:tc>
        <w:tc>
          <w:tcPr>
            <w:tcW w:type="dxa" w:w="1224"/>
          </w:tcPr>
          <w:p>
            <w:pPr>
              <w:spacing w:after="20"/>
              <w:jc w:val="right"/>
            </w:pPr>
            <w:r>
              <w:rPr>
                <w:color w:val="1C3A36"/>
                <w:sz w:val="17"/>
              </w:rPr>
              <w:t>20.38</w:t>
            </w:r>
          </w:p>
        </w:tc>
      </w:tr>
      <w:tr>
        <w:tc>
          <w:tcPr>
            <w:tcW w:type="dxa" w:w="3384"/>
          </w:tcPr>
          <w:p>
            <w:pPr>
              <w:spacing w:after="20"/>
            </w:pPr>
            <w:r>
              <w:rPr>
                <w:color w:val="1C3A36"/>
                <w:sz w:val="17"/>
              </w:rPr>
              <w:t>17.13%</w:t>
            </w:r>
          </w:p>
        </w:tc>
        <w:tc>
          <w:tcPr>
            <w:tcW w:type="dxa" w:w="1224"/>
          </w:tcPr>
          <w:p>
            <w:pPr>
              <w:spacing w:after="20"/>
              <w:jc w:val="right"/>
            </w:pPr>
            <w:r>
              <w:rPr>
                <w:color w:val="1C3A36"/>
                <w:sz w:val="17"/>
              </w:rPr>
              <w:t>16.38</w:t>
            </w:r>
          </w:p>
        </w:tc>
        <w:tc>
          <w:tcPr>
            <w:tcW w:type="dxa" w:w="1224"/>
          </w:tcPr>
          <w:p>
            <w:pPr>
              <w:spacing w:after="20"/>
              <w:jc w:val="right"/>
            </w:pPr>
            <w:r>
              <w:rPr>
                <w:color w:val="1C3A36"/>
                <w:sz w:val="17"/>
              </w:rPr>
              <w:t>16.86</w:t>
            </w:r>
          </w:p>
        </w:tc>
        <w:tc>
          <w:tcPr>
            <w:tcW w:type="dxa" w:w="1224"/>
          </w:tcPr>
          <w:p>
            <w:pPr>
              <w:spacing w:after="20"/>
              <w:jc w:val="right"/>
            </w:pPr>
            <w:r>
              <w:rPr>
                <w:color w:val="1C3A36"/>
                <w:sz w:val="17"/>
              </w:rPr>
              <w:t>17.42</w:t>
            </w:r>
          </w:p>
        </w:tc>
        <w:tc>
          <w:tcPr>
            <w:tcW w:type="dxa" w:w="1224"/>
          </w:tcPr>
          <w:p>
            <w:pPr>
              <w:spacing w:after="20"/>
              <w:jc w:val="right"/>
            </w:pPr>
            <w:r>
              <w:rPr>
                <w:color w:val="1C3A36"/>
                <w:sz w:val="17"/>
              </w:rPr>
              <w:t>18.08</w:t>
            </w:r>
          </w:p>
        </w:tc>
        <w:tc>
          <w:tcPr>
            <w:tcW w:type="dxa" w:w="1224"/>
          </w:tcPr>
          <w:p>
            <w:pPr>
              <w:spacing w:after="20"/>
              <w:jc w:val="right"/>
            </w:pPr>
            <w:r>
              <w:rPr>
                <w:color w:val="1C3A36"/>
                <w:sz w:val="17"/>
              </w:rPr>
              <w:t>18.87</w:t>
            </w:r>
          </w:p>
        </w:tc>
      </w:tr>
      <w:tr>
        <w:tc>
          <w:tcPr>
            <w:tcW w:type="dxa" w:w="3384"/>
          </w:tcPr>
          <w:p>
            <w:pPr>
              <w:spacing w:after="20"/>
            </w:pPr>
            <w:r>
              <w:rPr>
                <w:color w:val="1C3A36"/>
                <w:sz w:val="17"/>
              </w:rPr>
              <w:t>18.13%</w:t>
            </w:r>
          </w:p>
        </w:tc>
        <w:tc>
          <w:tcPr>
            <w:tcW w:type="dxa" w:w="1224"/>
          </w:tcPr>
          <w:p>
            <w:pPr>
              <w:spacing w:after="20"/>
              <w:jc w:val="right"/>
            </w:pPr>
            <w:r>
              <w:rPr>
                <w:color w:val="1C3A36"/>
                <w:sz w:val="17"/>
              </w:rPr>
              <w:t>15.61</w:t>
            </w:r>
          </w:p>
        </w:tc>
        <w:tc>
          <w:tcPr>
            <w:tcW w:type="dxa" w:w="1224"/>
          </w:tcPr>
          <w:p>
            <w:pPr>
              <w:spacing w:after="20"/>
              <w:jc w:val="right"/>
            </w:pPr>
            <w:r>
              <w:rPr>
                <w:color w:val="1C3A36"/>
                <w:sz w:val="17"/>
              </w:rPr>
              <w:t>16.01</w:t>
            </w:r>
          </w:p>
        </w:tc>
        <w:tc>
          <w:tcPr>
            <w:tcW w:type="dxa" w:w="1224"/>
          </w:tcPr>
          <w:p>
            <w:pPr>
              <w:spacing w:after="20"/>
              <w:jc w:val="right"/>
            </w:pPr>
            <w:r>
              <w:rPr>
                <w:color w:val="1C3A36"/>
                <w:sz w:val="17"/>
              </w:rPr>
              <w:t>16.47</w:t>
            </w:r>
          </w:p>
        </w:tc>
        <w:tc>
          <w:tcPr>
            <w:tcW w:type="dxa" w:w="1224"/>
          </w:tcPr>
          <w:p>
            <w:pPr>
              <w:spacing w:after="20"/>
              <w:jc w:val="right"/>
            </w:pPr>
            <w:r>
              <w:rPr>
                <w:color w:val="1C3A36"/>
                <w:sz w:val="17"/>
              </w:rPr>
              <w:t>17.00</w:t>
            </w:r>
          </w:p>
        </w:tc>
        <w:tc>
          <w:tcPr>
            <w:tcW w:type="dxa" w:w="1224"/>
          </w:tcPr>
          <w:p>
            <w:pPr>
              <w:spacing w:after="20"/>
              <w:jc w:val="right"/>
            </w:pPr>
            <w:r>
              <w:rPr>
                <w:color w:val="1C3A36"/>
                <w:sz w:val="17"/>
              </w:rPr>
              <w:t>17.63</w:t>
            </w:r>
          </w:p>
        </w:tc>
      </w:tr>
      <w:tr>
        <w:tc>
          <w:tcPr>
            <w:tcW w:type="dxa" w:w="3384"/>
          </w:tcPr>
          <w:p>
            <w:pPr>
              <w:spacing w:after="20"/>
            </w:pPr>
            <w:r>
              <w:rPr>
                <w:color w:val="1C3A36"/>
                <w:sz w:val="17"/>
              </w:rPr>
              <w:t>19.13%</w:t>
            </w:r>
          </w:p>
        </w:tc>
        <w:tc>
          <w:tcPr>
            <w:tcW w:type="dxa" w:w="1224"/>
          </w:tcPr>
          <w:p>
            <w:pPr>
              <w:spacing w:after="20"/>
              <w:jc w:val="right"/>
            </w:pPr>
            <w:r>
              <w:rPr>
                <w:color w:val="1C3A36"/>
                <w:sz w:val="17"/>
              </w:rPr>
              <w:t>14.93</w:t>
            </w:r>
          </w:p>
        </w:tc>
        <w:tc>
          <w:tcPr>
            <w:tcW w:type="dxa" w:w="1224"/>
          </w:tcPr>
          <w:p>
            <w:pPr>
              <w:spacing w:after="20"/>
              <w:jc w:val="right"/>
            </w:pPr>
            <w:r>
              <w:rPr>
                <w:color w:val="1C3A36"/>
                <w:sz w:val="17"/>
              </w:rPr>
              <w:t>15.26</w:t>
            </w:r>
          </w:p>
        </w:tc>
        <w:tc>
          <w:tcPr>
            <w:tcW w:type="dxa" w:w="1224"/>
          </w:tcPr>
          <w:p>
            <w:pPr>
              <w:spacing w:after="20"/>
              <w:jc w:val="right"/>
            </w:pPr>
            <w:r>
              <w:rPr>
                <w:color w:val="1C3A36"/>
                <w:sz w:val="17"/>
              </w:rPr>
              <w:t>15.64</w:t>
            </w:r>
          </w:p>
        </w:tc>
        <w:tc>
          <w:tcPr>
            <w:tcW w:type="dxa" w:w="1224"/>
          </w:tcPr>
          <w:p>
            <w:pPr>
              <w:spacing w:after="20"/>
              <w:jc w:val="right"/>
            </w:pPr>
            <w:r>
              <w:rPr>
                <w:color w:val="1C3A36"/>
                <w:sz w:val="17"/>
              </w:rPr>
              <w:t>16.08</w:t>
            </w:r>
          </w:p>
        </w:tc>
        <w:tc>
          <w:tcPr>
            <w:tcW w:type="dxa" w:w="1224"/>
          </w:tcPr>
          <w:p>
            <w:pPr>
              <w:spacing w:after="20"/>
              <w:jc w:val="right"/>
            </w:pPr>
            <w:r>
              <w:rPr>
                <w:color w:val="1C3A36"/>
                <w:sz w:val="17"/>
              </w:rPr>
              <w:t>16.60</w:t>
            </w:r>
          </w:p>
        </w:tc>
      </w:tr>
      <w:tr>
        <w:tc>
          <w:tcPr>
            <w:tcW w:type="dxa" w:w="3384"/>
          </w:tcPr>
          <w:p>
            <w:pPr>
              <w:spacing w:after="20"/>
            </w:pPr>
            <w:r>
              <w:rPr>
                <w:color w:val="1C3A36"/>
                <w:sz w:val="17"/>
              </w:rPr>
              <w:t>20.13%</w:t>
            </w:r>
          </w:p>
        </w:tc>
        <w:tc>
          <w:tcPr>
            <w:tcW w:type="dxa" w:w="1224"/>
          </w:tcPr>
          <w:p>
            <w:pPr>
              <w:spacing w:after="20"/>
              <w:jc w:val="right"/>
            </w:pPr>
            <w:r>
              <w:rPr>
                <w:color w:val="1C3A36"/>
                <w:sz w:val="17"/>
              </w:rPr>
              <w:t>14.33</w:t>
            </w:r>
          </w:p>
        </w:tc>
        <w:tc>
          <w:tcPr>
            <w:tcW w:type="dxa" w:w="1224"/>
          </w:tcPr>
          <w:p>
            <w:pPr>
              <w:spacing w:after="20"/>
              <w:jc w:val="right"/>
            </w:pPr>
            <w:r>
              <w:rPr>
                <w:color w:val="1C3A36"/>
                <w:sz w:val="17"/>
              </w:rPr>
              <w:t>14.61</w:t>
            </w:r>
          </w:p>
        </w:tc>
        <w:tc>
          <w:tcPr>
            <w:tcW w:type="dxa" w:w="1224"/>
          </w:tcPr>
          <w:p>
            <w:pPr>
              <w:spacing w:after="20"/>
              <w:jc w:val="right"/>
            </w:pPr>
            <w:r>
              <w:rPr>
                <w:color w:val="1C3A36"/>
                <w:sz w:val="17"/>
              </w:rPr>
              <w:t>14.93</w:t>
            </w:r>
          </w:p>
        </w:tc>
        <w:tc>
          <w:tcPr>
            <w:tcW w:type="dxa" w:w="1224"/>
          </w:tcPr>
          <w:p>
            <w:pPr>
              <w:spacing w:after="20"/>
              <w:jc w:val="right"/>
            </w:pPr>
            <w:r>
              <w:rPr>
                <w:color w:val="1C3A36"/>
                <w:sz w:val="17"/>
              </w:rPr>
              <w:t>15.29</w:t>
            </w:r>
          </w:p>
        </w:tc>
        <w:tc>
          <w:tcPr>
            <w:tcW w:type="dxa" w:w="1224"/>
          </w:tcPr>
          <w:p>
            <w:pPr>
              <w:spacing w:after="20"/>
              <w:jc w:val="right"/>
            </w:pPr>
            <w:r>
              <w:rPr>
                <w:color w:val="1C3A36"/>
                <w:sz w:val="17"/>
              </w:rPr>
              <w:t>15.72</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17.63</w:t>
            </w:r>
          </w:p>
        </w:tc>
        <w:tc>
          <w:tcPr>
            <w:tcW w:type="dxa" w:w="1512"/>
          </w:tcPr>
          <w:p>
            <w:pPr>
              <w:spacing w:after="20"/>
              <w:jc w:val="right"/>
            </w:pPr>
            <w:r>
              <w:rPr>
                <w:color w:val="1C3A36"/>
                <w:sz w:val="17"/>
              </w:rPr>
              <w:t>23.93</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1.33 times = (sustainable return 28% less growth) over (cost of equity 22.84%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17.63</w:t>
            </w:r>
          </w:p>
        </w:tc>
        <w:tc>
          <w:tcPr>
            <w:tcW w:type="dxa" w:w="1224"/>
          </w:tcPr>
          <w:p>
            <w:pPr>
              <w:spacing w:after="20"/>
              <w:jc w:val="right"/>
            </w:pPr>
            <w:r>
              <w:rPr>
                <w:color w:val="1C3A36"/>
                <w:sz w:val="17"/>
              </w:rPr>
              <w:t>30.6%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18.40</w:t>
            </w:r>
          </w:p>
        </w:tc>
        <w:tc>
          <w:tcPr>
            <w:tcW w:type="dxa" w:w="1224"/>
          </w:tcPr>
          <w:p>
            <w:pPr>
              <w:spacing w:after="20"/>
              <w:jc w:val="right"/>
            </w:pPr>
            <w:r>
              <w:rPr>
                <w:color w:val="1C3A36"/>
                <w:sz w:val="17"/>
              </w:rPr>
              <w:t>36.3%</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17.83</w:t>
            </w:r>
          </w:p>
        </w:tc>
        <w:tc>
          <w:tcPr>
            <w:tcW w:type="dxa" w:w="1224"/>
          </w:tcPr>
          <w:p>
            <w:pPr>
              <w:spacing w:after="20"/>
              <w:jc w:val="right"/>
            </w:pPr>
            <w:r>
              <w:rPr>
                <w:color w:val="1C3A36"/>
                <w:sz w:val="17"/>
              </w:rPr>
              <w:t>32.1%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17.92</w:t>
            </w:r>
          </w:p>
        </w:tc>
        <w:tc>
          <w:tcPr>
            <w:tcW w:type="dxa" w:w="1224"/>
          </w:tcPr>
          <w:p>
            <w:pPr>
              <w:spacing w:after="20"/>
              <w:jc w:val="right"/>
            </w:pPr>
            <w:r>
              <w:rPr>
                <w:color w:val="1C3A36"/>
                <w:sz w:val="17"/>
              </w:rPr>
              <w:t>32.7%</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16.47</w:t>
            </w:r>
          </w:p>
        </w:tc>
        <w:tc>
          <w:tcPr>
            <w:tcW w:type="dxa" w:w="1224"/>
          </w:tcPr>
          <w:p>
            <w:pPr>
              <w:spacing w:after="20"/>
              <w:jc w:val="right"/>
            </w:pPr>
            <w:r>
              <w:rPr>
                <w:color w:val="1C3A36"/>
                <w:sz w:val="17"/>
              </w:rPr>
              <w:t>22.0%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17.63</w:t>
            </w:r>
          </w:p>
        </w:tc>
        <w:tc>
          <w:tcPr>
            <w:tcW w:type="dxa" w:w="1224"/>
          </w:tcPr>
          <w:p>
            <w:pPr>
              <w:spacing w:after="20"/>
              <w:jc w:val="right"/>
            </w:pPr>
            <w:r>
              <w:rPr>
                <w:color w:val="1C3A36"/>
                <w:sz w:val="17"/>
              </w:rPr>
              <w:t>30.6%</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19.16</w:t>
            </w:r>
          </w:p>
        </w:tc>
        <w:tc>
          <w:tcPr>
            <w:tcW w:type="dxa" w:w="1224"/>
            <w:shd w:val="clear" w:color="auto" w:fill="F6F1E6"/>
          </w:tcPr>
          <w:p>
            <w:pPr>
              <w:spacing w:after="20"/>
              <w:jc w:val="right"/>
            </w:pPr>
            <w:r>
              <w:rPr>
                <w:b/>
                <w:color w:val="1C3A36"/>
                <w:sz w:val="17"/>
              </w:rPr>
              <w:t>41.9%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19.16, 41.9%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13.98;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18.35.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18.8%,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10.57% sustained in EVERY forecast year and in perpetuity, against a base year of 9.65% — that is a REDUCTION of -0.92%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10.57%.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17.63</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0.1%</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17.63  (range 1.67–23.93)</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17.63 (fair value)</w:t>
            </w:r>
          </w:p>
        </w:tc>
        <w:tc>
          <w:tcPr>
            <w:tcW w:type="dxa" w:w="2736"/>
          </w:tcPr>
          <w:p>
            <w:pPr>
              <w:spacing w:after="20"/>
              <w:jc w:val="right"/>
            </w:pPr>
            <w:r>
              <w:rPr>
                <w:color w:val="1C3A36"/>
                <w:sz w:val="18"/>
              </w:rPr>
              <w:t>2.6%</w:t>
            </w:r>
          </w:p>
        </w:tc>
      </w:tr>
      <w:tr>
        <w:tc>
          <w:tcPr>
            <w:tcW w:type="dxa" w:w="6048"/>
          </w:tcPr>
          <w:p>
            <w:pPr>
              <w:spacing w:after="20"/>
            </w:pPr>
            <w:r>
              <w:rPr>
                <w:color w:val="1C3A36"/>
                <w:sz w:val="18"/>
              </w:rPr>
              <w:t>Above EGP 17.63 (fair value)</w:t>
            </w:r>
          </w:p>
        </w:tc>
        <w:tc>
          <w:tcPr>
            <w:tcW w:type="dxa" w:w="2736"/>
          </w:tcPr>
          <w:p>
            <w:pPr>
              <w:spacing w:after="20"/>
              <w:jc w:val="right"/>
            </w:pPr>
            <w:r>
              <w:rPr>
                <w:color w:val="1C3A36"/>
                <w:sz w:val="18"/>
              </w:rPr>
              <w:t>0.7%</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57.4%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17.63 a share against the published EGP 17.63.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21.03 to 14.68,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13.98. On GROSS rather than net debt weights — the construction this study rejects, because it counts the cash pile twice — the lens is EGP 17.63.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23.00%</w:t>
            </w:r>
          </w:p>
        </w:tc>
        <w:tc>
          <w:tcPr>
            <w:tcW w:type="dxa" w:w="1296"/>
          </w:tcPr>
          <w:p>
            <w:pPr>
              <w:spacing w:after="20"/>
              <w:jc w:val="right"/>
            </w:pPr>
            <w:r>
              <w:rPr>
                <w:color w:val="1C3A36"/>
                <w:sz w:val="16"/>
              </w:rPr>
              <w:t>21.15%</w:t>
            </w:r>
          </w:p>
        </w:tc>
        <w:tc>
          <w:tcPr>
            <w:tcW w:type="dxa" w:w="1296"/>
          </w:tcPr>
          <w:p>
            <w:pPr>
              <w:spacing w:after="20"/>
              <w:jc w:val="right"/>
            </w:pPr>
            <w:r>
              <w:rPr>
                <w:color w:val="1C3A36"/>
                <w:sz w:val="16"/>
              </w:rPr>
              <w:t>19.77%</w:t>
            </w:r>
          </w:p>
        </w:tc>
        <w:tc>
          <w:tcPr>
            <w:tcW w:type="dxa" w:w="1296"/>
          </w:tcPr>
          <w:p>
            <w:pPr>
              <w:spacing w:after="20"/>
              <w:jc w:val="right"/>
            </w:pPr>
            <w:r>
              <w:rPr>
                <w:color w:val="1C3A36"/>
                <w:sz w:val="16"/>
              </w:rPr>
              <w:t>18.84%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0.6380</w:t>
            </w:r>
          </w:p>
        </w:tc>
        <w:tc>
          <w:tcPr>
            <w:tcW w:type="dxa" w:w="1296"/>
          </w:tcPr>
          <w:p>
            <w:pPr>
              <w:spacing w:after="20"/>
              <w:jc w:val="right"/>
            </w:pPr>
            <w:r>
              <w:rPr>
                <w:color w:val="1C3A36"/>
                <w:sz w:val="16"/>
              </w:rPr>
              <w:t>0.5266</w:t>
            </w:r>
          </w:p>
        </w:tc>
        <w:tc>
          <w:tcPr>
            <w:tcW w:type="dxa" w:w="1296"/>
          </w:tcPr>
          <w:p>
            <w:pPr>
              <w:spacing w:after="20"/>
              <w:jc w:val="right"/>
            </w:pPr>
            <w:r>
              <w:rPr>
                <w:color w:val="1C3A36"/>
                <w:sz w:val="16"/>
              </w:rPr>
              <w:t>0.4397</w:t>
            </w:r>
          </w:p>
        </w:tc>
        <w:tc>
          <w:tcPr>
            <w:tcW w:type="dxa" w:w="1296"/>
          </w:tcPr>
          <w:p>
            <w:pPr>
              <w:spacing w:after="20"/>
              <w:jc w:val="right"/>
            </w:pPr>
            <w:r>
              <w:rPr>
                <w:color w:val="1C3A36"/>
                <w:sz w:val="16"/>
              </w:rPr>
              <w:t>0.3700</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2,081</w:t>
            </w:r>
          </w:p>
        </w:tc>
        <w:tc>
          <w:tcPr>
            <w:tcW w:type="dxa" w:w="1296"/>
          </w:tcPr>
          <w:p>
            <w:pPr>
              <w:spacing w:after="20"/>
              <w:jc w:val="right"/>
            </w:pPr>
            <w:r>
              <w:rPr>
                <w:color w:val="1C3A36"/>
                <w:sz w:val="16"/>
              </w:rPr>
              <w:t>1,810</w:t>
            </w:r>
          </w:p>
        </w:tc>
        <w:tc>
          <w:tcPr>
            <w:tcW w:type="dxa" w:w="1296"/>
          </w:tcPr>
          <w:p>
            <w:pPr>
              <w:spacing w:after="20"/>
              <w:jc w:val="right"/>
            </w:pPr>
            <w:r>
              <w:rPr>
                <w:color w:val="1C3A36"/>
                <w:sz w:val="16"/>
              </w:rPr>
              <w:t>1,561</w:t>
            </w:r>
          </w:p>
        </w:tc>
        <w:tc>
          <w:tcPr>
            <w:tcW w:type="dxa" w:w="1296"/>
          </w:tcPr>
          <w:p>
            <w:pPr>
              <w:spacing w:after="20"/>
              <w:jc w:val="right"/>
            </w:pPr>
            <w:r>
              <w:rPr>
                <w:color w:val="1C3A36"/>
                <w:sz w:val="16"/>
              </w:rPr>
              <w:t>1,342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9,179</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10,290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19,469</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15.07</w:t>
            </w:r>
          </w:p>
        </w:tc>
      </w:tr>
    </w:tbl>
    <w:p>
      <w:pPr>
        <w:spacing w:after="40"/>
      </w:pPr>
    </w:p>
    <w:p>
      <w:pPr>
        <w:spacing w:after="200" w:before="0"/>
      </w:pPr>
      <w:r>
        <w:rPr>
          <w:b w:val="0"/>
          <w:i/>
          <w:color w:val="6E7B77"/>
          <w:sz w:val="17"/>
        </w:rPr>
        <w:t>Table C.2 — Expert 2. Range EGP 0.58 to 19.88. This is the LOWEST of the three at 11.7% against the price, and the reason is the discount rate: an equity claim discounted on the equity glide from 27.4% to 18.8%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6,685</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10,469</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21,831</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18.44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2,350</w:t>
            </w:r>
          </w:p>
        </w:tc>
        <w:tc>
          <w:tcPr>
            <w:tcW w:type="dxa" w:w="1224"/>
          </w:tcPr>
          <w:p>
            <w:pPr>
              <w:spacing w:after="20"/>
              <w:jc w:val="right"/>
            </w:pPr>
            <w:r>
              <w:rPr>
                <w:color w:val="1C3A36"/>
                <w:sz w:val="17"/>
              </w:rPr>
              <w:t>2,561</w:t>
            </w:r>
          </w:p>
        </w:tc>
        <w:tc>
          <w:tcPr>
            <w:tcW w:type="dxa" w:w="1224"/>
          </w:tcPr>
          <w:p>
            <w:pPr>
              <w:spacing w:after="20"/>
              <w:jc w:val="right"/>
            </w:pPr>
            <w:r>
              <w:rPr>
                <w:color w:val="1C3A36"/>
                <w:sz w:val="17"/>
              </w:rPr>
              <w:t>2,724</w:t>
            </w:r>
          </w:p>
        </w:tc>
        <w:tc>
          <w:tcPr>
            <w:tcW w:type="dxa" w:w="1224"/>
          </w:tcPr>
          <w:p>
            <w:pPr>
              <w:spacing w:after="20"/>
              <w:jc w:val="right"/>
            </w:pPr>
            <w:r>
              <w:rPr>
                <w:color w:val="1C3A36"/>
                <w:sz w:val="17"/>
              </w:rPr>
              <w:t>2,856</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41.27%</w:t>
            </w:r>
          </w:p>
        </w:tc>
        <w:tc>
          <w:tcPr>
            <w:tcW w:type="dxa" w:w="1224"/>
          </w:tcPr>
          <w:p>
            <w:pPr>
              <w:spacing w:after="20"/>
              <w:jc w:val="right"/>
            </w:pPr>
            <w:r>
              <w:rPr>
                <w:color w:val="1C3A36"/>
                <w:sz w:val="17"/>
              </w:rPr>
              <w:t>43.31%</w:t>
            </w:r>
          </w:p>
        </w:tc>
        <w:tc>
          <w:tcPr>
            <w:tcW w:type="dxa" w:w="1224"/>
          </w:tcPr>
          <w:p>
            <w:pPr>
              <w:spacing w:after="20"/>
              <w:jc w:val="right"/>
            </w:pPr>
            <w:r>
              <w:rPr>
                <w:color w:val="1C3A36"/>
                <w:sz w:val="17"/>
              </w:rPr>
              <w:t>44.49%</w:t>
            </w:r>
          </w:p>
        </w:tc>
        <w:tc>
          <w:tcPr>
            <w:tcW w:type="dxa" w:w="1224"/>
          </w:tcPr>
          <w:p>
            <w:pPr>
              <w:spacing w:after="20"/>
              <w:jc w:val="right"/>
            </w:pPr>
            <w:r>
              <w:rPr>
                <w:color w:val="1C3A36"/>
                <w:sz w:val="17"/>
              </w:rPr>
              <w:t>45.03%</w:t>
            </w:r>
          </w:p>
        </w:tc>
      </w:tr>
    </w:tbl>
    <w:p>
      <w:pPr>
        <w:spacing w:after="40"/>
      </w:pPr>
    </w:p>
    <w:p>
      <w:pPr>
        <w:spacing w:after="200" w:before="0"/>
      </w:pPr>
      <w:r>
        <w:rPr>
          <w:b w:val="0"/>
          <w:i/>
          <w:color w:val="6E7B77"/>
          <w:sz w:val="17"/>
        </w:rPr>
        <w:t>Table C.3 — Expert 3. Range EGP 0.88 to 24.64.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52.9%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57.4%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21.4% of its enterprise value is capital already in the ground and 48.0%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15.07 and EGP 21.26, a spread of 41.0% of the lower number, with a median of EGP 18.44 against a market price of EGP 13.50 — 36.6%.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45.0%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18.44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6.18</w:t>
            </w:r>
          </w:p>
        </w:tc>
        <w:tc>
          <w:tcPr>
            <w:tcW w:type="dxa" w:w="792"/>
          </w:tcPr>
          <w:p>
            <w:pPr>
              <w:spacing w:after="20"/>
              <w:jc w:val="right"/>
            </w:pPr>
            <w:r>
              <w:rPr>
                <w:color w:val="1C3A36"/>
                <w:sz w:val="16"/>
              </w:rPr>
              <w:t>41.0%</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3.20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2.81</w:t>
            </w:r>
          </w:p>
        </w:tc>
        <w:tc>
          <w:tcPr>
            <w:tcW w:type="dxa" w:w="792"/>
          </w:tcPr>
          <w:p>
            <w:pPr>
              <w:spacing w:after="20"/>
              <w:jc w:val="right"/>
            </w:pPr>
            <w:r>
              <w:rPr>
                <w:color w:val="1C3A36"/>
                <w:sz w:val="16"/>
              </w:rPr>
              <w:t>15.3%</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6.56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3.37</w:t>
            </w:r>
          </w:p>
        </w:tc>
        <w:tc>
          <w:tcPr>
            <w:tcW w:type="dxa" w:w="792"/>
          </w:tcPr>
          <w:p>
            <w:pPr>
              <w:spacing w:after="20"/>
              <w:jc w:val="right"/>
            </w:pPr>
            <w:r>
              <w:rPr>
                <w:color w:val="1C3A36"/>
                <w:sz w:val="16"/>
              </w:rPr>
              <w:t>22.3%</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+0.72</w:t>
            </w:r>
          </w:p>
        </w:tc>
        <w:tc>
          <w:tcPr>
            <w:tcW w:type="dxa" w:w="2664"/>
          </w:tcPr>
          <w:p>
            <w:pPr>
              <w:spacing w:after="20"/>
            </w:pPr>
            <w:r>
              <w:rPr>
                <w:color w:val="1C3A36"/>
                <w:sz w:val="16"/>
              </w:rPr>
              <w:t>0.32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0.81</w:t>
            </w:r>
          </w:p>
        </w:tc>
        <w:tc>
          <w:tcPr>
            <w:tcW w:type="dxa" w:w="792"/>
          </w:tcPr>
          <w:p>
            <w:pPr>
              <w:spacing w:after="20"/>
              <w:jc w:val="right"/>
            </w:pPr>
            <w:r>
              <w:rPr>
                <w:color w:val="1C3A36"/>
                <w:sz w:val="16"/>
              </w:rPr>
              <w:t>4.6%</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15.80 — so the price of time is worth only EGP 0.72 of a 3.37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15.07</w:t>
            </w:r>
          </w:p>
        </w:tc>
        <w:tc>
          <w:tcPr>
            <w:tcW w:type="dxa" w:w="1728"/>
          </w:tcPr>
          <w:p>
            <w:pPr>
              <w:spacing w:after="20"/>
              <w:jc w:val="right"/>
            </w:pPr>
            <w:r>
              <w:rPr>
                <w:color w:val="1C3A36"/>
                <w:sz w:val="17"/>
              </w:rPr>
              <w:t>0.58–19.88</w:t>
            </w:r>
          </w:p>
        </w:tc>
        <w:tc>
          <w:tcPr>
            <w:tcW w:type="dxa" w:w="1296"/>
          </w:tcPr>
          <w:p>
            <w:pPr>
              <w:spacing w:after="20"/>
              <w:jc w:val="right"/>
            </w:pPr>
            <w:r>
              <w:rPr>
                <w:color w:val="1C3A36"/>
                <w:sz w:val="17"/>
              </w:rPr>
              <w:t>11.7%</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18.44</w:t>
            </w:r>
          </w:p>
        </w:tc>
        <w:tc>
          <w:tcPr>
            <w:tcW w:type="dxa" w:w="1728"/>
          </w:tcPr>
          <w:p>
            <w:pPr>
              <w:spacing w:after="20"/>
              <w:jc w:val="right"/>
            </w:pPr>
            <w:r>
              <w:rPr>
                <w:color w:val="1C3A36"/>
                <w:sz w:val="17"/>
              </w:rPr>
              <w:t>0.88–24.64</w:t>
            </w:r>
          </w:p>
        </w:tc>
        <w:tc>
          <w:tcPr>
            <w:tcW w:type="dxa" w:w="1296"/>
          </w:tcPr>
          <w:p>
            <w:pPr>
              <w:spacing w:after="20"/>
              <w:jc w:val="right"/>
            </w:pPr>
            <w:r>
              <w:rPr>
                <w:color w:val="1C3A36"/>
                <w:sz w:val="17"/>
              </w:rPr>
              <w:t>36.6%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18.44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36.6%</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