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40"/>
        </w:rPr>
        <w:t>PALM HILLS DEVELOPMENTS</w:t>
      </w:r>
    </w:p>
    <w:p>
      <w:pPr>
        <w:spacing w:after="280"/>
      </w:pPr>
      <w:r>
        <w:rPr>
          <w:b w:val="0"/>
          <w:i w:val="0"/>
          <w:color w:val="5B6570"/>
          <w:sz w:val="20"/>
        </w:rPr>
        <w:t>Egyptian Exchange · PHDC · Egyptian pounds · edition of 3 September 2026</w:t>
      </w:r>
    </w:p>
    <w:p>
      <w:pPr>
        <w:pStyle w:val="Heading2"/>
      </w:pPr>
      <w:r>
        <w:t>READ FIRST</w:t>
      </w:r>
    </w:p>
    <w:p>
      <w:pPr>
        <w:spacing w:after="140"/>
      </w:pPr>
      <w:r>
        <w:rPr>
          <w:b w:val="0"/>
          <w:i w:val="0"/>
          <w:color w:val="1A1D21"/>
          <w:sz w:val="20"/>
        </w:rPr>
        <w:t>This is a valuation study, not advice. It carries no rating, no recommendation and no price target. What it publishes is a range of value and the reasoning behind it, so that a reader can disagree with the reasoning rather than with a number.</w:t>
      </w:r>
    </w:p>
    <w:p>
      <w:pPr>
        <w:spacing w:after="140"/>
      </w:pPr>
      <w:r>
        <w:rPr>
          <w:b w:val="0"/>
          <w:i w:val="0"/>
          <w:color w:val="1A1D21"/>
          <w:sz w:val="20"/>
        </w:rPr>
        <w:t>It supersedes the edition of 30 August 2026, and it changes three things in it, each found by a review of that edition against the company's filings on 1 September 2026 and each set out where it applies. First, the bridge from enterprise value to equity, the book value and the borrowings now stand on the balance sheet of 31 March 2026 — reviewed, and posted to the company's own result centre with the first-quarter results the earlier edition already used — rather than on 31 December 2025 (section 1.1, Appendix A.2). Second, minority shareholders in subsidiaries are now deducted at their share of value; the earlier edition deducted nothing for them (section 1.1). Third, normalised earnings are capitalised at the cost of equity less the same growth the cash-flow model carries, where the earlier edition capitalised them at the cost of equity alone — which in a currency whose discount rate embeds Egyptian inflation assumes a perpetual decline in real terms that nothing in the company's record supports (section 1.4). The discount rate, the forecast and the lens weights are unchanged. The central figure moves from EGP 10.94 to EGP 17.86 a share.</w:t>
      </w:r>
    </w:p>
    <w:p>
      <w:pPr>
        <w:spacing w:after="140"/>
      </w:pPr>
      <w:r>
        <w:rPr>
          <w:b w:val="0"/>
          <w:i w:val="0"/>
          <w:color w:val="1A1D21"/>
          <w:sz w:val="20"/>
        </w:rPr>
        <w:t>Two things in the edition of 11 June 2026 were wrong and remain corrected, and both are set out plainly in section 1.8 rather than buried: its discount rate was below Egypt's own government bond yield, and the project-level price and cost table it valued the company on is not disclosed by the company anywhere.</w:t>
      </w:r>
    </w:p>
    <w:p>
      <w:pPr>
        <w:spacing w:after="140"/>
      </w:pPr>
      <w:r>
        <w:rPr>
          <w:b w:val="0"/>
          <w:i w:val="0"/>
          <w:color w:val="1A1D21"/>
          <w:sz w:val="20"/>
        </w:rPr>
        <w:t>The company's own audited statements are the only source used for its reported history. Where something needed is not disclosed, this study says so and does not fill the hole. There are six such gaps and they are listed in section 7.</w:t>
      </w:r>
    </w:p>
    <w:p>
      <w:pPr>
        <w:spacing w:after="140"/>
      </w:pPr>
      <w:r>
        <w:rPr>
          <w:b w:val="0"/>
          <w:i/>
          <w:color w:val="5B6570"/>
          <w:sz w:val="18"/>
        </w:rPr>
        <w:t>Information set: everything the company had published as at 2 September 2026, which ends at its first-quarter 2026 results — the reviewed statements of 31 March 2026 included. No half-year 2026 figures had been released at that date.</w:t>
      </w:r>
    </w:p>
    <w:p>
      <w:pPr>
        <w:pStyle w:val="Heading1"/>
      </w:pPr>
      <w:r>
        <w:t>Headline</w:t>
      </w:r>
    </w:p>
    <w:p>
      <w:pPr>
        <w:spacing w:after="140"/>
      </w:pPr>
      <w:r>
        <w:rPr>
          <w:b/>
          <w:i w:val="0"/>
          <w:color w:val="1A1D21"/>
          <w:sz w:val="23"/>
        </w:rPr>
        <w:t>Palm Hills is worth EGP 17.86 a share on a base case built from the company's own units and prices, in a range of EGP 4.02 to EGP 46.53 across the full observed range of the one thing that decides it. The shares trade at EGP 14.40.</w:t>
      </w:r>
    </w:p>
    <w:p>
      <w:pPr>
        <w:pStyle w:val="ListBullet"/>
        <w:spacing w:after="60"/>
      </w:pPr>
      <w:r>
        <w:rPr>
          <w:color w:val="1A1D21"/>
          <w:sz w:val="20"/>
        </w:rPr>
        <w:t>The forecast is built from units and prices the company itself discloses: 5,633 units sold across three regions at EGP 15.70 to 25.09 million a unit, and separately 2,035 units delivered at EGP 19.73 million of revenue each, because units handed over were contracted years earlier at lower prices.</w:t>
      </w:r>
    </w:p>
    <w:p>
      <w:pPr>
        <w:pStyle w:val="ListBullet"/>
        <w:spacing w:after="60"/>
      </w:pPr>
      <w:r>
        <w:rPr>
          <w:color w:val="1A1D21"/>
          <w:sz w:val="20"/>
        </w:rPr>
        <w:t>The company's cost of capital, built from the ground up, is 25.10% against an Egyptian ten-year government bond yield of 23.00%. It CHANGED in this edition: the equity risk premium moved from the credit-rating basis to the traded default-swap basis, which is the house default and which the other studies in this market already use, and the rate fell from 26.09% to 25.10%. Both bases are published in section 1.8. The change RAISES the value, and it was made for consistency across the book rather than for its direction.</w:t>
      </w:r>
    </w:p>
    <w:p>
      <w:pPr>
        <w:pStyle w:val="ListBullet"/>
        <w:spacing w:after="60"/>
      </w:pPr>
      <w:r>
        <w:rPr>
          <w:color w:val="1A1D21"/>
          <w:sz w:val="20"/>
        </w:rPr>
        <w:t>Value turns on how quickly contracted sales become cash. Over the three years the company has published a cash-flow statement, operating cash was 4.3%, 17.9% and 3.9% of revenue. At the low end the shares are worth EGP 6.15; at the high end, EGP 40.32.</w:t>
      </w:r>
    </w:p>
    <w:p>
      <w:pPr>
        <w:pStyle w:val="ListBullet"/>
        <w:spacing w:after="60"/>
      </w:pPr>
      <w:r>
        <w:rPr>
          <w:color w:val="1A1D21"/>
          <w:sz w:val="20"/>
        </w:rPr>
        <w:t>At the closing price of EGP 14.40 the market is paying for a conversion rate of 7.3% — above the two weak years, well below the strong one.</w:t>
      </w:r>
    </w:p>
    <w:p>
      <w:pPr>
        <w:pStyle w:val="ListBullet"/>
        <w:spacing w:after="60"/>
      </w:pPr>
      <w:r>
        <w:rPr>
          <w:color w:val="1A1D21"/>
          <w:sz w:val="20"/>
        </w:rPr>
        <w:t>The contracted order book stands at EGP 263bn against 2025 revenue of EGP 36.2bn. What limits this company is how fast it can build and hand over, not whether it can sell.</w:t>
      </w:r>
    </w:p>
    <w:p>
      <w:pPr>
        <w:pStyle w:val="Heading1"/>
      </w:pPr>
      <w:r>
        <w:t>Valuation summary — every read at a glance</w:t>
      </w:r>
    </w:p>
    <w:tbl>
      <w:tblPr>
        <w:tblStyle w:val="TableGrid"/>
        <w:tblW w:type="auto" w:w="0"/>
        <w:jc w:val="center"/>
        <w:tblLayout w:type="fixed"/>
        <w:tblLook w:firstColumn="1" w:firstRow="1" w:lastColumn="0" w:lastRow="0" w:noHBand="0" w:noVBand="1" w:val="04A0"/>
        <w:tblLayout w:type="fixed"/>
      </w:tblPr>
      <w:tblGrid>
        <w:gridCol w:w="3175"/>
        <w:gridCol w:w="1474"/>
        <w:gridCol w:w="1474"/>
        <w:gridCol w:w="1474"/>
        <w:gridCol w:w="1361"/>
      </w:tblGrid>
      <w:tr>
        <w:trPr>
          <w:tblHeader w:val="true"/>
        </w:trPr>
        <w:tc>
          <w:tcPr>
            <w:tcW w:type="dxa" w:w="3175"/>
          </w:tcPr>
          <w:p>
            <w:r/>
            <w:r>
              <w:rPr>
                <w:b/>
                <w:color w:val="5B6570"/>
                <w:sz w:val="17"/>
              </w:rPr>
              <w:t>Lens</w:t>
            </w:r>
          </w:p>
        </w:tc>
        <w:tc>
          <w:tcPr>
            <w:tcW w:type="dxa" w:w="1474"/>
          </w:tcPr>
          <w:p>
            <w:r/>
            <w:r>
              <w:rPr>
                <w:b/>
                <w:color w:val="5B6570"/>
                <w:sz w:val="17"/>
              </w:rPr>
              <w:t>Low</w:t>
            </w:r>
          </w:p>
        </w:tc>
        <w:tc>
          <w:tcPr>
            <w:tcW w:type="dxa" w:w="1474"/>
          </w:tcPr>
          <w:p>
            <w:r/>
            <w:r>
              <w:rPr>
                <w:b/>
                <w:color w:val="5B6570"/>
                <w:sz w:val="17"/>
              </w:rPr>
              <w:t>Central</w:t>
            </w:r>
          </w:p>
        </w:tc>
        <w:tc>
          <w:tcPr>
            <w:tcW w:type="dxa" w:w="1474"/>
          </w:tcPr>
          <w:p>
            <w:r/>
            <w:r>
              <w:rPr>
                <w:b/>
                <w:color w:val="5B6570"/>
                <w:sz w:val="17"/>
              </w:rPr>
              <w:t>High</w:t>
            </w:r>
          </w:p>
        </w:tc>
        <w:tc>
          <w:tcPr>
            <w:tcW w:type="dxa" w:w="1361"/>
          </w:tcPr>
          <w:p>
            <w:r/>
            <w:r>
              <w:rPr>
                <w:b/>
                <w:color w:val="5B6570"/>
                <w:sz w:val="17"/>
              </w:rPr>
              <w:t>Role</w:t>
            </w:r>
          </w:p>
        </w:tc>
      </w:tr>
      <w:tr>
        <w:trPr>
          <w:cantSplit/>
        </w:trPr>
        <w:tc>
          <w:tcPr>
            <w:tcW w:type="dxa" w:w="3175"/>
          </w:tcPr>
          <w:p>
            <w:r/>
            <w:r>
              <w:rPr>
                <w:color w:val="1A1D21"/>
                <w:sz w:val="17"/>
              </w:rPr>
              <w:t>Discounted cash flow</w:t>
            </w:r>
          </w:p>
        </w:tc>
        <w:tc>
          <w:tcPr>
            <w:tcW w:type="dxa" w:w="1474"/>
          </w:tcPr>
          <w:p>
            <w:pPr>
              <w:jc w:val="right"/>
            </w:pPr>
            <w:r/>
            <w:r>
              <w:rPr>
                <w:color w:val="1A1D21"/>
                <w:sz w:val="17"/>
              </w:rPr>
              <w:t>4.02</w:t>
            </w:r>
          </w:p>
        </w:tc>
        <w:tc>
          <w:tcPr>
            <w:tcW w:type="dxa" w:w="1474"/>
          </w:tcPr>
          <w:p>
            <w:pPr>
              <w:jc w:val="right"/>
            </w:pPr>
            <w:r/>
            <w:r>
              <w:rPr>
                <w:color w:val="1A1D21"/>
                <w:sz w:val="17"/>
              </w:rPr>
              <w:t>17.86</w:t>
            </w:r>
          </w:p>
        </w:tc>
        <w:tc>
          <w:tcPr>
            <w:tcW w:type="dxa" w:w="1474"/>
          </w:tcPr>
          <w:p>
            <w:pPr>
              <w:jc w:val="right"/>
            </w:pPr>
            <w:r/>
            <w:r>
              <w:rPr>
                <w:color w:val="1A1D21"/>
                <w:sz w:val="17"/>
              </w:rPr>
              <w:t>46.53</w:t>
            </w:r>
          </w:p>
        </w:tc>
        <w:tc>
          <w:tcPr>
            <w:tcW w:type="dxa" w:w="1361"/>
          </w:tcPr>
          <w:p>
            <w:r/>
            <w:r>
              <w:rPr>
                <w:color w:val="1A1D21"/>
                <w:sz w:val="17"/>
              </w:rPr>
              <w:t>the central</w:t>
            </w:r>
          </w:p>
        </w:tc>
      </w:tr>
      <w:tr>
        <w:trPr>
          <w:cantSplit/>
        </w:trPr>
        <w:tc>
          <w:tcPr>
            <w:tcW w:type="dxa" w:w="3175"/>
          </w:tcPr>
          <w:p>
            <w:r/>
            <w:r>
              <w:rPr>
                <w:color w:val="1A1D21"/>
                <w:sz w:val="17"/>
              </w:rPr>
              <w:t>Earnings multiple on own history</w:t>
            </w:r>
          </w:p>
        </w:tc>
        <w:tc>
          <w:tcPr>
            <w:tcW w:type="dxa" w:w="1474"/>
          </w:tcPr>
          <w:p>
            <w:pPr>
              <w:jc w:val="right"/>
            </w:pPr>
            <w:r/>
            <w:r>
              <w:rPr>
                <w:color w:val="1A1D21"/>
                <w:sz w:val="17"/>
              </w:rPr>
              <w:t>5.59</w:t>
            </w:r>
          </w:p>
        </w:tc>
        <w:tc>
          <w:tcPr>
            <w:tcW w:type="dxa" w:w="1474"/>
          </w:tcPr>
          <w:p>
            <w:pPr>
              <w:jc w:val="right"/>
            </w:pPr>
            <w:r/>
            <w:r>
              <w:rPr>
                <w:color w:val="1A1D21"/>
                <w:sz w:val="17"/>
              </w:rPr>
              <w:t>8.39</w:t>
            </w:r>
          </w:p>
        </w:tc>
        <w:tc>
          <w:tcPr>
            <w:tcW w:type="dxa" w:w="1474"/>
          </w:tcPr>
          <w:p>
            <w:pPr>
              <w:jc w:val="right"/>
            </w:pPr>
            <w:r/>
            <w:r>
              <w:rPr>
                <w:color w:val="1A1D21"/>
                <w:sz w:val="17"/>
              </w:rPr>
              <w:t>13.05</w:t>
            </w:r>
          </w:p>
        </w:tc>
        <w:tc>
          <w:tcPr>
            <w:tcW w:type="dxa" w:w="1361"/>
          </w:tcPr>
          <w:p>
            <w:r/>
            <w:r>
              <w:rPr>
                <w:color w:val="1A1D21"/>
                <w:sz w:val="17"/>
              </w:rPr>
              <w:t>cross-check</w:t>
            </w:r>
          </w:p>
        </w:tc>
      </w:tr>
      <w:tr>
        <w:trPr>
          <w:cantSplit/>
        </w:trPr>
        <w:tc>
          <w:tcPr>
            <w:tcW w:type="dxa" w:w="3175"/>
          </w:tcPr>
          <w:p>
            <w:r/>
            <w:r>
              <w:rPr>
                <w:color w:val="1A1D21"/>
                <w:sz w:val="17"/>
              </w:rPr>
              <w:t>Book value of equity — a disclosed floor</w:t>
            </w:r>
          </w:p>
        </w:tc>
        <w:tc>
          <w:tcPr>
            <w:tcW w:type="dxa" w:w="1474"/>
          </w:tcPr>
          <w:p>
            <w:pPr>
              <w:jc w:val="right"/>
            </w:pPr>
            <w:r/>
            <w:r>
              <w:rPr>
                <w:color w:val="1A1D21"/>
                <w:sz w:val="17"/>
              </w:rPr>
              <w:t>5.97</w:t>
            </w:r>
          </w:p>
        </w:tc>
        <w:tc>
          <w:tcPr>
            <w:tcW w:type="dxa" w:w="1474"/>
          </w:tcPr>
          <w:p>
            <w:pPr>
              <w:jc w:val="right"/>
            </w:pPr>
            <w:r/>
            <w:r>
              <w:rPr>
                <w:color w:val="1A1D21"/>
                <w:sz w:val="17"/>
              </w:rPr>
              <w:t>6.63</w:t>
            </w:r>
          </w:p>
        </w:tc>
        <w:tc>
          <w:tcPr>
            <w:tcW w:type="dxa" w:w="1474"/>
          </w:tcPr>
          <w:p>
            <w:pPr>
              <w:jc w:val="right"/>
            </w:pPr>
            <w:r/>
            <w:r>
              <w:rPr>
                <w:color w:val="1A1D21"/>
                <w:sz w:val="17"/>
              </w:rPr>
              <w:t>8.62</w:t>
            </w:r>
          </w:p>
        </w:tc>
        <w:tc>
          <w:tcPr>
            <w:tcW w:type="dxa" w:w="1361"/>
          </w:tcPr>
          <w:p>
            <w:r/>
            <w:r>
              <w:rPr>
                <w:color w:val="1A1D21"/>
                <w:sz w:val="17"/>
              </w:rPr>
              <w:t>cross-check</w:t>
            </w:r>
          </w:p>
        </w:tc>
      </w:tr>
      <w:tr>
        <w:trPr>
          <w:cantSplit/>
        </w:trPr>
        <w:tc>
          <w:tcPr>
            <w:tcW w:type="dxa" w:w="3175"/>
          </w:tcPr>
          <w:p>
            <w:r/>
            <w:r>
              <w:rPr>
                <w:color w:val="1A1D21"/>
                <w:sz w:val="17"/>
              </w:rPr>
              <w:t>Market price, 3 September 2026</w:t>
            </w:r>
          </w:p>
        </w:tc>
        <w:tc>
          <w:tcPr>
            <w:tcW w:type="dxa" w:w="1474"/>
          </w:tcPr>
          <w:p>
            <w:r/>
            <w:r>
              <w:rPr>
                <w:color w:val="1A1D21"/>
                <w:sz w:val="17"/>
              </w:rPr>
            </w:r>
          </w:p>
        </w:tc>
        <w:tc>
          <w:tcPr>
            <w:tcW w:type="dxa" w:w="1474"/>
          </w:tcPr>
          <w:p>
            <w:pPr>
              <w:jc w:val="right"/>
            </w:pPr>
            <w:r/>
            <w:r>
              <w:rPr>
                <w:color w:val="1A1D21"/>
                <w:sz w:val="17"/>
              </w:rPr>
              <w:t>14.40</w:t>
            </w:r>
          </w:p>
        </w:tc>
        <w:tc>
          <w:tcPr>
            <w:tcW w:type="dxa" w:w="1474"/>
          </w:tcPr>
          <w:p>
            <w:r/>
            <w:r>
              <w:rPr>
                <w:color w:val="1A1D21"/>
                <w:sz w:val="17"/>
              </w:rPr>
            </w:r>
          </w:p>
        </w:tc>
        <w:tc>
          <w:tcPr>
            <w:tcW w:type="dxa" w:w="1361"/>
          </w:tcPr>
          <w:p>
            <w:r/>
            <w:r>
              <w:rPr>
                <w:color w:val="1A1D21"/>
                <w:sz w:val="17"/>
              </w:rPr>
            </w:r>
          </w:p>
        </w:tc>
      </w:tr>
      <w:tr>
        <w:trPr>
          <w:cantSplit/>
        </w:trPr>
        <w:tc>
          <w:tcPr>
            <w:tcW w:type="dxa" w:w="3175"/>
          </w:tcPr>
          <w:p>
            <w:r/>
            <w:r>
              <w:rPr>
                <w:color w:val="1A1D21"/>
                <w:sz w:val="17"/>
              </w:rPr>
              <w:t>vs the central</w:t>
            </w:r>
          </w:p>
        </w:tc>
        <w:tc>
          <w:tcPr>
            <w:tcW w:type="dxa" w:w="1474"/>
          </w:tcPr>
          <w:p>
            <w:r/>
            <w:r>
              <w:rPr>
                <w:color w:val="1A1D21"/>
                <w:sz w:val="17"/>
              </w:rPr>
            </w:r>
          </w:p>
        </w:tc>
        <w:tc>
          <w:tcPr>
            <w:tcW w:type="dxa" w:w="1474"/>
          </w:tcPr>
          <w:p>
            <w:pPr>
              <w:jc w:val="right"/>
            </w:pPr>
            <w:r/>
            <w:r>
              <w:rPr>
                <w:color w:val="1A1D21"/>
                <w:sz w:val="17"/>
              </w:rPr>
              <w:t>-19%</w:t>
            </w:r>
          </w:p>
        </w:tc>
        <w:tc>
          <w:tcPr>
            <w:tcW w:type="dxa" w:w="1474"/>
          </w:tcPr>
          <w:p>
            <w:r/>
            <w:r>
              <w:rPr>
                <w:color w:val="1A1D21"/>
                <w:sz w:val="17"/>
              </w:rPr>
            </w:r>
          </w:p>
        </w:tc>
        <w:tc>
          <w:tcPr>
            <w:tcW w:type="dxa" w:w="1361"/>
          </w:tcPr>
          <w:p>
            <w:r/>
            <w:r>
              <w:rPr>
                <w:color w:val="1A1D21"/>
                <w:sz w:val="17"/>
              </w:rPr>
            </w:r>
          </w:p>
        </w:tc>
      </w:tr>
    </w:tbl>
    <w:p>
      <w:pPr>
        <w:spacing w:after="200"/>
      </w:pPr>
      <w:r>
        <w:rPr>
          <w:b w:val="0"/>
          <w:i/>
          <w:color w:val="5B6570"/>
          <w:sz w:val="16"/>
        </w:rPr>
        <w:t>EGP per share. The cash-flow lens is the central because it is the only one built from the company's own units and prices; the others are cross-checks, published so that a reader can see where they disagree. They are NOT averaged into the central. An earlier edition blended all four at fixed weights, and because three of the four value a developer on its reported earnings and its historical-cost book — a floor for a company whose worth sits in an undelivered order book — the blend read as a value when it was measuring a floor.</w:t>
      </w:r>
    </w:p>
    <w:p>
      <w:pPr>
        <w:jc w:val="center"/>
      </w:pPr>
      <w:r>
        <w:drawing>
          <wp:inline xmlns:a="http://schemas.openxmlformats.org/drawingml/2006/main" xmlns:pic="http://schemas.openxmlformats.org/drawingml/2006/picture">
            <wp:extent cx="5832000" cy="2427171"/>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832000" cy="2427171"/>
                    </a:xfrm>
                    <a:prstGeom prst="rect"/>
                  </pic:spPr>
                </pic:pic>
              </a:graphicData>
            </a:graphic>
          </wp:inline>
        </w:drawing>
      </w:r>
    </w:p>
    <w:p>
      <w:pPr>
        <w:spacing w:after="240"/>
        <w:jc w:val="center"/>
      </w:pPr>
      <w:r>
        <w:rPr>
          <w:b w:val="0"/>
          <w:i/>
          <w:color w:val="5B6570"/>
          <w:sz w:val="16"/>
        </w:rPr>
        <w:t>Figure 1 — each bar is one observed rate of cash conversion; the bar spans the discount rate from four points below the rebuilt cost of capital to four points above, and the white tick marks the value at the rebuilt rate itself. Shown against the closing price and the 30 August 2026 edition's central figure.</w:t>
      </w:r>
    </w:p>
    <w:p>
      <w:pPr>
        <w:pStyle w:val="Heading1"/>
      </w:pPr>
      <w:r>
        <w:t>Company overview</w:t>
      </w:r>
    </w:p>
    <w:p>
      <w:pPr>
        <w:spacing w:after="140"/>
      </w:pPr>
      <w:r>
        <w:rPr>
          <w:b w:val="0"/>
          <w:i w:val="0"/>
          <w:color w:val="1A1D21"/>
          <w:sz w:val="20"/>
        </w:rPr>
        <w:t>Palm Hills Developments builds and sells residential and commercial property in Egypt, principally in West Cairo, East Cairo, and the North Coast and Alexandria. It has been listed on the Egyptian Exchange since 2008. Units are sold off plan and paid for in instalments over several years, so the company collects cash long before, and long after, it recognises the sale.</w:t>
      </w:r>
    </w:p>
    <w:p>
      <w:pPr>
        <w:spacing w:after="140"/>
      </w:pPr>
      <w:r>
        <w:rPr>
          <w:b w:val="0"/>
          <w:i w:val="0"/>
          <w:color w:val="1A1D21"/>
          <w:sz w:val="20"/>
        </w:rPr>
        <w:t>Two things follow from that model and they shape everything in this study. First, revenue is recognised as construction completes rather than when a contract is signed, so the order book and the income statement move on different clocks. Second, the balance sheet carries a very large receivable book — EGP 103.5bn at the end of 2025 — against customer advances of EGP 69.4bn.</w:t>
      </w:r>
    </w:p>
    <w:tbl>
      <w:tblPr>
        <w:tblStyle w:val="TableGrid"/>
        <w:tblW w:type="auto" w:w="0"/>
        <w:jc w:val="center"/>
        <w:tblLayout w:type="fixed"/>
        <w:tblLook w:firstColumn="1" w:firstRow="1" w:lastColumn="0" w:lastRow="0" w:noHBand="0" w:noVBand="1" w:val="04A0"/>
        <w:tblLayout w:type="fixed"/>
      </w:tblPr>
      <w:tblGrid>
        <w:gridCol w:w="4196"/>
        <w:gridCol w:w="2495"/>
        <w:gridCol w:w="2495"/>
      </w:tblGrid>
      <w:tr>
        <w:trPr>
          <w:tblHeader w:val="true"/>
        </w:trPr>
        <w:tc>
          <w:tcPr>
            <w:tcW w:type="dxa" w:w="4195"/>
          </w:tcPr>
          <w:p>
            <w:r/>
            <w:r>
              <w:rPr>
                <w:b/>
                <w:color w:val="5B6570"/>
                <w:sz w:val="17"/>
              </w:rPr>
            </w:r>
          </w:p>
        </w:tc>
        <w:tc>
          <w:tcPr>
            <w:tcW w:type="dxa" w:w="2494"/>
          </w:tcPr>
          <w:p>
            <w:r/>
            <w:r>
              <w:rPr>
                <w:b/>
                <w:color w:val="5B6570"/>
                <w:sz w:val="17"/>
              </w:rPr>
              <w:t>2025</w:t>
            </w:r>
          </w:p>
        </w:tc>
        <w:tc>
          <w:tcPr>
            <w:tcW w:type="dxa" w:w="2494"/>
          </w:tcPr>
          <w:p>
            <w:r/>
            <w:r>
              <w:rPr>
                <w:b/>
                <w:color w:val="5B6570"/>
                <w:sz w:val="17"/>
              </w:rPr>
              <w:t>2024</w:t>
            </w:r>
          </w:p>
        </w:tc>
      </w:tr>
      <w:tr>
        <w:trPr>
          <w:cantSplit/>
        </w:trPr>
        <w:tc>
          <w:tcPr>
            <w:tcW w:type="dxa" w:w="4195"/>
          </w:tcPr>
          <w:p>
            <w:r/>
            <w:r>
              <w:rPr>
                <w:color w:val="1A1D21"/>
                <w:sz w:val="17"/>
              </w:rPr>
              <w:t>Revenue (EGP mn)</w:t>
            </w:r>
          </w:p>
        </w:tc>
        <w:tc>
          <w:tcPr>
            <w:tcW w:type="dxa" w:w="2494"/>
          </w:tcPr>
          <w:p>
            <w:pPr>
              <w:jc w:val="right"/>
            </w:pPr>
            <w:r/>
            <w:r>
              <w:rPr>
                <w:color w:val="1A1D21"/>
                <w:sz w:val="17"/>
              </w:rPr>
              <w:t>36,169</w:t>
            </w:r>
          </w:p>
        </w:tc>
        <w:tc>
          <w:tcPr>
            <w:tcW w:type="dxa" w:w="2494"/>
          </w:tcPr>
          <w:p>
            <w:pPr>
              <w:jc w:val="right"/>
            </w:pPr>
            <w:r/>
            <w:r>
              <w:rPr>
                <w:color w:val="1A1D21"/>
                <w:sz w:val="17"/>
              </w:rPr>
              <w:t>27,167</w:t>
            </w:r>
          </w:p>
        </w:tc>
      </w:tr>
      <w:tr>
        <w:trPr>
          <w:cantSplit/>
        </w:trPr>
        <w:tc>
          <w:tcPr>
            <w:tcW w:type="dxa" w:w="4195"/>
          </w:tcPr>
          <w:p>
            <w:r/>
            <w:r>
              <w:rPr>
                <w:color w:val="1A1D21"/>
                <w:sz w:val="17"/>
              </w:rPr>
              <w:t>Gross profit (EGP mn)</w:t>
            </w:r>
          </w:p>
        </w:tc>
        <w:tc>
          <w:tcPr>
            <w:tcW w:type="dxa" w:w="2494"/>
          </w:tcPr>
          <w:p>
            <w:pPr>
              <w:jc w:val="right"/>
            </w:pPr>
            <w:r/>
            <w:r>
              <w:rPr>
                <w:color w:val="1A1D21"/>
                <w:sz w:val="17"/>
              </w:rPr>
              <w:t>14,888</w:t>
            </w:r>
          </w:p>
        </w:tc>
        <w:tc>
          <w:tcPr>
            <w:tcW w:type="dxa" w:w="2494"/>
          </w:tcPr>
          <w:p>
            <w:pPr>
              <w:jc w:val="right"/>
            </w:pPr>
            <w:r/>
            <w:r>
              <w:rPr>
                <w:color w:val="1A1D21"/>
                <w:sz w:val="17"/>
              </w:rPr>
              <w:t>9,330</w:t>
            </w:r>
          </w:p>
        </w:tc>
      </w:tr>
      <w:tr>
        <w:trPr>
          <w:cantSplit/>
        </w:trPr>
        <w:tc>
          <w:tcPr>
            <w:tcW w:type="dxa" w:w="4195"/>
          </w:tcPr>
          <w:p>
            <w:r/>
            <w:r>
              <w:rPr>
                <w:color w:val="1A1D21"/>
                <w:sz w:val="17"/>
              </w:rPr>
              <w:t>Gross margin</w:t>
            </w:r>
          </w:p>
        </w:tc>
        <w:tc>
          <w:tcPr>
            <w:tcW w:type="dxa" w:w="2494"/>
          </w:tcPr>
          <w:p>
            <w:pPr>
              <w:jc w:val="right"/>
            </w:pPr>
            <w:r/>
            <w:r>
              <w:rPr>
                <w:color w:val="1A1D21"/>
                <w:sz w:val="17"/>
              </w:rPr>
              <w:t>41.2%</w:t>
            </w:r>
          </w:p>
        </w:tc>
        <w:tc>
          <w:tcPr>
            <w:tcW w:type="dxa" w:w="2494"/>
          </w:tcPr>
          <w:p>
            <w:pPr>
              <w:jc w:val="right"/>
            </w:pPr>
            <w:r/>
            <w:r>
              <w:rPr>
                <w:color w:val="1A1D21"/>
                <w:sz w:val="17"/>
              </w:rPr>
              <w:t>34.3%</w:t>
            </w:r>
          </w:p>
        </w:tc>
      </w:tr>
      <w:tr>
        <w:trPr>
          <w:cantSplit/>
        </w:trPr>
        <w:tc>
          <w:tcPr>
            <w:tcW w:type="dxa" w:w="4195"/>
          </w:tcPr>
          <w:p>
            <w:r/>
            <w:r>
              <w:rPr>
                <w:color w:val="1A1D21"/>
                <w:sz w:val="17"/>
              </w:rPr>
              <w:t>Profit after tax and minority (EGP mn)</w:t>
            </w:r>
          </w:p>
        </w:tc>
        <w:tc>
          <w:tcPr>
            <w:tcW w:type="dxa" w:w="2494"/>
          </w:tcPr>
          <w:p>
            <w:pPr>
              <w:jc w:val="right"/>
            </w:pPr>
            <w:r/>
            <w:r>
              <w:rPr>
                <w:color w:val="1A1D21"/>
                <w:sz w:val="17"/>
              </w:rPr>
              <w:t>4,217</w:t>
            </w:r>
          </w:p>
        </w:tc>
        <w:tc>
          <w:tcPr>
            <w:tcW w:type="dxa" w:w="2494"/>
          </w:tcPr>
          <w:p>
            <w:pPr>
              <w:jc w:val="right"/>
            </w:pPr>
            <w:r/>
            <w:r>
              <w:rPr>
                <w:color w:val="1A1D21"/>
                <w:sz w:val="17"/>
              </w:rPr>
              <w:t>3,255</w:t>
            </w:r>
          </w:p>
        </w:tc>
      </w:tr>
      <w:tr>
        <w:trPr>
          <w:cantSplit/>
        </w:trPr>
        <w:tc>
          <w:tcPr>
            <w:tcW w:type="dxa" w:w="4195"/>
          </w:tcPr>
          <w:p>
            <w:r/>
            <w:r>
              <w:rPr>
                <w:color w:val="1A1D21"/>
                <w:sz w:val="17"/>
              </w:rPr>
              <w:t>Cash from operations (EGP mn)</w:t>
            </w:r>
          </w:p>
        </w:tc>
        <w:tc>
          <w:tcPr>
            <w:tcW w:type="dxa" w:w="2494"/>
          </w:tcPr>
          <w:p>
            <w:pPr>
              <w:jc w:val="right"/>
            </w:pPr>
            <w:r/>
            <w:r>
              <w:rPr>
                <w:color w:val="1A1D21"/>
                <w:sz w:val="17"/>
              </w:rPr>
              <w:t>1,424</w:t>
            </w:r>
          </w:p>
        </w:tc>
        <w:tc>
          <w:tcPr>
            <w:tcW w:type="dxa" w:w="2494"/>
          </w:tcPr>
          <w:p>
            <w:pPr>
              <w:jc w:val="right"/>
            </w:pPr>
            <w:r/>
            <w:r>
              <w:rPr>
                <w:color w:val="1A1D21"/>
                <w:sz w:val="17"/>
              </w:rPr>
              <w:t>4,855</w:t>
            </w:r>
          </w:p>
        </w:tc>
      </w:tr>
      <w:tr>
        <w:trPr>
          <w:cantSplit/>
        </w:trPr>
        <w:tc>
          <w:tcPr>
            <w:tcW w:type="dxa" w:w="4195"/>
          </w:tcPr>
          <w:p>
            <w:r/>
            <w:r>
              <w:rPr>
                <w:color w:val="1A1D21"/>
                <w:sz w:val="17"/>
              </w:rPr>
              <w:t>Order book (EGP mn)</w:t>
            </w:r>
          </w:p>
        </w:tc>
        <w:tc>
          <w:tcPr>
            <w:tcW w:type="dxa" w:w="2494"/>
          </w:tcPr>
          <w:p>
            <w:r/>
            <w:r>
              <w:rPr>
                <w:color w:val="1A1D21"/>
                <w:sz w:val="17"/>
              </w:rPr>
              <w:t>263,000 (at 31 Mar 2026)</w:t>
            </w:r>
          </w:p>
        </w:tc>
        <w:tc>
          <w:tcPr>
            <w:tcW w:type="dxa" w:w="2494"/>
          </w:tcPr>
          <w:p>
            <w:pPr>
              <w:jc w:val="right"/>
            </w:pPr>
            <w:r/>
            <w:r>
              <w:rPr>
                <w:color w:val="1A1D21"/>
                <w:sz w:val="17"/>
              </w:rPr>
              <w:t>147,000</w:t>
            </w:r>
          </w:p>
        </w:tc>
      </w:tr>
      <w:tr>
        <w:trPr>
          <w:cantSplit/>
        </w:trPr>
        <w:tc>
          <w:tcPr>
            <w:tcW w:type="dxa" w:w="4195"/>
          </w:tcPr>
          <w:p>
            <w:r/>
            <w:r>
              <w:rPr>
                <w:color w:val="1A1D21"/>
                <w:sz w:val="17"/>
              </w:rPr>
              <w:t>Total assets (EGP mn)</w:t>
            </w:r>
          </w:p>
        </w:tc>
        <w:tc>
          <w:tcPr>
            <w:tcW w:type="dxa" w:w="2494"/>
          </w:tcPr>
          <w:p>
            <w:pPr>
              <w:jc w:val="right"/>
            </w:pPr>
            <w:r/>
            <w:r>
              <w:rPr>
                <w:color w:val="1A1D21"/>
                <w:sz w:val="17"/>
              </w:rPr>
              <w:t>172,130</w:t>
            </w:r>
          </w:p>
        </w:tc>
        <w:tc>
          <w:tcPr>
            <w:tcW w:type="dxa" w:w="2494"/>
          </w:tcPr>
          <w:p>
            <w:pPr>
              <w:jc w:val="right"/>
            </w:pPr>
            <w:r/>
            <w:r>
              <w:rPr>
                <w:color w:val="1A1D21"/>
                <w:sz w:val="17"/>
              </w:rPr>
              <w:t>123,437</w:t>
            </w:r>
          </w:p>
        </w:tc>
      </w:tr>
      <w:tr>
        <w:trPr>
          <w:cantSplit/>
        </w:trPr>
        <w:tc>
          <w:tcPr>
            <w:tcW w:type="dxa" w:w="4195"/>
          </w:tcPr>
          <w:p>
            <w:r/>
            <w:r>
              <w:rPr>
                <w:color w:val="1A1D21"/>
                <w:sz w:val="17"/>
              </w:rPr>
              <w:t>Shareholders' funds (EGP mn)</w:t>
            </w:r>
          </w:p>
        </w:tc>
        <w:tc>
          <w:tcPr>
            <w:tcW w:type="dxa" w:w="2494"/>
          </w:tcPr>
          <w:p>
            <w:pPr>
              <w:jc w:val="right"/>
            </w:pPr>
            <w:r/>
            <w:r>
              <w:rPr>
                <w:color w:val="1A1D21"/>
                <w:sz w:val="17"/>
              </w:rPr>
              <w:t>18,766</w:t>
            </w:r>
          </w:p>
        </w:tc>
        <w:tc>
          <w:tcPr>
            <w:tcW w:type="dxa" w:w="2494"/>
          </w:tcPr>
          <w:p>
            <w:pPr>
              <w:jc w:val="right"/>
            </w:pPr>
            <w:r/>
            <w:r>
              <w:rPr>
                <w:color w:val="1A1D21"/>
                <w:sz w:val="17"/>
              </w:rPr>
              <w:t>14,625</w:t>
            </w:r>
          </w:p>
        </w:tc>
      </w:tr>
    </w:tbl>
    <w:p>
      <w:pPr>
        <w:spacing w:after="200"/>
      </w:pPr>
      <w:r>
        <w:rPr>
          <w:b w:val="0"/>
          <w:i/>
          <w:color w:val="5B6570"/>
          <w:sz w:val="16"/>
        </w:rPr>
        <w:t>Source: the company's audited consolidated financial statements and its own results releases.</w:t>
      </w:r>
    </w:p>
    <w:p>
      <w:pPr>
        <w:pStyle w:val="Heading1"/>
      </w:pPr>
      <w:r>
        <w:t>1  Fundamental valuation</w:t>
      </w:r>
    </w:p>
    <w:p>
      <w:pPr>
        <w:pStyle w:val="Heading2"/>
      </w:pPr>
      <w:r>
        <w:t>1.1  The cash-flow model</w:t>
      </w:r>
    </w:p>
    <w:p>
      <w:pPr>
        <w:spacing w:after="140"/>
      </w:pPr>
      <w:r>
        <w:rPr>
          <w:b w:val="0"/>
          <w:i w:val="0"/>
          <w:color w:val="1A1D21"/>
          <w:sz w:val="20"/>
        </w:rPr>
        <w:t>The model runs five years from the audited 2025 base and then a terminal value. Revenue is limited by how much the company can build and hand over, not by how much it has sold: the order book is EGP 263bn against 2025 revenue of EGP 36.2bn, so sales are not the binding constraint and have not been for some years. Revenue is therefore units handed over times the revenue each one carries — 2,035 units in 2026, growing 15 per cent a year on the company's own disclosed run of handovers, at EGP 19.73 million a unit escalating with inflation. Nothing here is a ratio applied to last year's revenue.</w:t>
      </w:r>
    </w:p>
    <w:p>
      <w:pPr>
        <w:spacing w:after="140"/>
      </w:pPr>
      <w:r>
        <w:rPr>
          <w:b w:val="0"/>
          <w:i w:val="0"/>
          <w:color w:val="1A1D21"/>
          <w:sz w:val="20"/>
        </w:rPr>
        <w:t>Cost is recognised on the same completion schedule as revenue. That sounds obvious and it is the single most important correction in this edition. Since January 2016 the company has recognised revenue on standalone units as construction progresses; a model that accrues revenue that way but accrues cost on handover has the two legs on different clocks, and it systematically overstates profit. Gross margin here is an output of price against cost, never an input.</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EGP mn unless stated</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Units sold</w:t>
            </w:r>
          </w:p>
        </w:tc>
        <w:tc>
          <w:tcPr>
            <w:tcW w:type="dxa" w:w="1026"/>
          </w:tcPr>
          <w:p>
            <w:pPr>
              <w:jc w:val="right"/>
            </w:pPr>
            <w:r/>
            <w:r>
              <w:rPr>
                <w:color w:val="1A1D21"/>
                <w:sz w:val="17"/>
              </w:rPr>
              <w:t>5,633</w:t>
            </w:r>
          </w:p>
        </w:tc>
        <w:tc>
          <w:tcPr>
            <w:tcW w:type="dxa" w:w="1026"/>
          </w:tcPr>
          <w:p>
            <w:pPr>
              <w:jc w:val="right"/>
            </w:pPr>
            <w:r/>
            <w:r>
              <w:rPr>
                <w:color w:val="1A1D21"/>
                <w:sz w:val="17"/>
              </w:rPr>
              <w:t>5,633</w:t>
            </w:r>
          </w:p>
        </w:tc>
        <w:tc>
          <w:tcPr>
            <w:tcW w:type="dxa" w:w="1026"/>
          </w:tcPr>
          <w:p>
            <w:pPr>
              <w:jc w:val="right"/>
            </w:pPr>
            <w:r/>
            <w:r>
              <w:rPr>
                <w:color w:val="1A1D21"/>
                <w:sz w:val="17"/>
              </w:rPr>
              <w:t>5,633</w:t>
            </w:r>
          </w:p>
        </w:tc>
        <w:tc>
          <w:tcPr>
            <w:tcW w:type="dxa" w:w="1026"/>
          </w:tcPr>
          <w:p>
            <w:pPr>
              <w:jc w:val="right"/>
            </w:pPr>
            <w:r/>
            <w:r>
              <w:rPr>
                <w:color w:val="1A1D21"/>
                <w:sz w:val="17"/>
              </w:rPr>
              <w:t>5,633</w:t>
            </w:r>
          </w:p>
        </w:tc>
        <w:tc>
          <w:tcPr>
            <w:tcW w:type="dxa" w:w="1026"/>
          </w:tcPr>
          <w:p>
            <w:pPr>
              <w:jc w:val="right"/>
            </w:pPr>
            <w:r/>
            <w:r>
              <w:rPr>
                <w:color w:val="1A1D21"/>
                <w:sz w:val="17"/>
              </w:rPr>
              <w:t>5,633</w:t>
            </w:r>
          </w:p>
        </w:tc>
        <w:tc>
          <w:tcPr>
            <w:tcW w:type="dxa" w:w="1026"/>
          </w:tcPr>
          <w:p>
            <w:pPr>
              <w:jc w:val="right"/>
            </w:pPr>
            <w:r/>
            <w:r>
              <w:rPr>
                <w:color w:val="1A1D21"/>
                <w:sz w:val="17"/>
              </w:rPr>
              <w:t>5,633</w:t>
            </w:r>
          </w:p>
        </w:tc>
        <w:tc>
          <w:tcPr>
            <w:tcW w:type="dxa" w:w="1026"/>
          </w:tcPr>
          <w:p>
            <w:pPr>
              <w:jc w:val="right"/>
            </w:pPr>
            <w:r/>
            <w:r>
              <w:rPr>
                <w:color w:val="1A1D21"/>
                <w:sz w:val="17"/>
              </w:rPr>
              <w:t>5,633</w:t>
            </w:r>
          </w:p>
        </w:tc>
      </w:tr>
      <w:tr>
        <w:trPr>
          <w:cantSplit/>
        </w:trPr>
        <w:tc>
          <w:tcPr>
            <w:tcW w:type="dxa" w:w="1984"/>
          </w:tcPr>
          <w:p>
            <w:r/>
            <w:r>
              <w:rPr>
                <w:color w:val="1A1D21"/>
                <w:sz w:val="17"/>
              </w:rPr>
              <w:t>New sales (EGP mn)</w:t>
            </w:r>
          </w:p>
        </w:tc>
        <w:tc>
          <w:tcPr>
            <w:tcW w:type="dxa" w:w="1026"/>
          </w:tcPr>
          <w:p>
            <w:pPr>
              <w:jc w:val="right"/>
            </w:pPr>
            <w:r/>
            <w:r>
              <w:rPr>
                <w:color w:val="1A1D21"/>
                <w:sz w:val="17"/>
              </w:rPr>
              <w:t>129,712</w:t>
            </w:r>
          </w:p>
        </w:tc>
        <w:tc>
          <w:tcPr>
            <w:tcW w:type="dxa" w:w="1026"/>
          </w:tcPr>
          <w:p>
            <w:pPr>
              <w:jc w:val="right"/>
            </w:pPr>
            <w:r/>
            <w:r>
              <w:rPr>
                <w:color w:val="1A1D21"/>
                <w:sz w:val="17"/>
              </w:rPr>
              <w:t>145,277</w:t>
            </w:r>
          </w:p>
        </w:tc>
        <w:tc>
          <w:tcPr>
            <w:tcW w:type="dxa" w:w="1026"/>
          </w:tcPr>
          <w:p>
            <w:pPr>
              <w:jc w:val="right"/>
            </w:pPr>
            <w:r/>
            <w:r>
              <w:rPr>
                <w:color w:val="1A1D21"/>
                <w:sz w:val="17"/>
              </w:rPr>
              <w:t>158,352</w:t>
            </w:r>
          </w:p>
        </w:tc>
        <w:tc>
          <w:tcPr>
            <w:tcW w:type="dxa" w:w="1026"/>
          </w:tcPr>
          <w:p>
            <w:pPr>
              <w:jc w:val="right"/>
            </w:pPr>
            <w:r/>
            <w:r>
              <w:rPr>
                <w:color w:val="1A1D21"/>
                <w:sz w:val="17"/>
              </w:rPr>
              <w:t>170,229</w:t>
            </w:r>
          </w:p>
        </w:tc>
        <w:tc>
          <w:tcPr>
            <w:tcW w:type="dxa" w:w="1026"/>
          </w:tcPr>
          <w:p>
            <w:pPr>
              <w:jc w:val="right"/>
            </w:pPr>
            <w:r/>
            <w:r>
              <w:rPr>
                <w:color w:val="1A1D21"/>
                <w:sz w:val="17"/>
              </w:rPr>
              <w:t>182,145</w:t>
            </w:r>
          </w:p>
        </w:tc>
        <w:tc>
          <w:tcPr>
            <w:tcW w:type="dxa" w:w="1026"/>
          </w:tcPr>
          <w:p>
            <w:pPr>
              <w:jc w:val="right"/>
            </w:pPr>
            <w:r/>
            <w:r>
              <w:rPr>
                <w:color w:val="1A1D21"/>
                <w:sz w:val="17"/>
              </w:rPr>
              <w:t>255,468</w:t>
            </w:r>
          </w:p>
        </w:tc>
        <w:tc>
          <w:tcPr>
            <w:tcW w:type="dxa" w:w="1026"/>
          </w:tcPr>
          <w:p>
            <w:pPr>
              <w:jc w:val="right"/>
            </w:pPr>
            <w:r/>
            <w:r>
              <w:rPr>
                <w:color w:val="1A1D21"/>
                <w:sz w:val="17"/>
              </w:rPr>
              <w:t>358,306</w:t>
            </w:r>
          </w:p>
        </w:tc>
      </w:tr>
      <w:tr>
        <w:trPr>
          <w:cantSplit/>
        </w:trPr>
        <w:tc>
          <w:tcPr>
            <w:tcW w:type="dxa" w:w="1984"/>
          </w:tcPr>
          <w:p>
            <w:r/>
            <w:r>
              <w:rPr>
                <w:color w:val="1A1D21"/>
                <w:sz w:val="17"/>
              </w:rPr>
              <w:t>Units delivered</w:t>
            </w:r>
          </w:p>
        </w:tc>
        <w:tc>
          <w:tcPr>
            <w:tcW w:type="dxa" w:w="1026"/>
          </w:tcPr>
          <w:p>
            <w:pPr>
              <w:jc w:val="right"/>
            </w:pPr>
            <w:r/>
            <w:r>
              <w:rPr>
                <w:color w:val="1A1D21"/>
                <w:sz w:val="17"/>
              </w:rPr>
              <w:t>2,035</w:t>
            </w:r>
          </w:p>
        </w:tc>
        <w:tc>
          <w:tcPr>
            <w:tcW w:type="dxa" w:w="1026"/>
          </w:tcPr>
          <w:p>
            <w:pPr>
              <w:jc w:val="right"/>
            </w:pPr>
            <w:r/>
            <w:r>
              <w:rPr>
                <w:color w:val="1A1D21"/>
                <w:sz w:val="17"/>
              </w:rPr>
              <w:t>2,340</w:t>
            </w:r>
          </w:p>
        </w:tc>
        <w:tc>
          <w:tcPr>
            <w:tcW w:type="dxa" w:w="1026"/>
          </w:tcPr>
          <w:p>
            <w:pPr>
              <w:jc w:val="right"/>
            </w:pPr>
            <w:r/>
            <w:r>
              <w:rPr>
                <w:color w:val="1A1D21"/>
                <w:sz w:val="17"/>
              </w:rPr>
              <w:t>2,656</w:t>
            </w:r>
          </w:p>
        </w:tc>
        <w:tc>
          <w:tcPr>
            <w:tcW w:type="dxa" w:w="1026"/>
          </w:tcPr>
          <w:p>
            <w:pPr>
              <w:jc w:val="right"/>
            </w:pPr>
            <w:r/>
            <w:r>
              <w:rPr>
                <w:color w:val="1A1D21"/>
                <w:sz w:val="17"/>
              </w:rPr>
              <w:t>2,975</w:t>
            </w:r>
          </w:p>
        </w:tc>
        <w:tc>
          <w:tcPr>
            <w:tcW w:type="dxa" w:w="1026"/>
          </w:tcPr>
          <w:p>
            <w:pPr>
              <w:jc w:val="right"/>
            </w:pPr>
            <w:r/>
            <w:r>
              <w:rPr>
                <w:color w:val="1A1D21"/>
                <w:sz w:val="17"/>
              </w:rPr>
              <w:t>3,287</w:t>
            </w:r>
          </w:p>
        </w:tc>
        <w:tc>
          <w:tcPr>
            <w:tcW w:type="dxa" w:w="1026"/>
          </w:tcPr>
          <w:p>
            <w:pPr>
              <w:jc w:val="right"/>
            </w:pPr>
            <w:r/>
            <w:r>
              <w:rPr>
                <w:color w:val="1A1D21"/>
                <w:sz w:val="17"/>
              </w:rPr>
              <w:t>4,395</w:t>
            </w:r>
          </w:p>
        </w:tc>
        <w:tc>
          <w:tcPr>
            <w:tcW w:type="dxa" w:w="1026"/>
          </w:tcPr>
          <w:p>
            <w:pPr>
              <w:jc w:val="right"/>
            </w:pPr>
            <w:r/>
            <w:r>
              <w:rPr>
                <w:color w:val="1A1D21"/>
                <w:sz w:val="17"/>
              </w:rPr>
              <w:t>4,461</w:t>
            </w:r>
          </w:p>
        </w:tc>
      </w:tr>
      <w:tr>
        <w:trPr>
          <w:cantSplit/>
        </w:trPr>
        <w:tc>
          <w:tcPr>
            <w:tcW w:type="dxa" w:w="1984"/>
          </w:tcPr>
          <w:p>
            <w:r/>
            <w:r>
              <w:rPr>
                <w:color w:val="1A1D21"/>
                <w:sz w:val="17"/>
              </w:rPr>
              <w:t>Revenue per delivered unit (EGP mn)</w:t>
            </w:r>
          </w:p>
        </w:tc>
        <w:tc>
          <w:tcPr>
            <w:tcW w:type="dxa" w:w="1026"/>
          </w:tcPr>
          <w:p>
            <w:pPr>
              <w:jc w:val="right"/>
            </w:pPr>
            <w:r/>
            <w:r>
              <w:rPr>
                <w:color w:val="1A1D21"/>
                <w:sz w:val="17"/>
              </w:rPr>
              <w:t>19.73</w:t>
            </w:r>
          </w:p>
        </w:tc>
        <w:tc>
          <w:tcPr>
            <w:tcW w:type="dxa" w:w="1026"/>
          </w:tcPr>
          <w:p>
            <w:pPr>
              <w:jc w:val="right"/>
            </w:pPr>
            <w:r/>
            <w:r>
              <w:rPr>
                <w:color w:val="1A1D21"/>
                <w:sz w:val="17"/>
              </w:rPr>
              <w:t>22.10</w:t>
            </w:r>
          </w:p>
        </w:tc>
        <w:tc>
          <w:tcPr>
            <w:tcW w:type="dxa" w:w="1026"/>
          </w:tcPr>
          <w:p>
            <w:pPr>
              <w:jc w:val="right"/>
            </w:pPr>
            <w:r/>
            <w:r>
              <w:rPr>
                <w:color w:val="1A1D21"/>
                <w:sz w:val="17"/>
              </w:rPr>
              <w:t>24.08</w:t>
            </w:r>
          </w:p>
        </w:tc>
        <w:tc>
          <w:tcPr>
            <w:tcW w:type="dxa" w:w="1026"/>
          </w:tcPr>
          <w:p>
            <w:pPr>
              <w:jc w:val="right"/>
            </w:pPr>
            <w:r/>
            <w:r>
              <w:rPr>
                <w:color w:val="1A1D21"/>
                <w:sz w:val="17"/>
              </w:rPr>
              <w:t>25.89</w:t>
            </w:r>
          </w:p>
        </w:tc>
        <w:tc>
          <w:tcPr>
            <w:tcW w:type="dxa" w:w="1026"/>
          </w:tcPr>
          <w:p>
            <w:pPr>
              <w:jc w:val="right"/>
            </w:pPr>
            <w:r/>
            <w:r>
              <w:rPr>
                <w:color w:val="1A1D21"/>
                <w:sz w:val="17"/>
              </w:rPr>
              <w:t>27.70</w:t>
            </w:r>
          </w:p>
        </w:tc>
        <w:tc>
          <w:tcPr>
            <w:tcW w:type="dxa" w:w="1026"/>
          </w:tcPr>
          <w:p>
            <w:pPr>
              <w:jc w:val="right"/>
            </w:pPr>
            <w:r/>
            <w:r>
              <w:rPr>
                <w:color w:val="1A1D21"/>
                <w:sz w:val="17"/>
              </w:rPr>
              <w:t>38.85</w:t>
            </w:r>
          </w:p>
        </w:tc>
        <w:tc>
          <w:tcPr>
            <w:tcW w:type="dxa" w:w="1026"/>
          </w:tcPr>
          <w:p>
            <w:pPr>
              <w:jc w:val="right"/>
            </w:pPr>
            <w:r/>
            <w:r>
              <w:rPr>
                <w:color w:val="1A1D21"/>
                <w:sz w:val="17"/>
              </w:rPr>
              <w:t>54.49</w:t>
            </w:r>
          </w:p>
        </w:tc>
      </w:tr>
      <w:tr>
        <w:trPr>
          <w:cantSplit/>
        </w:trPr>
        <w:tc>
          <w:tcPr>
            <w:tcW w:type="dxa" w:w="1984"/>
          </w:tcPr>
          <w:p>
            <w:r/>
            <w:r>
              <w:rPr>
                <w:color w:val="1A1D21"/>
                <w:sz w:val="17"/>
              </w:rPr>
              <w:t>Revenue</w:t>
            </w:r>
          </w:p>
        </w:tc>
        <w:tc>
          <w:tcPr>
            <w:tcW w:type="dxa" w:w="1026"/>
          </w:tcPr>
          <w:p>
            <w:pPr>
              <w:jc w:val="right"/>
            </w:pPr>
            <w:r/>
            <w:r>
              <w:rPr>
                <w:color w:val="1A1D21"/>
                <w:sz w:val="17"/>
              </w:rPr>
              <w:t>40,148</w:t>
            </w:r>
          </w:p>
        </w:tc>
        <w:tc>
          <w:tcPr>
            <w:tcW w:type="dxa" w:w="1026"/>
          </w:tcPr>
          <w:p>
            <w:pPr>
              <w:jc w:val="right"/>
            </w:pPr>
            <w:r/>
            <w:r>
              <w:rPr>
                <w:color w:val="1A1D21"/>
                <w:sz w:val="17"/>
              </w:rPr>
              <w:t>51,711</w:t>
            </w:r>
          </w:p>
        </w:tc>
        <w:tc>
          <w:tcPr>
            <w:tcW w:type="dxa" w:w="1026"/>
          </w:tcPr>
          <w:p>
            <w:pPr>
              <w:jc w:val="right"/>
            </w:pPr>
            <w:r/>
            <w:r>
              <w:rPr>
                <w:color w:val="1A1D21"/>
                <w:sz w:val="17"/>
              </w:rPr>
              <w:t>63,974</w:t>
            </w:r>
          </w:p>
        </w:tc>
        <w:tc>
          <w:tcPr>
            <w:tcW w:type="dxa" w:w="1026"/>
          </w:tcPr>
          <w:p>
            <w:pPr>
              <w:jc w:val="right"/>
            </w:pPr>
            <w:r/>
            <w:r>
              <w:rPr>
                <w:color w:val="1A1D21"/>
                <w:sz w:val="17"/>
              </w:rPr>
              <w:t>77,024</w:t>
            </w:r>
          </w:p>
        </w:tc>
        <w:tc>
          <w:tcPr>
            <w:tcW w:type="dxa" w:w="1026"/>
          </w:tcPr>
          <w:p>
            <w:pPr>
              <w:jc w:val="right"/>
            </w:pPr>
            <w:r/>
            <w:r>
              <w:rPr>
                <w:color w:val="1A1D21"/>
                <w:sz w:val="17"/>
              </w:rPr>
              <w:t>91,070</w:t>
            </w:r>
          </w:p>
        </w:tc>
        <w:tc>
          <w:tcPr>
            <w:tcW w:type="dxa" w:w="1026"/>
          </w:tcPr>
          <w:p>
            <w:pPr>
              <w:jc w:val="right"/>
            </w:pPr>
            <w:r/>
            <w:r>
              <w:rPr>
                <w:color w:val="1A1D21"/>
                <w:sz w:val="17"/>
              </w:rPr>
              <w:t>170,760</w:t>
            </w:r>
          </w:p>
        </w:tc>
        <w:tc>
          <w:tcPr>
            <w:tcW w:type="dxa" w:w="1026"/>
          </w:tcPr>
          <w:p>
            <w:pPr>
              <w:jc w:val="right"/>
            </w:pPr>
            <w:r/>
            <w:r>
              <w:rPr>
                <w:color w:val="1A1D21"/>
                <w:sz w:val="17"/>
              </w:rPr>
              <w:t>243,093</w:t>
            </w:r>
          </w:p>
        </w:tc>
      </w:tr>
      <w:tr>
        <w:trPr>
          <w:cantSplit/>
        </w:trPr>
        <w:tc>
          <w:tcPr>
            <w:tcW w:type="dxa" w:w="1984"/>
          </w:tcPr>
          <w:p>
            <w:r/>
            <w:r>
              <w:rPr>
                <w:color w:val="1A1D21"/>
                <w:sz w:val="17"/>
              </w:rPr>
              <w:t>Cost per delivered unit (EGP mn)</w:t>
            </w:r>
          </w:p>
        </w:tc>
        <w:tc>
          <w:tcPr>
            <w:tcW w:type="dxa" w:w="1026"/>
          </w:tcPr>
          <w:p>
            <w:pPr>
              <w:jc w:val="right"/>
            </w:pPr>
            <w:r/>
            <w:r>
              <w:rPr>
                <w:color w:val="1A1D21"/>
                <w:sz w:val="17"/>
              </w:rPr>
              <w:t>12.73</w:t>
            </w:r>
          </w:p>
        </w:tc>
        <w:tc>
          <w:tcPr>
            <w:tcW w:type="dxa" w:w="1026"/>
          </w:tcPr>
          <w:p>
            <w:pPr>
              <w:jc w:val="right"/>
            </w:pPr>
            <w:r/>
            <w:r>
              <w:rPr>
                <w:color w:val="1A1D21"/>
                <w:sz w:val="17"/>
              </w:rPr>
              <w:t>14.25</w:t>
            </w:r>
          </w:p>
        </w:tc>
        <w:tc>
          <w:tcPr>
            <w:tcW w:type="dxa" w:w="1026"/>
          </w:tcPr>
          <w:p>
            <w:pPr>
              <w:jc w:val="right"/>
            </w:pPr>
            <w:r/>
            <w:r>
              <w:rPr>
                <w:color w:val="1A1D21"/>
                <w:sz w:val="17"/>
              </w:rPr>
              <w:t>15.54</w:t>
            </w:r>
          </w:p>
        </w:tc>
        <w:tc>
          <w:tcPr>
            <w:tcW w:type="dxa" w:w="1026"/>
          </w:tcPr>
          <w:p>
            <w:pPr>
              <w:jc w:val="right"/>
            </w:pPr>
            <w:r/>
            <w:r>
              <w:rPr>
                <w:color w:val="1A1D21"/>
                <w:sz w:val="17"/>
              </w:rPr>
              <w:t>16.70</w:t>
            </w:r>
          </w:p>
        </w:tc>
        <w:tc>
          <w:tcPr>
            <w:tcW w:type="dxa" w:w="1026"/>
          </w:tcPr>
          <w:p>
            <w:pPr>
              <w:jc w:val="right"/>
            </w:pPr>
            <w:r/>
            <w:r>
              <w:rPr>
                <w:color w:val="1A1D21"/>
                <w:sz w:val="17"/>
              </w:rPr>
              <w:t>17.87</w:t>
            </w:r>
          </w:p>
        </w:tc>
        <w:tc>
          <w:tcPr>
            <w:tcW w:type="dxa" w:w="1026"/>
          </w:tcPr>
          <w:p>
            <w:pPr>
              <w:jc w:val="right"/>
            </w:pPr>
            <w:r/>
            <w:r>
              <w:rPr>
                <w:color w:val="1A1D21"/>
                <w:sz w:val="17"/>
              </w:rPr>
              <w:t>25.07</w:t>
            </w:r>
          </w:p>
        </w:tc>
        <w:tc>
          <w:tcPr>
            <w:tcW w:type="dxa" w:w="1026"/>
          </w:tcPr>
          <w:p>
            <w:pPr>
              <w:jc w:val="right"/>
            </w:pPr>
            <w:r/>
            <w:r>
              <w:rPr>
                <w:color w:val="1A1D21"/>
                <w:sz w:val="17"/>
              </w:rPr>
              <w:t>35.16</w:t>
            </w:r>
          </w:p>
        </w:tc>
      </w:tr>
      <w:tr>
        <w:trPr>
          <w:cantSplit/>
        </w:trPr>
        <w:tc>
          <w:tcPr>
            <w:tcW w:type="dxa" w:w="1984"/>
          </w:tcPr>
          <w:p>
            <w:r/>
            <w:r>
              <w:rPr>
                <w:color w:val="1A1D21"/>
                <w:sz w:val="17"/>
              </w:rPr>
              <w:t>Cost of revenue</w:t>
            </w:r>
          </w:p>
        </w:tc>
        <w:tc>
          <w:tcPr>
            <w:tcW w:type="dxa" w:w="1026"/>
          </w:tcPr>
          <w:p>
            <w:pPr>
              <w:jc w:val="right"/>
            </w:pPr>
            <w:r/>
            <w:r>
              <w:rPr>
                <w:color w:val="1A1D21"/>
                <w:sz w:val="17"/>
              </w:rPr>
              <w:t>25,902</w:t>
            </w:r>
          </w:p>
        </w:tc>
        <w:tc>
          <w:tcPr>
            <w:tcW w:type="dxa" w:w="1026"/>
          </w:tcPr>
          <w:p>
            <w:pPr>
              <w:jc w:val="right"/>
            </w:pPr>
            <w:r/>
            <w:r>
              <w:rPr>
                <w:color w:val="1A1D21"/>
                <w:sz w:val="17"/>
              </w:rPr>
              <w:t>33,362</w:t>
            </w:r>
          </w:p>
        </w:tc>
        <w:tc>
          <w:tcPr>
            <w:tcW w:type="dxa" w:w="1026"/>
          </w:tcPr>
          <w:p>
            <w:pPr>
              <w:jc w:val="right"/>
            </w:pPr>
            <w:r/>
            <w:r>
              <w:rPr>
                <w:color w:val="1A1D21"/>
                <w:sz w:val="17"/>
              </w:rPr>
              <w:t>41,273</w:t>
            </w:r>
          </w:p>
        </w:tc>
        <w:tc>
          <w:tcPr>
            <w:tcW w:type="dxa" w:w="1026"/>
          </w:tcPr>
          <w:p>
            <w:pPr>
              <w:jc w:val="right"/>
            </w:pPr>
            <w:r/>
            <w:r>
              <w:rPr>
                <w:color w:val="1A1D21"/>
                <w:sz w:val="17"/>
              </w:rPr>
              <w:t>49,693</w:t>
            </w:r>
          </w:p>
        </w:tc>
        <w:tc>
          <w:tcPr>
            <w:tcW w:type="dxa" w:w="1026"/>
          </w:tcPr>
          <w:p>
            <w:pPr>
              <w:jc w:val="right"/>
            </w:pPr>
            <w:r/>
            <w:r>
              <w:rPr>
                <w:color w:val="1A1D21"/>
                <w:sz w:val="17"/>
              </w:rPr>
              <w:t>58,755</w:t>
            </w:r>
          </w:p>
        </w:tc>
        <w:tc>
          <w:tcPr>
            <w:tcW w:type="dxa" w:w="1026"/>
          </w:tcPr>
          <w:p>
            <w:pPr>
              <w:jc w:val="right"/>
            </w:pPr>
            <w:r/>
            <w:r>
              <w:rPr>
                <w:color w:val="1A1D21"/>
                <w:sz w:val="17"/>
              </w:rPr>
              <w:t>110,168</w:t>
            </w:r>
          </w:p>
        </w:tc>
        <w:tc>
          <w:tcPr>
            <w:tcW w:type="dxa" w:w="1026"/>
          </w:tcPr>
          <w:p>
            <w:pPr>
              <w:jc w:val="right"/>
            </w:pPr>
            <w:r/>
            <w:r>
              <w:rPr>
                <w:color w:val="1A1D21"/>
                <w:sz w:val="17"/>
              </w:rPr>
              <w:t>156,834</w:t>
            </w:r>
          </w:p>
        </w:tc>
      </w:tr>
      <w:tr>
        <w:trPr>
          <w:cantSplit/>
        </w:trPr>
        <w:tc>
          <w:tcPr>
            <w:tcW w:type="dxa" w:w="1984"/>
          </w:tcPr>
          <w:p>
            <w:r/>
            <w:r>
              <w:rPr>
                <w:color w:val="1A1D21"/>
                <w:sz w:val="17"/>
              </w:rPr>
              <w:t>Gross profit</w:t>
            </w:r>
          </w:p>
        </w:tc>
        <w:tc>
          <w:tcPr>
            <w:tcW w:type="dxa" w:w="1026"/>
          </w:tcPr>
          <w:p>
            <w:pPr>
              <w:jc w:val="right"/>
            </w:pPr>
            <w:r/>
            <w:r>
              <w:rPr>
                <w:color w:val="1A1D21"/>
                <w:sz w:val="17"/>
              </w:rPr>
              <w:t>14,246</w:t>
            </w:r>
          </w:p>
        </w:tc>
        <w:tc>
          <w:tcPr>
            <w:tcW w:type="dxa" w:w="1026"/>
          </w:tcPr>
          <w:p>
            <w:pPr>
              <w:jc w:val="right"/>
            </w:pPr>
            <w:r/>
            <w:r>
              <w:rPr>
                <w:color w:val="1A1D21"/>
                <w:sz w:val="17"/>
              </w:rPr>
              <w:t>18,349</w:t>
            </w:r>
          </w:p>
        </w:tc>
        <w:tc>
          <w:tcPr>
            <w:tcW w:type="dxa" w:w="1026"/>
          </w:tcPr>
          <w:p>
            <w:pPr>
              <w:jc w:val="right"/>
            </w:pPr>
            <w:r/>
            <w:r>
              <w:rPr>
                <w:color w:val="1A1D21"/>
                <w:sz w:val="17"/>
              </w:rPr>
              <w:t>22,700</w:t>
            </w:r>
          </w:p>
        </w:tc>
        <w:tc>
          <w:tcPr>
            <w:tcW w:type="dxa" w:w="1026"/>
          </w:tcPr>
          <w:p>
            <w:pPr>
              <w:jc w:val="right"/>
            </w:pPr>
            <w:r/>
            <w:r>
              <w:rPr>
                <w:color w:val="1A1D21"/>
                <w:sz w:val="17"/>
              </w:rPr>
              <w:t>27,331</w:t>
            </w:r>
          </w:p>
        </w:tc>
        <w:tc>
          <w:tcPr>
            <w:tcW w:type="dxa" w:w="1026"/>
          </w:tcPr>
          <w:p>
            <w:pPr>
              <w:jc w:val="right"/>
            </w:pPr>
            <w:r/>
            <w:r>
              <w:rPr>
                <w:color w:val="1A1D21"/>
                <w:sz w:val="17"/>
              </w:rPr>
              <w:t>32,315</w:t>
            </w:r>
          </w:p>
        </w:tc>
        <w:tc>
          <w:tcPr>
            <w:tcW w:type="dxa" w:w="1026"/>
          </w:tcPr>
          <w:p>
            <w:pPr>
              <w:jc w:val="right"/>
            </w:pPr>
            <w:r/>
            <w:r>
              <w:rPr>
                <w:color w:val="1A1D21"/>
                <w:sz w:val="17"/>
              </w:rPr>
              <w:t>60,592</w:t>
            </w:r>
          </w:p>
        </w:tc>
        <w:tc>
          <w:tcPr>
            <w:tcW w:type="dxa" w:w="1026"/>
          </w:tcPr>
          <w:p>
            <w:pPr>
              <w:jc w:val="right"/>
            </w:pPr>
            <w:r/>
            <w:r>
              <w:rPr>
                <w:color w:val="1A1D21"/>
                <w:sz w:val="17"/>
              </w:rPr>
              <w:t>86,259</w:t>
            </w:r>
          </w:p>
        </w:tc>
      </w:tr>
      <w:tr>
        <w:trPr>
          <w:cantSplit/>
        </w:trPr>
        <w:tc>
          <w:tcPr>
            <w:tcW w:type="dxa" w:w="1984"/>
          </w:tcPr>
          <w:p>
            <w:r/>
            <w:r>
              <w:rPr>
                <w:color w:val="1A1D21"/>
                <w:sz w:val="17"/>
              </w:rPr>
              <w:t>Gross margin (output)</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r>
      <w:tr>
        <w:trPr>
          <w:cantSplit/>
        </w:trPr>
        <w:tc>
          <w:tcPr>
            <w:tcW w:type="dxa" w:w="1984"/>
          </w:tcPr>
          <w:p>
            <w:r/>
            <w:r>
              <w:rPr>
                <w:color w:val="1A1D21"/>
                <w:sz w:val="17"/>
              </w:rPr>
              <w:t>Overheads</w:t>
            </w:r>
          </w:p>
        </w:tc>
        <w:tc>
          <w:tcPr>
            <w:tcW w:type="dxa" w:w="1026"/>
          </w:tcPr>
          <w:p>
            <w:pPr>
              <w:jc w:val="right"/>
            </w:pPr>
            <w:r/>
            <w:r>
              <w:rPr>
                <w:color w:val="1A1D21"/>
                <w:sz w:val="17"/>
              </w:rPr>
              <w:t>7,066</w:t>
            </w:r>
          </w:p>
        </w:tc>
        <w:tc>
          <w:tcPr>
            <w:tcW w:type="dxa" w:w="1026"/>
          </w:tcPr>
          <w:p>
            <w:pPr>
              <w:jc w:val="right"/>
            </w:pPr>
            <w:r/>
            <w:r>
              <w:rPr>
                <w:color w:val="1A1D21"/>
                <w:sz w:val="17"/>
              </w:rPr>
              <w:t>9,101</w:t>
            </w:r>
          </w:p>
        </w:tc>
        <w:tc>
          <w:tcPr>
            <w:tcW w:type="dxa" w:w="1026"/>
          </w:tcPr>
          <w:p>
            <w:pPr>
              <w:jc w:val="right"/>
            </w:pPr>
            <w:r/>
            <w:r>
              <w:rPr>
                <w:color w:val="1A1D21"/>
                <w:sz w:val="17"/>
              </w:rPr>
              <w:t>11,259</w:t>
            </w:r>
          </w:p>
        </w:tc>
        <w:tc>
          <w:tcPr>
            <w:tcW w:type="dxa" w:w="1026"/>
          </w:tcPr>
          <w:p>
            <w:pPr>
              <w:jc w:val="right"/>
            </w:pPr>
            <w:r/>
            <w:r>
              <w:rPr>
                <w:color w:val="1A1D21"/>
                <w:sz w:val="17"/>
              </w:rPr>
              <w:t>13,556</w:t>
            </w:r>
          </w:p>
        </w:tc>
        <w:tc>
          <w:tcPr>
            <w:tcW w:type="dxa" w:w="1026"/>
          </w:tcPr>
          <w:p>
            <w:pPr>
              <w:jc w:val="right"/>
            </w:pPr>
            <w:r/>
            <w:r>
              <w:rPr>
                <w:color w:val="1A1D21"/>
                <w:sz w:val="17"/>
              </w:rPr>
              <w:t>16,028</w:t>
            </w:r>
          </w:p>
        </w:tc>
        <w:tc>
          <w:tcPr>
            <w:tcW w:type="dxa" w:w="1026"/>
          </w:tcPr>
          <w:p>
            <w:pPr>
              <w:jc w:val="right"/>
            </w:pPr>
            <w:r/>
            <w:r>
              <w:rPr>
                <w:color w:val="1A1D21"/>
                <w:sz w:val="17"/>
              </w:rPr>
              <w:t>30,053</w:t>
            </w:r>
          </w:p>
        </w:tc>
        <w:tc>
          <w:tcPr>
            <w:tcW w:type="dxa" w:w="1026"/>
          </w:tcPr>
          <w:p>
            <w:pPr>
              <w:jc w:val="right"/>
            </w:pPr>
            <w:r/>
            <w:r>
              <w:rPr>
                <w:color w:val="1A1D21"/>
                <w:sz w:val="17"/>
              </w:rPr>
              <w:t>42,783</w:t>
            </w:r>
          </w:p>
        </w:tc>
      </w:tr>
      <w:tr>
        <w:trPr>
          <w:cantSplit/>
        </w:trPr>
        <w:tc>
          <w:tcPr>
            <w:tcW w:type="dxa" w:w="1984"/>
          </w:tcPr>
          <w:p>
            <w:r/>
            <w:r>
              <w:rPr>
                <w:color w:val="1A1D21"/>
                <w:sz w:val="17"/>
              </w:rPr>
              <w:t>Depreciation and amortisation</w:t>
            </w:r>
          </w:p>
        </w:tc>
        <w:tc>
          <w:tcPr>
            <w:tcW w:type="dxa" w:w="1026"/>
          </w:tcPr>
          <w:p>
            <w:pPr>
              <w:jc w:val="right"/>
            </w:pPr>
            <w:r/>
            <w:r>
              <w:rPr>
                <w:color w:val="1A1D21"/>
                <w:sz w:val="17"/>
              </w:rPr>
              <w:t>393</w:t>
            </w:r>
          </w:p>
        </w:tc>
        <w:tc>
          <w:tcPr>
            <w:tcW w:type="dxa" w:w="1026"/>
          </w:tcPr>
          <w:p>
            <w:pPr>
              <w:jc w:val="right"/>
            </w:pPr>
            <w:r/>
            <w:r>
              <w:rPr>
                <w:color w:val="1A1D21"/>
                <w:sz w:val="17"/>
              </w:rPr>
              <w:t>506</w:t>
            </w:r>
          </w:p>
        </w:tc>
        <w:tc>
          <w:tcPr>
            <w:tcW w:type="dxa" w:w="1026"/>
          </w:tcPr>
          <w:p>
            <w:pPr>
              <w:jc w:val="right"/>
            </w:pPr>
            <w:r/>
            <w:r>
              <w:rPr>
                <w:color w:val="1A1D21"/>
                <w:sz w:val="17"/>
              </w:rPr>
              <w:t>626</w:t>
            </w:r>
          </w:p>
        </w:tc>
        <w:tc>
          <w:tcPr>
            <w:tcW w:type="dxa" w:w="1026"/>
          </w:tcPr>
          <w:p>
            <w:pPr>
              <w:jc w:val="right"/>
            </w:pPr>
            <w:r/>
            <w:r>
              <w:rPr>
                <w:color w:val="1A1D21"/>
                <w:sz w:val="17"/>
              </w:rPr>
              <w:t>753</w:t>
            </w:r>
          </w:p>
        </w:tc>
        <w:tc>
          <w:tcPr>
            <w:tcW w:type="dxa" w:w="1026"/>
          </w:tcPr>
          <w:p>
            <w:pPr>
              <w:jc w:val="right"/>
            </w:pPr>
            <w:r/>
            <w:r>
              <w:rPr>
                <w:color w:val="1A1D21"/>
                <w:sz w:val="17"/>
              </w:rPr>
              <w:t>891</w:t>
            </w:r>
          </w:p>
        </w:tc>
        <w:tc>
          <w:tcPr>
            <w:tcW w:type="dxa" w:w="1026"/>
          </w:tcPr>
          <w:p>
            <w:pPr>
              <w:jc w:val="right"/>
            </w:pPr>
            <w:r/>
            <w:r>
              <w:rPr>
                <w:color w:val="1A1D21"/>
                <w:sz w:val="17"/>
              </w:rPr>
              <w:t>1,670</w:t>
            </w:r>
          </w:p>
        </w:tc>
        <w:tc>
          <w:tcPr>
            <w:tcW w:type="dxa" w:w="1026"/>
          </w:tcPr>
          <w:p>
            <w:pPr>
              <w:jc w:val="right"/>
            </w:pPr>
            <w:r/>
            <w:r>
              <w:rPr>
                <w:color w:val="1A1D21"/>
                <w:sz w:val="17"/>
              </w:rPr>
              <w:t>2,377</w:t>
            </w:r>
          </w:p>
        </w:tc>
      </w:tr>
      <w:tr>
        <w:trPr>
          <w:cantSplit/>
        </w:trPr>
        <w:tc>
          <w:tcPr>
            <w:tcW w:type="dxa" w:w="1984"/>
          </w:tcPr>
          <w:p>
            <w:r/>
            <w:r>
              <w:rPr>
                <w:color w:val="1A1D21"/>
                <w:sz w:val="17"/>
              </w:rPr>
              <w:t>Operating profit</w:t>
            </w:r>
          </w:p>
        </w:tc>
        <w:tc>
          <w:tcPr>
            <w:tcW w:type="dxa" w:w="1026"/>
          </w:tcPr>
          <w:p>
            <w:pPr>
              <w:jc w:val="right"/>
            </w:pPr>
            <w:r/>
            <w:r>
              <w:rPr>
                <w:color w:val="1A1D21"/>
                <w:sz w:val="17"/>
              </w:rPr>
              <w:t>6,788</w:t>
            </w:r>
          </w:p>
        </w:tc>
        <w:tc>
          <w:tcPr>
            <w:tcW w:type="dxa" w:w="1026"/>
          </w:tcPr>
          <w:p>
            <w:pPr>
              <w:jc w:val="right"/>
            </w:pPr>
            <w:r/>
            <w:r>
              <w:rPr>
                <w:color w:val="1A1D21"/>
                <w:sz w:val="17"/>
              </w:rPr>
              <w:t>8,742</w:t>
            </w:r>
          </w:p>
        </w:tc>
        <w:tc>
          <w:tcPr>
            <w:tcW w:type="dxa" w:w="1026"/>
          </w:tcPr>
          <w:p>
            <w:pPr>
              <w:jc w:val="right"/>
            </w:pPr>
            <w:r/>
            <w:r>
              <w:rPr>
                <w:color w:val="1A1D21"/>
                <w:sz w:val="17"/>
              </w:rPr>
              <w:t>10,816</w:t>
            </w:r>
          </w:p>
        </w:tc>
        <w:tc>
          <w:tcPr>
            <w:tcW w:type="dxa" w:w="1026"/>
          </w:tcPr>
          <w:p>
            <w:pPr>
              <w:jc w:val="right"/>
            </w:pPr>
            <w:r/>
            <w:r>
              <w:rPr>
                <w:color w:val="1A1D21"/>
                <w:sz w:val="17"/>
              </w:rPr>
              <w:t>13,022</w:t>
            </w:r>
          </w:p>
        </w:tc>
        <w:tc>
          <w:tcPr>
            <w:tcW w:type="dxa" w:w="1026"/>
          </w:tcPr>
          <w:p>
            <w:pPr>
              <w:jc w:val="right"/>
            </w:pPr>
            <w:r/>
            <w:r>
              <w:rPr>
                <w:color w:val="1A1D21"/>
                <w:sz w:val="17"/>
              </w:rPr>
              <w:t>15,397</w:t>
            </w:r>
          </w:p>
        </w:tc>
        <w:tc>
          <w:tcPr>
            <w:tcW w:type="dxa" w:w="1026"/>
          </w:tcPr>
          <w:p>
            <w:pPr>
              <w:jc w:val="right"/>
            </w:pPr>
            <w:r/>
            <w:r>
              <w:rPr>
                <w:color w:val="1A1D21"/>
                <w:sz w:val="17"/>
              </w:rPr>
              <w:t>28,870</w:t>
            </w:r>
          </w:p>
        </w:tc>
        <w:tc>
          <w:tcPr>
            <w:tcW w:type="dxa" w:w="1026"/>
          </w:tcPr>
          <w:p>
            <w:pPr>
              <w:jc w:val="right"/>
            </w:pPr>
            <w:r/>
            <w:r>
              <w:rPr>
                <w:color w:val="1A1D21"/>
                <w:sz w:val="17"/>
              </w:rPr>
              <w:t>41,099</w:t>
            </w:r>
          </w:p>
        </w:tc>
      </w:tr>
      <w:tr>
        <w:trPr>
          <w:cantSplit/>
        </w:trPr>
        <w:tc>
          <w:tcPr>
            <w:tcW w:type="dxa" w:w="1984"/>
          </w:tcPr>
          <w:p>
            <w:r/>
            <w:r>
              <w:rPr>
                <w:color w:val="1A1D21"/>
                <w:sz w:val="17"/>
              </w:rPr>
              <w:t>Finance cost</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r>
      <w:tr>
        <w:trPr>
          <w:cantSplit/>
        </w:trPr>
        <w:tc>
          <w:tcPr>
            <w:tcW w:type="dxa" w:w="1984"/>
          </w:tcPr>
          <w:p>
            <w:r/>
            <w:r>
              <w:rPr>
                <w:color w:val="1A1D21"/>
                <w:sz w:val="17"/>
              </w:rPr>
              <w:t>Profit before tax</w:t>
            </w:r>
          </w:p>
        </w:tc>
        <w:tc>
          <w:tcPr>
            <w:tcW w:type="dxa" w:w="1026"/>
          </w:tcPr>
          <w:p>
            <w:pPr>
              <w:jc w:val="right"/>
            </w:pPr>
            <w:r/>
            <w:r>
              <w:rPr>
                <w:color w:val="1A1D21"/>
                <w:sz w:val="17"/>
              </w:rPr>
              <w:t>3,440</w:t>
            </w:r>
          </w:p>
        </w:tc>
        <w:tc>
          <w:tcPr>
            <w:tcW w:type="dxa" w:w="1026"/>
          </w:tcPr>
          <w:p>
            <w:pPr>
              <w:jc w:val="right"/>
            </w:pPr>
            <w:r/>
            <w:r>
              <w:rPr>
                <w:color w:val="1A1D21"/>
                <w:sz w:val="17"/>
              </w:rPr>
              <w:t>5,395</w:t>
            </w:r>
          </w:p>
        </w:tc>
        <w:tc>
          <w:tcPr>
            <w:tcW w:type="dxa" w:w="1026"/>
          </w:tcPr>
          <w:p>
            <w:pPr>
              <w:jc w:val="right"/>
            </w:pPr>
            <w:r/>
            <w:r>
              <w:rPr>
                <w:color w:val="1A1D21"/>
                <w:sz w:val="17"/>
              </w:rPr>
              <w:t>7,468</w:t>
            </w:r>
          </w:p>
        </w:tc>
        <w:tc>
          <w:tcPr>
            <w:tcW w:type="dxa" w:w="1026"/>
          </w:tcPr>
          <w:p>
            <w:pPr>
              <w:jc w:val="right"/>
            </w:pPr>
            <w:r/>
            <w:r>
              <w:rPr>
                <w:color w:val="1A1D21"/>
                <w:sz w:val="17"/>
              </w:rPr>
              <w:t>9,675</w:t>
            </w:r>
          </w:p>
        </w:tc>
        <w:tc>
          <w:tcPr>
            <w:tcW w:type="dxa" w:w="1026"/>
          </w:tcPr>
          <w:p>
            <w:pPr>
              <w:jc w:val="right"/>
            </w:pPr>
            <w:r/>
            <w:r>
              <w:rPr>
                <w:color w:val="1A1D21"/>
                <w:sz w:val="17"/>
              </w:rPr>
              <w:t>12,049</w:t>
            </w:r>
          </w:p>
        </w:tc>
        <w:tc>
          <w:tcPr>
            <w:tcW w:type="dxa" w:w="1026"/>
          </w:tcPr>
          <w:p>
            <w:pPr>
              <w:jc w:val="right"/>
            </w:pPr>
            <w:r/>
            <w:r>
              <w:rPr>
                <w:color w:val="1A1D21"/>
                <w:sz w:val="17"/>
              </w:rPr>
              <w:t>25,522</w:t>
            </w:r>
          </w:p>
        </w:tc>
        <w:tc>
          <w:tcPr>
            <w:tcW w:type="dxa" w:w="1026"/>
          </w:tcPr>
          <w:p>
            <w:pPr>
              <w:jc w:val="right"/>
            </w:pPr>
            <w:r/>
            <w:r>
              <w:rPr>
                <w:color w:val="1A1D21"/>
                <w:sz w:val="17"/>
              </w:rPr>
              <w:t>37,751</w:t>
            </w:r>
          </w:p>
        </w:tc>
      </w:tr>
      <w:tr>
        <w:trPr>
          <w:cantSplit/>
        </w:trPr>
        <w:tc>
          <w:tcPr>
            <w:tcW w:type="dxa" w:w="1984"/>
          </w:tcPr>
          <w:p>
            <w:r/>
            <w:r>
              <w:rPr>
                <w:color w:val="1A1D21"/>
                <w:sz w:val="17"/>
              </w:rPr>
              <w:t>Tax rate</w:t>
            </w:r>
          </w:p>
        </w:tc>
        <w:tc>
          <w:tcPr>
            <w:tcW w:type="dxa" w:w="1026"/>
          </w:tcPr>
          <w:p>
            <w:pPr>
              <w:jc w:val="right"/>
            </w:pPr>
            <w:r/>
            <w:r>
              <w:rPr>
                <w:color w:val="1A1D21"/>
                <w:sz w:val="17"/>
              </w:rPr>
              <w:t>22.5%</w:t>
            </w:r>
          </w:p>
        </w:tc>
        <w:tc>
          <w:tcPr>
            <w:tcW w:type="dxa" w:w="1026"/>
          </w:tcPr>
          <w:p>
            <w:pPr>
              <w:jc w:val="right"/>
            </w:pPr>
            <w:r/>
            <w:r>
              <w:rPr>
                <w:color w:val="1A1D21"/>
                <w:sz w:val="17"/>
              </w:rPr>
              <w:t>22.5%</w:t>
            </w:r>
          </w:p>
        </w:tc>
        <w:tc>
          <w:tcPr>
            <w:tcW w:type="dxa" w:w="1026"/>
          </w:tcPr>
          <w:p>
            <w:pPr>
              <w:jc w:val="right"/>
            </w:pPr>
            <w:r/>
            <w:r>
              <w:rPr>
                <w:color w:val="1A1D21"/>
                <w:sz w:val="17"/>
              </w:rPr>
              <w:t>22.5%</w:t>
            </w:r>
          </w:p>
        </w:tc>
        <w:tc>
          <w:tcPr>
            <w:tcW w:type="dxa" w:w="1026"/>
          </w:tcPr>
          <w:p>
            <w:pPr>
              <w:jc w:val="right"/>
            </w:pPr>
            <w:r/>
            <w:r>
              <w:rPr>
                <w:color w:val="1A1D21"/>
                <w:sz w:val="17"/>
              </w:rPr>
              <w:t>22.5%</w:t>
            </w:r>
          </w:p>
        </w:tc>
        <w:tc>
          <w:tcPr>
            <w:tcW w:type="dxa" w:w="1026"/>
          </w:tcPr>
          <w:p>
            <w:pPr>
              <w:jc w:val="right"/>
            </w:pPr>
            <w:r/>
            <w:r>
              <w:rPr>
                <w:color w:val="1A1D21"/>
                <w:sz w:val="17"/>
              </w:rPr>
              <w:t>22.5%</w:t>
            </w:r>
          </w:p>
        </w:tc>
        <w:tc>
          <w:tcPr>
            <w:tcW w:type="dxa" w:w="1026"/>
          </w:tcPr>
          <w:p>
            <w:pPr>
              <w:jc w:val="right"/>
            </w:pPr>
            <w:r/>
            <w:r>
              <w:rPr>
                <w:color w:val="1A1D21"/>
                <w:sz w:val="17"/>
              </w:rPr>
              <w:t>22.5%</w:t>
            </w:r>
          </w:p>
        </w:tc>
        <w:tc>
          <w:tcPr>
            <w:tcW w:type="dxa" w:w="1026"/>
          </w:tcPr>
          <w:p>
            <w:pPr>
              <w:jc w:val="right"/>
            </w:pPr>
            <w:r/>
            <w:r>
              <w:rPr>
                <w:color w:val="1A1D21"/>
                <w:sz w:val="17"/>
              </w:rPr>
              <w:t>22.5%</w:t>
            </w:r>
          </w:p>
        </w:tc>
      </w:tr>
      <w:tr>
        <w:trPr>
          <w:cantSplit/>
        </w:trPr>
        <w:tc>
          <w:tcPr>
            <w:tcW w:type="dxa" w:w="1984"/>
          </w:tcPr>
          <w:p>
            <w:r/>
            <w:r>
              <w:rPr>
                <w:color w:val="1A1D21"/>
                <w:sz w:val="17"/>
              </w:rPr>
              <w:t>Net profit</w:t>
            </w:r>
          </w:p>
        </w:tc>
        <w:tc>
          <w:tcPr>
            <w:tcW w:type="dxa" w:w="1026"/>
          </w:tcPr>
          <w:p>
            <w:pPr>
              <w:jc w:val="right"/>
            </w:pPr>
            <w:r/>
            <w:r>
              <w:rPr>
                <w:color w:val="1A1D21"/>
                <w:sz w:val="17"/>
              </w:rPr>
              <w:t>2,666</w:t>
            </w:r>
          </w:p>
        </w:tc>
        <w:tc>
          <w:tcPr>
            <w:tcW w:type="dxa" w:w="1026"/>
          </w:tcPr>
          <w:p>
            <w:pPr>
              <w:jc w:val="right"/>
            </w:pPr>
            <w:r/>
            <w:r>
              <w:rPr>
                <w:color w:val="1A1D21"/>
                <w:sz w:val="17"/>
              </w:rPr>
              <w:t>4,181</w:t>
            </w:r>
          </w:p>
        </w:tc>
        <w:tc>
          <w:tcPr>
            <w:tcW w:type="dxa" w:w="1026"/>
          </w:tcPr>
          <w:p>
            <w:pPr>
              <w:jc w:val="right"/>
            </w:pPr>
            <w:r/>
            <w:r>
              <w:rPr>
                <w:color w:val="1A1D21"/>
                <w:sz w:val="17"/>
              </w:rPr>
              <w:t>5,788</w:t>
            </w:r>
          </w:p>
        </w:tc>
        <w:tc>
          <w:tcPr>
            <w:tcW w:type="dxa" w:w="1026"/>
          </w:tcPr>
          <w:p>
            <w:pPr>
              <w:jc w:val="right"/>
            </w:pPr>
            <w:r/>
            <w:r>
              <w:rPr>
                <w:color w:val="1A1D21"/>
                <w:sz w:val="17"/>
              </w:rPr>
              <w:t>7,498</w:t>
            </w:r>
          </w:p>
        </w:tc>
        <w:tc>
          <w:tcPr>
            <w:tcW w:type="dxa" w:w="1026"/>
          </w:tcPr>
          <w:p>
            <w:pPr>
              <w:jc w:val="right"/>
            </w:pPr>
            <w:r/>
            <w:r>
              <w:rPr>
                <w:color w:val="1A1D21"/>
                <w:sz w:val="17"/>
              </w:rPr>
              <w:t>9,338</w:t>
            </w:r>
          </w:p>
        </w:tc>
        <w:tc>
          <w:tcPr>
            <w:tcW w:type="dxa" w:w="1026"/>
          </w:tcPr>
          <w:p>
            <w:pPr>
              <w:jc w:val="right"/>
            </w:pPr>
            <w:r/>
            <w:r>
              <w:rPr>
                <w:color w:val="1A1D21"/>
                <w:sz w:val="17"/>
              </w:rPr>
              <w:t>19,780</w:t>
            </w:r>
          </w:p>
        </w:tc>
        <w:tc>
          <w:tcPr>
            <w:tcW w:type="dxa" w:w="1026"/>
          </w:tcPr>
          <w:p>
            <w:pPr>
              <w:jc w:val="right"/>
            </w:pPr>
            <w:r/>
            <w:r>
              <w:rPr>
                <w:color w:val="1A1D21"/>
                <w:sz w:val="17"/>
              </w:rPr>
              <w:t>29,257</w:t>
            </w:r>
          </w:p>
        </w:tc>
      </w:tr>
      <w:tr>
        <w:trPr>
          <w:cantSplit/>
        </w:trPr>
        <w:tc>
          <w:tcPr>
            <w:tcW w:type="dxa" w:w="1984"/>
          </w:tcPr>
          <w:p>
            <w:r/>
            <w:r>
              <w:rPr>
                <w:color w:val="1A1D21"/>
                <w:sz w:val="17"/>
              </w:rPr>
              <w:t>Earnings per share (EGP)</w:t>
            </w:r>
          </w:p>
        </w:tc>
        <w:tc>
          <w:tcPr>
            <w:tcW w:type="dxa" w:w="1026"/>
          </w:tcPr>
          <w:p>
            <w:pPr>
              <w:jc w:val="right"/>
            </w:pPr>
            <w:r/>
            <w:r>
              <w:rPr>
                <w:color w:val="1A1D21"/>
                <w:sz w:val="17"/>
              </w:rPr>
              <w:t>0.93</w:t>
            </w:r>
          </w:p>
        </w:tc>
        <w:tc>
          <w:tcPr>
            <w:tcW w:type="dxa" w:w="1026"/>
          </w:tcPr>
          <w:p>
            <w:pPr>
              <w:jc w:val="right"/>
            </w:pPr>
            <w:r/>
            <w:r>
              <w:rPr>
                <w:color w:val="1A1D21"/>
                <w:sz w:val="17"/>
              </w:rPr>
              <w:t>1.46</w:t>
            </w:r>
          </w:p>
        </w:tc>
        <w:tc>
          <w:tcPr>
            <w:tcW w:type="dxa" w:w="1026"/>
          </w:tcPr>
          <w:p>
            <w:pPr>
              <w:jc w:val="right"/>
            </w:pPr>
            <w:r/>
            <w:r>
              <w:rPr>
                <w:color w:val="1A1D21"/>
                <w:sz w:val="17"/>
              </w:rPr>
              <w:t>2.02</w:t>
            </w:r>
          </w:p>
        </w:tc>
        <w:tc>
          <w:tcPr>
            <w:tcW w:type="dxa" w:w="1026"/>
          </w:tcPr>
          <w:p>
            <w:pPr>
              <w:jc w:val="right"/>
            </w:pPr>
            <w:r/>
            <w:r>
              <w:rPr>
                <w:color w:val="1A1D21"/>
                <w:sz w:val="17"/>
              </w:rPr>
              <w:t>2.62</w:t>
            </w:r>
          </w:p>
        </w:tc>
        <w:tc>
          <w:tcPr>
            <w:tcW w:type="dxa" w:w="1026"/>
          </w:tcPr>
          <w:p>
            <w:pPr>
              <w:jc w:val="right"/>
            </w:pPr>
            <w:r/>
            <w:r>
              <w:rPr>
                <w:color w:val="1A1D21"/>
                <w:sz w:val="17"/>
              </w:rPr>
              <w:t>3.27</w:t>
            </w:r>
          </w:p>
        </w:tc>
        <w:tc>
          <w:tcPr>
            <w:tcW w:type="dxa" w:w="1026"/>
          </w:tcPr>
          <w:p>
            <w:pPr>
              <w:jc w:val="right"/>
            </w:pPr>
            <w:r/>
            <w:r>
              <w:rPr>
                <w:color w:val="1A1D21"/>
                <w:sz w:val="17"/>
              </w:rPr>
              <w:t>6.92</w:t>
            </w:r>
          </w:p>
        </w:tc>
        <w:tc>
          <w:tcPr>
            <w:tcW w:type="dxa" w:w="1026"/>
          </w:tcPr>
          <w:p>
            <w:pPr>
              <w:jc w:val="right"/>
            </w:pPr>
            <w:r/>
            <w:r>
              <w:rPr>
                <w:color w:val="1A1D21"/>
                <w:sz w:val="17"/>
              </w:rPr>
              <w:t>10.23</w:t>
            </w:r>
          </w:p>
        </w:tc>
      </w:tr>
      <w:tr>
        <w:trPr>
          <w:cantSplit/>
        </w:trPr>
        <w:tc>
          <w:tcPr>
            <w:tcW w:type="dxa" w:w="1984"/>
          </w:tcPr>
          <w:p>
            <w:r/>
            <w:r>
              <w:rPr>
                <w:color w:val="1A1D21"/>
                <w:sz w:val="17"/>
              </w:rPr>
              <w:t>Order book, closing</w:t>
            </w:r>
          </w:p>
        </w:tc>
        <w:tc>
          <w:tcPr>
            <w:tcW w:type="dxa" w:w="1026"/>
          </w:tcPr>
          <w:p>
            <w:pPr>
              <w:jc w:val="right"/>
            </w:pPr>
            <w:r/>
            <w:r>
              <w:rPr>
                <w:color w:val="1A1D21"/>
                <w:sz w:val="17"/>
              </w:rPr>
              <w:t>352,564</w:t>
            </w:r>
          </w:p>
        </w:tc>
        <w:tc>
          <w:tcPr>
            <w:tcW w:type="dxa" w:w="1026"/>
          </w:tcPr>
          <w:p>
            <w:pPr>
              <w:jc w:val="right"/>
            </w:pPr>
            <w:r/>
            <w:r>
              <w:rPr>
                <w:color w:val="1A1D21"/>
                <w:sz w:val="17"/>
              </w:rPr>
              <w:t>446,131</w:t>
            </w:r>
          </w:p>
        </w:tc>
        <w:tc>
          <w:tcPr>
            <w:tcW w:type="dxa" w:w="1026"/>
          </w:tcPr>
          <w:p>
            <w:pPr>
              <w:jc w:val="right"/>
            </w:pPr>
            <w:r/>
            <w:r>
              <w:rPr>
                <w:color w:val="1A1D21"/>
                <w:sz w:val="17"/>
              </w:rPr>
              <w:t>540,510</w:t>
            </w:r>
          </w:p>
        </w:tc>
        <w:tc>
          <w:tcPr>
            <w:tcW w:type="dxa" w:w="1026"/>
          </w:tcPr>
          <w:p>
            <w:pPr>
              <w:jc w:val="right"/>
            </w:pPr>
            <w:r/>
            <w:r>
              <w:rPr>
                <w:color w:val="1A1D21"/>
                <w:sz w:val="17"/>
              </w:rPr>
              <w:t>633,714</w:t>
            </w:r>
          </w:p>
        </w:tc>
        <w:tc>
          <w:tcPr>
            <w:tcW w:type="dxa" w:w="1026"/>
          </w:tcPr>
          <w:p>
            <w:pPr>
              <w:jc w:val="right"/>
            </w:pPr>
            <w:r/>
            <w:r>
              <w:rPr>
                <w:color w:val="1A1D21"/>
                <w:sz w:val="17"/>
              </w:rPr>
              <w:t>724,789</w:t>
            </w:r>
          </w:p>
        </w:tc>
        <w:tc>
          <w:tcPr>
            <w:tcW w:type="dxa" w:w="1026"/>
          </w:tcPr>
          <w:p>
            <w:pPr>
              <w:jc w:val="right"/>
            </w:pPr>
            <w:r/>
            <w:r>
              <w:rPr>
                <w:color w:val="1A1D21"/>
                <w:sz w:val="17"/>
              </w:rPr>
              <w:t>1,152,921</w:t>
            </w:r>
          </w:p>
        </w:tc>
        <w:tc>
          <w:tcPr>
            <w:tcW w:type="dxa" w:w="1026"/>
          </w:tcPr>
          <w:p>
            <w:pPr>
              <w:jc w:val="right"/>
            </w:pPr>
            <w:r/>
            <w:r>
              <w:rPr>
                <w:color w:val="1A1D21"/>
                <w:sz w:val="17"/>
              </w:rPr>
              <w:t>1,658,388</w:t>
            </w:r>
          </w:p>
        </w:tc>
      </w:tr>
    </w:tbl>
    <w:p>
      <w:pPr>
        <w:spacing w:after="200"/>
      </w:pPr>
      <w:r>
        <w:rPr>
          <w:b w:val="0"/>
          <w:i/>
          <w:color w:val="5B6570"/>
          <w:sz w:val="16"/>
        </w:rPr>
        <w:t>Every line follows from the two engines above. Gross margin is what price per unit and cost per unit leave behind, not an assumption.</w:t>
      </w:r>
    </w:p>
    <w:p>
      <w:pPr>
        <w:spacing w:after="140"/>
      </w:pPr>
      <w:r>
        <w:rPr>
          <w:b w:val="0"/>
          <w:i w:val="0"/>
          <w:color w:val="1A1D21"/>
          <w:sz w:val="20"/>
        </w:rPr>
        <w:t>Three anchors hold this table to what was actually reported. FY2026 is part-reported: the company disclosed first-quarter revenue of EGP 9,300 million, up 11 per cent on the same quarter of 2025, which places that quarter at 23.2 per cent of the full year and gives an FY2026 revenue anchor of EGP 40,148 million from the actual rather than from a trend. The finance charge is the disclosed rate on the interest-bearing borrowings, 13.91 per cent, not the 25.50 per cent marginal rate used for discounting — a large part of the balance does not bear interest and part of the charge is capitalised into work in progress. And the gross margin is held at 35.5 per cent, the average of the last two disclosures.</w:t>
      </w:r>
    </w:p>
    <w:p>
      <w:pPr>
        <w:spacing w:after="140"/>
      </w:pPr>
      <w:r>
        <w:rPr>
          <w:b w:val="0"/>
          <w:i w:val="0"/>
          <w:color w:val="1A1D21"/>
          <w:sz w:val="20"/>
        </w:rPr>
        <w:t>One drift was measured and deliberately not carried. The move from a 41.2 per cent gross margin in 2025 to 35.5 per cent in the first quarter of 2026 implies cost rising about 9.6 per cent a year faster than price. Compounded over five years that takes gross margin to 7.5 per cent and the company to a loss by 2030 — on the strength of one quarter against one year, for a developer whose margin moves with which project happens to hand over. It is sensitised in section 1.9 instead of extrapolated.</w:t>
      </w:r>
    </w:p>
    <w:tbl>
      <w:tblPr>
        <w:tblStyle w:val="TableGrid"/>
        <w:tblW w:type="auto" w:w="0"/>
        <w:jc w:val="center"/>
        <w:tblLayout w:type="fixed"/>
        <w:tblLook w:firstColumn="1" w:firstRow="1" w:lastColumn="0" w:lastRow="0" w:noHBand="0" w:noVBand="1" w:val="04A0"/>
        <w:tblLayout w:type="fixed"/>
      </w:tblPr>
      <w:tblGrid>
        <w:gridCol w:w="3402"/>
        <w:gridCol w:w="1928"/>
        <w:gridCol w:w="1928"/>
        <w:gridCol w:w="1928"/>
      </w:tblGrid>
      <w:tr>
        <w:trPr>
          <w:tblHeader w:val="true"/>
        </w:trPr>
        <w:tc>
          <w:tcPr>
            <w:tcW w:type="dxa" w:w="3402"/>
          </w:tcPr>
          <w:p>
            <w:r/>
            <w:r>
              <w:rPr>
                <w:b/>
                <w:color w:val="5B6570"/>
                <w:sz w:val="17"/>
              </w:rPr>
              <w:t>Revenue, years three to five (EGP mn)</w:t>
            </w:r>
          </w:p>
        </w:tc>
        <w:tc>
          <w:tcPr>
            <w:tcW w:type="dxa" w:w="1928"/>
          </w:tcPr>
          <w:p>
            <w:r/>
            <w:r>
              <w:rPr>
                <w:b/>
                <w:color w:val="5B6570"/>
                <w:sz w:val="17"/>
              </w:rPr>
              <w:t>Low</w:t>
            </w:r>
          </w:p>
        </w:tc>
        <w:tc>
          <w:tcPr>
            <w:tcW w:type="dxa" w:w="1928"/>
          </w:tcPr>
          <w:p>
            <w:r/>
            <w:r>
              <w:rPr>
                <w:b/>
                <w:color w:val="5B6570"/>
                <w:sz w:val="17"/>
              </w:rPr>
              <w:t>Point</w:t>
            </w:r>
          </w:p>
        </w:tc>
        <w:tc>
          <w:tcPr>
            <w:tcW w:type="dxa" w:w="1928"/>
          </w:tcPr>
          <w:p>
            <w:r/>
            <w:r>
              <w:rPr>
                <w:b/>
                <w:color w:val="5B6570"/>
                <w:sz w:val="17"/>
              </w:rPr>
              <w:t>High</w:t>
            </w:r>
          </w:p>
        </w:tc>
      </w:tr>
      <w:tr>
        <w:trPr>
          <w:cantSplit/>
        </w:trPr>
        <w:tc>
          <w:tcPr>
            <w:tcW w:type="dxa" w:w="3402"/>
          </w:tcPr>
          <w:p>
            <w:r/>
            <w:r>
              <w:rPr>
                <w:color w:val="1A1D21"/>
                <w:sz w:val="17"/>
              </w:rPr>
              <w:t>2028</w:t>
            </w:r>
          </w:p>
        </w:tc>
        <w:tc>
          <w:tcPr>
            <w:tcW w:type="dxa" w:w="1928"/>
          </w:tcPr>
          <w:p>
            <w:pPr>
              <w:jc w:val="right"/>
            </w:pPr>
            <w:r/>
            <w:r>
              <w:rPr>
                <w:color w:val="1A1D21"/>
                <w:sz w:val="17"/>
              </w:rPr>
              <w:t>28,876</w:t>
            </w:r>
          </w:p>
        </w:tc>
        <w:tc>
          <w:tcPr>
            <w:tcW w:type="dxa" w:w="1928"/>
          </w:tcPr>
          <w:p>
            <w:pPr>
              <w:jc w:val="right"/>
            </w:pPr>
            <w:r/>
            <w:r>
              <w:rPr>
                <w:color w:val="1A1D21"/>
                <w:sz w:val="17"/>
              </w:rPr>
              <w:t>63,974</w:t>
            </w:r>
          </w:p>
        </w:tc>
        <w:tc>
          <w:tcPr>
            <w:tcW w:type="dxa" w:w="1928"/>
          </w:tcPr>
          <w:p>
            <w:pPr>
              <w:jc w:val="right"/>
            </w:pPr>
            <w:r/>
            <w:r>
              <w:rPr>
                <w:color w:val="1A1D21"/>
                <w:sz w:val="17"/>
              </w:rPr>
              <w:t>121,224</w:t>
            </w:r>
          </w:p>
        </w:tc>
      </w:tr>
      <w:tr>
        <w:trPr>
          <w:cantSplit/>
        </w:trPr>
        <w:tc>
          <w:tcPr>
            <w:tcW w:type="dxa" w:w="3402"/>
          </w:tcPr>
          <w:p>
            <w:r/>
            <w:r>
              <w:rPr>
                <w:color w:val="1A1D21"/>
                <w:sz w:val="17"/>
              </w:rPr>
              <w:t>2029</w:t>
            </w:r>
          </w:p>
        </w:tc>
        <w:tc>
          <w:tcPr>
            <w:tcW w:type="dxa" w:w="1928"/>
          </w:tcPr>
          <w:p>
            <w:pPr>
              <w:jc w:val="right"/>
            </w:pPr>
            <w:r/>
            <w:r>
              <w:rPr>
                <w:color w:val="1A1D21"/>
                <w:sz w:val="17"/>
              </w:rPr>
              <w:t>37,188</w:t>
            </w:r>
          </w:p>
        </w:tc>
        <w:tc>
          <w:tcPr>
            <w:tcW w:type="dxa" w:w="1928"/>
          </w:tcPr>
          <w:p>
            <w:pPr>
              <w:jc w:val="right"/>
            </w:pPr>
            <w:r/>
            <w:r>
              <w:rPr>
                <w:color w:val="1A1D21"/>
                <w:sz w:val="17"/>
              </w:rPr>
              <w:t>77,024</w:t>
            </w:r>
          </w:p>
        </w:tc>
        <w:tc>
          <w:tcPr>
            <w:tcW w:type="dxa" w:w="1928"/>
          </w:tcPr>
          <w:p>
            <w:pPr>
              <w:jc w:val="right"/>
            </w:pPr>
            <w:r/>
            <w:r>
              <w:rPr>
                <w:color w:val="1A1D21"/>
                <w:sz w:val="17"/>
              </w:rPr>
              <w:t>163,342</w:t>
            </w:r>
          </w:p>
        </w:tc>
      </w:tr>
      <w:tr>
        <w:trPr>
          <w:cantSplit/>
        </w:trPr>
        <w:tc>
          <w:tcPr>
            <w:tcW w:type="dxa" w:w="3402"/>
          </w:tcPr>
          <w:p>
            <w:r/>
            <w:r>
              <w:rPr>
                <w:color w:val="1A1D21"/>
                <w:sz w:val="17"/>
              </w:rPr>
              <w:t>2030</w:t>
            </w:r>
          </w:p>
        </w:tc>
        <w:tc>
          <w:tcPr>
            <w:tcW w:type="dxa" w:w="1928"/>
          </w:tcPr>
          <w:p>
            <w:pPr>
              <w:jc w:val="right"/>
            </w:pPr>
            <w:r/>
            <w:r>
              <w:rPr>
                <w:color w:val="1A1D21"/>
                <w:sz w:val="17"/>
              </w:rPr>
              <w:t>59,447</w:t>
            </w:r>
          </w:p>
        </w:tc>
        <w:tc>
          <w:tcPr>
            <w:tcW w:type="dxa" w:w="1928"/>
          </w:tcPr>
          <w:p>
            <w:pPr>
              <w:jc w:val="right"/>
            </w:pPr>
            <w:r/>
            <w:r>
              <w:rPr>
                <w:color w:val="1A1D21"/>
                <w:sz w:val="17"/>
              </w:rPr>
              <w:t>91,070</w:t>
            </w:r>
          </w:p>
        </w:tc>
        <w:tc>
          <w:tcPr>
            <w:tcW w:type="dxa" w:w="1928"/>
          </w:tcPr>
          <w:p>
            <w:pPr>
              <w:jc w:val="right"/>
            </w:pPr>
            <w:r/>
            <w:r>
              <w:rPr>
                <w:color w:val="1A1D21"/>
                <w:sz w:val="17"/>
              </w:rPr>
              <w:t>152,199</w:t>
            </w:r>
          </w:p>
        </w:tc>
      </w:tr>
    </w:tbl>
    <w:p>
      <w:pPr>
        <w:spacing w:after="200"/>
      </w:pPr>
      <w:r>
        <w:rPr>
          <w:b w:val="0"/>
          <w:i/>
          <w:color w:val="5B6570"/>
          <w:sz w:val="16"/>
        </w:rPr>
        <w:t>The band is this method's OWN measured error at each horizon, taken from testing it across ten annual starting points on the company's 2011-2025 history. It is not a scenario; it is the spread the method has actually produced.</w:t>
      </w:r>
    </w:p>
    <w:p>
      <w:pPr>
        <w:pStyle w:val="Heading3"/>
      </w:pPr>
      <w:r>
        <w:t>The cash-flow calculation in full</w:t>
      </w:r>
    </w:p>
    <w:p>
      <w:pPr>
        <w:spacing w:after="140"/>
      </w:pPr>
      <w:r>
        <w:rPr>
          <w:b w:val="0"/>
          <w:i w:val="0"/>
          <w:color w:val="1A1D21"/>
          <w:sz w:val="20"/>
        </w:rPr>
        <w:t>Operating profit is not cash, and for a developer selling on instalments the gap between the two is the whole question. The table below runs every step from operating profit to a present value, year by year, with nothing collapsed.</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Operating profit</w:t>
            </w:r>
          </w:p>
        </w:tc>
        <w:tc>
          <w:tcPr>
            <w:tcW w:type="dxa" w:w="1026"/>
          </w:tcPr>
          <w:p>
            <w:pPr>
              <w:jc w:val="right"/>
            </w:pPr>
            <w:r/>
            <w:r>
              <w:rPr>
                <w:color w:val="1A1D21"/>
                <w:sz w:val="17"/>
              </w:rPr>
              <w:t>6,788</w:t>
            </w:r>
          </w:p>
        </w:tc>
        <w:tc>
          <w:tcPr>
            <w:tcW w:type="dxa" w:w="1026"/>
          </w:tcPr>
          <w:p>
            <w:pPr>
              <w:jc w:val="right"/>
            </w:pPr>
            <w:r/>
            <w:r>
              <w:rPr>
                <w:color w:val="1A1D21"/>
                <w:sz w:val="17"/>
              </w:rPr>
              <w:t>8,742</w:t>
            </w:r>
          </w:p>
        </w:tc>
        <w:tc>
          <w:tcPr>
            <w:tcW w:type="dxa" w:w="1026"/>
          </w:tcPr>
          <w:p>
            <w:pPr>
              <w:jc w:val="right"/>
            </w:pPr>
            <w:r/>
            <w:r>
              <w:rPr>
                <w:color w:val="1A1D21"/>
                <w:sz w:val="17"/>
              </w:rPr>
              <w:t>10,816</w:t>
            </w:r>
          </w:p>
        </w:tc>
        <w:tc>
          <w:tcPr>
            <w:tcW w:type="dxa" w:w="1026"/>
          </w:tcPr>
          <w:p>
            <w:pPr>
              <w:jc w:val="right"/>
            </w:pPr>
            <w:r/>
            <w:r>
              <w:rPr>
                <w:color w:val="1A1D21"/>
                <w:sz w:val="17"/>
              </w:rPr>
              <w:t>13,022</w:t>
            </w:r>
          </w:p>
        </w:tc>
        <w:tc>
          <w:tcPr>
            <w:tcW w:type="dxa" w:w="1026"/>
          </w:tcPr>
          <w:p>
            <w:pPr>
              <w:jc w:val="right"/>
            </w:pPr>
            <w:r/>
            <w:r>
              <w:rPr>
                <w:color w:val="1A1D21"/>
                <w:sz w:val="17"/>
              </w:rPr>
              <w:t>15,397</w:t>
            </w:r>
          </w:p>
        </w:tc>
        <w:tc>
          <w:tcPr>
            <w:tcW w:type="dxa" w:w="1026"/>
          </w:tcPr>
          <w:p>
            <w:pPr>
              <w:jc w:val="right"/>
            </w:pPr>
            <w:r/>
            <w:r>
              <w:rPr>
                <w:color w:val="1A1D21"/>
                <w:sz w:val="17"/>
              </w:rPr>
              <w:t>28,870</w:t>
            </w:r>
          </w:p>
        </w:tc>
        <w:tc>
          <w:tcPr>
            <w:tcW w:type="dxa" w:w="1026"/>
          </w:tcPr>
          <w:p>
            <w:pPr>
              <w:jc w:val="right"/>
            </w:pPr>
            <w:r/>
            <w:r>
              <w:rPr>
                <w:color w:val="1A1D21"/>
                <w:sz w:val="17"/>
              </w:rPr>
              <w:t>41,099</w:t>
            </w:r>
          </w:p>
        </w:tc>
      </w:tr>
      <w:tr>
        <w:trPr>
          <w:cantSplit/>
        </w:trPr>
        <w:tc>
          <w:tcPr>
            <w:tcW w:type="dxa" w:w="1984"/>
          </w:tcPr>
          <w:p>
            <w:r/>
            <w:r>
              <w:rPr>
                <w:color w:val="1A1D21"/>
                <w:sz w:val="17"/>
              </w:rPr>
              <w:t>Cash from operations</w:t>
            </w:r>
          </w:p>
        </w:tc>
        <w:tc>
          <w:tcPr>
            <w:tcW w:type="dxa" w:w="1026"/>
          </w:tcPr>
          <w:p>
            <w:pPr>
              <w:jc w:val="right"/>
            </w:pPr>
            <w:r/>
            <w:r>
              <w:rPr>
                <w:color w:val="1A1D21"/>
                <w:sz w:val="17"/>
              </w:rPr>
              <w:t>3,498</w:t>
            </w:r>
          </w:p>
        </w:tc>
        <w:tc>
          <w:tcPr>
            <w:tcW w:type="dxa" w:w="1026"/>
          </w:tcPr>
          <w:p>
            <w:pPr>
              <w:jc w:val="right"/>
            </w:pPr>
            <w:r/>
            <w:r>
              <w:rPr>
                <w:color w:val="1A1D21"/>
                <w:sz w:val="17"/>
              </w:rPr>
              <w:t>4,506</w:t>
            </w:r>
          </w:p>
        </w:tc>
        <w:tc>
          <w:tcPr>
            <w:tcW w:type="dxa" w:w="1026"/>
          </w:tcPr>
          <w:p>
            <w:pPr>
              <w:jc w:val="right"/>
            </w:pPr>
            <w:r/>
            <w:r>
              <w:rPr>
                <w:color w:val="1A1D21"/>
                <w:sz w:val="17"/>
              </w:rPr>
              <w:t>5,574</w:t>
            </w:r>
          </w:p>
        </w:tc>
        <w:tc>
          <w:tcPr>
            <w:tcW w:type="dxa" w:w="1026"/>
          </w:tcPr>
          <w:p>
            <w:pPr>
              <w:jc w:val="right"/>
            </w:pPr>
            <w:r/>
            <w:r>
              <w:rPr>
                <w:color w:val="1A1D21"/>
                <w:sz w:val="17"/>
              </w:rPr>
              <w:t>6,712</w:t>
            </w:r>
          </w:p>
        </w:tc>
        <w:tc>
          <w:tcPr>
            <w:tcW w:type="dxa" w:w="1026"/>
          </w:tcPr>
          <w:p>
            <w:pPr>
              <w:jc w:val="right"/>
            </w:pPr>
            <w:r/>
            <w:r>
              <w:rPr>
                <w:color w:val="1A1D21"/>
                <w:sz w:val="17"/>
              </w:rPr>
              <w:t>7,936</w:t>
            </w:r>
          </w:p>
        </w:tc>
        <w:tc>
          <w:tcPr>
            <w:tcW w:type="dxa" w:w="1026"/>
          </w:tcPr>
          <w:p>
            <w:pPr>
              <w:jc w:val="right"/>
            </w:pPr>
            <w:r/>
            <w:r>
              <w:rPr>
                <w:color w:val="1A1D21"/>
                <w:sz w:val="17"/>
              </w:rPr>
              <w:t>14,879</w:t>
            </w:r>
          </w:p>
        </w:tc>
        <w:tc>
          <w:tcPr>
            <w:tcW w:type="dxa" w:w="1026"/>
          </w:tcPr>
          <w:p>
            <w:pPr>
              <w:jc w:val="right"/>
            </w:pPr>
            <w:r/>
            <w:r>
              <w:rPr>
                <w:color w:val="1A1D21"/>
                <w:sz w:val="17"/>
              </w:rPr>
              <w:t>21,182</w:t>
            </w:r>
          </w:p>
        </w:tc>
      </w:tr>
      <w:tr>
        <w:trPr>
          <w:cantSplit/>
        </w:trPr>
        <w:tc>
          <w:tcPr>
            <w:tcW w:type="dxa" w:w="1984"/>
          </w:tcPr>
          <w:p>
            <w:r/>
            <w:r>
              <w:rPr>
                <w:color w:val="1A1D21"/>
                <w:sz w:val="17"/>
              </w:rPr>
              <w:t xml:space="preserve">  as a share of revenue</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r>
      <w:tr>
        <w:trPr>
          <w:cantSplit/>
        </w:trPr>
        <w:tc>
          <w:tcPr>
            <w:tcW w:type="dxa" w:w="1984"/>
          </w:tcPr>
          <w:p>
            <w:r/>
            <w:r>
              <w:rPr>
                <w:color w:val="1A1D21"/>
                <w:sz w:val="17"/>
              </w:rPr>
              <w:t>plus finance cost, after tax</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r>
      <w:tr>
        <w:trPr>
          <w:cantSplit/>
        </w:trPr>
        <w:tc>
          <w:tcPr>
            <w:tcW w:type="dxa" w:w="1984"/>
          </w:tcPr>
          <w:p>
            <w:r/>
            <w:r>
              <w:rPr>
                <w:color w:val="1A1D21"/>
                <w:sz w:val="17"/>
              </w:rPr>
              <w:t>less capital expenditure</w:t>
            </w:r>
          </w:p>
        </w:tc>
        <w:tc>
          <w:tcPr>
            <w:tcW w:type="dxa" w:w="1026"/>
          </w:tcPr>
          <w:p>
            <w:pPr>
              <w:jc w:val="right"/>
            </w:pPr>
            <w:r/>
            <w:r>
              <w:rPr>
                <w:color w:val="1A1D21"/>
                <w:sz w:val="17"/>
              </w:rPr>
              <w:t>401</w:t>
            </w:r>
          </w:p>
        </w:tc>
        <w:tc>
          <w:tcPr>
            <w:tcW w:type="dxa" w:w="1026"/>
          </w:tcPr>
          <w:p>
            <w:pPr>
              <w:jc w:val="right"/>
            </w:pPr>
            <w:r/>
            <w:r>
              <w:rPr>
                <w:color w:val="1A1D21"/>
                <w:sz w:val="17"/>
              </w:rPr>
              <w:t>517</w:t>
            </w:r>
          </w:p>
        </w:tc>
        <w:tc>
          <w:tcPr>
            <w:tcW w:type="dxa" w:w="1026"/>
          </w:tcPr>
          <w:p>
            <w:pPr>
              <w:jc w:val="right"/>
            </w:pPr>
            <w:r/>
            <w:r>
              <w:rPr>
                <w:color w:val="1A1D21"/>
                <w:sz w:val="17"/>
              </w:rPr>
              <w:t>640</w:t>
            </w:r>
          </w:p>
        </w:tc>
        <w:tc>
          <w:tcPr>
            <w:tcW w:type="dxa" w:w="1026"/>
          </w:tcPr>
          <w:p>
            <w:pPr>
              <w:jc w:val="right"/>
            </w:pPr>
            <w:r/>
            <w:r>
              <w:rPr>
                <w:color w:val="1A1D21"/>
                <w:sz w:val="17"/>
              </w:rPr>
              <w:t>770</w:t>
            </w:r>
          </w:p>
        </w:tc>
        <w:tc>
          <w:tcPr>
            <w:tcW w:type="dxa" w:w="1026"/>
          </w:tcPr>
          <w:p>
            <w:pPr>
              <w:jc w:val="right"/>
            </w:pPr>
            <w:r/>
            <w:r>
              <w:rPr>
                <w:color w:val="1A1D21"/>
                <w:sz w:val="17"/>
              </w:rPr>
              <w:t>911</w:t>
            </w:r>
          </w:p>
        </w:tc>
        <w:tc>
          <w:tcPr>
            <w:tcW w:type="dxa" w:w="1026"/>
          </w:tcPr>
          <w:p>
            <w:pPr>
              <w:jc w:val="right"/>
            </w:pPr>
            <w:r/>
            <w:r>
              <w:rPr>
                <w:color w:val="1A1D21"/>
                <w:sz w:val="17"/>
              </w:rPr>
              <w:t>1,708</w:t>
            </w:r>
          </w:p>
        </w:tc>
        <w:tc>
          <w:tcPr>
            <w:tcW w:type="dxa" w:w="1026"/>
          </w:tcPr>
          <w:p>
            <w:pPr>
              <w:jc w:val="right"/>
            </w:pPr>
            <w:r/>
            <w:r>
              <w:rPr>
                <w:color w:val="1A1D21"/>
                <w:sz w:val="17"/>
              </w:rPr>
              <w:t>2,431</w:t>
            </w:r>
          </w:p>
        </w:tc>
      </w:tr>
      <w:tr>
        <w:trPr>
          <w:cantSplit/>
        </w:trPr>
        <w:tc>
          <w:tcPr>
            <w:tcW w:type="dxa" w:w="1984"/>
          </w:tcPr>
          <w:p>
            <w:r/>
            <w:r>
              <w:rPr>
                <w:color w:val="1A1D21"/>
                <w:sz w:val="17"/>
              </w:rPr>
              <w:t>Free cash flow to the firm</w:t>
            </w:r>
          </w:p>
        </w:tc>
        <w:tc>
          <w:tcPr>
            <w:tcW w:type="dxa" w:w="1026"/>
          </w:tcPr>
          <w:p>
            <w:pPr>
              <w:jc w:val="right"/>
            </w:pPr>
            <w:r/>
            <w:r>
              <w:rPr>
                <w:color w:val="1A1D21"/>
                <w:sz w:val="17"/>
              </w:rPr>
              <w:t>5,691</w:t>
            </w:r>
          </w:p>
        </w:tc>
        <w:tc>
          <w:tcPr>
            <w:tcW w:type="dxa" w:w="1026"/>
          </w:tcPr>
          <w:p>
            <w:pPr>
              <w:jc w:val="right"/>
            </w:pPr>
            <w:r/>
            <w:r>
              <w:rPr>
                <w:color w:val="1A1D21"/>
                <w:sz w:val="17"/>
              </w:rPr>
              <w:t>6,583</w:t>
            </w:r>
          </w:p>
        </w:tc>
        <w:tc>
          <w:tcPr>
            <w:tcW w:type="dxa" w:w="1026"/>
          </w:tcPr>
          <w:p>
            <w:pPr>
              <w:jc w:val="right"/>
            </w:pPr>
            <w:r/>
            <w:r>
              <w:rPr>
                <w:color w:val="1A1D21"/>
                <w:sz w:val="17"/>
              </w:rPr>
              <w:t>7,529</w:t>
            </w:r>
          </w:p>
        </w:tc>
        <w:tc>
          <w:tcPr>
            <w:tcW w:type="dxa" w:w="1026"/>
          </w:tcPr>
          <w:p>
            <w:pPr>
              <w:jc w:val="right"/>
            </w:pPr>
            <w:r/>
            <w:r>
              <w:rPr>
                <w:color w:val="1A1D21"/>
                <w:sz w:val="17"/>
              </w:rPr>
              <w:t>8,536</w:t>
            </w:r>
          </w:p>
        </w:tc>
        <w:tc>
          <w:tcPr>
            <w:tcW w:type="dxa" w:w="1026"/>
          </w:tcPr>
          <w:p>
            <w:pPr>
              <w:jc w:val="right"/>
            </w:pPr>
            <w:r/>
            <w:r>
              <w:rPr>
                <w:color w:val="1A1D21"/>
                <w:sz w:val="17"/>
              </w:rPr>
              <w:t>9,619</w:t>
            </w:r>
          </w:p>
        </w:tc>
        <w:tc>
          <w:tcPr>
            <w:tcW w:type="dxa" w:w="1026"/>
          </w:tcPr>
          <w:p>
            <w:pPr>
              <w:jc w:val="right"/>
            </w:pPr>
            <w:r/>
            <w:r>
              <w:rPr>
                <w:color w:val="1A1D21"/>
                <w:sz w:val="17"/>
              </w:rPr>
              <w:t>15,766</w:t>
            </w:r>
          </w:p>
        </w:tc>
        <w:tc>
          <w:tcPr>
            <w:tcW w:type="dxa" w:w="1026"/>
          </w:tcPr>
          <w:p>
            <w:pPr>
              <w:jc w:val="right"/>
            </w:pPr>
            <w:r/>
            <w:r>
              <w:rPr>
                <w:color w:val="1A1D21"/>
                <w:sz w:val="17"/>
              </w:rPr>
              <w:t>21,346</w:t>
            </w:r>
          </w:p>
        </w:tc>
      </w:tr>
      <w:tr>
        <w:trPr>
          <w:cantSplit/>
        </w:trPr>
        <w:tc>
          <w:tcPr>
            <w:tcW w:type="dxa" w:w="1984"/>
          </w:tcPr>
          <w:p>
            <w:r/>
            <w:r>
              <w:rPr>
                <w:color w:val="1A1D21"/>
                <w:sz w:val="17"/>
              </w:rPr>
              <w:t>Cost of capital, that year</w:t>
            </w:r>
          </w:p>
        </w:tc>
        <w:tc>
          <w:tcPr>
            <w:tcW w:type="dxa" w:w="1026"/>
          </w:tcPr>
          <w:p>
            <w:pPr>
              <w:jc w:val="right"/>
            </w:pPr>
            <w:r/>
            <w:r>
              <w:rPr>
                <w:color w:val="1A1D21"/>
                <w:sz w:val="17"/>
              </w:rPr>
              <w:t>25.1%</w:t>
            </w:r>
          </w:p>
        </w:tc>
        <w:tc>
          <w:tcPr>
            <w:tcW w:type="dxa" w:w="1026"/>
          </w:tcPr>
          <w:p>
            <w:pPr>
              <w:jc w:val="right"/>
            </w:pPr>
            <w:r/>
            <w:r>
              <w:rPr>
                <w:color w:val="1A1D21"/>
                <w:sz w:val="17"/>
              </w:rPr>
              <w:t>21.9%</w:t>
            </w:r>
          </w:p>
        </w:tc>
        <w:tc>
          <w:tcPr>
            <w:tcW w:type="dxa" w:w="1026"/>
          </w:tcPr>
          <w:p>
            <w:pPr>
              <w:jc w:val="right"/>
            </w:pPr>
            <w:r/>
            <w:r>
              <w:rPr>
                <w:color w:val="1A1D21"/>
                <w:sz w:val="17"/>
              </w:rPr>
              <w:t>19.3%</w:t>
            </w:r>
          </w:p>
        </w:tc>
        <w:tc>
          <w:tcPr>
            <w:tcW w:type="dxa" w:w="1026"/>
          </w:tcPr>
          <w:p>
            <w:pPr>
              <w:jc w:val="right"/>
            </w:pPr>
            <w:r/>
            <w:r>
              <w:rPr>
                <w:color w:val="1A1D21"/>
                <w:sz w:val="17"/>
              </w:rPr>
              <w:t>17.4%</w:t>
            </w:r>
          </w:p>
        </w:tc>
        <w:tc>
          <w:tcPr>
            <w:tcW w:type="dxa" w:w="1026"/>
          </w:tcPr>
          <w:p>
            <w:pPr>
              <w:jc w:val="right"/>
            </w:pPr>
            <w:r/>
            <w:r>
              <w:rPr>
                <w:color w:val="1A1D21"/>
                <w:sz w:val="17"/>
              </w:rPr>
              <w:t>16.1%</w:t>
            </w:r>
          </w:p>
        </w:tc>
        <w:tc>
          <w:tcPr>
            <w:tcW w:type="dxa" w:w="1026"/>
          </w:tcPr>
          <w:p>
            <w:pPr>
              <w:jc w:val="right"/>
            </w:pPr>
            <w:r/>
            <w:r>
              <w:rPr>
                <w:color w:val="1A1D21"/>
                <w:sz w:val="17"/>
              </w:rPr>
              <w:t>16.1%</w:t>
            </w:r>
          </w:p>
        </w:tc>
        <w:tc>
          <w:tcPr>
            <w:tcW w:type="dxa" w:w="1026"/>
          </w:tcPr>
          <w:p>
            <w:pPr>
              <w:jc w:val="right"/>
            </w:pPr>
            <w:r/>
            <w:r>
              <w:rPr>
                <w:color w:val="1A1D21"/>
                <w:sz w:val="17"/>
              </w:rPr>
              <w:t>16.1%</w:t>
            </w:r>
          </w:p>
        </w:tc>
      </w:tr>
      <w:tr>
        <w:trPr>
          <w:cantSplit/>
        </w:trPr>
        <w:tc>
          <w:tcPr>
            <w:tcW w:type="dxa" w:w="1984"/>
          </w:tcPr>
          <w:p>
            <w:r/>
            <w:r>
              <w:rPr>
                <w:color w:val="1A1D21"/>
                <w:sz w:val="17"/>
              </w:rPr>
              <w:t>Discount factor</w:t>
            </w:r>
          </w:p>
        </w:tc>
        <w:tc>
          <w:tcPr>
            <w:tcW w:type="dxa" w:w="1026"/>
          </w:tcPr>
          <w:p>
            <w:pPr>
              <w:jc w:val="right"/>
            </w:pPr>
            <w:r/>
            <w:r>
              <w:rPr>
                <w:color w:val="1A1D21"/>
                <w:sz w:val="17"/>
              </w:rPr>
              <w:t>0.799</w:t>
            </w:r>
          </w:p>
        </w:tc>
        <w:tc>
          <w:tcPr>
            <w:tcW w:type="dxa" w:w="1026"/>
          </w:tcPr>
          <w:p>
            <w:pPr>
              <w:jc w:val="right"/>
            </w:pPr>
            <w:r/>
            <w:r>
              <w:rPr>
                <w:color w:val="1A1D21"/>
                <w:sz w:val="17"/>
              </w:rPr>
              <w:t>0.656</w:t>
            </w:r>
          </w:p>
        </w:tc>
        <w:tc>
          <w:tcPr>
            <w:tcW w:type="dxa" w:w="1026"/>
          </w:tcPr>
          <w:p>
            <w:pPr>
              <w:jc w:val="right"/>
            </w:pPr>
            <w:r/>
            <w:r>
              <w:rPr>
                <w:color w:val="1A1D21"/>
                <w:sz w:val="17"/>
              </w:rPr>
              <w:t>0.549</w:t>
            </w:r>
          </w:p>
        </w:tc>
        <w:tc>
          <w:tcPr>
            <w:tcW w:type="dxa" w:w="1026"/>
          </w:tcPr>
          <w:p>
            <w:pPr>
              <w:jc w:val="right"/>
            </w:pPr>
            <w:r/>
            <w:r>
              <w:rPr>
                <w:color w:val="1A1D21"/>
                <w:sz w:val="17"/>
              </w:rPr>
              <w:t>0.468</w:t>
            </w:r>
          </w:p>
        </w:tc>
        <w:tc>
          <w:tcPr>
            <w:tcW w:type="dxa" w:w="1026"/>
          </w:tcPr>
          <w:p>
            <w:pPr>
              <w:jc w:val="right"/>
            </w:pPr>
            <w:r/>
            <w:r>
              <w:rPr>
                <w:color w:val="1A1D21"/>
                <w:sz w:val="17"/>
              </w:rPr>
              <w:t>0.403</w:t>
            </w:r>
          </w:p>
        </w:tc>
        <w:tc>
          <w:tcPr>
            <w:tcW w:type="dxa" w:w="1026"/>
          </w:tcPr>
          <w:p>
            <w:pPr>
              <w:jc w:val="right"/>
            </w:pPr>
            <w:r/>
            <w:r>
              <w:rPr>
                <w:color w:val="1A1D21"/>
                <w:sz w:val="17"/>
              </w:rPr>
              <w:t>0.191</w:t>
            </w:r>
          </w:p>
        </w:tc>
        <w:tc>
          <w:tcPr>
            <w:tcW w:type="dxa" w:w="1026"/>
          </w:tcPr>
          <w:p>
            <w:pPr>
              <w:jc w:val="right"/>
            </w:pPr>
            <w:r/>
            <w:r>
              <w:rPr>
                <w:color w:val="1A1D21"/>
                <w:sz w:val="17"/>
              </w:rPr>
              <w:t>0.090</w:t>
            </w:r>
          </w:p>
        </w:tc>
      </w:tr>
      <w:tr>
        <w:trPr>
          <w:cantSplit/>
        </w:trPr>
        <w:tc>
          <w:tcPr>
            <w:tcW w:type="dxa" w:w="1984"/>
          </w:tcPr>
          <w:p>
            <w:r/>
            <w:r>
              <w:rPr>
                <w:color w:val="1A1D21"/>
                <w:sz w:val="17"/>
              </w:rPr>
              <w:t>Present value</w:t>
            </w:r>
          </w:p>
        </w:tc>
        <w:tc>
          <w:tcPr>
            <w:tcW w:type="dxa" w:w="1026"/>
          </w:tcPr>
          <w:p>
            <w:pPr>
              <w:jc w:val="right"/>
            </w:pPr>
            <w:r/>
            <w:r>
              <w:rPr>
                <w:color w:val="1A1D21"/>
                <w:sz w:val="17"/>
              </w:rPr>
              <w:t>4,549</w:t>
            </w:r>
          </w:p>
        </w:tc>
        <w:tc>
          <w:tcPr>
            <w:tcW w:type="dxa" w:w="1026"/>
          </w:tcPr>
          <w:p>
            <w:pPr>
              <w:jc w:val="right"/>
            </w:pPr>
            <w:r/>
            <w:r>
              <w:rPr>
                <w:color w:val="1A1D21"/>
                <w:sz w:val="17"/>
              </w:rPr>
              <w:t>4,317</w:t>
            </w:r>
          </w:p>
        </w:tc>
        <w:tc>
          <w:tcPr>
            <w:tcW w:type="dxa" w:w="1026"/>
          </w:tcPr>
          <w:p>
            <w:pPr>
              <w:jc w:val="right"/>
            </w:pPr>
            <w:r/>
            <w:r>
              <w:rPr>
                <w:color w:val="1A1D21"/>
                <w:sz w:val="17"/>
              </w:rPr>
              <w:t>4,137</w:t>
            </w:r>
          </w:p>
        </w:tc>
        <w:tc>
          <w:tcPr>
            <w:tcW w:type="dxa" w:w="1026"/>
          </w:tcPr>
          <w:p>
            <w:pPr>
              <w:jc w:val="right"/>
            </w:pPr>
            <w:r/>
            <w:r>
              <w:rPr>
                <w:color w:val="1A1D21"/>
                <w:sz w:val="17"/>
              </w:rPr>
              <w:t>3,994</w:t>
            </w:r>
          </w:p>
        </w:tc>
        <w:tc>
          <w:tcPr>
            <w:tcW w:type="dxa" w:w="1026"/>
          </w:tcPr>
          <w:p>
            <w:pPr>
              <w:jc w:val="right"/>
            </w:pPr>
            <w:r/>
            <w:r>
              <w:rPr>
                <w:color w:val="1A1D21"/>
                <w:sz w:val="17"/>
              </w:rPr>
              <w:t>3,875</w:t>
            </w:r>
          </w:p>
        </w:tc>
        <w:tc>
          <w:tcPr>
            <w:tcW w:type="dxa" w:w="1026"/>
          </w:tcPr>
          <w:p>
            <w:pPr>
              <w:jc w:val="right"/>
            </w:pPr>
            <w:r/>
            <w:r>
              <w:rPr>
                <w:color w:val="1A1D21"/>
                <w:sz w:val="17"/>
              </w:rPr>
              <w:t>3,004</w:t>
            </w:r>
          </w:p>
        </w:tc>
        <w:tc>
          <w:tcPr>
            <w:tcW w:type="dxa" w:w="1026"/>
          </w:tcPr>
          <w:p>
            <w:pPr>
              <w:jc w:val="right"/>
            </w:pPr>
            <w:r/>
            <w:r>
              <w:rPr>
                <w:color w:val="1A1D21"/>
                <w:sz w:val="17"/>
              </w:rPr>
              <w:t>1,924</w:t>
            </w:r>
          </w:p>
        </w:tc>
      </w:tr>
    </w:tbl>
    <w:p>
      <w:pPr>
        <w:spacing w:after="200"/>
      </w:pPr>
      <w:r>
        <w:rPr>
          <w:b w:val="0"/>
          <w:i/>
          <w:color w:val="5B6570"/>
          <w:sz w:val="16"/>
        </w:rPr>
        <w:t>The finance charge is added back after tax because the discount rate already carries the cost of debt; leaving it in the cash flow would charge for the same thing twice. Capital expenditure is maintenance only, at one per cent of revenue: for this company the building itself is inventory, and it is already inside operating cash.</w:t>
      </w:r>
    </w:p>
    <w:tbl>
      <w:tblPr>
        <w:tblStyle w:val="TableGrid"/>
        <w:tblW w:type="auto" w:w="0"/>
        <w:jc w:val="center"/>
        <w:tblLayout w:type="fixed"/>
        <w:tblLook w:firstColumn="1" w:firstRow="1" w:lastColumn="0" w:lastRow="0" w:noHBand="0" w:noVBand="1" w:val="04A0"/>
        <w:tblLayout w:type="fixed"/>
      </w:tblPr>
      <w:tblGrid>
        <w:gridCol w:w="6010"/>
        <w:gridCol w:w="3175"/>
      </w:tblGrid>
      <w:tr>
        <w:trPr>
          <w:tblHeader w:val="true"/>
        </w:trPr>
        <w:tc>
          <w:tcPr>
            <w:tcW w:type="dxa" w:w="6009"/>
          </w:tcPr>
          <w:p>
            <w:r/>
            <w:r>
              <w:rPr>
                <w:b/>
                <w:color w:val="5B6570"/>
                <w:sz w:val="17"/>
              </w:rPr>
              <w:t>Bridge from enterprise value to equity, base case</w:t>
            </w:r>
          </w:p>
        </w:tc>
        <w:tc>
          <w:tcPr>
            <w:tcW w:type="dxa" w:w="3175"/>
          </w:tcPr>
          <w:p>
            <w:r/>
            <w:r>
              <w:rPr>
                <w:b/>
                <w:color w:val="5B6570"/>
                <w:sz w:val="17"/>
              </w:rPr>
              <w:t>EGP mn</w:t>
            </w:r>
          </w:p>
        </w:tc>
      </w:tr>
      <w:tr>
        <w:trPr>
          <w:cantSplit/>
        </w:trPr>
        <w:tc>
          <w:tcPr>
            <w:tcW w:type="dxa" w:w="6009"/>
          </w:tcPr>
          <w:p>
            <w:r/>
            <w:r>
              <w:rPr>
                <w:color w:val="1A1D21"/>
                <w:sz w:val="17"/>
              </w:rPr>
              <w:t>Present value of the explicit 15 years</w:t>
            </w:r>
          </w:p>
        </w:tc>
        <w:tc>
          <w:tcPr>
            <w:tcW w:type="dxa" w:w="3175"/>
          </w:tcPr>
          <w:p>
            <w:pPr>
              <w:jc w:val="right"/>
            </w:pPr>
            <w:r/>
            <w:r>
              <w:rPr>
                <w:color w:val="1A1D21"/>
                <w:sz w:val="17"/>
              </w:rPr>
              <w:t>49,477.7</w:t>
            </w:r>
          </w:p>
        </w:tc>
      </w:tr>
      <w:tr>
        <w:trPr>
          <w:cantSplit/>
        </w:trPr>
        <w:tc>
          <w:tcPr>
            <w:tcW w:type="dxa" w:w="6009"/>
          </w:tcPr>
          <w:p>
            <w:r/>
            <w:r>
              <w:rPr>
                <w:color w:val="1A1D21"/>
                <w:sz w:val="17"/>
              </w:rPr>
              <w:t>Present value beyond year 15</w:t>
            </w:r>
          </w:p>
        </w:tc>
        <w:tc>
          <w:tcPr>
            <w:tcW w:type="dxa" w:w="3175"/>
          </w:tcPr>
          <w:p>
            <w:pPr>
              <w:jc w:val="right"/>
            </w:pPr>
            <w:r/>
            <w:r>
              <w:rPr>
                <w:color w:val="1A1D21"/>
                <w:sz w:val="17"/>
              </w:rPr>
              <w:t>22,501.1</w:t>
            </w:r>
          </w:p>
        </w:tc>
      </w:tr>
      <w:tr>
        <w:trPr>
          <w:cantSplit/>
        </w:trPr>
        <w:tc>
          <w:tcPr>
            <w:tcW w:type="dxa" w:w="6009"/>
          </w:tcPr>
          <w:p>
            <w:r/>
            <w:r>
              <w:rPr>
                <w:color w:val="1A1D21"/>
                <w:sz w:val="17"/>
              </w:rPr>
              <w:t>Enterprise value</w:t>
            </w:r>
          </w:p>
        </w:tc>
        <w:tc>
          <w:tcPr>
            <w:tcW w:type="dxa" w:w="3175"/>
          </w:tcPr>
          <w:p>
            <w:pPr>
              <w:jc w:val="right"/>
            </w:pPr>
            <w:r/>
            <w:r>
              <w:rPr>
                <w:color w:val="1A1D21"/>
                <w:sz w:val="17"/>
              </w:rPr>
              <w:t>71,978.8</w:t>
            </w:r>
          </w:p>
        </w:tc>
      </w:tr>
      <w:tr>
        <w:trPr>
          <w:cantSplit/>
        </w:trPr>
        <w:tc>
          <w:tcPr>
            <w:tcW w:type="dxa" w:w="6009"/>
          </w:tcPr>
          <w:p>
            <w:r/>
            <w:r>
              <w:rPr>
                <w:color w:val="1A1D21"/>
                <w:sz w:val="17"/>
              </w:rPr>
              <w:t>less net debt, 31 March 2026</w:t>
            </w:r>
          </w:p>
        </w:tc>
        <w:tc>
          <w:tcPr>
            <w:tcW w:type="dxa" w:w="3175"/>
          </w:tcPr>
          <w:p>
            <w:pPr>
              <w:jc w:val="right"/>
            </w:pPr>
            <w:r/>
            <w:r>
              <w:rPr>
                <w:color w:val="1A1D21"/>
                <w:sz w:val="17"/>
              </w:rPr>
              <w:t>-23,244.7</w:t>
            </w:r>
          </w:p>
        </w:tc>
      </w:tr>
      <w:tr>
        <w:trPr>
          <w:cantSplit/>
        </w:trPr>
        <w:tc>
          <w:tcPr>
            <w:tcW w:type="dxa" w:w="6009"/>
          </w:tcPr>
          <w:p>
            <w:r/>
            <w:r>
              <w:rPr>
                <w:color w:val="1A1D21"/>
                <w:sz w:val="17"/>
              </w:rPr>
              <w:t>plus investments in associates</w:t>
            </w:r>
          </w:p>
        </w:tc>
        <w:tc>
          <w:tcPr>
            <w:tcW w:type="dxa" w:w="3175"/>
          </w:tcPr>
          <w:p>
            <w:pPr>
              <w:jc w:val="right"/>
            </w:pPr>
            <w:r/>
            <w:r>
              <w:rPr>
                <w:color w:val="1A1D21"/>
                <w:sz w:val="17"/>
              </w:rPr>
              <w:t>3,838.7</w:t>
            </w:r>
          </w:p>
        </w:tc>
      </w:tr>
      <w:tr>
        <w:trPr>
          <w:cantSplit/>
        </w:trPr>
        <w:tc>
          <w:tcPr>
            <w:tcW w:type="dxa" w:w="6009"/>
          </w:tcPr>
          <w:p>
            <w:r/>
            <w:r>
              <w:rPr>
                <w:color w:val="1A1D21"/>
                <w:sz w:val="17"/>
              </w:rPr>
              <w:t>plus investment property</w:t>
            </w:r>
          </w:p>
        </w:tc>
        <w:tc>
          <w:tcPr>
            <w:tcW w:type="dxa" w:w="3175"/>
          </w:tcPr>
          <w:p>
            <w:pPr>
              <w:jc w:val="right"/>
            </w:pPr>
            <w:r/>
            <w:r>
              <w:rPr>
                <w:color w:val="1A1D21"/>
                <w:sz w:val="17"/>
              </w:rPr>
              <w:t>1,020.5</w:t>
            </w:r>
          </w:p>
        </w:tc>
      </w:tr>
      <w:tr>
        <w:trPr>
          <w:cantSplit/>
        </w:trPr>
        <w:tc>
          <w:tcPr>
            <w:tcW w:type="dxa" w:w="6009"/>
          </w:tcPr>
          <w:p>
            <w:r/>
            <w:r>
              <w:rPr>
                <w:color w:val="1A1D21"/>
                <w:sz w:val="17"/>
              </w:rPr>
              <w:t>Equity value before minority interests</w:t>
            </w:r>
          </w:p>
        </w:tc>
        <w:tc>
          <w:tcPr>
            <w:tcW w:type="dxa" w:w="3175"/>
          </w:tcPr>
          <w:p>
            <w:pPr>
              <w:jc w:val="right"/>
            </w:pPr>
            <w:r/>
            <w:r>
              <w:rPr>
                <w:color w:val="1A1D21"/>
                <w:sz w:val="17"/>
              </w:rPr>
              <w:t>53,593.3</w:t>
            </w:r>
          </w:p>
        </w:tc>
      </w:tr>
      <w:tr>
        <w:trPr>
          <w:cantSplit/>
        </w:trPr>
        <w:tc>
          <w:tcPr>
            <w:tcW w:type="dxa" w:w="6009"/>
          </w:tcPr>
          <w:p>
            <w:r/>
            <w:r>
              <w:rPr>
                <w:color w:val="1A1D21"/>
                <w:sz w:val="17"/>
              </w:rPr>
              <w:t>less minority interests at their share of value</w:t>
            </w:r>
          </w:p>
        </w:tc>
        <w:tc>
          <w:tcPr>
            <w:tcW w:type="dxa" w:w="3175"/>
          </w:tcPr>
          <w:p>
            <w:pPr>
              <w:jc w:val="right"/>
            </w:pPr>
            <w:r/>
            <w:r>
              <w:rPr>
                <w:color w:val="1A1D21"/>
                <w:sz w:val="17"/>
              </w:rPr>
              <w:t>-2,510.2</w:t>
            </w:r>
          </w:p>
        </w:tc>
      </w:tr>
      <w:tr>
        <w:trPr>
          <w:cantSplit/>
        </w:trPr>
        <w:tc>
          <w:tcPr>
            <w:tcW w:type="dxa" w:w="6009"/>
          </w:tcPr>
          <w:p>
            <w:r/>
            <w:r>
              <w:rPr>
                <w:color w:val="1A1D21"/>
                <w:sz w:val="17"/>
              </w:rPr>
              <w:t>Equity value attributable to shareholders</w:t>
            </w:r>
          </w:p>
        </w:tc>
        <w:tc>
          <w:tcPr>
            <w:tcW w:type="dxa" w:w="3175"/>
          </w:tcPr>
          <w:p>
            <w:pPr>
              <w:jc w:val="right"/>
            </w:pPr>
            <w:r/>
            <w:r>
              <w:rPr>
                <w:color w:val="1A1D21"/>
                <w:sz w:val="17"/>
              </w:rPr>
              <w:t>51,083.1</w:t>
            </w:r>
          </w:p>
        </w:tc>
      </w:tr>
      <w:tr>
        <w:trPr>
          <w:cantSplit/>
        </w:trPr>
        <w:tc>
          <w:tcPr>
            <w:tcW w:type="dxa" w:w="6009"/>
          </w:tcPr>
          <w:p>
            <w:r/>
            <w:r>
              <w:rPr>
                <w:color w:val="1A1D21"/>
                <w:sz w:val="17"/>
              </w:rPr>
              <w:t>Shares outstanding, millions</w:t>
            </w:r>
          </w:p>
        </w:tc>
        <w:tc>
          <w:tcPr>
            <w:tcW w:type="dxa" w:w="3175"/>
          </w:tcPr>
          <w:p>
            <w:pPr>
              <w:jc w:val="right"/>
            </w:pPr>
            <w:r/>
            <w:r>
              <w:rPr>
                <w:color w:val="1A1D21"/>
                <w:sz w:val="17"/>
              </w:rPr>
              <w:t>2,859.9</w:t>
            </w:r>
          </w:p>
        </w:tc>
      </w:tr>
      <w:tr>
        <w:trPr>
          <w:cantSplit/>
        </w:trPr>
        <w:tc>
          <w:tcPr>
            <w:tcW w:type="dxa" w:w="6009"/>
          </w:tcPr>
          <w:p>
            <w:r/>
            <w:r>
              <w:rPr>
                <w:color w:val="1A1D21"/>
                <w:sz w:val="17"/>
              </w:rPr>
              <w:t>Value per share, EGP</w:t>
            </w:r>
          </w:p>
        </w:tc>
        <w:tc>
          <w:tcPr>
            <w:tcW w:type="dxa" w:w="3175"/>
          </w:tcPr>
          <w:p>
            <w:pPr>
              <w:jc w:val="right"/>
            </w:pPr>
            <w:r/>
            <w:r>
              <w:rPr>
                <w:color w:val="1A1D21"/>
                <w:sz w:val="17"/>
              </w:rPr>
              <w:t>17.86</w:t>
            </w:r>
          </w:p>
        </w:tc>
      </w:tr>
    </w:tbl>
    <w:p>
      <w:pPr>
        <w:spacing w:after="200"/>
      </w:pPr>
      <w:r>
        <w:rPr>
          <w:b w:val="0"/>
          <w:i/>
          <w:color w:val="5B6570"/>
          <w:sz w:val="16"/>
        </w:rPr>
        <w:t>The terminal value is 31 per cent of enterprise value, which is high and is one reason the range is published rather than a point.</w:t>
      </w:r>
    </w:p>
    <w:p>
      <w:pPr>
        <w:pStyle w:val="Heading3"/>
      </w:pPr>
      <w:r>
        <w:t>What the two statements disagree about, and why it is not resolved here</w:t>
      </w:r>
    </w:p>
    <w:p>
      <w:pPr>
        <w:spacing w:after="140"/>
      </w:pPr>
      <w:r>
        <w:rPr>
          <w:b w:val="0"/>
          <w:i w:val="0"/>
          <w:color w:val="1A1D21"/>
          <w:sz w:val="20"/>
        </w:rPr>
        <w:t>The audited balance sheet and the audited cash-flow statement tell different stories about the same year, and the difference is the largest single uncertainty in this valuation. Working capital on the balance sheet rose EGP 20,085 million in 2025. Net profit plus depreciation less the operating cash the company reported implies it rose EGP 3,146 million. The difference is EGP 16,938 million — 46.8 per cent of the year's revenue.</w:t>
      </w:r>
    </w:p>
    <w:p>
      <w:pPr>
        <w:spacing w:after="140"/>
      </w:pPr>
      <w:r>
        <w:rPr>
          <w:b w:val="0"/>
          <w:i w:val="0"/>
          <w:color w:val="1A1D21"/>
          <w:sz w:val="20"/>
        </w:rPr>
        <w:t>A difference that size is not depreciation and it is not capitalised interest. It is consolidation, land taken on deferred terms, and reclassification inside a book where revenue is recognised as construction progresses. The 2025 cash-flow statement is published in its three totals only, so the difference cannot be split from what the company has disclosed. It is therefore not split. It is measured, recorded in the register of what is missing, and the forecast is published two ways around it rather than one — set out in full in Appendix A.3.</w:t>
      </w:r>
    </w:p>
    <w:tbl>
      <w:tblPr>
        <w:tblStyle w:val="TableGrid"/>
        <w:tblW w:type="auto" w:w="0"/>
        <w:jc w:val="center"/>
        <w:tblLayout w:type="fixed"/>
        <w:tblLook w:firstColumn="1" w:firstRow="1" w:lastColumn="0" w:lastRow="0" w:noHBand="0" w:noVBand="1" w:val="04A0"/>
        <w:tblLayout w:type="fixed"/>
      </w:tblPr>
      <w:tblGrid>
        <w:gridCol w:w="4763"/>
        <w:gridCol w:w="1928"/>
        <w:gridCol w:w="1928"/>
      </w:tblGrid>
      <w:tr>
        <w:trPr>
          <w:tblHeader w:val="true"/>
        </w:trPr>
        <w:tc>
          <w:tcPr>
            <w:tcW w:type="dxa" w:w="4762"/>
          </w:tcPr>
          <w:p>
            <w:r/>
            <w:r>
              <w:rPr>
                <w:b/>
                <w:color w:val="5B6570"/>
                <w:sz w:val="17"/>
              </w:rPr>
              <w:t>The collection cycle, as reported</w:t>
            </w:r>
          </w:p>
        </w:tc>
        <w:tc>
          <w:tcPr>
            <w:tcW w:type="dxa" w:w="1928"/>
          </w:tcPr>
          <w:p>
            <w:r/>
            <w:r>
              <w:rPr>
                <w:b/>
                <w:color w:val="5B6570"/>
                <w:sz w:val="17"/>
              </w:rPr>
              <w:t>2025</w:t>
            </w:r>
          </w:p>
        </w:tc>
        <w:tc>
          <w:tcPr>
            <w:tcW w:type="dxa" w:w="1928"/>
          </w:tcPr>
          <w:p>
            <w:r/>
            <w:r>
              <w:rPr>
                <w:b/>
                <w:color w:val="5B6570"/>
                <w:sz w:val="17"/>
              </w:rPr>
              <w:t>2024</w:t>
            </w:r>
          </w:p>
        </w:tc>
      </w:tr>
      <w:tr>
        <w:trPr>
          <w:cantSplit/>
        </w:trPr>
        <w:tc>
          <w:tcPr>
            <w:tcW w:type="dxa" w:w="4762"/>
          </w:tcPr>
          <w:p>
            <w:r/>
            <w:r>
              <w:rPr>
                <w:color w:val="1A1D21"/>
                <w:sz w:val="17"/>
              </w:rPr>
              <w:t>Collection period, days</w:t>
            </w:r>
          </w:p>
        </w:tc>
        <w:tc>
          <w:tcPr>
            <w:tcW w:type="dxa" w:w="1928"/>
          </w:tcPr>
          <w:p>
            <w:pPr>
              <w:jc w:val="right"/>
            </w:pPr>
            <w:r/>
            <w:r>
              <w:rPr>
                <w:color w:val="1A1D21"/>
                <w:sz w:val="17"/>
              </w:rPr>
              <w:t>1045</w:t>
            </w:r>
          </w:p>
        </w:tc>
        <w:tc>
          <w:tcPr>
            <w:tcW w:type="dxa" w:w="1928"/>
          </w:tcPr>
          <w:p>
            <w:pPr>
              <w:jc w:val="right"/>
            </w:pPr>
            <w:r/>
            <w:r>
              <w:rPr>
                <w:color w:val="1A1D21"/>
                <w:sz w:val="17"/>
              </w:rPr>
              <w:t>1035</w:t>
            </w:r>
          </w:p>
        </w:tc>
      </w:tr>
      <w:tr>
        <w:trPr>
          <w:cantSplit/>
        </w:trPr>
        <w:tc>
          <w:tcPr>
            <w:tcW w:type="dxa" w:w="4762"/>
          </w:tcPr>
          <w:p>
            <w:r/>
            <w:r>
              <w:rPr>
                <w:color w:val="1A1D21"/>
                <w:sz w:val="17"/>
              </w:rPr>
              <w:t>Work in progress, days of cost</w:t>
            </w:r>
          </w:p>
        </w:tc>
        <w:tc>
          <w:tcPr>
            <w:tcW w:type="dxa" w:w="1928"/>
          </w:tcPr>
          <w:p>
            <w:pPr>
              <w:jc w:val="right"/>
            </w:pPr>
            <w:r/>
            <w:r>
              <w:rPr>
                <w:color w:val="1A1D21"/>
                <w:sz w:val="17"/>
              </w:rPr>
              <w:t>304</w:t>
            </w:r>
          </w:p>
        </w:tc>
        <w:tc>
          <w:tcPr>
            <w:tcW w:type="dxa" w:w="1928"/>
          </w:tcPr>
          <w:p>
            <w:pPr>
              <w:jc w:val="right"/>
            </w:pPr>
            <w:r/>
            <w:r>
              <w:rPr>
                <w:color w:val="1A1D21"/>
                <w:sz w:val="17"/>
              </w:rPr>
              <w:t>270</w:t>
            </w:r>
          </w:p>
        </w:tc>
      </w:tr>
      <w:tr>
        <w:trPr>
          <w:cantSplit/>
        </w:trPr>
        <w:tc>
          <w:tcPr>
            <w:tcW w:type="dxa" w:w="4762"/>
          </w:tcPr>
          <w:p>
            <w:r/>
            <w:r>
              <w:rPr>
                <w:color w:val="1A1D21"/>
                <w:sz w:val="17"/>
              </w:rPr>
              <w:t>Suppliers, days of cost</w:t>
            </w:r>
          </w:p>
        </w:tc>
        <w:tc>
          <w:tcPr>
            <w:tcW w:type="dxa" w:w="1928"/>
          </w:tcPr>
          <w:p>
            <w:pPr>
              <w:jc w:val="right"/>
            </w:pPr>
            <w:r/>
            <w:r>
              <w:rPr>
                <w:color w:val="1A1D21"/>
                <w:sz w:val="17"/>
              </w:rPr>
              <w:t>66</w:t>
            </w:r>
          </w:p>
        </w:tc>
        <w:tc>
          <w:tcPr>
            <w:tcW w:type="dxa" w:w="1928"/>
          </w:tcPr>
          <w:p>
            <w:pPr>
              <w:jc w:val="right"/>
            </w:pPr>
            <w:r/>
            <w:r>
              <w:rPr>
                <w:color w:val="1A1D21"/>
                <w:sz w:val="17"/>
              </w:rPr>
              <w:t>70</w:t>
            </w:r>
          </w:p>
        </w:tc>
      </w:tr>
      <w:tr>
        <w:trPr>
          <w:cantSplit/>
        </w:trPr>
        <w:tc>
          <w:tcPr>
            <w:tcW w:type="dxa" w:w="4762"/>
          </w:tcPr>
          <w:p>
            <w:r/>
            <w:r>
              <w:rPr>
                <w:color w:val="1A1D21"/>
                <w:sz w:val="17"/>
              </w:rPr>
              <w:t>Customer advances, share of the order book</w:t>
            </w:r>
          </w:p>
        </w:tc>
        <w:tc>
          <w:tcPr>
            <w:tcW w:type="dxa" w:w="1928"/>
          </w:tcPr>
          <w:p>
            <w:pPr>
              <w:jc w:val="right"/>
            </w:pPr>
            <w:r/>
            <w:r>
              <w:rPr>
                <w:color w:val="1A1D21"/>
                <w:sz w:val="17"/>
              </w:rPr>
              <w:t>26.4%</w:t>
            </w:r>
          </w:p>
        </w:tc>
        <w:tc>
          <w:tcPr>
            <w:tcW w:type="dxa" w:w="1928"/>
          </w:tcPr>
          <w:p>
            <w:pPr>
              <w:jc w:val="right"/>
            </w:pPr>
            <w:r/>
            <w:r>
              <w:rPr>
                <w:color w:val="1A1D21"/>
                <w:sz w:val="17"/>
              </w:rPr>
              <w:t>32.2%</w:t>
            </w:r>
          </w:p>
        </w:tc>
      </w:tr>
      <w:tr>
        <w:trPr>
          <w:cantSplit/>
        </w:trPr>
        <w:tc>
          <w:tcPr>
            <w:tcW w:type="dxa" w:w="4762"/>
          </w:tcPr>
          <w:p>
            <w:r/>
            <w:r>
              <w:rPr>
                <w:color w:val="1A1D21"/>
                <w:sz w:val="17"/>
              </w:rPr>
              <w:t>Net working capital (EGP mn)</w:t>
            </w:r>
          </w:p>
        </w:tc>
        <w:tc>
          <w:tcPr>
            <w:tcW w:type="dxa" w:w="1928"/>
          </w:tcPr>
          <w:p>
            <w:pPr>
              <w:jc w:val="right"/>
            </w:pPr>
            <w:r/>
            <w:r>
              <w:rPr>
                <w:color w:val="1A1D21"/>
                <w:sz w:val="17"/>
              </w:rPr>
              <w:t>62,324</w:t>
            </w:r>
          </w:p>
        </w:tc>
        <w:tc>
          <w:tcPr>
            <w:tcW w:type="dxa" w:w="1928"/>
          </w:tcPr>
          <w:p>
            <w:pPr>
              <w:jc w:val="right"/>
            </w:pPr>
            <w:r/>
            <w:r>
              <w:rPr>
                <w:color w:val="1A1D21"/>
                <w:sz w:val="17"/>
              </w:rPr>
              <w:t>42,239</w:t>
            </w:r>
          </w:p>
        </w:tc>
      </w:tr>
      <w:tr>
        <w:trPr>
          <w:cantSplit/>
        </w:trPr>
        <w:tc>
          <w:tcPr>
            <w:tcW w:type="dxa" w:w="4762"/>
          </w:tcPr>
          <w:p>
            <w:r/>
            <w:r>
              <w:rPr>
                <w:color w:val="1A1D21"/>
                <w:sz w:val="17"/>
              </w:rPr>
              <w:t xml:space="preserve">  as a multiple of revenue</w:t>
            </w:r>
          </w:p>
        </w:tc>
        <w:tc>
          <w:tcPr>
            <w:tcW w:type="dxa" w:w="1928"/>
          </w:tcPr>
          <w:p>
            <w:pPr>
              <w:jc w:val="right"/>
            </w:pPr>
            <w:r/>
            <w:r>
              <w:rPr>
                <w:color w:val="1A1D21"/>
                <w:sz w:val="17"/>
              </w:rPr>
              <w:t>1.72</w:t>
            </w:r>
          </w:p>
        </w:tc>
        <w:tc>
          <w:tcPr>
            <w:tcW w:type="dxa" w:w="1928"/>
          </w:tcPr>
          <w:p>
            <w:pPr>
              <w:jc w:val="right"/>
            </w:pPr>
            <w:r/>
            <w:r>
              <w:rPr>
                <w:color w:val="1A1D21"/>
                <w:sz w:val="17"/>
              </w:rPr>
              <w:t>1.55</w:t>
            </w:r>
          </w:p>
        </w:tc>
      </w:tr>
    </w:tbl>
    <w:p>
      <w:pPr>
        <w:spacing w:after="200"/>
      </w:pPr>
      <w:r>
        <w:rPr>
          <w:b w:val="0"/>
          <w:i/>
          <w:color w:val="5B6570"/>
          <w:sz w:val="16"/>
        </w:rPr>
        <w:t>Both years measured the same way on the two audited sheets. The collection period is close to three years because units are sold on multi-year instalments; customer advances against the order book are what funds the building in the meantime.</w:t>
      </w:r>
    </w:p>
    <w:p>
      <w:pPr>
        <w:pStyle w:val="Heading2"/>
      </w:pPr>
      <w:r>
        <w:t>1.2  Book value and sustainable return</w:t>
      </w:r>
    </w:p>
    <w:p>
      <w:pPr>
        <w:spacing w:after="140"/>
      </w:pPr>
      <w:r>
        <w:rPr>
          <w:b w:val="0"/>
          <w:i w:val="0"/>
          <w:color w:val="1A1D21"/>
          <w:sz w:val="20"/>
        </w:rPr>
        <w:t>Shareholders' funds attributable to the parent were EGP 18,956 million at 31 March 2026, or EGP 6.63 a share, against a market price of EGP 14.40 — the shares change hands at about 2.2 times book. The earlier edition divided total equity, minority interests included, by the parent's shares; this one puts the numerator on the same footing as the share count, and on the latest disclosed sheet. Profit after tax and minority interest of EGP 4,217 million in 2025 on average shareholders' funds gives a return on equity of roughly 25.3%. Against a cost of equity of 31.2%, the company is not currently earning its cost of capital on book, which is why book value sits well below every cash-flow read in this study rather than acting as a floor.</w:t>
      </w:r>
    </w:p>
    <w:p>
      <w:pPr>
        <w:pStyle w:val="Heading2"/>
      </w:pPr>
      <w:r>
        <w:t>1.3  Relative multiples</w:t>
      </w:r>
    </w:p>
    <w:p>
      <w:pPr>
        <w:spacing w:after="140"/>
      </w:pPr>
      <w:r>
        <w:rPr>
          <w:b w:val="0"/>
          <w:i w:val="0"/>
          <w:color w:val="1A1D21"/>
          <w:sz w:val="20"/>
        </w:rPr>
        <w:t>The Egyptian listed developers are compared in Appendix B on the measures that can actually be sourced for all of them on the same basis. Earnings and book multiples for the peer group are NOT published here: no peer discloses figures this study can obtain on a consistent basis, and a multiple assembled from inconsistent or unsourced inputs would look precise and mean nothing. What is comparable is market risk, and on that measure Palm Hills sits in the middle of its sector.</w:t>
      </w:r>
    </w:p>
    <w:p>
      <w:pPr>
        <w:pStyle w:val="Heading2"/>
      </w:pPr>
      <w:r>
        <w:t>1.4  Normalised earnings power</w:t>
      </w:r>
    </w:p>
    <w:p>
      <w:pPr>
        <w:spacing w:after="140"/>
      </w:pPr>
      <w:r>
        <w:rPr>
          <w:b w:val="0"/>
          <w:i w:val="0"/>
          <w:color w:val="1A1D21"/>
          <w:sz w:val="20"/>
        </w:rPr>
        <w:t>Normalising on the three disclosed years, revenue converts to gross profit at about 38.3%, overheads absorb about 17.6% of revenue, and interest on the disclosed borrowings absorbs a further large share. The result is a company whose accounting profit is real but whose cash profit is small and volatile: EGP 1,424 million of operating cash in 2025 on EGP 36,169 million of revenue, against EGP 4,855 million on EGP 27,167 million the year before.</w:t>
      </w:r>
    </w:p>
    <w:p>
      <w:pPr>
        <w:spacing w:after="140"/>
      </w:pPr>
      <w:r>
        <w:rPr>
          <w:b w:val="0"/>
          <w:i w:val="0"/>
          <w:color w:val="1A1D21"/>
          <w:sz w:val="20"/>
        </w:rPr>
        <w:t>Normalised earnings of EGP 4,622 million — the average of the last two years' revenue carried one year forward at inflation, at the 2025 net margin of 11.7% — would capitalise at the cost of equity of 31.24% less growth to about EGP 6.67 a share, and at the cost of equity alone, as an earlier edition did, to EGP 5.17. Neither figure is published as a lens here, and the reason is not the arithmetic. This company recognises revenue when a project completes, so its reported earnings in any year are an accident of which project happened to complete: capitalising a mid-cycle figure treats that schedule as though it were a steady state. The working is kept as a diagnostic in the workbook and it claims nothing.</w:t>
      </w:r>
    </w:p>
    <w:p>
      <w:pPr>
        <w:pStyle w:val="Heading2"/>
      </w:pPr>
      <w:r>
        <w:t>1.5  Synthesis — the lenses in one field</w:t>
      </w:r>
    </w:p>
    <w:p>
      <w:pPr>
        <w:spacing w:after="140"/>
      </w:pPr>
      <w:r>
        <w:rPr>
          <w:b w:val="0"/>
          <w:i w:val="0"/>
          <w:color w:val="1A1D21"/>
          <w:sz w:val="20"/>
        </w:rPr>
        <w:t>The lenses disagree, and the disagreement is the information — but one of them is the answer and the others are checks on it. The cash-flow lens is the central: it is the only one built from the company's own units and prices, and it is the only one that values an order book the company has sold but not yet handed over. The multiple on its own trading history sits at EGP 8.39 and book value at EGP 6.63, and both are lower for the same reason: they measure what has been reported, and what has been reported does not yet include a backlog carried at historical cost in a currency that has lost most of its value since 2022. That is a floor, and it is published as one.</w:t>
      </w:r>
    </w:p>
    <w:tbl>
      <w:tblPr>
        <w:tblStyle w:val="TableGrid"/>
        <w:tblW w:type="auto" w:w="0"/>
        <w:jc w:val="center"/>
        <w:tblLayout w:type="fixed"/>
        <w:tblLook w:firstColumn="1" w:firstRow="1" w:lastColumn="0" w:lastRow="0" w:noHBand="0" w:noVBand="1" w:val="04A0"/>
        <w:tblLayout w:type="fixed"/>
      </w:tblPr>
      <w:tblGrid>
        <w:gridCol w:w="2381"/>
        <w:gridCol w:w="1021"/>
        <w:gridCol w:w="1021"/>
        <w:gridCol w:w="1021"/>
        <w:gridCol w:w="1021"/>
        <w:gridCol w:w="2495"/>
      </w:tblGrid>
      <w:tr>
        <w:trPr>
          <w:tblHeader w:val="true"/>
        </w:trPr>
        <w:tc>
          <w:tcPr>
            <w:tcW w:type="dxa" w:w="2381"/>
          </w:tcPr>
          <w:p>
            <w:r/>
            <w:r>
              <w:rPr>
                <w:b/>
                <w:color w:val="5B6570"/>
                <w:sz w:val="17"/>
              </w:rPr>
              <w:t>Lens</w:t>
            </w:r>
          </w:p>
        </w:tc>
        <w:tc>
          <w:tcPr>
            <w:tcW w:type="dxa" w:w="1020"/>
          </w:tcPr>
          <w:p>
            <w:r/>
            <w:r>
              <w:rPr>
                <w:b/>
                <w:color w:val="5B6570"/>
                <w:sz w:val="17"/>
              </w:rPr>
              <w:t>Low</w:t>
            </w:r>
          </w:p>
        </w:tc>
        <w:tc>
          <w:tcPr>
            <w:tcW w:type="dxa" w:w="1020"/>
          </w:tcPr>
          <w:p>
            <w:r/>
            <w:r>
              <w:rPr>
                <w:b/>
                <w:color w:val="5B6570"/>
                <w:sz w:val="17"/>
              </w:rPr>
              <w:t>Central</w:t>
            </w:r>
          </w:p>
        </w:tc>
        <w:tc>
          <w:tcPr>
            <w:tcW w:type="dxa" w:w="1020"/>
          </w:tcPr>
          <w:p>
            <w:r/>
            <w:r>
              <w:rPr>
                <w:b/>
                <w:color w:val="5B6570"/>
                <w:sz w:val="17"/>
              </w:rPr>
              <w:t>High</w:t>
            </w:r>
          </w:p>
        </w:tc>
        <w:tc>
          <w:tcPr>
            <w:tcW w:type="dxa" w:w="1020"/>
          </w:tcPr>
          <w:p>
            <w:r/>
            <w:r>
              <w:rPr>
                <w:b/>
                <w:color w:val="5B6570"/>
                <w:sz w:val="17"/>
              </w:rPr>
              <w:t>Role</w:t>
            </w:r>
          </w:p>
        </w:tc>
        <w:tc>
          <w:tcPr>
            <w:tcW w:type="dxa" w:w="2494"/>
          </w:tcPr>
          <w:p>
            <w:r/>
            <w:r>
              <w:rPr>
                <w:b/>
                <w:color w:val="5B6570"/>
                <w:sz w:val="17"/>
              </w:rPr>
              <w:t>What moves it</w:t>
            </w:r>
          </w:p>
        </w:tc>
      </w:tr>
      <w:tr>
        <w:trPr>
          <w:cantSplit/>
        </w:trPr>
        <w:tc>
          <w:tcPr>
            <w:tcW w:type="dxa" w:w="2381"/>
          </w:tcPr>
          <w:p>
            <w:r/>
            <w:r>
              <w:rPr>
                <w:color w:val="1A1D21"/>
                <w:sz w:val="17"/>
              </w:rPr>
              <w:t>Discounted cash flow</w:t>
            </w:r>
          </w:p>
        </w:tc>
        <w:tc>
          <w:tcPr>
            <w:tcW w:type="dxa" w:w="1020"/>
          </w:tcPr>
          <w:p>
            <w:pPr>
              <w:jc w:val="right"/>
            </w:pPr>
            <w:r/>
            <w:r>
              <w:rPr>
                <w:color w:val="1A1D21"/>
                <w:sz w:val="17"/>
              </w:rPr>
              <w:t>4.02</w:t>
            </w:r>
          </w:p>
        </w:tc>
        <w:tc>
          <w:tcPr>
            <w:tcW w:type="dxa" w:w="1020"/>
          </w:tcPr>
          <w:p>
            <w:pPr>
              <w:jc w:val="right"/>
            </w:pPr>
            <w:r/>
            <w:r>
              <w:rPr>
                <w:color w:val="1A1D21"/>
                <w:sz w:val="17"/>
              </w:rPr>
              <w:t>17.86</w:t>
            </w:r>
          </w:p>
        </w:tc>
        <w:tc>
          <w:tcPr>
            <w:tcW w:type="dxa" w:w="1020"/>
          </w:tcPr>
          <w:p>
            <w:pPr>
              <w:jc w:val="right"/>
            </w:pPr>
            <w:r/>
            <w:r>
              <w:rPr>
                <w:color w:val="1A1D21"/>
                <w:sz w:val="17"/>
              </w:rPr>
              <w:t>46.53</w:t>
            </w:r>
          </w:p>
        </w:tc>
        <w:tc>
          <w:tcPr>
            <w:tcW w:type="dxa" w:w="1020"/>
          </w:tcPr>
          <w:p>
            <w:r/>
            <w:r>
              <w:rPr>
                <w:color w:val="1A1D21"/>
                <w:sz w:val="17"/>
              </w:rPr>
              <w:t>the central</w:t>
            </w:r>
          </w:p>
        </w:tc>
        <w:tc>
          <w:tcPr>
            <w:tcW w:type="dxa" w:w="2494"/>
          </w:tcPr>
          <w:p>
            <w:r/>
            <w:r>
              <w:rPr>
                <w:color w:val="1A1D21"/>
                <w:sz w:val="17"/>
              </w:rPr>
              <w:t>cash conversion, then the cost of capital</w:t>
            </w:r>
          </w:p>
        </w:tc>
      </w:tr>
      <w:tr>
        <w:trPr>
          <w:cantSplit/>
        </w:trPr>
        <w:tc>
          <w:tcPr>
            <w:tcW w:type="dxa" w:w="2381"/>
          </w:tcPr>
          <w:p>
            <w:r/>
            <w:r>
              <w:rPr>
                <w:color w:val="1A1D21"/>
                <w:sz w:val="17"/>
              </w:rPr>
              <w:t>Earnings multiple on own history</w:t>
            </w:r>
          </w:p>
        </w:tc>
        <w:tc>
          <w:tcPr>
            <w:tcW w:type="dxa" w:w="1020"/>
          </w:tcPr>
          <w:p>
            <w:pPr>
              <w:jc w:val="right"/>
            </w:pPr>
            <w:r/>
            <w:r>
              <w:rPr>
                <w:color w:val="1A1D21"/>
                <w:sz w:val="17"/>
              </w:rPr>
              <w:t>5.59</w:t>
            </w:r>
          </w:p>
        </w:tc>
        <w:tc>
          <w:tcPr>
            <w:tcW w:type="dxa" w:w="1020"/>
          </w:tcPr>
          <w:p>
            <w:pPr>
              <w:jc w:val="right"/>
            </w:pPr>
            <w:r/>
            <w:r>
              <w:rPr>
                <w:color w:val="1A1D21"/>
                <w:sz w:val="17"/>
              </w:rPr>
              <w:t>8.39</w:t>
            </w:r>
          </w:p>
        </w:tc>
        <w:tc>
          <w:tcPr>
            <w:tcW w:type="dxa" w:w="1020"/>
          </w:tcPr>
          <w:p>
            <w:pPr>
              <w:jc w:val="right"/>
            </w:pPr>
            <w:r/>
            <w:r>
              <w:rPr>
                <w:color w:val="1A1D21"/>
                <w:sz w:val="17"/>
              </w:rPr>
              <w:t>13.05</w:t>
            </w:r>
          </w:p>
        </w:tc>
        <w:tc>
          <w:tcPr>
            <w:tcW w:type="dxa" w:w="1020"/>
          </w:tcPr>
          <w:p>
            <w:r/>
            <w:r>
              <w:rPr>
                <w:color w:val="1A1D21"/>
                <w:sz w:val="17"/>
              </w:rPr>
              <w:t>cross-check</w:t>
            </w:r>
          </w:p>
        </w:tc>
        <w:tc>
          <w:tcPr>
            <w:tcW w:type="dxa" w:w="2494"/>
          </w:tcPr>
          <w:p>
            <w:r/>
            <w:r>
              <w:rPr>
                <w:color w:val="1A1D21"/>
                <w:sz w:val="17"/>
              </w:rPr>
              <w:t>the multiple the shares have historically carried, 6x to 14x</w:t>
            </w:r>
          </w:p>
        </w:tc>
      </w:tr>
      <w:tr>
        <w:trPr>
          <w:cantSplit/>
        </w:trPr>
        <w:tc>
          <w:tcPr>
            <w:tcW w:type="dxa" w:w="2381"/>
          </w:tcPr>
          <w:p>
            <w:r/>
            <w:r>
              <w:rPr>
                <w:color w:val="1A1D21"/>
                <w:sz w:val="17"/>
              </w:rPr>
              <w:t>Book value of equity — a disclosed floor</w:t>
            </w:r>
          </w:p>
        </w:tc>
        <w:tc>
          <w:tcPr>
            <w:tcW w:type="dxa" w:w="1020"/>
          </w:tcPr>
          <w:p>
            <w:pPr>
              <w:jc w:val="right"/>
            </w:pPr>
            <w:r/>
            <w:r>
              <w:rPr>
                <w:color w:val="1A1D21"/>
                <w:sz w:val="17"/>
              </w:rPr>
              <w:t>5.97</w:t>
            </w:r>
          </w:p>
        </w:tc>
        <w:tc>
          <w:tcPr>
            <w:tcW w:type="dxa" w:w="1020"/>
          </w:tcPr>
          <w:p>
            <w:pPr>
              <w:jc w:val="right"/>
            </w:pPr>
            <w:r/>
            <w:r>
              <w:rPr>
                <w:color w:val="1A1D21"/>
                <w:sz w:val="17"/>
              </w:rPr>
              <w:t>6.63</w:t>
            </w:r>
          </w:p>
        </w:tc>
        <w:tc>
          <w:tcPr>
            <w:tcW w:type="dxa" w:w="1020"/>
          </w:tcPr>
          <w:p>
            <w:pPr>
              <w:jc w:val="right"/>
            </w:pPr>
            <w:r/>
            <w:r>
              <w:rPr>
                <w:color w:val="1A1D21"/>
                <w:sz w:val="17"/>
              </w:rPr>
              <w:t>8.62</w:t>
            </w:r>
          </w:p>
        </w:tc>
        <w:tc>
          <w:tcPr>
            <w:tcW w:type="dxa" w:w="1020"/>
          </w:tcPr>
          <w:p>
            <w:r/>
            <w:r>
              <w:rPr>
                <w:color w:val="1A1D21"/>
                <w:sz w:val="17"/>
              </w:rPr>
              <w:t>cross-check</w:t>
            </w:r>
          </w:p>
        </w:tc>
        <w:tc>
          <w:tcPr>
            <w:tcW w:type="dxa" w:w="2494"/>
          </w:tcPr>
          <w:p>
            <w:r/>
            <w:r>
              <w:rPr>
                <w:color w:val="1A1D21"/>
                <w:sz w:val="17"/>
              </w:rPr>
              <w:t>nothing — it is a reported figure</w:t>
            </w:r>
          </w:p>
        </w:tc>
      </w:tr>
    </w:tbl>
    <w:p>
      <w:pPr>
        <w:spacing w:after="200"/>
      </w:pPr>
      <w:r>
        <w:rPr>
          <w:b w:val="0"/>
          <w:i/>
          <w:color w:val="5B6570"/>
          <w:sz w:val="16"/>
        </w:rPr>
        <w:t>EGP per share, against a close of EGP 14.40. The cash-flow lens is the central and the others are cross-checks; they are not averaged. Normalised earnings power, which an earlier edition carried at a fifth of the weight, is not published as a lens here at all: a developer that recognises revenue when a project completes reports earnings that are an accident of which project completed in which year, and capitalising a mid-cycle figure treats that schedule as a steady state. The working is kept in the workbook as a diagnostic and claims nothing.</w:t>
      </w:r>
    </w:p>
    <w:p>
      <w:pPr>
        <w:pStyle w:val="Heading2"/>
      </w:pPr>
      <w:r>
        <w:t>1.6  Drivers — units and prices, by region</w:t>
      </w:r>
    </w:p>
    <w:p>
      <w:pPr>
        <w:spacing w:after="140"/>
      </w:pPr>
      <w:r>
        <w:rPr>
          <w:b w:val="0"/>
          <w:i w:val="0"/>
          <w:color w:val="1A1D21"/>
          <w:sz w:val="20"/>
        </w:rPr>
        <w:t>This is what the forecast is built from. For each operating region the company publishes both the value of new sales and the number of units behind it, so the average selling price per unit is a realised figure, not an assumption. Dividing one disclosure by the other is the only step taken.</w:t>
      </w:r>
    </w:p>
    <w:p>
      <w:pPr>
        <w:pStyle w:val="Heading3"/>
      </w:pPr>
      <w:r>
        <w:t>North Coast &amp; Alexandria</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Disclosed</w:t>
            </w:r>
          </w:p>
        </w:tc>
        <w:tc>
          <w:tcPr>
            <w:tcW w:type="dxa" w:w="1361"/>
          </w:tcPr>
          <w:p>
            <w:r/>
            <w:r>
              <w:rPr>
                <w:b/>
                <w:color w:val="5B6570"/>
                <w:sz w:val="17"/>
              </w:rPr>
              <w:t>2020</w:t>
            </w:r>
          </w:p>
        </w:tc>
        <w:tc>
          <w:tcPr>
            <w:tcW w:type="dxa" w:w="1361"/>
          </w:tcPr>
          <w:p>
            <w:r/>
            <w:r>
              <w:rPr>
                <w:b/>
                <w:color w:val="5B6570"/>
                <w:sz w:val="17"/>
              </w:rPr>
              <w:t>2021</w:t>
            </w:r>
          </w:p>
        </w:tc>
        <w:tc>
          <w:tcPr>
            <w:tcW w:type="dxa" w:w="1361"/>
          </w:tcPr>
          <w:p>
            <w:r/>
            <w:r>
              <w:rPr>
                <w:b/>
                <w:color w:val="5B6570"/>
                <w:sz w:val="17"/>
              </w:rPr>
              <w:t>2022</w:t>
            </w:r>
          </w:p>
        </w:tc>
        <w:tc>
          <w:tcPr>
            <w:tcW w:type="dxa" w:w="1361"/>
          </w:tcPr>
          <w:p>
            <w:r/>
            <w:r>
              <w:rPr>
                <w:b/>
                <w:color w:val="5B6570"/>
                <w:sz w:val="17"/>
              </w:rPr>
              <w:t>2023</w:t>
            </w:r>
          </w:p>
        </w:tc>
        <w:tc>
          <w:tcPr>
            <w:tcW w:type="dxa" w:w="1361"/>
          </w:tcPr>
          <w:p>
            <w:r/>
            <w:r>
              <w:rPr>
                <w:b/>
                <w:color w:val="5B6570"/>
                <w:sz w:val="17"/>
              </w:rPr>
              <w:t>2024</w:t>
            </w:r>
          </w:p>
        </w:tc>
      </w:tr>
      <w:tr>
        <w:trPr>
          <w:cantSplit/>
        </w:trPr>
        <w:tc>
          <w:tcPr>
            <w:tcW w:type="dxa" w:w="2494"/>
          </w:tcPr>
          <w:p>
            <w:r/>
            <w:r>
              <w:rPr>
                <w:color w:val="1A1D21"/>
                <w:sz w:val="17"/>
              </w:rPr>
              <w:t>New sales (EGP mn)</w:t>
            </w:r>
          </w:p>
        </w:tc>
        <w:tc>
          <w:tcPr>
            <w:tcW w:type="dxa" w:w="1361"/>
          </w:tcPr>
          <w:p>
            <w:pPr>
              <w:jc w:val="right"/>
            </w:pPr>
            <w:r/>
            <w:r>
              <w:rPr>
                <w:color w:val="1A1D21"/>
                <w:sz w:val="17"/>
              </w:rPr>
              <w:t>4,205</w:t>
            </w:r>
          </w:p>
        </w:tc>
        <w:tc>
          <w:tcPr>
            <w:tcW w:type="dxa" w:w="1361"/>
          </w:tcPr>
          <w:p>
            <w:pPr>
              <w:jc w:val="right"/>
            </w:pPr>
            <w:r/>
            <w:r>
              <w:rPr>
                <w:color w:val="1A1D21"/>
                <w:sz w:val="17"/>
              </w:rPr>
              <w:t>7,139</w:t>
            </w:r>
          </w:p>
        </w:tc>
        <w:tc>
          <w:tcPr>
            <w:tcW w:type="dxa" w:w="1361"/>
          </w:tcPr>
          <w:p>
            <w:pPr>
              <w:jc w:val="right"/>
            </w:pPr>
            <w:r/>
            <w:r>
              <w:rPr>
                <w:color w:val="1A1D21"/>
                <w:sz w:val="17"/>
              </w:rPr>
              <w:t>5,627</w:t>
            </w:r>
          </w:p>
        </w:tc>
        <w:tc>
          <w:tcPr>
            <w:tcW w:type="dxa" w:w="1361"/>
          </w:tcPr>
          <w:p>
            <w:pPr>
              <w:jc w:val="right"/>
            </w:pPr>
            <w:r/>
            <w:r>
              <w:rPr>
                <w:color w:val="1A1D21"/>
                <w:sz w:val="17"/>
              </w:rPr>
              <w:t>13,900</w:t>
            </w:r>
          </w:p>
        </w:tc>
        <w:tc>
          <w:tcPr>
            <w:tcW w:type="dxa" w:w="1361"/>
          </w:tcPr>
          <w:p>
            <w:pPr>
              <w:jc w:val="right"/>
            </w:pPr>
            <w:r/>
            <w:r>
              <w:rPr>
                <w:color w:val="1A1D21"/>
                <w:sz w:val="17"/>
              </w:rPr>
              <w:t>95,082</w:t>
            </w:r>
          </w:p>
        </w:tc>
      </w:tr>
      <w:tr>
        <w:trPr>
          <w:cantSplit/>
        </w:trPr>
        <w:tc>
          <w:tcPr>
            <w:tcW w:type="dxa" w:w="2494"/>
          </w:tcPr>
          <w:p>
            <w:r/>
            <w:r>
              <w:rPr>
                <w:color w:val="1A1D21"/>
                <w:sz w:val="17"/>
              </w:rPr>
              <w:t>Units sold</w:t>
            </w:r>
          </w:p>
        </w:tc>
        <w:tc>
          <w:tcPr>
            <w:tcW w:type="dxa" w:w="1361"/>
          </w:tcPr>
          <w:p>
            <w:pPr>
              <w:jc w:val="right"/>
            </w:pPr>
            <w:r/>
            <w:r>
              <w:rPr>
                <w:color w:val="1A1D21"/>
                <w:sz w:val="17"/>
              </w:rPr>
              <w:t>726</w:t>
            </w:r>
          </w:p>
        </w:tc>
        <w:tc>
          <w:tcPr>
            <w:tcW w:type="dxa" w:w="1361"/>
          </w:tcPr>
          <w:p>
            <w:pPr>
              <w:jc w:val="right"/>
            </w:pPr>
            <w:r/>
            <w:r>
              <w:rPr>
                <w:color w:val="1A1D21"/>
                <w:sz w:val="17"/>
              </w:rPr>
              <w:t>1,552</w:t>
            </w:r>
          </w:p>
        </w:tc>
        <w:tc>
          <w:tcPr>
            <w:tcW w:type="dxa" w:w="1361"/>
          </w:tcPr>
          <w:p>
            <w:pPr>
              <w:jc w:val="right"/>
            </w:pPr>
            <w:r/>
            <w:r>
              <w:rPr>
                <w:color w:val="1A1D21"/>
                <w:sz w:val="17"/>
              </w:rPr>
              <w:t>800</w:t>
            </w:r>
          </w:p>
        </w:tc>
        <w:tc>
          <w:tcPr>
            <w:tcW w:type="dxa" w:w="1361"/>
          </w:tcPr>
          <w:p>
            <w:pPr>
              <w:jc w:val="right"/>
            </w:pPr>
            <w:r/>
            <w:r>
              <w:rPr>
                <w:color w:val="1A1D21"/>
                <w:sz w:val="17"/>
              </w:rPr>
              <w:t>1,231</w:t>
            </w:r>
          </w:p>
        </w:tc>
        <w:tc>
          <w:tcPr>
            <w:tcW w:type="dxa" w:w="1361"/>
          </w:tcPr>
          <w:p>
            <w:pPr>
              <w:jc w:val="right"/>
            </w:pPr>
            <w:r/>
            <w:r>
              <w:rPr>
                <w:color w:val="1A1D21"/>
                <w:sz w:val="17"/>
              </w:rPr>
              <w:t>4,192</w:t>
            </w:r>
          </w:p>
        </w:tc>
      </w:tr>
      <w:tr>
        <w:trPr>
          <w:cantSplit/>
        </w:trPr>
        <w:tc>
          <w:tcPr>
            <w:tcW w:type="dxa" w:w="2494"/>
          </w:tcPr>
          <w:p>
            <w:r/>
            <w:r>
              <w:rPr>
                <w:color w:val="1A1D21"/>
                <w:sz w:val="17"/>
              </w:rPr>
              <w:t>Price per unit (EGP mn)</w:t>
            </w:r>
          </w:p>
        </w:tc>
        <w:tc>
          <w:tcPr>
            <w:tcW w:type="dxa" w:w="1361"/>
          </w:tcPr>
          <w:p>
            <w:pPr>
              <w:jc w:val="right"/>
            </w:pPr>
            <w:r/>
            <w:r>
              <w:rPr>
                <w:color w:val="1A1D21"/>
                <w:sz w:val="17"/>
              </w:rPr>
              <w:t>5.79</w:t>
            </w:r>
          </w:p>
        </w:tc>
        <w:tc>
          <w:tcPr>
            <w:tcW w:type="dxa" w:w="1361"/>
          </w:tcPr>
          <w:p>
            <w:pPr>
              <w:jc w:val="right"/>
            </w:pPr>
            <w:r/>
            <w:r>
              <w:rPr>
                <w:color w:val="1A1D21"/>
                <w:sz w:val="17"/>
              </w:rPr>
              <w:t>4.60</w:t>
            </w:r>
          </w:p>
        </w:tc>
        <w:tc>
          <w:tcPr>
            <w:tcW w:type="dxa" w:w="1361"/>
          </w:tcPr>
          <w:p>
            <w:pPr>
              <w:jc w:val="right"/>
            </w:pPr>
            <w:r/>
            <w:r>
              <w:rPr>
                <w:color w:val="1A1D21"/>
                <w:sz w:val="17"/>
              </w:rPr>
              <w:t>7.03</w:t>
            </w:r>
          </w:p>
        </w:tc>
        <w:tc>
          <w:tcPr>
            <w:tcW w:type="dxa" w:w="1361"/>
          </w:tcPr>
          <w:p>
            <w:pPr>
              <w:jc w:val="right"/>
            </w:pPr>
            <w:r/>
            <w:r>
              <w:rPr>
                <w:color w:val="1A1D21"/>
                <w:sz w:val="17"/>
              </w:rPr>
              <w:t>11.29</w:t>
            </w:r>
          </w:p>
        </w:tc>
        <w:tc>
          <w:tcPr>
            <w:tcW w:type="dxa" w:w="1361"/>
          </w:tcPr>
          <w:p>
            <w:pPr>
              <w:jc w:val="right"/>
            </w:pPr>
            <w:r/>
            <w:r>
              <w:rPr>
                <w:color w:val="1A1D21"/>
                <w:sz w:val="17"/>
              </w:rPr>
              <w:t>22.68</w:t>
            </w:r>
          </w:p>
        </w:tc>
      </w:tr>
    </w:tbl>
    <w:p>
      <w:pPr>
        <w:spacing w:after="80"/>
      </w:pPr>
      <w:r>
        <w:rPr>
          <w:b w:val="0"/>
          <w:i w:val="0"/>
          <w:color w:val="1A1D21"/>
          <w:sz w:val="8"/>
        </w:rPr>
      </w:r>
    </w:p>
    <w:p>
      <w:pPr>
        <w:spacing w:after="140"/>
      </w:pPr>
      <w:r>
        <w:rPr>
          <w:b w:val="0"/>
          <w:i w:val="0"/>
          <w:color w:val="5B6570"/>
          <w:sz w:val="18"/>
        </w:rPr>
        <w:t>Carried forward at 2,074 units, the average of the last three disclosed years, at a starting price of EGP 22.68 million a unit, the price realised in 2024, escalated with Egyptian inflation.</w:t>
      </w:r>
    </w:p>
    <w:p>
      <w:pPr>
        <w:pStyle w:val="Heading3"/>
      </w:pPr>
      <w:r>
        <w:t>West Cairo &amp; Badya</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Disclosed</w:t>
            </w:r>
          </w:p>
        </w:tc>
        <w:tc>
          <w:tcPr>
            <w:tcW w:type="dxa" w:w="1361"/>
          </w:tcPr>
          <w:p>
            <w:r/>
            <w:r>
              <w:rPr>
                <w:b/>
                <w:color w:val="5B6570"/>
                <w:sz w:val="17"/>
              </w:rPr>
              <w:t>2020</w:t>
            </w:r>
          </w:p>
        </w:tc>
        <w:tc>
          <w:tcPr>
            <w:tcW w:type="dxa" w:w="1361"/>
          </w:tcPr>
          <w:p>
            <w:r/>
            <w:r>
              <w:rPr>
                <w:b/>
                <w:color w:val="5B6570"/>
                <w:sz w:val="17"/>
              </w:rPr>
              <w:t>2021</w:t>
            </w:r>
          </w:p>
        </w:tc>
        <w:tc>
          <w:tcPr>
            <w:tcW w:type="dxa" w:w="1361"/>
          </w:tcPr>
          <w:p>
            <w:r/>
            <w:r>
              <w:rPr>
                <w:b/>
                <w:color w:val="5B6570"/>
                <w:sz w:val="17"/>
              </w:rPr>
              <w:t>2022</w:t>
            </w:r>
          </w:p>
        </w:tc>
        <w:tc>
          <w:tcPr>
            <w:tcW w:type="dxa" w:w="1361"/>
          </w:tcPr>
          <w:p>
            <w:r/>
            <w:r>
              <w:rPr>
                <w:b/>
                <w:color w:val="5B6570"/>
                <w:sz w:val="17"/>
              </w:rPr>
              <w:t>2023</w:t>
            </w:r>
          </w:p>
        </w:tc>
        <w:tc>
          <w:tcPr>
            <w:tcW w:type="dxa" w:w="1361"/>
          </w:tcPr>
          <w:p>
            <w:r/>
            <w:r>
              <w:rPr>
                <w:b/>
                <w:color w:val="5B6570"/>
                <w:sz w:val="17"/>
              </w:rPr>
              <w:t>2024</w:t>
            </w:r>
          </w:p>
        </w:tc>
      </w:tr>
      <w:tr>
        <w:trPr>
          <w:cantSplit/>
        </w:trPr>
        <w:tc>
          <w:tcPr>
            <w:tcW w:type="dxa" w:w="2494"/>
          </w:tcPr>
          <w:p>
            <w:r/>
            <w:r>
              <w:rPr>
                <w:color w:val="1A1D21"/>
                <w:sz w:val="17"/>
              </w:rPr>
              <w:t>New sales (EGP mn)</w:t>
            </w:r>
          </w:p>
        </w:tc>
        <w:tc>
          <w:tcPr>
            <w:tcW w:type="dxa" w:w="1361"/>
          </w:tcPr>
          <w:p>
            <w:pPr>
              <w:jc w:val="right"/>
            </w:pPr>
            <w:r/>
            <w:r>
              <w:rPr>
                <w:color w:val="1A1D21"/>
                <w:sz w:val="17"/>
              </w:rPr>
              <w:t>6,627</w:t>
            </w:r>
          </w:p>
        </w:tc>
        <w:tc>
          <w:tcPr>
            <w:tcW w:type="dxa" w:w="1361"/>
          </w:tcPr>
          <w:p>
            <w:pPr>
              <w:jc w:val="right"/>
            </w:pPr>
            <w:r/>
            <w:r>
              <w:rPr>
                <w:color w:val="1A1D21"/>
                <w:sz w:val="17"/>
              </w:rPr>
              <w:t>7,258</w:t>
            </w:r>
          </w:p>
        </w:tc>
        <w:tc>
          <w:tcPr>
            <w:tcW w:type="dxa" w:w="1361"/>
          </w:tcPr>
          <w:p>
            <w:pPr>
              <w:jc w:val="right"/>
            </w:pPr>
            <w:r/>
            <w:r>
              <w:rPr>
                <w:color w:val="1A1D21"/>
                <w:sz w:val="17"/>
              </w:rPr>
              <w:t>13,118</w:t>
            </w:r>
          </w:p>
        </w:tc>
        <w:tc>
          <w:tcPr>
            <w:tcW w:type="dxa" w:w="1361"/>
          </w:tcPr>
          <w:p>
            <w:pPr>
              <w:jc w:val="right"/>
            </w:pPr>
            <w:r/>
            <w:r>
              <w:rPr>
                <w:color w:val="1A1D21"/>
                <w:sz w:val="17"/>
              </w:rPr>
              <w:t>32,332</w:t>
            </w:r>
          </w:p>
        </w:tc>
        <w:tc>
          <w:tcPr>
            <w:tcW w:type="dxa" w:w="1361"/>
          </w:tcPr>
          <w:p>
            <w:pPr>
              <w:jc w:val="right"/>
            </w:pPr>
            <w:r/>
            <w:r>
              <w:rPr>
                <w:color w:val="1A1D21"/>
                <w:sz w:val="17"/>
              </w:rPr>
              <w:t>44,570</w:t>
            </w:r>
          </w:p>
        </w:tc>
      </w:tr>
      <w:tr>
        <w:trPr>
          <w:cantSplit/>
        </w:trPr>
        <w:tc>
          <w:tcPr>
            <w:tcW w:type="dxa" w:w="2494"/>
          </w:tcPr>
          <w:p>
            <w:r/>
            <w:r>
              <w:rPr>
                <w:color w:val="1A1D21"/>
                <w:sz w:val="17"/>
              </w:rPr>
              <w:t>Units sold</w:t>
            </w:r>
          </w:p>
        </w:tc>
        <w:tc>
          <w:tcPr>
            <w:tcW w:type="dxa" w:w="1361"/>
          </w:tcPr>
          <w:p>
            <w:pPr>
              <w:jc w:val="right"/>
            </w:pPr>
            <w:r/>
            <w:r>
              <w:rPr>
                <w:color w:val="1A1D21"/>
                <w:sz w:val="17"/>
              </w:rPr>
              <w:t>858</w:t>
            </w:r>
          </w:p>
        </w:tc>
        <w:tc>
          <w:tcPr>
            <w:tcW w:type="dxa" w:w="1361"/>
          </w:tcPr>
          <w:p>
            <w:pPr>
              <w:jc w:val="right"/>
            </w:pPr>
            <w:r/>
            <w:r>
              <w:rPr>
                <w:color w:val="1A1D21"/>
                <w:sz w:val="17"/>
              </w:rPr>
              <w:t>1,416</w:t>
            </w:r>
          </w:p>
        </w:tc>
        <w:tc>
          <w:tcPr>
            <w:tcW w:type="dxa" w:w="1361"/>
          </w:tcPr>
          <w:p>
            <w:pPr>
              <w:jc w:val="right"/>
            </w:pPr>
            <w:r/>
            <w:r>
              <w:rPr>
                <w:color w:val="1A1D21"/>
                <w:sz w:val="17"/>
              </w:rPr>
              <w:t>2,039</w:t>
            </w:r>
          </w:p>
        </w:tc>
        <w:tc>
          <w:tcPr>
            <w:tcW w:type="dxa" w:w="1361"/>
          </w:tcPr>
          <w:p>
            <w:pPr>
              <w:jc w:val="right"/>
            </w:pPr>
            <w:r/>
            <w:r>
              <w:rPr>
                <w:color w:val="1A1D21"/>
                <w:sz w:val="17"/>
              </w:rPr>
              <w:t>2,950</w:t>
            </w:r>
          </w:p>
        </w:tc>
        <w:tc>
          <w:tcPr>
            <w:tcW w:type="dxa" w:w="1361"/>
          </w:tcPr>
          <w:p>
            <w:pPr>
              <w:jc w:val="right"/>
            </w:pPr>
            <w:r/>
            <w:r>
              <w:rPr>
                <w:color w:val="1A1D21"/>
                <w:sz w:val="17"/>
              </w:rPr>
              <w:t>2,839</w:t>
            </w:r>
          </w:p>
        </w:tc>
      </w:tr>
      <w:tr>
        <w:trPr>
          <w:cantSplit/>
        </w:trPr>
        <w:tc>
          <w:tcPr>
            <w:tcW w:type="dxa" w:w="2494"/>
          </w:tcPr>
          <w:p>
            <w:r/>
            <w:r>
              <w:rPr>
                <w:color w:val="1A1D21"/>
                <w:sz w:val="17"/>
              </w:rPr>
              <w:t>Price per unit (EGP mn)</w:t>
            </w:r>
          </w:p>
        </w:tc>
        <w:tc>
          <w:tcPr>
            <w:tcW w:type="dxa" w:w="1361"/>
          </w:tcPr>
          <w:p>
            <w:pPr>
              <w:jc w:val="right"/>
            </w:pPr>
            <w:r/>
            <w:r>
              <w:rPr>
                <w:color w:val="1A1D21"/>
                <w:sz w:val="17"/>
              </w:rPr>
              <w:t>7.72</w:t>
            </w:r>
          </w:p>
        </w:tc>
        <w:tc>
          <w:tcPr>
            <w:tcW w:type="dxa" w:w="1361"/>
          </w:tcPr>
          <w:p>
            <w:pPr>
              <w:jc w:val="right"/>
            </w:pPr>
            <w:r/>
            <w:r>
              <w:rPr>
                <w:color w:val="1A1D21"/>
                <w:sz w:val="17"/>
              </w:rPr>
              <w:t>5.13</w:t>
            </w:r>
          </w:p>
        </w:tc>
        <w:tc>
          <w:tcPr>
            <w:tcW w:type="dxa" w:w="1361"/>
          </w:tcPr>
          <w:p>
            <w:pPr>
              <w:jc w:val="right"/>
            </w:pPr>
            <w:r/>
            <w:r>
              <w:rPr>
                <w:color w:val="1A1D21"/>
                <w:sz w:val="17"/>
              </w:rPr>
              <w:t>6.43</w:t>
            </w:r>
          </w:p>
        </w:tc>
        <w:tc>
          <w:tcPr>
            <w:tcW w:type="dxa" w:w="1361"/>
          </w:tcPr>
          <w:p>
            <w:pPr>
              <w:jc w:val="right"/>
            </w:pPr>
            <w:r/>
            <w:r>
              <w:rPr>
                <w:color w:val="1A1D21"/>
                <w:sz w:val="17"/>
              </w:rPr>
              <w:t>10.96</w:t>
            </w:r>
          </w:p>
        </w:tc>
        <w:tc>
          <w:tcPr>
            <w:tcW w:type="dxa" w:w="1361"/>
          </w:tcPr>
          <w:p>
            <w:pPr>
              <w:jc w:val="right"/>
            </w:pPr>
            <w:r/>
            <w:r>
              <w:rPr>
                <w:color w:val="1A1D21"/>
                <w:sz w:val="17"/>
              </w:rPr>
              <w:t>15.70</w:t>
            </w:r>
          </w:p>
        </w:tc>
      </w:tr>
    </w:tbl>
    <w:p>
      <w:pPr>
        <w:spacing w:after="80"/>
      </w:pPr>
      <w:r>
        <w:rPr>
          <w:b w:val="0"/>
          <w:i w:val="0"/>
          <w:color w:val="1A1D21"/>
          <w:sz w:val="8"/>
        </w:rPr>
      </w:r>
    </w:p>
    <w:p>
      <w:pPr>
        <w:spacing w:after="140"/>
      </w:pPr>
      <w:r>
        <w:rPr>
          <w:b w:val="0"/>
          <w:i w:val="0"/>
          <w:color w:val="5B6570"/>
          <w:sz w:val="18"/>
        </w:rPr>
        <w:t>Carried forward at 2,609 units, the average of the last three disclosed years, at a starting price of EGP 15.70 million a unit, the price realised in 2024, escalated with Egyptian inflation.</w:t>
      </w:r>
    </w:p>
    <w:p>
      <w:pPr>
        <w:pStyle w:val="Heading3"/>
      </w:pPr>
      <w:r>
        <w:t>East Cairo</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Disclosed</w:t>
            </w:r>
          </w:p>
        </w:tc>
        <w:tc>
          <w:tcPr>
            <w:tcW w:type="dxa" w:w="1361"/>
          </w:tcPr>
          <w:p>
            <w:r/>
            <w:r>
              <w:rPr>
                <w:b/>
                <w:color w:val="5B6570"/>
                <w:sz w:val="17"/>
              </w:rPr>
              <w:t>2020</w:t>
            </w:r>
          </w:p>
        </w:tc>
        <w:tc>
          <w:tcPr>
            <w:tcW w:type="dxa" w:w="1361"/>
          </w:tcPr>
          <w:p>
            <w:r/>
            <w:r>
              <w:rPr>
                <w:b/>
                <w:color w:val="5B6570"/>
                <w:sz w:val="17"/>
              </w:rPr>
              <w:t>2021</w:t>
            </w:r>
          </w:p>
        </w:tc>
        <w:tc>
          <w:tcPr>
            <w:tcW w:type="dxa" w:w="1361"/>
          </w:tcPr>
          <w:p>
            <w:r/>
            <w:r>
              <w:rPr>
                <w:b/>
                <w:color w:val="5B6570"/>
                <w:sz w:val="17"/>
              </w:rPr>
              <w:t>2022</w:t>
            </w:r>
          </w:p>
        </w:tc>
        <w:tc>
          <w:tcPr>
            <w:tcW w:type="dxa" w:w="1361"/>
          </w:tcPr>
          <w:p>
            <w:r/>
            <w:r>
              <w:rPr>
                <w:b/>
                <w:color w:val="5B6570"/>
                <w:sz w:val="17"/>
              </w:rPr>
              <w:t>2023</w:t>
            </w:r>
          </w:p>
        </w:tc>
        <w:tc>
          <w:tcPr>
            <w:tcW w:type="dxa" w:w="1361"/>
          </w:tcPr>
          <w:p>
            <w:r/>
            <w:r>
              <w:rPr>
                <w:b/>
                <w:color w:val="5B6570"/>
                <w:sz w:val="17"/>
              </w:rPr>
              <w:t>2024</w:t>
            </w:r>
          </w:p>
        </w:tc>
      </w:tr>
      <w:tr>
        <w:trPr>
          <w:cantSplit/>
        </w:trPr>
        <w:tc>
          <w:tcPr>
            <w:tcW w:type="dxa" w:w="2494"/>
          </w:tcPr>
          <w:p>
            <w:r/>
            <w:r>
              <w:rPr>
                <w:color w:val="1A1D21"/>
                <w:sz w:val="17"/>
              </w:rPr>
              <w:t>New sales (EGP mn)</w:t>
            </w:r>
          </w:p>
        </w:tc>
        <w:tc>
          <w:tcPr>
            <w:tcW w:type="dxa" w:w="1361"/>
          </w:tcPr>
          <w:p>
            <w:pPr>
              <w:jc w:val="right"/>
            </w:pPr>
            <w:r/>
            <w:r>
              <w:rPr>
                <w:color w:val="1A1D21"/>
                <w:sz w:val="17"/>
              </w:rPr>
              <w:t>1,947</w:t>
            </w:r>
          </w:p>
        </w:tc>
        <w:tc>
          <w:tcPr>
            <w:tcW w:type="dxa" w:w="1361"/>
          </w:tcPr>
          <w:p>
            <w:pPr>
              <w:jc w:val="right"/>
            </w:pPr>
            <w:r/>
            <w:r>
              <w:rPr>
                <w:color w:val="1A1D21"/>
                <w:sz w:val="17"/>
              </w:rPr>
              <w:t>2,892</w:t>
            </w:r>
          </w:p>
        </w:tc>
        <w:tc>
          <w:tcPr>
            <w:tcW w:type="dxa" w:w="1361"/>
          </w:tcPr>
          <w:p>
            <w:pPr>
              <w:jc w:val="right"/>
            </w:pPr>
            <w:r/>
            <w:r>
              <w:rPr>
                <w:color w:val="1A1D21"/>
                <w:sz w:val="17"/>
              </w:rPr>
              <w:t>7,265</w:t>
            </w:r>
          </w:p>
        </w:tc>
        <w:tc>
          <w:tcPr>
            <w:tcW w:type="dxa" w:w="1361"/>
          </w:tcPr>
          <w:p>
            <w:pPr>
              <w:jc w:val="right"/>
            </w:pPr>
            <w:r/>
            <w:r>
              <w:rPr>
                <w:color w:val="1A1D21"/>
                <w:sz w:val="17"/>
              </w:rPr>
              <w:t>13,270</w:t>
            </w:r>
          </w:p>
        </w:tc>
        <w:tc>
          <w:tcPr>
            <w:tcW w:type="dxa" w:w="1361"/>
          </w:tcPr>
          <w:p>
            <w:pPr>
              <w:jc w:val="right"/>
            </w:pPr>
            <w:r/>
            <w:r>
              <w:rPr>
                <w:color w:val="1A1D21"/>
                <w:sz w:val="17"/>
              </w:rPr>
              <w:t>11,364</w:t>
            </w:r>
          </w:p>
        </w:tc>
      </w:tr>
      <w:tr>
        <w:trPr>
          <w:cantSplit/>
        </w:trPr>
        <w:tc>
          <w:tcPr>
            <w:tcW w:type="dxa" w:w="2494"/>
          </w:tcPr>
          <w:p>
            <w:r/>
            <w:r>
              <w:rPr>
                <w:color w:val="1A1D21"/>
                <w:sz w:val="17"/>
              </w:rPr>
              <w:t>Units sold</w:t>
            </w:r>
          </w:p>
        </w:tc>
        <w:tc>
          <w:tcPr>
            <w:tcW w:type="dxa" w:w="1361"/>
          </w:tcPr>
          <w:p>
            <w:pPr>
              <w:jc w:val="right"/>
            </w:pPr>
            <w:r/>
            <w:r>
              <w:rPr>
                <w:color w:val="1A1D21"/>
                <w:sz w:val="17"/>
              </w:rPr>
              <w:t>256</w:t>
            </w:r>
          </w:p>
        </w:tc>
        <w:tc>
          <w:tcPr>
            <w:tcW w:type="dxa" w:w="1361"/>
          </w:tcPr>
          <w:p>
            <w:pPr>
              <w:jc w:val="right"/>
            </w:pPr>
            <w:r/>
            <w:r>
              <w:rPr>
                <w:color w:val="1A1D21"/>
                <w:sz w:val="17"/>
              </w:rPr>
              <w:t>382</w:t>
            </w:r>
          </w:p>
        </w:tc>
        <w:tc>
          <w:tcPr>
            <w:tcW w:type="dxa" w:w="1361"/>
          </w:tcPr>
          <w:p>
            <w:pPr>
              <w:jc w:val="right"/>
            </w:pPr>
            <w:r/>
            <w:r>
              <w:rPr>
                <w:color w:val="1A1D21"/>
                <w:sz w:val="17"/>
              </w:rPr>
              <w:t>1,194</w:t>
            </w:r>
          </w:p>
        </w:tc>
        <w:tc>
          <w:tcPr>
            <w:tcW w:type="dxa" w:w="1361"/>
          </w:tcPr>
          <w:p>
            <w:pPr>
              <w:jc w:val="right"/>
            </w:pPr>
            <w:r/>
            <w:r>
              <w:rPr>
                <w:color w:val="1A1D21"/>
                <w:sz w:val="17"/>
              </w:rPr>
              <w:t>1,200</w:t>
            </w:r>
          </w:p>
        </w:tc>
        <w:tc>
          <w:tcPr>
            <w:tcW w:type="dxa" w:w="1361"/>
          </w:tcPr>
          <w:p>
            <w:pPr>
              <w:jc w:val="right"/>
            </w:pPr>
            <w:r/>
            <w:r>
              <w:rPr>
                <w:color w:val="1A1D21"/>
                <w:sz w:val="17"/>
              </w:rPr>
              <w:t>453</w:t>
            </w:r>
          </w:p>
        </w:tc>
      </w:tr>
      <w:tr>
        <w:trPr>
          <w:cantSplit/>
        </w:trPr>
        <w:tc>
          <w:tcPr>
            <w:tcW w:type="dxa" w:w="2494"/>
          </w:tcPr>
          <w:p>
            <w:r/>
            <w:r>
              <w:rPr>
                <w:color w:val="1A1D21"/>
                <w:sz w:val="17"/>
              </w:rPr>
              <w:t>Price per unit (EGP mn)</w:t>
            </w:r>
          </w:p>
        </w:tc>
        <w:tc>
          <w:tcPr>
            <w:tcW w:type="dxa" w:w="1361"/>
          </w:tcPr>
          <w:p>
            <w:pPr>
              <w:jc w:val="right"/>
            </w:pPr>
            <w:r/>
            <w:r>
              <w:rPr>
                <w:color w:val="1A1D21"/>
                <w:sz w:val="17"/>
              </w:rPr>
              <w:t>7.61</w:t>
            </w:r>
          </w:p>
        </w:tc>
        <w:tc>
          <w:tcPr>
            <w:tcW w:type="dxa" w:w="1361"/>
          </w:tcPr>
          <w:p>
            <w:pPr>
              <w:jc w:val="right"/>
            </w:pPr>
            <w:r/>
            <w:r>
              <w:rPr>
                <w:color w:val="1A1D21"/>
                <w:sz w:val="17"/>
              </w:rPr>
              <w:t>7.57</w:t>
            </w:r>
          </w:p>
        </w:tc>
        <w:tc>
          <w:tcPr>
            <w:tcW w:type="dxa" w:w="1361"/>
          </w:tcPr>
          <w:p>
            <w:pPr>
              <w:jc w:val="right"/>
            </w:pPr>
            <w:r/>
            <w:r>
              <w:rPr>
                <w:color w:val="1A1D21"/>
                <w:sz w:val="17"/>
              </w:rPr>
              <w:t>6.08</w:t>
            </w:r>
          </w:p>
        </w:tc>
        <w:tc>
          <w:tcPr>
            <w:tcW w:type="dxa" w:w="1361"/>
          </w:tcPr>
          <w:p>
            <w:pPr>
              <w:jc w:val="right"/>
            </w:pPr>
            <w:r/>
            <w:r>
              <w:rPr>
                <w:color w:val="1A1D21"/>
                <w:sz w:val="17"/>
              </w:rPr>
              <w:t>11.06</w:t>
            </w:r>
          </w:p>
        </w:tc>
        <w:tc>
          <w:tcPr>
            <w:tcW w:type="dxa" w:w="1361"/>
          </w:tcPr>
          <w:p>
            <w:pPr>
              <w:jc w:val="right"/>
            </w:pPr>
            <w:r/>
            <w:r>
              <w:rPr>
                <w:color w:val="1A1D21"/>
                <w:sz w:val="17"/>
              </w:rPr>
              <w:t>25.09</w:t>
            </w:r>
          </w:p>
        </w:tc>
      </w:tr>
    </w:tbl>
    <w:p>
      <w:pPr>
        <w:spacing w:after="80"/>
      </w:pPr>
      <w:r>
        <w:rPr>
          <w:b w:val="0"/>
          <w:i w:val="0"/>
          <w:color w:val="1A1D21"/>
          <w:sz w:val="8"/>
        </w:rPr>
      </w:r>
    </w:p>
    <w:p>
      <w:pPr>
        <w:spacing w:after="140"/>
      </w:pPr>
      <w:r>
        <w:rPr>
          <w:b w:val="0"/>
          <w:i w:val="0"/>
          <w:color w:val="5B6570"/>
          <w:sz w:val="18"/>
        </w:rPr>
        <w:t>Carried forward at 949 units, the average of the last three disclosed years, at a starting price of EGP 25.09 million a unit, the price realised in 2024, escalated with Egyptian inflation.</w:t>
      </w:r>
    </w:p>
    <w:p>
      <w:pPr>
        <w:spacing w:after="140"/>
      </w:pPr>
      <w:r>
        <w:rPr>
          <w:b w:val="0"/>
          <w:i w:val="0"/>
          <w:color w:val="1A1D21"/>
          <w:sz w:val="20"/>
        </w:rPr>
        <w:t>The three regions reconcile to the group total the same release prints: for 2024, 44,570 plus 95,082 plus 11,364 is 151,016, which is the all-regions figure exactly. That reconciliation is checked in code, so a mis-read series fails loudly rather than quietly becoming a price.</w:t>
      </w:r>
    </w:p>
    <w:p>
      <w:pPr>
        <w:spacing w:after="140"/>
      </w:pPr>
      <w:r>
        <w:rPr>
          <w:b w:val="0"/>
          <w:i w:val="0"/>
          <w:color w:val="1A1D21"/>
          <w:sz w:val="20"/>
        </w:rPr>
        <w:t>Revenue is driven by a different quantity from new sales, and the distinction matters. A unit handed over in 2026 was contracted years earlier at that year's price, so revenue per delivered unit sits below the current selling price — EGP 19.73 million against regional prices of EGP 15.70 to 25.09 million. That gap is why the order book keeps building even as deliveries rise, and it is the single clearest fact about how this business converts sales into reported revenue.</w:t>
      </w:r>
    </w:p>
    <w:p>
      <w:pPr>
        <w:spacing w:after="140"/>
      </w:pPr>
      <w:r>
        <w:rPr>
          <w:b w:val="0"/>
          <w:i w:val="0"/>
          <w:color w:val="1A1D21"/>
          <w:sz w:val="20"/>
        </w:rPr>
        <w:t>What is NOT disclosed, and therefore not used: unit mix, average unit size, price per square metre and construction cost per square metre, for any project. The edition of 11 June 2026 carried a full table of those figures across fifteen named projects. None of it is published by the company. It is not reused here, and the forecast is built at the finest level the disclosure actually supports.</w:t>
      </w:r>
    </w:p>
    <w:p>
      <w:pPr>
        <w:pStyle w:val="Heading2"/>
      </w:pPr>
      <w:r>
        <w:t>1.7  The crux</w:t>
      </w:r>
    </w:p>
    <w:p>
      <w:pPr>
        <w:spacing w:after="140"/>
      </w:pPr>
      <w:r>
        <w:rPr>
          <w:b/>
          <w:i w:val="0"/>
          <w:color w:val="1A1D21"/>
          <w:sz w:val="20"/>
        </w:rPr>
        <w:t>How fast do contracted sales become cash?</w:t>
      </w:r>
    </w:p>
    <w:p>
      <w:pPr>
        <w:spacing w:after="140"/>
      </w:pPr>
      <w:r>
        <w:rPr>
          <w:b w:val="0"/>
          <w:i w:val="0"/>
          <w:color w:val="1A1D21"/>
          <w:sz w:val="20"/>
        </w:rPr>
        <w:t>Everything else in this study is secondary to that question. Palm Hills sells off plan on long instalment terms, so a sale signed today produces cash over several years on a schedule the company does not publish — no down-payment percentage, no instalment tenor, no post-handover tail. The edition of 11 June 2026 assumed all three. This edition measures the outcome instead, from the three years in which the company has published a cash-flow statement.</w:t>
      </w:r>
    </w:p>
    <w:tbl>
      <w:tblPr>
        <w:tblStyle w:val="TableGrid"/>
        <w:tblW w:type="auto" w:w="0"/>
        <w:jc w:val="center"/>
        <w:tblLayout w:type="fixed"/>
        <w:tblLook w:firstColumn="1" w:firstRow="1" w:lastColumn="0" w:lastRow="0" w:noHBand="0" w:noVBand="1" w:val="04A0"/>
        <w:tblLayout w:type="fixed"/>
      </w:tblPr>
      <w:tblGrid>
        <w:gridCol w:w="1474"/>
        <w:gridCol w:w="2948"/>
        <w:gridCol w:w="2268"/>
        <w:gridCol w:w="2495"/>
      </w:tblGrid>
      <w:tr>
        <w:trPr>
          <w:tblHeader w:val="true"/>
        </w:trPr>
        <w:tc>
          <w:tcPr>
            <w:tcW w:type="dxa" w:w="1474"/>
          </w:tcPr>
          <w:p>
            <w:r/>
            <w:r>
              <w:rPr>
                <w:b/>
                <w:color w:val="5B6570"/>
                <w:sz w:val="17"/>
              </w:rPr>
              <w:t>Year</w:t>
            </w:r>
          </w:p>
        </w:tc>
        <w:tc>
          <w:tcPr>
            <w:tcW w:type="dxa" w:w="2948"/>
          </w:tcPr>
          <w:p>
            <w:r/>
            <w:r>
              <w:rPr>
                <w:b/>
                <w:color w:val="5B6570"/>
                <w:sz w:val="17"/>
              </w:rPr>
              <w:t>Cash from operations (EGP mn)</w:t>
            </w:r>
          </w:p>
        </w:tc>
        <w:tc>
          <w:tcPr>
            <w:tcW w:type="dxa" w:w="2268"/>
          </w:tcPr>
          <w:p>
            <w:r/>
            <w:r>
              <w:rPr>
                <w:b/>
                <w:color w:val="5B6570"/>
                <w:sz w:val="17"/>
              </w:rPr>
              <w:t>Revenue (EGP mn)</w:t>
            </w:r>
          </w:p>
        </w:tc>
        <w:tc>
          <w:tcPr>
            <w:tcW w:type="dxa" w:w="2494"/>
          </w:tcPr>
          <w:p>
            <w:r/>
            <w:r>
              <w:rPr>
                <w:b/>
                <w:color w:val="5B6570"/>
                <w:sz w:val="17"/>
              </w:rPr>
              <w:t>Cash as a share of revenue</w:t>
            </w:r>
          </w:p>
        </w:tc>
      </w:tr>
      <w:tr>
        <w:trPr>
          <w:cantSplit/>
        </w:trPr>
        <w:tc>
          <w:tcPr>
            <w:tcW w:type="dxa" w:w="1474"/>
          </w:tcPr>
          <w:p>
            <w:r/>
            <w:r>
              <w:rPr>
                <w:color w:val="1A1D21"/>
                <w:sz w:val="17"/>
              </w:rPr>
              <w:t>2023</w:t>
            </w:r>
          </w:p>
        </w:tc>
        <w:tc>
          <w:tcPr>
            <w:tcW w:type="dxa" w:w="2948"/>
          </w:tcPr>
          <w:p>
            <w:pPr>
              <w:jc w:val="right"/>
            </w:pPr>
            <w:r/>
            <w:r>
              <w:rPr>
                <w:color w:val="1A1D21"/>
                <w:sz w:val="17"/>
              </w:rPr>
              <w:t>757</w:t>
            </w:r>
          </w:p>
        </w:tc>
        <w:tc>
          <w:tcPr>
            <w:tcW w:type="dxa" w:w="2268"/>
          </w:tcPr>
          <w:p>
            <w:pPr>
              <w:jc w:val="right"/>
            </w:pPr>
            <w:r/>
            <w:r>
              <w:rPr>
                <w:color w:val="1A1D21"/>
                <w:sz w:val="17"/>
              </w:rPr>
              <w:t>17,462</w:t>
            </w:r>
          </w:p>
        </w:tc>
        <w:tc>
          <w:tcPr>
            <w:tcW w:type="dxa" w:w="2494"/>
          </w:tcPr>
          <w:p>
            <w:pPr>
              <w:jc w:val="right"/>
            </w:pPr>
            <w:r/>
            <w:r>
              <w:rPr>
                <w:color w:val="1A1D21"/>
                <w:sz w:val="17"/>
              </w:rPr>
              <w:t>4.3%</w:t>
            </w:r>
          </w:p>
        </w:tc>
      </w:tr>
      <w:tr>
        <w:trPr>
          <w:cantSplit/>
        </w:trPr>
        <w:tc>
          <w:tcPr>
            <w:tcW w:type="dxa" w:w="1474"/>
          </w:tcPr>
          <w:p>
            <w:r/>
            <w:r>
              <w:rPr>
                <w:color w:val="1A1D21"/>
                <w:sz w:val="17"/>
              </w:rPr>
              <w:t>2024</w:t>
            </w:r>
          </w:p>
        </w:tc>
        <w:tc>
          <w:tcPr>
            <w:tcW w:type="dxa" w:w="2948"/>
          </w:tcPr>
          <w:p>
            <w:pPr>
              <w:jc w:val="right"/>
            </w:pPr>
            <w:r/>
            <w:r>
              <w:rPr>
                <w:color w:val="1A1D21"/>
                <w:sz w:val="17"/>
              </w:rPr>
              <w:t>4,855</w:t>
            </w:r>
          </w:p>
        </w:tc>
        <w:tc>
          <w:tcPr>
            <w:tcW w:type="dxa" w:w="2268"/>
          </w:tcPr>
          <w:p>
            <w:pPr>
              <w:jc w:val="right"/>
            </w:pPr>
            <w:r/>
            <w:r>
              <w:rPr>
                <w:color w:val="1A1D21"/>
                <w:sz w:val="17"/>
              </w:rPr>
              <w:t>27,167</w:t>
            </w:r>
          </w:p>
        </w:tc>
        <w:tc>
          <w:tcPr>
            <w:tcW w:type="dxa" w:w="2494"/>
          </w:tcPr>
          <w:p>
            <w:pPr>
              <w:jc w:val="right"/>
            </w:pPr>
            <w:r/>
            <w:r>
              <w:rPr>
                <w:color w:val="1A1D21"/>
                <w:sz w:val="17"/>
              </w:rPr>
              <w:t>17.9%</w:t>
            </w:r>
          </w:p>
        </w:tc>
      </w:tr>
      <w:tr>
        <w:trPr>
          <w:cantSplit/>
        </w:trPr>
        <w:tc>
          <w:tcPr>
            <w:tcW w:type="dxa" w:w="1474"/>
          </w:tcPr>
          <w:p>
            <w:r/>
            <w:r>
              <w:rPr>
                <w:color w:val="1A1D21"/>
                <w:sz w:val="17"/>
              </w:rPr>
              <w:t>2025</w:t>
            </w:r>
          </w:p>
        </w:tc>
        <w:tc>
          <w:tcPr>
            <w:tcW w:type="dxa" w:w="2948"/>
          </w:tcPr>
          <w:p>
            <w:pPr>
              <w:jc w:val="right"/>
            </w:pPr>
            <w:r/>
            <w:r>
              <w:rPr>
                <w:color w:val="1A1D21"/>
                <w:sz w:val="17"/>
              </w:rPr>
              <w:t>1,424</w:t>
            </w:r>
          </w:p>
        </w:tc>
        <w:tc>
          <w:tcPr>
            <w:tcW w:type="dxa" w:w="2268"/>
          </w:tcPr>
          <w:p>
            <w:pPr>
              <w:jc w:val="right"/>
            </w:pPr>
            <w:r/>
            <w:r>
              <w:rPr>
                <w:color w:val="1A1D21"/>
                <w:sz w:val="17"/>
              </w:rPr>
              <w:t>36,169</w:t>
            </w:r>
          </w:p>
        </w:tc>
        <w:tc>
          <w:tcPr>
            <w:tcW w:type="dxa" w:w="2494"/>
          </w:tcPr>
          <w:p>
            <w:pPr>
              <w:jc w:val="right"/>
            </w:pPr>
            <w:r/>
            <w:r>
              <w:rPr>
                <w:color w:val="1A1D21"/>
                <w:sz w:val="17"/>
              </w:rPr>
              <w:t>3.9%</w:t>
            </w:r>
          </w:p>
        </w:tc>
      </w:tr>
    </w:tbl>
    <w:p>
      <w:pPr>
        <w:spacing w:after="200"/>
      </w:pPr>
      <w:r>
        <w:rPr>
          <w:b w:val="0"/>
          <w:i/>
          <w:color w:val="5B6570"/>
          <w:sz w:val="16"/>
        </w:rPr>
        <w:t>The 2024 figure is the one in the audited statements. The company's own results release for that year reported EGP 3,132 million and the figure was later restated; the audited number is used.</w:t>
      </w:r>
    </w:p>
    <w:p>
      <w:pPr>
        <w:spacing w:after="140"/>
      </w:pPr>
      <w:r>
        <w:rPr>
          <w:b w:val="0"/>
          <w:i w:val="0"/>
          <w:color w:val="1A1D21"/>
          <w:sz w:val="20"/>
        </w:rPr>
        <w:t>A spread of 3.9% to 17.9% over three consecutive years is not noise around a stable rate — it is the absence of a stable rate. Until the company discloses its collection terms, or until more years accumulate, this is the honest width of the answer.</w:t>
      </w:r>
    </w:p>
    <w:p>
      <w:pPr>
        <w:pStyle w:val="Heading2"/>
      </w:pPr>
      <w:r>
        <w:t>1.8  Macro, country risk and the cost of capital</w:t>
      </w:r>
    </w:p>
    <w:p>
      <w:pPr>
        <w:spacing w:after="140"/>
      </w:pPr>
      <w:r>
        <w:rPr>
          <w:b w:val="0"/>
          <w:i w:val="0"/>
          <w:color w:val="1A1D21"/>
          <w:sz w:val="20"/>
        </w:rPr>
        <w:t>The edition of 11 June 2026 discounted at 18%. Egypt's ten-year government bond yields 23.00%. A discount rate below the sovereign yield prices this company as safer than the government that taxes it, which cannot be right, and it is not a real-versus-nominal mismatch: that edition escalated selling prices at 14 per cent a year, so its cash flows were in nominal pounds throughout.</w:t>
      </w:r>
    </w:p>
    <w:tbl>
      <w:tblPr>
        <w:tblStyle w:val="TableGrid"/>
        <w:tblW w:type="auto" w:w="0"/>
        <w:jc w:val="center"/>
        <w:tblLayout w:type="fixed"/>
        <w:tblLook w:firstColumn="1" w:firstRow="1" w:lastColumn="0" w:lastRow="0" w:noHBand="0" w:noVBand="1" w:val="04A0"/>
        <w:tblLayout w:type="fixed"/>
      </w:tblPr>
      <w:tblGrid>
        <w:gridCol w:w="3969"/>
        <w:gridCol w:w="2608"/>
        <w:gridCol w:w="2608"/>
      </w:tblGrid>
      <w:tr>
        <w:trPr>
          <w:tblHeader w:val="true"/>
        </w:trPr>
        <w:tc>
          <w:tcPr>
            <w:tcW w:type="dxa" w:w="3969"/>
          </w:tcPr>
          <w:p>
            <w:r/>
            <w:r>
              <w:rPr>
                <w:b/>
                <w:color w:val="5B6570"/>
                <w:sz w:val="17"/>
              </w:rPr>
              <w:t>Cost of capital</w:t>
            </w:r>
          </w:p>
        </w:tc>
        <w:tc>
          <w:tcPr>
            <w:tcW w:type="dxa" w:w="2608"/>
          </w:tcPr>
          <w:p>
            <w:r/>
            <w:r>
              <w:rPr>
                <w:b/>
                <w:color w:val="5B6570"/>
                <w:sz w:val="17"/>
              </w:rPr>
              <w:t>On the credit-rating basis</w:t>
            </w:r>
          </w:p>
        </w:tc>
        <w:tc>
          <w:tcPr>
            <w:tcW w:type="dxa" w:w="2608"/>
          </w:tcPr>
          <w:p>
            <w:r/>
            <w:r>
              <w:rPr>
                <w:b/>
                <w:color w:val="5B6570"/>
                <w:sz w:val="17"/>
              </w:rPr>
              <w:t>On the credit-default-swap basis</w:t>
            </w:r>
          </w:p>
        </w:tc>
      </w:tr>
      <w:tr>
        <w:trPr>
          <w:cantSplit/>
        </w:trPr>
        <w:tc>
          <w:tcPr>
            <w:tcW w:type="dxa" w:w="3969"/>
          </w:tcPr>
          <w:p>
            <w:r/>
            <w:r>
              <w:rPr>
                <w:color w:val="1A1D21"/>
                <w:sz w:val="17"/>
              </w:rPr>
              <w:t>Egyptian ten-year government bond yield</w:t>
            </w:r>
          </w:p>
        </w:tc>
        <w:tc>
          <w:tcPr>
            <w:tcW w:type="dxa" w:w="2608"/>
          </w:tcPr>
          <w:p>
            <w:pPr>
              <w:jc w:val="right"/>
            </w:pPr>
            <w:r/>
            <w:r>
              <w:rPr>
                <w:color w:val="1A1D21"/>
                <w:sz w:val="17"/>
              </w:rPr>
              <w:t>23.00%</w:t>
            </w:r>
          </w:p>
        </w:tc>
        <w:tc>
          <w:tcPr>
            <w:tcW w:type="dxa" w:w="2608"/>
          </w:tcPr>
          <w:p>
            <w:pPr>
              <w:jc w:val="right"/>
            </w:pPr>
            <w:r/>
            <w:r>
              <w:rPr>
                <w:color w:val="1A1D21"/>
                <w:sz w:val="17"/>
              </w:rPr>
              <w:t>23.00%</w:t>
            </w:r>
          </w:p>
        </w:tc>
      </w:tr>
      <w:tr>
        <w:trPr>
          <w:cantSplit/>
        </w:trPr>
        <w:tc>
          <w:tcPr>
            <w:tcW w:type="dxa" w:w="3969"/>
          </w:tcPr>
          <w:p>
            <w:r/>
            <w:r>
              <w:rPr>
                <w:color w:val="1A1D21"/>
                <w:sz w:val="17"/>
              </w:rPr>
              <w:t>less Egypt's own sovereign default spread</w:t>
            </w:r>
          </w:p>
        </w:tc>
        <w:tc>
          <w:tcPr>
            <w:tcW w:type="dxa" w:w="2608"/>
          </w:tcPr>
          <w:p>
            <w:pPr>
              <w:jc w:val="right"/>
            </w:pPr>
            <w:r/>
            <w:r>
              <w:rPr>
                <w:color w:val="1A1D21"/>
                <w:sz w:val="17"/>
              </w:rPr>
              <w:t>6.37%</w:t>
            </w:r>
          </w:p>
        </w:tc>
        <w:tc>
          <w:tcPr>
            <w:tcW w:type="dxa" w:w="2608"/>
          </w:tcPr>
          <w:p>
            <w:pPr>
              <w:jc w:val="right"/>
            </w:pPr>
            <w:r/>
            <w:r>
              <w:rPr>
                <w:color w:val="1A1D21"/>
                <w:sz w:val="17"/>
              </w:rPr>
              <w:t>3.41%</w:t>
            </w:r>
          </w:p>
        </w:tc>
      </w:tr>
      <w:tr>
        <w:trPr>
          <w:cantSplit/>
        </w:trPr>
        <w:tc>
          <w:tcPr>
            <w:tcW w:type="dxa" w:w="3969"/>
          </w:tcPr>
          <w:p>
            <w:r/>
            <w:r>
              <w:rPr>
                <w:color w:val="1A1D21"/>
                <w:sz w:val="17"/>
              </w:rPr>
              <w:t>Normalised risk-free rate</w:t>
            </w:r>
          </w:p>
        </w:tc>
        <w:tc>
          <w:tcPr>
            <w:tcW w:type="dxa" w:w="2608"/>
          </w:tcPr>
          <w:p>
            <w:pPr>
              <w:jc w:val="right"/>
            </w:pPr>
            <w:r/>
            <w:r>
              <w:rPr>
                <w:color w:val="1A1D21"/>
                <w:sz w:val="17"/>
              </w:rPr>
              <w:t>16.63%</w:t>
            </w:r>
          </w:p>
        </w:tc>
        <w:tc>
          <w:tcPr>
            <w:tcW w:type="dxa" w:w="2608"/>
          </w:tcPr>
          <w:p>
            <w:pPr>
              <w:jc w:val="right"/>
            </w:pPr>
            <w:r/>
            <w:r>
              <w:rPr>
                <w:color w:val="1A1D21"/>
                <w:sz w:val="17"/>
              </w:rPr>
              <w:t>19.59%</w:t>
            </w:r>
          </w:p>
        </w:tc>
      </w:tr>
      <w:tr>
        <w:trPr>
          <w:cantSplit/>
        </w:trPr>
        <w:tc>
          <w:tcPr>
            <w:tcW w:type="dxa" w:w="3969"/>
          </w:tcPr>
          <w:p>
            <w:r/>
            <w:r>
              <w:rPr>
                <w:color w:val="1A1D21"/>
                <w:sz w:val="17"/>
              </w:rPr>
              <w:t>Equity risk premium for Egypt</w:t>
            </w:r>
          </w:p>
        </w:tc>
        <w:tc>
          <w:tcPr>
            <w:tcW w:type="dxa" w:w="2608"/>
          </w:tcPr>
          <w:p>
            <w:pPr>
              <w:jc w:val="right"/>
            </w:pPr>
            <w:r/>
            <w:r>
              <w:rPr>
                <w:color w:val="1A1D21"/>
                <w:sz w:val="17"/>
              </w:rPr>
              <w:t>13.94%</w:t>
            </w:r>
          </w:p>
        </w:tc>
        <w:tc>
          <w:tcPr>
            <w:tcW w:type="dxa" w:w="2608"/>
          </w:tcPr>
          <w:p>
            <w:pPr>
              <w:jc w:val="right"/>
            </w:pPr>
            <w:r/>
            <w:r>
              <w:rPr>
                <w:color w:val="1A1D21"/>
                <w:sz w:val="17"/>
              </w:rPr>
              <w:t>9.41%</w:t>
            </w:r>
          </w:p>
        </w:tc>
      </w:tr>
      <w:tr>
        <w:trPr>
          <w:cantSplit/>
        </w:trPr>
        <w:tc>
          <w:tcPr>
            <w:tcW w:type="dxa" w:w="3969"/>
          </w:tcPr>
          <w:p>
            <w:r/>
            <w:r>
              <w:rPr>
                <w:color w:val="1A1D21"/>
                <w:sz w:val="17"/>
              </w:rPr>
              <w:t>Beta</w:t>
            </w:r>
          </w:p>
        </w:tc>
        <w:tc>
          <w:tcPr>
            <w:tcW w:type="dxa" w:w="2608"/>
          </w:tcPr>
          <w:p>
            <w:pPr>
              <w:jc w:val="right"/>
            </w:pPr>
            <w:r/>
            <w:r>
              <w:rPr>
                <w:color w:val="1A1D21"/>
                <w:sz w:val="17"/>
              </w:rPr>
              <w:t>1.0481</w:t>
            </w:r>
          </w:p>
        </w:tc>
        <w:tc>
          <w:tcPr>
            <w:tcW w:type="dxa" w:w="2608"/>
          </w:tcPr>
          <w:p>
            <w:pPr>
              <w:jc w:val="right"/>
            </w:pPr>
            <w:r/>
            <w:r>
              <w:rPr>
                <w:color w:val="1A1D21"/>
                <w:sz w:val="17"/>
              </w:rPr>
              <w:t>1.0481</w:t>
            </w:r>
          </w:p>
        </w:tc>
      </w:tr>
      <w:tr>
        <w:trPr>
          <w:cantSplit/>
        </w:trPr>
        <w:tc>
          <w:tcPr>
            <w:tcW w:type="dxa" w:w="3969"/>
          </w:tcPr>
          <w:p>
            <w:r/>
            <w:r>
              <w:rPr>
                <w:color w:val="1A1D21"/>
                <w:sz w:val="17"/>
              </w:rPr>
              <w:t>Cost of equity</w:t>
            </w:r>
          </w:p>
        </w:tc>
        <w:tc>
          <w:tcPr>
            <w:tcW w:type="dxa" w:w="2608"/>
          </w:tcPr>
          <w:p>
            <w:pPr>
              <w:jc w:val="right"/>
            </w:pPr>
            <w:r/>
            <w:r>
              <w:rPr>
                <w:color w:val="1A1D21"/>
                <w:sz w:val="17"/>
              </w:rPr>
              <w:t>31.24%</w:t>
            </w:r>
          </w:p>
        </w:tc>
        <w:tc>
          <w:tcPr>
            <w:tcW w:type="dxa" w:w="2608"/>
          </w:tcPr>
          <w:p>
            <w:pPr>
              <w:jc w:val="right"/>
            </w:pPr>
            <w:r/>
            <w:r>
              <w:rPr>
                <w:color w:val="1A1D21"/>
                <w:sz w:val="17"/>
              </w:rPr>
              <w:t>29.45%</w:t>
            </w:r>
          </w:p>
        </w:tc>
      </w:tr>
      <w:tr>
        <w:trPr>
          <w:cantSplit/>
        </w:trPr>
        <w:tc>
          <w:tcPr>
            <w:tcW w:type="dxa" w:w="3969"/>
          </w:tcPr>
          <w:p>
            <w:r/>
            <w:r>
              <w:rPr>
                <w:color w:val="1A1D21"/>
                <w:sz w:val="17"/>
              </w:rPr>
              <w:t>Cost of debt before tax</w:t>
            </w:r>
          </w:p>
        </w:tc>
        <w:tc>
          <w:tcPr>
            <w:tcW w:type="dxa" w:w="2608"/>
          </w:tcPr>
          <w:p>
            <w:pPr>
              <w:jc w:val="right"/>
            </w:pPr>
            <w:r/>
            <w:r>
              <w:rPr>
                <w:color w:val="1A1D21"/>
                <w:sz w:val="17"/>
              </w:rPr>
              <w:t>25.50%</w:t>
            </w:r>
          </w:p>
        </w:tc>
        <w:tc>
          <w:tcPr>
            <w:tcW w:type="dxa" w:w="2608"/>
          </w:tcPr>
          <w:p>
            <w:pPr>
              <w:jc w:val="right"/>
            </w:pPr>
            <w:r/>
            <w:r>
              <w:rPr>
                <w:color w:val="1A1D21"/>
                <w:sz w:val="17"/>
              </w:rPr>
              <w:t>25.50%</w:t>
            </w:r>
          </w:p>
        </w:tc>
      </w:tr>
      <w:tr>
        <w:trPr>
          <w:cantSplit/>
        </w:trPr>
        <w:tc>
          <w:tcPr>
            <w:tcW w:type="dxa" w:w="3969"/>
          </w:tcPr>
          <w:p>
            <w:r/>
            <w:r>
              <w:rPr>
                <w:color w:val="1A1D21"/>
                <w:sz w:val="17"/>
              </w:rPr>
              <w:t>Cost of debt after tax at 22.5%</w:t>
            </w:r>
          </w:p>
        </w:tc>
        <w:tc>
          <w:tcPr>
            <w:tcW w:type="dxa" w:w="2608"/>
          </w:tcPr>
          <w:p>
            <w:pPr>
              <w:jc w:val="right"/>
            </w:pPr>
            <w:r/>
            <w:r>
              <w:rPr>
                <w:color w:val="1A1D21"/>
                <w:sz w:val="17"/>
              </w:rPr>
              <w:t>19.76%</w:t>
            </w:r>
          </w:p>
        </w:tc>
        <w:tc>
          <w:tcPr>
            <w:tcW w:type="dxa" w:w="2608"/>
          </w:tcPr>
          <w:p>
            <w:pPr>
              <w:jc w:val="right"/>
            </w:pPr>
            <w:r/>
            <w:r>
              <w:rPr>
                <w:color w:val="1A1D21"/>
                <w:sz w:val="17"/>
              </w:rPr>
              <w:t>19.76%</w:t>
            </w:r>
          </w:p>
        </w:tc>
      </w:tr>
      <w:tr>
        <w:trPr>
          <w:cantSplit/>
        </w:trPr>
        <w:tc>
          <w:tcPr>
            <w:tcW w:type="dxa" w:w="3969"/>
          </w:tcPr>
          <w:p>
            <w:r/>
            <w:r>
              <w:rPr>
                <w:color w:val="1A1D21"/>
                <w:sz w:val="17"/>
              </w:rPr>
              <w:t>Equity weight at market value</w:t>
            </w:r>
          </w:p>
        </w:tc>
        <w:tc>
          <w:tcPr>
            <w:tcW w:type="dxa" w:w="2608"/>
          </w:tcPr>
          <w:p>
            <w:pPr>
              <w:jc w:val="right"/>
            </w:pPr>
            <w:r/>
            <w:r>
              <w:rPr>
                <w:color w:val="1A1D21"/>
                <w:sz w:val="17"/>
              </w:rPr>
              <w:t>55.1%</w:t>
            </w:r>
          </w:p>
        </w:tc>
        <w:tc>
          <w:tcPr>
            <w:tcW w:type="dxa" w:w="2608"/>
          </w:tcPr>
          <w:p>
            <w:pPr>
              <w:jc w:val="right"/>
            </w:pPr>
            <w:r/>
            <w:r>
              <w:rPr>
                <w:color w:val="1A1D21"/>
                <w:sz w:val="17"/>
              </w:rPr>
              <w:t>55.1%</w:t>
            </w:r>
          </w:p>
        </w:tc>
      </w:tr>
      <w:tr>
        <w:trPr>
          <w:cantSplit/>
        </w:trPr>
        <w:tc>
          <w:tcPr>
            <w:tcW w:type="dxa" w:w="3969"/>
          </w:tcPr>
          <w:p>
            <w:r/>
            <w:r>
              <w:rPr>
                <w:color w:val="1A1D21"/>
                <w:sz w:val="17"/>
              </w:rPr>
              <w:t>Debt weight</w:t>
            </w:r>
          </w:p>
        </w:tc>
        <w:tc>
          <w:tcPr>
            <w:tcW w:type="dxa" w:w="2608"/>
          </w:tcPr>
          <w:p>
            <w:pPr>
              <w:jc w:val="right"/>
            </w:pPr>
            <w:r/>
            <w:r>
              <w:rPr>
                <w:color w:val="1A1D21"/>
                <w:sz w:val="17"/>
              </w:rPr>
              <w:t>44.9%</w:t>
            </w:r>
          </w:p>
        </w:tc>
        <w:tc>
          <w:tcPr>
            <w:tcW w:type="dxa" w:w="2608"/>
          </w:tcPr>
          <w:p>
            <w:pPr>
              <w:jc w:val="right"/>
            </w:pPr>
            <w:r/>
            <w:r>
              <w:rPr>
                <w:color w:val="1A1D21"/>
                <w:sz w:val="17"/>
              </w:rPr>
              <w:t>44.9%</w:t>
            </w:r>
          </w:p>
        </w:tc>
      </w:tr>
      <w:tr>
        <w:trPr>
          <w:cantSplit/>
        </w:trPr>
        <w:tc>
          <w:tcPr>
            <w:tcW w:type="dxa" w:w="3969"/>
          </w:tcPr>
          <w:p>
            <w:r/>
            <w:r>
              <w:rPr>
                <w:color w:val="1A1D21"/>
                <w:sz w:val="17"/>
              </w:rPr>
              <w:t>Weighted average cost of capital</w:t>
            </w:r>
          </w:p>
        </w:tc>
        <w:tc>
          <w:tcPr>
            <w:tcW w:type="dxa" w:w="2608"/>
          </w:tcPr>
          <w:p>
            <w:pPr>
              <w:jc w:val="right"/>
            </w:pPr>
            <w:r/>
            <w:r>
              <w:rPr>
                <w:color w:val="1A1D21"/>
                <w:sz w:val="17"/>
              </w:rPr>
              <w:t>26.09%</w:t>
            </w:r>
          </w:p>
        </w:tc>
        <w:tc>
          <w:tcPr>
            <w:tcW w:type="dxa" w:w="2608"/>
          </w:tcPr>
          <w:p>
            <w:r/>
            <w:r>
              <w:rPr>
                <w:color w:val="1A1D21"/>
                <w:sz w:val="17"/>
              </w:rPr>
              <w:t>25.10%  ← ADOPTED</w:t>
            </w:r>
          </w:p>
        </w:tc>
      </w:tr>
    </w:tbl>
    <w:p>
      <w:pPr>
        <w:spacing w:after="200"/>
      </w:pPr>
      <w:r>
        <w:rPr>
          <w:b w:val="0"/>
          <w:i/>
          <w:color w:val="5B6570"/>
          <w:sz w:val="16"/>
        </w:rPr>
        <w:t>Country risk is counted once, inside the equity risk premium, and the government bond yield is reduced by Egypt's own default spread on the matching basis before that premium is added. Both bases are published because both are defensible and they differ by about a point.</w:t>
      </w:r>
    </w:p>
    <w:p>
      <w:pPr>
        <w:spacing w:after="140"/>
      </w:pPr>
      <w:r>
        <w:rPr>
          <w:b w:val="0"/>
          <w:i w:val="0"/>
          <w:color w:val="1A1D21"/>
          <w:sz w:val="20"/>
        </w:rPr>
        <w:t>The beta is measured on Palm Hills' own weekly price history against the EGX30 index over 4.94 years: 1.0481, with a standard error of 0.1808, an R-squared of 30.0% and 256 weekly observations. A cross-check adjustment toward the market gives 1.0320. Appendix B shows the same measurement for every listed Egyptian developer.</w:t>
      </w:r>
    </w:p>
    <w:p>
      <w:pPr>
        <w:spacing w:after="140"/>
      </w:pPr>
      <w:r>
        <w:rPr>
          <w:b w:val="0"/>
          <w:i w:val="0"/>
          <w:color w:val="1A1D21"/>
          <w:sz w:val="20"/>
        </w:rPr>
        <w:t>The cost of debt is the one cost-of-capital input in this study that is not sourced, and it is flagged. The right anchor exists: the company closed an EGP 2,015 million securitisation on 4 February 2026, the first draw on a newly approved EGP 30 billion programme, in four tranches of 13, 36, 60 and 84 months rated AA+, AA, A+ and A- on the Egyptian national scale. No coupon is published for any tranche. The cost of debt is therefore built as the sovereign yield plus a 250 basis point corporate spread, which puts it above the sovereign as it must be. The accounting rate is deliberately not used: EGP 3,348 million of finance cost on average gross borrowings of about EGP 26,700 million implies 12.5 per cent, far below the sovereign, because much of the balance does not bear interest and part of the charge is capitalised into work in progress.</w:t>
      </w:r>
    </w:p>
    <w:p>
      <w:pPr>
        <w:pStyle w:val="Heading2"/>
      </w:pPr>
      <w:r>
        <w:t>1.9  Sensitivity</w:t>
      </w:r>
    </w:p>
    <w:p>
      <w:pPr>
        <w:spacing w:after="140"/>
      </w:pPr>
      <w:r>
        <w:rPr>
          <w:b w:val="0"/>
          <w:i w:val="0"/>
          <w:color w:val="1A1D21"/>
          <w:sz w:val="20"/>
        </w:rPr>
        <w:t>The table below prices the crux against the discount rate. Read it down a column rather than across a row. Moving the discount rate across the whole 800 basis points of the 11 June 2026 edition's error is worth EGP 27.19 a share on the three-year-mean row — MORE than either single step between observed conversion years (EGP 11.71 and EGP 22.46), and less than the full observed range of conversion itself, which is worth EGP 34.17. The crux is the conversion rate, but only across its whole observed spread; one year to the next moves value less than the discount rate does.</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Cash conversion</w:t>
            </w:r>
          </w:p>
        </w:tc>
        <w:tc>
          <w:tcPr>
            <w:tcW w:type="dxa" w:w="1361"/>
          </w:tcPr>
          <w:p>
            <w:r/>
            <w:r>
              <w:rPr>
                <w:b/>
                <w:color w:val="5B6570"/>
                <w:sz w:val="17"/>
              </w:rPr>
              <w:t>21.10%</w:t>
            </w:r>
          </w:p>
        </w:tc>
        <w:tc>
          <w:tcPr>
            <w:tcW w:type="dxa" w:w="1361"/>
          </w:tcPr>
          <w:p>
            <w:r/>
            <w:r>
              <w:rPr>
                <w:b/>
                <w:color w:val="5B6570"/>
                <w:sz w:val="17"/>
              </w:rPr>
              <w:t>23.10%</w:t>
            </w:r>
          </w:p>
        </w:tc>
        <w:tc>
          <w:tcPr>
            <w:tcW w:type="dxa" w:w="1361"/>
          </w:tcPr>
          <w:p>
            <w:r/>
            <w:r>
              <w:rPr>
                <w:b/>
                <w:color w:val="5B6570"/>
                <w:sz w:val="17"/>
              </w:rPr>
              <w:t>25.10%</w:t>
            </w:r>
          </w:p>
        </w:tc>
        <w:tc>
          <w:tcPr>
            <w:tcW w:type="dxa" w:w="1361"/>
          </w:tcPr>
          <w:p>
            <w:r/>
            <w:r>
              <w:rPr>
                <w:b/>
                <w:color w:val="5B6570"/>
                <w:sz w:val="17"/>
              </w:rPr>
              <w:t>27.10%</w:t>
            </w:r>
          </w:p>
        </w:tc>
        <w:tc>
          <w:tcPr>
            <w:tcW w:type="dxa" w:w="1361"/>
          </w:tcPr>
          <w:p>
            <w:r/>
            <w:r>
              <w:rPr>
                <w:b/>
                <w:color w:val="5B6570"/>
                <w:sz w:val="17"/>
              </w:rPr>
              <w:t>29.10%</w:t>
            </w:r>
          </w:p>
        </w:tc>
      </w:tr>
      <w:tr>
        <w:trPr>
          <w:cantSplit/>
        </w:trPr>
        <w:tc>
          <w:tcPr>
            <w:tcW w:type="dxa" w:w="2494"/>
          </w:tcPr>
          <w:p>
            <w:r/>
            <w:r>
              <w:rPr>
                <w:color w:val="1A1D21"/>
                <w:sz w:val="17"/>
              </w:rPr>
              <w:t>3.9%</w:t>
            </w:r>
          </w:p>
        </w:tc>
        <w:tc>
          <w:tcPr>
            <w:tcW w:type="dxa" w:w="1361"/>
          </w:tcPr>
          <w:p>
            <w:pPr>
              <w:jc w:val="right"/>
            </w:pPr>
            <w:r/>
            <w:r>
              <w:rPr>
                <w:color w:val="1A1D21"/>
                <w:sz w:val="17"/>
              </w:rPr>
              <w:t>15.27</w:t>
            </w:r>
          </w:p>
        </w:tc>
        <w:tc>
          <w:tcPr>
            <w:tcW w:type="dxa" w:w="1361"/>
          </w:tcPr>
          <w:p>
            <w:pPr>
              <w:jc w:val="right"/>
            </w:pPr>
            <w:r/>
            <w:r>
              <w:rPr>
                <w:color w:val="1A1D21"/>
                <w:sz w:val="17"/>
              </w:rPr>
              <w:t>9.45</w:t>
            </w:r>
          </w:p>
        </w:tc>
        <w:tc>
          <w:tcPr>
            <w:tcW w:type="dxa" w:w="1361"/>
          </w:tcPr>
          <w:p>
            <w:pPr>
              <w:jc w:val="right"/>
            </w:pPr>
            <w:r/>
            <w:r>
              <w:rPr>
                <w:color w:val="1A1D21"/>
                <w:sz w:val="17"/>
              </w:rPr>
              <w:t>6.15</w:t>
            </w:r>
          </w:p>
        </w:tc>
        <w:tc>
          <w:tcPr>
            <w:tcW w:type="dxa" w:w="1361"/>
          </w:tcPr>
          <w:p>
            <w:pPr>
              <w:jc w:val="right"/>
            </w:pPr>
            <w:r/>
            <w:r>
              <w:rPr>
                <w:color w:val="1A1D21"/>
                <w:sz w:val="17"/>
              </w:rPr>
              <w:t>4.02</w:t>
            </w:r>
          </w:p>
        </w:tc>
        <w:tc>
          <w:tcPr>
            <w:tcW w:type="dxa" w:w="1361"/>
          </w:tcPr>
          <w:p>
            <w:pPr>
              <w:jc w:val="right"/>
            </w:pPr>
            <w:r/>
            <w:r>
              <w:rPr>
                <w:color w:val="1A1D21"/>
                <w:sz w:val="17"/>
              </w:rPr>
              <w:t>2.52</w:t>
            </w:r>
          </w:p>
        </w:tc>
      </w:tr>
      <w:tr>
        <w:trPr>
          <w:cantSplit/>
        </w:trPr>
        <w:tc>
          <w:tcPr>
            <w:tcW w:type="dxa" w:w="2494"/>
          </w:tcPr>
          <w:p>
            <w:r/>
            <w:r>
              <w:rPr>
                <w:color w:val="1A1D21"/>
                <w:sz w:val="17"/>
              </w:rPr>
              <w:t>6.0%</w:t>
            </w:r>
          </w:p>
        </w:tc>
        <w:tc>
          <w:tcPr>
            <w:tcW w:type="dxa" w:w="1361"/>
          </w:tcPr>
          <w:p>
            <w:pPr>
              <w:jc w:val="right"/>
            </w:pPr>
            <w:r/>
            <w:r>
              <w:rPr>
                <w:color w:val="1A1D21"/>
                <w:sz w:val="17"/>
              </w:rPr>
              <w:t>24.84</w:t>
            </w:r>
          </w:p>
        </w:tc>
        <w:tc>
          <w:tcPr>
            <w:tcW w:type="dxa" w:w="1361"/>
          </w:tcPr>
          <w:p>
            <w:pPr>
              <w:jc w:val="right"/>
            </w:pPr>
            <w:r/>
            <w:r>
              <w:rPr>
                <w:color w:val="1A1D21"/>
                <w:sz w:val="17"/>
              </w:rPr>
              <w:t>16.12</w:t>
            </w:r>
          </w:p>
        </w:tc>
        <w:tc>
          <w:tcPr>
            <w:tcW w:type="dxa" w:w="1361"/>
          </w:tcPr>
          <w:p>
            <w:pPr>
              <w:jc w:val="right"/>
            </w:pPr>
            <w:r/>
            <w:r>
              <w:rPr>
                <w:color w:val="1A1D21"/>
                <w:sz w:val="17"/>
              </w:rPr>
              <w:t>11.21</w:t>
            </w:r>
          </w:p>
        </w:tc>
        <w:tc>
          <w:tcPr>
            <w:tcW w:type="dxa" w:w="1361"/>
          </w:tcPr>
          <w:p>
            <w:pPr>
              <w:jc w:val="right"/>
            </w:pPr>
            <w:r/>
            <w:r>
              <w:rPr>
                <w:color w:val="1A1D21"/>
                <w:sz w:val="17"/>
              </w:rPr>
              <w:t>8.05</w:t>
            </w:r>
          </w:p>
        </w:tc>
        <w:tc>
          <w:tcPr>
            <w:tcW w:type="dxa" w:w="1361"/>
          </w:tcPr>
          <w:p>
            <w:pPr>
              <w:jc w:val="right"/>
            </w:pPr>
            <w:r/>
            <w:r>
              <w:rPr>
                <w:color w:val="1A1D21"/>
                <w:sz w:val="17"/>
              </w:rPr>
              <w:t>5.86</w:t>
            </w:r>
          </w:p>
        </w:tc>
      </w:tr>
      <w:tr>
        <w:trPr>
          <w:cantSplit/>
        </w:trPr>
        <w:tc>
          <w:tcPr>
            <w:tcW w:type="dxa" w:w="2494"/>
          </w:tcPr>
          <w:p>
            <w:r/>
            <w:r>
              <w:rPr>
                <w:color w:val="1A1D21"/>
                <w:sz w:val="17"/>
              </w:rPr>
              <w:t>8.7%</w:t>
            </w:r>
          </w:p>
        </w:tc>
        <w:tc>
          <w:tcPr>
            <w:tcW w:type="dxa" w:w="1361"/>
          </w:tcPr>
          <w:p>
            <w:pPr>
              <w:jc w:val="right"/>
            </w:pPr>
            <w:r/>
            <w:r>
              <w:rPr>
                <w:color w:val="1A1D21"/>
                <w:sz w:val="17"/>
              </w:rPr>
              <w:t>37.44</w:t>
            </w:r>
          </w:p>
        </w:tc>
        <w:tc>
          <w:tcPr>
            <w:tcW w:type="dxa" w:w="1361"/>
          </w:tcPr>
          <w:p>
            <w:pPr>
              <w:jc w:val="right"/>
            </w:pPr>
            <w:r/>
            <w:r>
              <w:rPr>
                <w:color w:val="1A1D21"/>
                <w:sz w:val="17"/>
              </w:rPr>
              <w:t>24.90</w:t>
            </w:r>
          </w:p>
        </w:tc>
        <w:tc>
          <w:tcPr>
            <w:tcW w:type="dxa" w:w="1361"/>
          </w:tcPr>
          <w:p>
            <w:pPr>
              <w:jc w:val="right"/>
            </w:pPr>
            <w:r/>
            <w:r>
              <w:rPr>
                <w:color w:val="1A1D21"/>
                <w:sz w:val="17"/>
              </w:rPr>
              <w:t>17.86</w:t>
            </w:r>
          </w:p>
        </w:tc>
        <w:tc>
          <w:tcPr>
            <w:tcW w:type="dxa" w:w="1361"/>
          </w:tcPr>
          <w:p>
            <w:pPr>
              <w:jc w:val="right"/>
            </w:pPr>
            <w:r/>
            <w:r>
              <w:rPr>
                <w:color w:val="1A1D21"/>
                <w:sz w:val="17"/>
              </w:rPr>
              <w:t>13.37</w:t>
            </w:r>
          </w:p>
        </w:tc>
        <w:tc>
          <w:tcPr>
            <w:tcW w:type="dxa" w:w="1361"/>
          </w:tcPr>
          <w:p>
            <w:pPr>
              <w:jc w:val="right"/>
            </w:pPr>
            <w:r/>
            <w:r>
              <w:rPr>
                <w:color w:val="1A1D21"/>
                <w:sz w:val="17"/>
              </w:rPr>
              <w:t>10.25</w:t>
            </w:r>
          </w:p>
        </w:tc>
      </w:tr>
      <w:tr>
        <w:trPr>
          <w:cantSplit/>
        </w:trPr>
        <w:tc>
          <w:tcPr>
            <w:tcW w:type="dxa" w:w="2494"/>
          </w:tcPr>
          <w:p>
            <w:r/>
            <w:r>
              <w:rPr>
                <w:color w:val="1A1D21"/>
                <w:sz w:val="17"/>
              </w:rPr>
              <w:t>12.0%</w:t>
            </w:r>
          </w:p>
        </w:tc>
        <w:tc>
          <w:tcPr>
            <w:tcW w:type="dxa" w:w="1361"/>
          </w:tcPr>
          <w:p>
            <w:pPr>
              <w:jc w:val="right"/>
            </w:pPr>
            <w:r/>
            <w:r>
              <w:rPr>
                <w:color w:val="1A1D21"/>
                <w:sz w:val="17"/>
              </w:rPr>
              <w:t>52.70</w:t>
            </w:r>
          </w:p>
        </w:tc>
        <w:tc>
          <w:tcPr>
            <w:tcW w:type="dxa" w:w="1361"/>
          </w:tcPr>
          <w:p>
            <w:pPr>
              <w:jc w:val="right"/>
            </w:pPr>
            <w:r/>
            <w:r>
              <w:rPr>
                <w:color w:val="1A1D21"/>
                <w:sz w:val="17"/>
              </w:rPr>
              <w:t>35.53</w:t>
            </w:r>
          </w:p>
        </w:tc>
        <w:tc>
          <w:tcPr>
            <w:tcW w:type="dxa" w:w="1361"/>
          </w:tcPr>
          <w:p>
            <w:pPr>
              <w:jc w:val="right"/>
            </w:pPr>
            <w:r/>
            <w:r>
              <w:rPr>
                <w:color w:val="1A1D21"/>
                <w:sz w:val="17"/>
              </w:rPr>
              <w:t>25.92</w:t>
            </w:r>
          </w:p>
        </w:tc>
        <w:tc>
          <w:tcPr>
            <w:tcW w:type="dxa" w:w="1361"/>
          </w:tcPr>
          <w:p>
            <w:pPr>
              <w:jc w:val="right"/>
            </w:pPr>
            <w:r/>
            <w:r>
              <w:rPr>
                <w:color w:val="1A1D21"/>
                <w:sz w:val="17"/>
              </w:rPr>
              <w:t>19.80</w:t>
            </w:r>
          </w:p>
        </w:tc>
        <w:tc>
          <w:tcPr>
            <w:tcW w:type="dxa" w:w="1361"/>
          </w:tcPr>
          <w:p>
            <w:pPr>
              <w:jc w:val="right"/>
            </w:pPr>
            <w:r/>
            <w:r>
              <w:rPr>
                <w:color w:val="1A1D21"/>
                <w:sz w:val="17"/>
              </w:rPr>
              <w:t>15.57</w:t>
            </w:r>
          </w:p>
        </w:tc>
      </w:tr>
      <w:tr>
        <w:trPr>
          <w:cantSplit/>
        </w:trPr>
        <w:tc>
          <w:tcPr>
            <w:tcW w:type="dxa" w:w="2494"/>
          </w:tcPr>
          <w:p>
            <w:r/>
            <w:r>
              <w:rPr>
                <w:color w:val="1A1D21"/>
                <w:sz w:val="17"/>
              </w:rPr>
              <w:t>17.9%</w:t>
            </w:r>
          </w:p>
        </w:tc>
        <w:tc>
          <w:tcPr>
            <w:tcW w:type="dxa" w:w="1361"/>
          </w:tcPr>
          <w:p>
            <w:pPr>
              <w:jc w:val="right"/>
            </w:pPr>
            <w:r/>
            <w:r>
              <w:rPr>
                <w:color w:val="1A1D21"/>
                <w:sz w:val="17"/>
              </w:rPr>
              <w:t>79.95</w:t>
            </w:r>
          </w:p>
        </w:tc>
        <w:tc>
          <w:tcPr>
            <w:tcW w:type="dxa" w:w="1361"/>
          </w:tcPr>
          <w:p>
            <w:pPr>
              <w:jc w:val="right"/>
            </w:pPr>
            <w:r/>
            <w:r>
              <w:rPr>
                <w:color w:val="1A1D21"/>
                <w:sz w:val="17"/>
              </w:rPr>
              <w:t>54.52</w:t>
            </w:r>
          </w:p>
        </w:tc>
        <w:tc>
          <w:tcPr>
            <w:tcW w:type="dxa" w:w="1361"/>
          </w:tcPr>
          <w:p>
            <w:pPr>
              <w:jc w:val="right"/>
            </w:pPr>
            <w:r/>
            <w:r>
              <w:rPr>
                <w:color w:val="1A1D21"/>
                <w:sz w:val="17"/>
              </w:rPr>
              <w:t>40.32</w:t>
            </w:r>
          </w:p>
        </w:tc>
        <w:tc>
          <w:tcPr>
            <w:tcW w:type="dxa" w:w="1361"/>
          </w:tcPr>
          <w:p>
            <w:pPr>
              <w:jc w:val="right"/>
            </w:pPr>
            <w:r/>
            <w:r>
              <w:rPr>
                <w:color w:val="1A1D21"/>
                <w:sz w:val="17"/>
              </w:rPr>
              <w:t>31.29</w:t>
            </w:r>
          </w:p>
        </w:tc>
        <w:tc>
          <w:tcPr>
            <w:tcW w:type="dxa" w:w="1361"/>
          </w:tcPr>
          <w:p>
            <w:pPr>
              <w:jc w:val="right"/>
            </w:pPr>
            <w:r/>
            <w:r>
              <w:rPr>
                <w:color w:val="1A1D21"/>
                <w:sz w:val="17"/>
              </w:rPr>
              <w:t>25.06</w:t>
            </w:r>
          </w:p>
        </w:tc>
      </w:tr>
    </w:tbl>
    <w:p>
      <w:pPr>
        <w:spacing w:after="200"/>
      </w:pPr>
      <w:r>
        <w:rPr>
          <w:b w:val="0"/>
          <w:i/>
          <w:color w:val="5B6570"/>
          <w:sz w:val="16"/>
        </w:rPr>
        <w:t>Value per share in Egyptian pounds. The closing price on 3 September 2026 was EGP 14.40.</w:t>
      </w:r>
    </w:p>
    <w:p>
      <w:pPr>
        <w:jc w:val="center"/>
      </w:pPr>
      <w:r>
        <w:drawing>
          <wp:inline xmlns:a="http://schemas.openxmlformats.org/drawingml/2006/main" xmlns:pic="http://schemas.openxmlformats.org/drawingml/2006/picture">
            <wp:extent cx="5832000" cy="3339106"/>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0"/>
                    <a:stretch>
                      <a:fillRect/>
                    </a:stretch>
                  </pic:blipFill>
                  <pic:spPr>
                    <a:xfrm>
                      <a:off x="0" y="0"/>
                      <a:ext cx="5832000" cy="3339106"/>
                    </a:xfrm>
                    <a:prstGeom prst="rect"/>
                  </pic:spPr>
                </pic:pic>
              </a:graphicData>
            </a:graphic>
          </wp:inline>
        </w:drawing>
      </w:r>
    </w:p>
    <w:p>
      <w:pPr>
        <w:spacing w:after="240"/>
        <w:jc w:val="center"/>
      </w:pPr>
      <w:r>
        <w:rPr>
          <w:b w:val="0"/>
          <w:i/>
          <w:color w:val="5B6570"/>
          <w:sz w:val="16"/>
        </w:rPr>
        <w:t>Figure 2 — the same grid. Darker cells are higher values; the two axes are the discount rate and the rate at which contracted sales turn into cash.</w:t>
      </w:r>
    </w:p>
    <w:p>
      <w:pPr>
        <w:spacing w:after="140"/>
      </w:pPr>
      <w:r>
        <w:rPr>
          <w:b w:val="0"/>
          <w:i w:val="0"/>
          <w:color w:val="1A1D21"/>
          <w:sz w:val="20"/>
        </w:rPr>
        <w:t>Solving the model back to the closing price gives a cash-conversion rate of 7.3%. That is the clearest single statement this study can make about the current price: the market is paying for conversion better than 2023 and 2025 delivered, and materially worse than 2024 did.</w:t>
      </w:r>
    </w:p>
    <w:p>
      <w:pPr>
        <w:pStyle w:val="Heading1"/>
      </w:pPr>
      <w:r>
        <w:t>2  Technical and price structure</w:t>
      </w:r>
    </w:p>
    <w:p>
      <w:pPr>
        <w:spacing w:after="140"/>
      </w:pPr>
      <w:r>
        <w:rPr>
          <w:b w:val="0"/>
          <w:i w:val="0"/>
          <w:color w:val="1A1D21"/>
          <w:sz w:val="20"/>
        </w:rPr>
        <w:t>The shares closed at EGP 15.20 on 23 August 2026, above a rising 20-day average at 15.15, a rising 50-day at 15.10 and a rising 200-day at 10.95. The whole moving-average stack is beneath the price and sloping up, which is the least ambiguous configuration a trend read produces.</w:t>
      </w:r>
    </w:p>
    <w:tbl>
      <w:tblPr>
        <w:tblStyle w:val="TableGrid"/>
        <w:tblW w:type="auto" w:w="0"/>
        <w:jc w:val="center"/>
        <w:tblLayout w:type="fixed"/>
        <w:tblLook w:firstColumn="1" w:firstRow="1" w:lastColumn="0" w:lastRow="0" w:noHBand="0" w:noVBand="1" w:val="04A0"/>
        <w:tblLayout w:type="fixed"/>
      </w:tblPr>
      <w:tblGrid>
        <w:gridCol w:w="2041"/>
        <w:gridCol w:w="2268"/>
        <w:gridCol w:w="2041"/>
        <w:gridCol w:w="2268"/>
      </w:tblGrid>
      <w:tr>
        <w:trPr>
          <w:tblHeader w:val="true"/>
        </w:trPr>
        <w:tc>
          <w:tcPr>
            <w:tcW w:type="dxa" w:w="2041"/>
          </w:tcPr>
          <w:p>
            <w:r/>
            <w:r>
              <w:rPr>
                <w:b/>
                <w:color w:val="5B6570"/>
                <w:sz w:val="17"/>
              </w:rPr>
              <w:t>Resistance</w:t>
            </w:r>
          </w:p>
        </w:tc>
        <w:tc>
          <w:tcPr>
            <w:tcW w:type="dxa" w:w="2268"/>
          </w:tcPr>
          <w:p>
            <w:r/>
            <w:r>
              <w:rPr>
                <w:b/>
                <w:color w:val="5B6570"/>
                <w:sz w:val="17"/>
              </w:rPr>
              <w:t>EGP</w:t>
            </w:r>
          </w:p>
        </w:tc>
        <w:tc>
          <w:tcPr>
            <w:tcW w:type="dxa" w:w="2041"/>
          </w:tcPr>
          <w:p>
            <w:r/>
            <w:r>
              <w:rPr>
                <w:b/>
                <w:color w:val="5B6570"/>
                <w:sz w:val="17"/>
              </w:rPr>
              <w:t>Support</w:t>
            </w:r>
          </w:p>
        </w:tc>
        <w:tc>
          <w:tcPr>
            <w:tcW w:type="dxa" w:w="2268"/>
          </w:tcPr>
          <w:p>
            <w:r/>
            <w:r>
              <w:rPr>
                <w:b/>
                <w:color w:val="5B6570"/>
                <w:sz w:val="17"/>
              </w:rPr>
              <w:t>EGP</w:t>
            </w:r>
          </w:p>
        </w:tc>
      </w:tr>
      <w:tr>
        <w:trPr>
          <w:cantSplit/>
        </w:trPr>
        <w:tc>
          <w:tcPr>
            <w:tcW w:type="dxa" w:w="2041"/>
          </w:tcPr>
          <w:p>
            <w:r/>
            <w:r>
              <w:rPr>
                <w:color w:val="1A1D21"/>
                <w:sz w:val="17"/>
              </w:rPr>
              <w:t>First</w:t>
            </w:r>
          </w:p>
        </w:tc>
        <w:tc>
          <w:tcPr>
            <w:tcW w:type="dxa" w:w="2268"/>
          </w:tcPr>
          <w:p>
            <w:pPr>
              <w:jc w:val="right"/>
            </w:pPr>
            <w:r/>
            <w:r>
              <w:rPr>
                <w:color w:val="1A1D21"/>
                <w:sz w:val="17"/>
              </w:rPr>
              <w:t>15.38</w:t>
            </w:r>
          </w:p>
        </w:tc>
        <w:tc>
          <w:tcPr>
            <w:tcW w:type="dxa" w:w="2041"/>
          </w:tcPr>
          <w:p>
            <w:r/>
            <w:r>
              <w:rPr>
                <w:color w:val="1A1D21"/>
                <w:sz w:val="17"/>
              </w:rPr>
              <w:t>First</w:t>
            </w:r>
          </w:p>
        </w:tc>
        <w:tc>
          <w:tcPr>
            <w:tcW w:type="dxa" w:w="2268"/>
          </w:tcPr>
          <w:p>
            <w:pPr>
              <w:jc w:val="right"/>
            </w:pPr>
            <w:r/>
            <w:r>
              <w:rPr>
                <w:color w:val="1A1D21"/>
                <w:sz w:val="17"/>
              </w:rPr>
              <w:t>14.99</w:t>
            </w:r>
          </w:p>
        </w:tc>
      </w:tr>
      <w:tr>
        <w:trPr>
          <w:cantSplit/>
        </w:trPr>
        <w:tc>
          <w:tcPr>
            <w:tcW w:type="dxa" w:w="2041"/>
          </w:tcPr>
          <w:p>
            <w:r/>
            <w:r>
              <w:rPr>
                <w:color w:val="1A1D21"/>
                <w:sz w:val="17"/>
              </w:rPr>
              <w:t>Second</w:t>
            </w:r>
          </w:p>
        </w:tc>
        <w:tc>
          <w:tcPr>
            <w:tcW w:type="dxa" w:w="2268"/>
          </w:tcPr>
          <w:p>
            <w:pPr>
              <w:jc w:val="right"/>
            </w:pPr>
            <w:r/>
            <w:r>
              <w:rPr>
                <w:color w:val="1A1D21"/>
                <w:sz w:val="17"/>
              </w:rPr>
              <w:t>15.73</w:t>
            </w:r>
          </w:p>
        </w:tc>
        <w:tc>
          <w:tcPr>
            <w:tcW w:type="dxa" w:w="2041"/>
          </w:tcPr>
          <w:p>
            <w:r/>
            <w:r>
              <w:rPr>
                <w:color w:val="1A1D21"/>
                <w:sz w:val="17"/>
              </w:rPr>
              <w:t>Second</w:t>
            </w:r>
          </w:p>
        </w:tc>
        <w:tc>
          <w:tcPr>
            <w:tcW w:type="dxa" w:w="2268"/>
          </w:tcPr>
          <w:p>
            <w:pPr>
              <w:jc w:val="right"/>
            </w:pPr>
            <w:r/>
            <w:r>
              <w:rPr>
                <w:color w:val="1A1D21"/>
                <w:sz w:val="17"/>
              </w:rPr>
              <w:t>14.40</w:t>
            </w:r>
          </w:p>
        </w:tc>
      </w:tr>
      <w:tr>
        <w:trPr>
          <w:cantSplit/>
        </w:trPr>
        <w:tc>
          <w:tcPr>
            <w:tcW w:type="dxa" w:w="2041"/>
          </w:tcPr>
          <w:p>
            <w:r/>
            <w:r>
              <w:rPr>
                <w:color w:val="1A1D21"/>
                <w:sz w:val="17"/>
              </w:rPr>
              <w:t>Third</w:t>
            </w:r>
          </w:p>
        </w:tc>
        <w:tc>
          <w:tcPr>
            <w:tcW w:type="dxa" w:w="2268"/>
          </w:tcPr>
          <w:p>
            <w:pPr>
              <w:jc w:val="right"/>
            </w:pPr>
            <w:r/>
            <w:r>
              <w:rPr>
                <w:color w:val="1A1D21"/>
                <w:sz w:val="17"/>
              </w:rPr>
              <w:t>16.08</w:t>
            </w:r>
          </w:p>
        </w:tc>
        <w:tc>
          <w:tcPr>
            <w:tcW w:type="dxa" w:w="2041"/>
          </w:tcPr>
          <w:p>
            <w:r/>
            <w:r>
              <w:rPr>
                <w:color w:val="1A1D21"/>
                <w:sz w:val="17"/>
              </w:rPr>
              <w:t>Third</w:t>
            </w:r>
          </w:p>
        </w:tc>
        <w:tc>
          <w:tcPr>
            <w:tcW w:type="dxa" w:w="2268"/>
          </w:tcPr>
          <w:p>
            <w:pPr>
              <w:jc w:val="right"/>
            </w:pPr>
            <w:r/>
            <w:r>
              <w:rPr>
                <w:color w:val="1A1D21"/>
                <w:sz w:val="17"/>
              </w:rPr>
              <w:t>13.01</w:t>
            </w:r>
          </w:p>
        </w:tc>
      </w:tr>
    </w:tbl>
    <w:p>
      <w:pPr>
        <w:spacing w:after="200"/>
      </w:pPr>
      <w:r>
        <w:rPr>
          <w:b w:val="0"/>
          <w:i/>
          <w:color w:val="5B6570"/>
          <w:sz w:val="16"/>
        </w:rPr>
        <w:t>Levels are computed from the same cleaned price history the distribution in section 3 is built on; first resistance and first support are always the nearest to the close.</w:t>
      </w:r>
    </w:p>
    <w:p>
      <w:pPr>
        <w:spacing w:after="140"/>
      </w:pPr>
      <w:r>
        <w:rPr>
          <w:b w:val="0"/>
          <w:i w:val="0"/>
          <w:color w:val="1A1D21"/>
          <w:sz w:val="20"/>
        </w:rPr>
        <w:t>The levels sit close together — first resistance is 1.2 per cent above the close and first support 1.4 per cent below — so the near-term structure is tight and offers little information on its own. The 200-day average at 10.95 is far below the price, which is a consequence of how much the shares have risen, not a signal.</w:t>
      </w:r>
    </w:p>
    <w:p>
      <w:pPr>
        <w:pStyle w:val="Heading1"/>
      </w:pPr>
      <w:r>
        <w:t>3  A probabilistic price map</w:t>
      </w:r>
    </w:p>
    <w:p>
      <w:pPr>
        <w:spacing w:after="140"/>
      </w:pPr>
      <w:r>
        <w:rPr>
          <w:b w:val="0"/>
          <w:i w:val="0"/>
          <w:color w:val="1A1D21"/>
          <w:sz w:val="20"/>
        </w:rPr>
        <w:t>This section is not a forecast and does not connect to the valuation above. It is a statement of how widely the price has historically moved over one and three months, expressed as a distribution.</w:t>
      </w:r>
    </w:p>
    <w:tbl>
      <w:tblPr>
        <w:tblStyle w:val="TableGrid"/>
        <w:tblW w:type="auto" w:w="0"/>
        <w:jc w:val="center"/>
        <w:tblLayout w:type="fixed"/>
        <w:tblLook w:firstColumn="1" w:firstRow="1" w:lastColumn="0" w:lastRow="0" w:noHBand="0" w:noVBand="1" w:val="04A0"/>
        <w:tblLayout w:type="fixed"/>
      </w:tblPr>
      <w:tblGrid>
        <w:gridCol w:w="2495"/>
        <w:gridCol w:w="3175"/>
        <w:gridCol w:w="3175"/>
      </w:tblGrid>
      <w:tr>
        <w:trPr>
          <w:tblHeader w:val="true"/>
        </w:trPr>
        <w:tc>
          <w:tcPr>
            <w:tcW w:type="dxa" w:w="2494"/>
          </w:tcPr>
          <w:p>
            <w:r/>
            <w:r>
              <w:rPr>
                <w:b/>
                <w:color w:val="5B6570"/>
                <w:sz w:val="17"/>
              </w:rPr>
              <w:t>Percentile</w:t>
            </w:r>
          </w:p>
        </w:tc>
        <w:tc>
          <w:tcPr>
            <w:tcW w:type="dxa" w:w="3175"/>
          </w:tcPr>
          <w:p>
            <w:r/>
            <w:r>
              <w:rPr>
                <w:b/>
                <w:color w:val="5B6570"/>
                <w:sz w:val="17"/>
              </w:rPr>
              <w:t>One month (EGP)</w:t>
            </w:r>
          </w:p>
        </w:tc>
        <w:tc>
          <w:tcPr>
            <w:tcW w:type="dxa" w:w="3175"/>
          </w:tcPr>
          <w:p>
            <w:r/>
            <w:r>
              <w:rPr>
                <w:b/>
                <w:color w:val="5B6570"/>
                <w:sz w:val="17"/>
              </w:rPr>
              <w:t>Three months (EGP)</w:t>
            </w:r>
          </w:p>
        </w:tc>
      </w:tr>
      <w:tr>
        <w:trPr>
          <w:cantSplit/>
        </w:trPr>
        <w:tc>
          <w:tcPr>
            <w:tcW w:type="dxa" w:w="2494"/>
          </w:tcPr>
          <w:p>
            <w:r/>
            <w:r>
              <w:rPr>
                <w:color w:val="1A1D21"/>
                <w:sz w:val="17"/>
              </w:rPr>
              <w:t>5th</w:t>
            </w:r>
          </w:p>
        </w:tc>
        <w:tc>
          <w:tcPr>
            <w:tcW w:type="dxa" w:w="3175"/>
          </w:tcPr>
          <w:p>
            <w:pPr>
              <w:jc w:val="right"/>
            </w:pPr>
            <w:r/>
            <w:r>
              <w:rPr>
                <w:color w:val="1A1D21"/>
                <w:sz w:val="17"/>
              </w:rPr>
              <w:t>13.08</w:t>
            </w:r>
          </w:p>
        </w:tc>
        <w:tc>
          <w:tcPr>
            <w:tcW w:type="dxa" w:w="3175"/>
          </w:tcPr>
          <w:p>
            <w:pPr>
              <w:jc w:val="right"/>
            </w:pPr>
            <w:r/>
            <w:r>
              <w:rPr>
                <w:color w:val="1A1D21"/>
                <w:sz w:val="17"/>
              </w:rPr>
              <w:t>11.98</w:t>
            </w:r>
          </w:p>
        </w:tc>
      </w:tr>
      <w:tr>
        <w:trPr>
          <w:cantSplit/>
        </w:trPr>
        <w:tc>
          <w:tcPr>
            <w:tcW w:type="dxa" w:w="2494"/>
          </w:tcPr>
          <w:p>
            <w:r/>
            <w:r>
              <w:rPr>
                <w:color w:val="1A1D21"/>
                <w:sz w:val="17"/>
              </w:rPr>
              <w:t>25th</w:t>
            </w:r>
          </w:p>
        </w:tc>
        <w:tc>
          <w:tcPr>
            <w:tcW w:type="dxa" w:w="3175"/>
          </w:tcPr>
          <w:p>
            <w:pPr>
              <w:jc w:val="right"/>
            </w:pPr>
            <w:r/>
            <w:r>
              <w:rPr>
                <w:color w:val="1A1D21"/>
                <w:sz w:val="17"/>
              </w:rPr>
              <w:t>14.67</w:t>
            </w:r>
          </w:p>
        </w:tc>
        <w:tc>
          <w:tcPr>
            <w:tcW w:type="dxa" w:w="3175"/>
          </w:tcPr>
          <w:p>
            <w:pPr>
              <w:jc w:val="right"/>
            </w:pPr>
            <w:r/>
            <w:r>
              <w:rPr>
                <w:color w:val="1A1D21"/>
                <w:sz w:val="17"/>
              </w:rPr>
              <w:t>14.61</w:t>
            </w:r>
          </w:p>
        </w:tc>
      </w:tr>
      <w:tr>
        <w:trPr>
          <w:cantSplit/>
        </w:trPr>
        <w:tc>
          <w:tcPr>
            <w:tcW w:type="dxa" w:w="2494"/>
          </w:tcPr>
          <w:p>
            <w:r/>
            <w:r>
              <w:rPr>
                <w:color w:val="1A1D21"/>
                <w:sz w:val="17"/>
              </w:rPr>
              <w:t>50th</w:t>
            </w:r>
          </w:p>
        </w:tc>
        <w:tc>
          <w:tcPr>
            <w:tcW w:type="dxa" w:w="3175"/>
          </w:tcPr>
          <w:p>
            <w:pPr>
              <w:jc w:val="right"/>
            </w:pPr>
            <w:r/>
            <w:r>
              <w:rPr>
                <w:color w:val="1A1D21"/>
                <w:sz w:val="17"/>
              </w:rPr>
              <w:t>15.64</w:t>
            </w:r>
          </w:p>
        </w:tc>
        <w:tc>
          <w:tcPr>
            <w:tcW w:type="dxa" w:w="3175"/>
          </w:tcPr>
          <w:p>
            <w:pPr>
              <w:jc w:val="right"/>
            </w:pPr>
            <w:r/>
            <w:r>
              <w:rPr>
                <w:color w:val="1A1D21"/>
                <w:sz w:val="17"/>
              </w:rPr>
              <w:t>16.34</w:t>
            </w:r>
          </w:p>
        </w:tc>
      </w:tr>
      <w:tr>
        <w:trPr>
          <w:cantSplit/>
        </w:trPr>
        <w:tc>
          <w:tcPr>
            <w:tcW w:type="dxa" w:w="2494"/>
          </w:tcPr>
          <w:p>
            <w:r/>
            <w:r>
              <w:rPr>
                <w:color w:val="1A1D21"/>
                <w:sz w:val="17"/>
              </w:rPr>
              <w:t>75th</w:t>
            </w:r>
          </w:p>
        </w:tc>
        <w:tc>
          <w:tcPr>
            <w:tcW w:type="dxa" w:w="3175"/>
          </w:tcPr>
          <w:p>
            <w:pPr>
              <w:jc w:val="right"/>
            </w:pPr>
            <w:r/>
            <w:r>
              <w:rPr>
                <w:color w:val="1A1D21"/>
                <w:sz w:val="17"/>
              </w:rPr>
              <w:t>16.68</w:t>
            </w:r>
          </w:p>
        </w:tc>
        <w:tc>
          <w:tcPr>
            <w:tcW w:type="dxa" w:w="3175"/>
          </w:tcPr>
          <w:p>
            <w:pPr>
              <w:jc w:val="right"/>
            </w:pPr>
            <w:r/>
            <w:r>
              <w:rPr>
                <w:color w:val="1A1D21"/>
                <w:sz w:val="17"/>
              </w:rPr>
              <w:t>18.27</w:t>
            </w:r>
          </w:p>
        </w:tc>
      </w:tr>
      <w:tr>
        <w:trPr>
          <w:cantSplit/>
        </w:trPr>
        <w:tc>
          <w:tcPr>
            <w:tcW w:type="dxa" w:w="2494"/>
          </w:tcPr>
          <w:p>
            <w:r/>
            <w:r>
              <w:rPr>
                <w:color w:val="1A1D21"/>
                <w:sz w:val="17"/>
              </w:rPr>
              <w:t>95th</w:t>
            </w:r>
          </w:p>
        </w:tc>
        <w:tc>
          <w:tcPr>
            <w:tcW w:type="dxa" w:w="3175"/>
          </w:tcPr>
          <w:p>
            <w:pPr>
              <w:jc w:val="right"/>
            </w:pPr>
            <w:r/>
            <w:r>
              <w:rPr>
                <w:color w:val="1A1D21"/>
                <w:sz w:val="17"/>
              </w:rPr>
              <w:t>18.71</w:t>
            </w:r>
          </w:p>
        </w:tc>
        <w:tc>
          <w:tcPr>
            <w:tcW w:type="dxa" w:w="3175"/>
          </w:tcPr>
          <w:p>
            <w:pPr>
              <w:jc w:val="right"/>
            </w:pPr>
            <w:r/>
            <w:r>
              <w:rPr>
                <w:color w:val="1A1D21"/>
                <w:sz w:val="17"/>
              </w:rPr>
              <w:t>22.26</w:t>
            </w:r>
          </w:p>
        </w:tc>
      </w:tr>
    </w:tbl>
    <w:p>
      <w:pPr>
        <w:spacing w:after="200"/>
      </w:pPr>
      <w:r>
        <w:rPr>
          <w:b w:val="0"/>
          <w:i/>
          <w:color w:val="5B6570"/>
          <w:sz w:val="16"/>
        </w:rPr>
        <w:t>Resolving 2026-09-23 and 2026-11-23 respectively.</w:t>
      </w:r>
    </w:p>
    <w:p>
      <w:pPr>
        <w:jc w:val="center"/>
      </w:pPr>
      <w:r>
        <w:drawing>
          <wp:inline xmlns:a="http://schemas.openxmlformats.org/drawingml/2006/main" xmlns:pic="http://schemas.openxmlformats.org/drawingml/2006/picture">
            <wp:extent cx="5832000" cy="3110713"/>
            <wp:docPr id="3" name="Picture 3"/>
            <wp:cNvGraphicFramePr>
              <a:graphicFrameLocks noChangeAspect="1"/>
            </wp:cNvGraphicFramePr>
            <a:graphic>
              <a:graphicData uri="http://schemas.openxmlformats.org/drawingml/2006/picture">
                <pic:pic>
                  <pic:nvPicPr>
                    <pic:cNvPr id="0" name="fig3_cone.png"/>
                    <pic:cNvPicPr/>
                  </pic:nvPicPr>
                  <pic:blipFill>
                    <a:blip r:embed="rId11"/>
                    <a:stretch>
                      <a:fillRect/>
                    </a:stretch>
                  </pic:blipFill>
                  <pic:spPr>
                    <a:xfrm>
                      <a:off x="0" y="0"/>
                      <a:ext cx="5832000" cy="3110713"/>
                    </a:xfrm>
                    <a:prstGeom prst="rect"/>
                  </pic:spPr>
                </pic:pic>
              </a:graphicData>
            </a:graphic>
          </wp:inline>
        </w:drawing>
      </w:r>
    </w:p>
    <w:p>
      <w:pPr>
        <w:spacing w:after="240"/>
        <w:jc w:val="center"/>
      </w:pPr>
      <w:r>
        <w:rPr>
          <w:b w:val="0"/>
          <w:i/>
          <w:color w:val="5B6570"/>
          <w:sz w:val="16"/>
        </w:rPr>
        <w:t>Figure 3 — the same distribution drawn as a cone. The shaded bands are the middle half and the 5th-to-95th range.</w:t>
      </w:r>
    </w:p>
    <w:p>
      <w:pPr>
        <w:spacing w:after="140"/>
      </w:pPr>
      <w:r>
        <w:rPr>
          <w:b w:val="0"/>
          <w:i w:val="0"/>
          <w:color w:val="1A1D21"/>
          <w:sz w:val="20"/>
        </w:rPr>
        <w:t>Over 57 resolved three-month forecasts on this company, the price finished inside the 90 per cent band 91.2% of the time, and inside the middle band 50.9% of the time. That is a long record by the standards of this series. The bands are about 1.47 times as wide as a simple random-walk band over the same horizon, which is what Egyptian devaluation risk costs in width.</w:t>
      </w:r>
    </w:p>
    <w:tbl>
      <w:tblPr>
        <w:tblStyle w:val="TableGrid"/>
        <w:tblW w:type="auto" w:w="0"/>
        <w:jc w:val="center"/>
        <w:tblLayout w:type="fixed"/>
        <w:tblLook w:firstColumn="1" w:firstRow="1" w:lastColumn="0" w:lastRow="0" w:noHBand="0" w:noVBand="1" w:val="04A0"/>
        <w:tblLayout w:type="fixed"/>
      </w:tblPr>
      <w:tblGrid>
        <w:gridCol w:w="2495"/>
        <w:gridCol w:w="3402"/>
        <w:gridCol w:w="2948"/>
      </w:tblGrid>
      <w:tr>
        <w:trPr>
          <w:tblHeader w:val="true"/>
        </w:trPr>
        <w:tc>
          <w:tcPr>
            <w:tcW w:type="dxa" w:w="2494"/>
          </w:tcPr>
          <w:p>
            <w:r/>
            <w:r>
              <w:rPr>
                <w:b/>
                <w:color w:val="5B6570"/>
                <w:sz w:val="17"/>
              </w:rPr>
              <w:t>Level (EGP)</w:t>
            </w:r>
          </w:p>
        </w:tc>
        <w:tc>
          <w:tcPr>
            <w:tcW w:type="dxa" w:w="3402"/>
          </w:tcPr>
          <w:p>
            <w:r/>
            <w:r>
              <w:rPr>
                <w:b/>
                <w:color w:val="5B6570"/>
                <w:sz w:val="17"/>
              </w:rPr>
              <w:t>Chance of touching within one month</w:t>
            </w:r>
          </w:p>
        </w:tc>
        <w:tc>
          <w:tcPr>
            <w:tcW w:type="dxa" w:w="2948"/>
          </w:tcPr>
          <w:p>
            <w:r/>
            <w:r>
              <w:rPr>
                <w:b/>
                <w:color w:val="5B6570"/>
                <w:sz w:val="17"/>
              </w:rPr>
              <w:t>Within three months</w:t>
            </w:r>
          </w:p>
        </w:tc>
      </w:tr>
      <w:tr>
        <w:trPr>
          <w:cantSplit/>
        </w:trPr>
        <w:tc>
          <w:tcPr>
            <w:tcW w:type="dxa" w:w="2494"/>
          </w:tcPr>
          <w:p>
            <w:r/>
            <w:r>
              <w:rPr>
                <w:color w:val="1A1D21"/>
                <w:sz w:val="17"/>
              </w:rPr>
              <w:t>20.00</w:t>
            </w:r>
          </w:p>
        </w:tc>
        <w:tc>
          <w:tcPr>
            <w:tcW w:type="dxa" w:w="3402"/>
          </w:tcPr>
          <w:p>
            <w:pPr>
              <w:jc w:val="right"/>
            </w:pPr>
            <w:r/>
            <w:r>
              <w:rPr>
                <w:color w:val="1A1D21"/>
                <w:sz w:val="17"/>
              </w:rPr>
              <w:t>3%</w:t>
            </w:r>
          </w:p>
        </w:tc>
        <w:tc>
          <w:tcPr>
            <w:tcW w:type="dxa" w:w="2948"/>
          </w:tcPr>
          <w:p>
            <w:pPr>
              <w:jc w:val="right"/>
            </w:pPr>
            <w:r/>
            <w:r>
              <w:rPr>
                <w:color w:val="1A1D21"/>
                <w:sz w:val="17"/>
              </w:rPr>
              <w:t>19%</w:t>
            </w:r>
          </w:p>
        </w:tc>
      </w:tr>
      <w:tr>
        <w:trPr>
          <w:cantSplit/>
        </w:trPr>
        <w:tc>
          <w:tcPr>
            <w:tcW w:type="dxa" w:w="2494"/>
          </w:tcPr>
          <w:p>
            <w:r/>
            <w:r>
              <w:rPr>
                <w:color w:val="1A1D21"/>
                <w:sz w:val="17"/>
              </w:rPr>
              <w:t>18.50</w:t>
            </w:r>
          </w:p>
        </w:tc>
        <w:tc>
          <w:tcPr>
            <w:tcW w:type="dxa" w:w="3402"/>
          </w:tcPr>
          <w:p>
            <w:pPr>
              <w:jc w:val="right"/>
            </w:pPr>
            <w:r/>
            <w:r>
              <w:rPr>
                <w:color w:val="1A1D21"/>
                <w:sz w:val="17"/>
              </w:rPr>
              <w:t>9%</w:t>
            </w:r>
          </w:p>
        </w:tc>
        <w:tc>
          <w:tcPr>
            <w:tcW w:type="dxa" w:w="2948"/>
          </w:tcPr>
          <w:p>
            <w:pPr>
              <w:jc w:val="right"/>
            </w:pPr>
            <w:r/>
            <w:r>
              <w:rPr>
                <w:color w:val="1A1D21"/>
                <w:sz w:val="17"/>
              </w:rPr>
              <w:t>35%</w:t>
            </w:r>
          </w:p>
        </w:tc>
      </w:tr>
      <w:tr>
        <w:trPr>
          <w:cantSplit/>
        </w:trPr>
        <w:tc>
          <w:tcPr>
            <w:tcW w:type="dxa" w:w="2494"/>
          </w:tcPr>
          <w:p>
            <w:r/>
            <w:r>
              <w:rPr>
                <w:color w:val="1A1D21"/>
                <w:sz w:val="17"/>
              </w:rPr>
              <w:t>17.50</w:t>
            </w:r>
          </w:p>
        </w:tc>
        <w:tc>
          <w:tcPr>
            <w:tcW w:type="dxa" w:w="3402"/>
          </w:tcPr>
          <w:p>
            <w:pPr>
              <w:jc w:val="right"/>
            </w:pPr>
            <w:r/>
            <w:r>
              <w:rPr>
                <w:color w:val="1A1D21"/>
                <w:sz w:val="17"/>
              </w:rPr>
              <w:t>20%</w:t>
            </w:r>
          </w:p>
        </w:tc>
        <w:tc>
          <w:tcPr>
            <w:tcW w:type="dxa" w:w="2948"/>
          </w:tcPr>
          <w:p>
            <w:pPr>
              <w:jc w:val="right"/>
            </w:pPr>
            <w:r/>
            <w:r>
              <w:rPr>
                <w:color w:val="1A1D21"/>
                <w:sz w:val="17"/>
              </w:rPr>
              <w:t>51%</w:t>
            </w:r>
          </w:p>
        </w:tc>
      </w:tr>
      <w:tr>
        <w:trPr>
          <w:cantSplit/>
        </w:trPr>
        <w:tc>
          <w:tcPr>
            <w:tcW w:type="dxa" w:w="2494"/>
          </w:tcPr>
          <w:p>
            <w:r/>
            <w:r>
              <w:rPr>
                <w:color w:val="1A1D21"/>
                <w:sz w:val="17"/>
              </w:rPr>
              <w:t>16.50</w:t>
            </w:r>
          </w:p>
        </w:tc>
        <w:tc>
          <w:tcPr>
            <w:tcW w:type="dxa" w:w="3402"/>
          </w:tcPr>
          <w:p>
            <w:pPr>
              <w:jc w:val="right"/>
            </w:pPr>
            <w:r/>
            <w:r>
              <w:rPr>
                <w:color w:val="1A1D21"/>
                <w:sz w:val="17"/>
              </w:rPr>
              <w:t>43%</w:t>
            </w:r>
          </w:p>
        </w:tc>
        <w:tc>
          <w:tcPr>
            <w:tcW w:type="dxa" w:w="2948"/>
          </w:tcPr>
          <w:p>
            <w:pPr>
              <w:jc w:val="right"/>
            </w:pPr>
            <w:r/>
            <w:r>
              <w:rPr>
                <w:color w:val="1A1D21"/>
                <w:sz w:val="17"/>
              </w:rPr>
              <w:t>71%</w:t>
            </w:r>
          </w:p>
        </w:tc>
      </w:tr>
      <w:tr>
        <w:trPr>
          <w:cantSplit/>
        </w:trPr>
        <w:tc>
          <w:tcPr>
            <w:tcW w:type="dxa" w:w="2494"/>
          </w:tcPr>
          <w:p>
            <w:r/>
            <w:r>
              <w:rPr>
                <w:color w:val="1A1D21"/>
                <w:sz w:val="17"/>
              </w:rPr>
              <w:t>15.55</w:t>
            </w:r>
          </w:p>
        </w:tc>
        <w:tc>
          <w:tcPr>
            <w:tcW w:type="dxa" w:w="3402"/>
          </w:tcPr>
          <w:p>
            <w:pPr>
              <w:jc w:val="right"/>
            </w:pPr>
            <w:r/>
            <w:r>
              <w:rPr>
                <w:color w:val="1A1D21"/>
                <w:sz w:val="17"/>
              </w:rPr>
              <w:t>80%</w:t>
            </w:r>
          </w:p>
        </w:tc>
        <w:tc>
          <w:tcPr>
            <w:tcW w:type="dxa" w:w="2948"/>
          </w:tcPr>
          <w:p>
            <w:pPr>
              <w:jc w:val="right"/>
            </w:pPr>
            <w:r/>
            <w:r>
              <w:rPr>
                <w:color w:val="1A1D21"/>
                <w:sz w:val="17"/>
              </w:rPr>
              <w:t>90%</w:t>
            </w:r>
          </w:p>
        </w:tc>
      </w:tr>
    </w:tbl>
    <w:p>
      <w:pPr>
        <w:spacing w:after="200"/>
      </w:pPr>
      <w:r>
        <w:rPr>
          <w:b w:val="0"/>
          <w:i/>
          <w:color w:val="5B6570"/>
          <w:sz w:val="16"/>
        </w:rPr>
        <w:t>The chance that the price trades at or through each level at any point in the window, not the chance it ends there.</w:t>
      </w:r>
    </w:p>
    <w:p>
      <w:pPr>
        <w:spacing w:after="140"/>
      </w:pPr>
      <w:r>
        <w:rPr>
          <w:b w:val="0"/>
          <w:i/>
          <w:color w:val="5B6570"/>
          <w:sz w:val="17"/>
        </w:rPr>
        <w:t>Price data to 2026-08-23, computed 2026-08-24; the trend read uses data to 2026-08-23, computed 2026-08-25.</w:t>
      </w:r>
    </w:p>
    <w:p>
      <w:pPr>
        <w:pStyle w:val="Heading1"/>
      </w:pPr>
      <w:r>
        <w:t>4  Comparison of the lenses</w:t>
      </w:r>
    </w:p>
    <w:p>
      <w:pPr>
        <w:spacing w:after="140"/>
      </w:pPr>
      <w:r>
        <w:rPr>
          <w:b w:val="0"/>
          <w:i w:val="0"/>
          <w:color w:val="1A1D21"/>
          <w:sz w:val="20"/>
        </w:rPr>
        <w:t>The three readings are deliberately independent — none is an input to another — so where they agree, the agreement carries information.</w:t>
      </w:r>
    </w:p>
    <w:tbl>
      <w:tblPr>
        <w:tblStyle w:val="TableGrid"/>
        <w:tblW w:type="auto" w:w="0"/>
        <w:jc w:val="center"/>
        <w:tblLayout w:type="fixed"/>
        <w:tblLook w:firstColumn="1" w:firstRow="1" w:lastColumn="0" w:lastRow="0" w:noHBand="0" w:noVBand="1" w:val="04A0"/>
        <w:tblLayout w:type="fixed"/>
      </w:tblPr>
      <w:tblGrid>
        <w:gridCol w:w="2155"/>
        <w:gridCol w:w="3629"/>
        <w:gridCol w:w="3175"/>
      </w:tblGrid>
      <w:tr>
        <w:trPr>
          <w:tblHeader w:val="true"/>
        </w:trPr>
        <w:tc>
          <w:tcPr>
            <w:tcW w:type="dxa" w:w="2154"/>
          </w:tcPr>
          <w:p>
            <w:r/>
            <w:r>
              <w:rPr>
                <w:b/>
                <w:color w:val="5B6570"/>
                <w:sz w:val="17"/>
              </w:rPr>
              <w:t>Lens</w:t>
            </w:r>
          </w:p>
        </w:tc>
        <w:tc>
          <w:tcPr>
            <w:tcW w:type="dxa" w:w="3628"/>
          </w:tcPr>
          <w:p>
            <w:r/>
            <w:r>
              <w:rPr>
                <w:b/>
                <w:color w:val="5B6570"/>
                <w:sz w:val="17"/>
              </w:rPr>
              <w:t>What it says</w:t>
            </w:r>
          </w:p>
        </w:tc>
        <w:tc>
          <w:tcPr>
            <w:tcW w:type="dxa" w:w="3175"/>
          </w:tcPr>
          <w:p>
            <w:r/>
            <w:r>
              <w:rPr>
                <w:b/>
                <w:color w:val="5B6570"/>
                <w:sz w:val="17"/>
              </w:rPr>
              <w:t>Relative to the EGP 14.40 close</w:t>
            </w:r>
          </w:p>
        </w:tc>
      </w:tr>
      <w:tr>
        <w:trPr>
          <w:cantSplit/>
        </w:trPr>
        <w:tc>
          <w:tcPr>
            <w:tcW w:type="dxa" w:w="2154"/>
          </w:tcPr>
          <w:p>
            <w:r/>
            <w:r>
              <w:rPr>
                <w:color w:val="1A1D21"/>
                <w:sz w:val="17"/>
              </w:rPr>
              <w:t>Fundamental value</w:t>
            </w:r>
          </w:p>
        </w:tc>
        <w:tc>
          <w:tcPr>
            <w:tcW w:type="dxa" w:w="3628"/>
          </w:tcPr>
          <w:p>
            <w:r/>
            <w:r>
              <w:rPr>
                <w:color w:val="1A1D21"/>
                <w:sz w:val="17"/>
              </w:rPr>
              <w:t>EGP 6.15 to EGP 40.32 depending on cash conversion</w:t>
            </w:r>
          </w:p>
        </w:tc>
        <w:tc>
          <w:tcPr>
            <w:tcW w:type="dxa" w:w="3175"/>
          </w:tcPr>
          <w:p>
            <w:r/>
            <w:r>
              <w:rPr>
                <w:color w:val="1A1D21"/>
                <w:sz w:val="17"/>
              </w:rPr>
              <w:t>the close sits inside the range, near its lower half</w:t>
            </w:r>
          </w:p>
        </w:tc>
      </w:tr>
      <w:tr>
        <w:trPr>
          <w:cantSplit/>
        </w:trPr>
        <w:tc>
          <w:tcPr>
            <w:tcW w:type="dxa" w:w="2154"/>
          </w:tcPr>
          <w:p>
            <w:r/>
            <w:r>
              <w:rPr>
                <w:color w:val="1A1D21"/>
                <w:sz w:val="17"/>
              </w:rPr>
              <w:t>Price distribution</w:t>
            </w:r>
          </w:p>
        </w:tc>
        <w:tc>
          <w:tcPr>
            <w:tcW w:type="dxa" w:w="3628"/>
          </w:tcPr>
          <w:p>
            <w:r/>
            <w:r>
              <w:rPr>
                <w:color w:val="1A1D21"/>
                <w:sz w:val="17"/>
              </w:rPr>
              <w:t>three-month middle band EGP 14.61 to 18.27</w:t>
            </w:r>
          </w:p>
        </w:tc>
        <w:tc>
          <w:tcPr>
            <w:tcW w:type="dxa" w:w="3175"/>
          </w:tcPr>
          <w:p>
            <w:r/>
            <w:r>
              <w:rPr>
                <w:color w:val="1A1D21"/>
                <w:sz w:val="17"/>
              </w:rPr>
              <w:t>the distribution is centred slightly above the close</w:t>
            </w:r>
          </w:p>
        </w:tc>
      </w:tr>
      <w:tr>
        <w:trPr>
          <w:cantSplit/>
        </w:trPr>
        <w:tc>
          <w:tcPr>
            <w:tcW w:type="dxa" w:w="2154"/>
          </w:tcPr>
          <w:p>
            <w:r/>
            <w:r>
              <w:rPr>
                <w:color w:val="1A1D21"/>
                <w:sz w:val="17"/>
              </w:rPr>
              <w:t>Trend structure</w:t>
            </w:r>
          </w:p>
        </w:tc>
        <w:tc>
          <w:tcPr>
            <w:tcW w:type="dxa" w:w="3628"/>
          </w:tcPr>
          <w:p>
            <w:r/>
            <w:r>
              <w:rPr>
                <w:color w:val="1A1D21"/>
                <w:sz w:val="17"/>
              </w:rPr>
              <w:t>above a rising 20-, 50- and 200-day average</w:t>
            </w:r>
          </w:p>
        </w:tc>
        <w:tc>
          <w:tcPr>
            <w:tcW w:type="dxa" w:w="3175"/>
          </w:tcPr>
          <w:p>
            <w:r/>
            <w:r>
              <w:rPr>
                <w:color w:val="1A1D21"/>
                <w:sz w:val="17"/>
              </w:rPr>
              <w:t>constructive, with resistance only 6.8 per cent away</w:t>
            </w:r>
          </w:p>
        </w:tc>
      </w:tr>
    </w:tbl>
    <w:p>
      <w:pPr>
        <w:spacing w:after="80"/>
      </w:pPr>
      <w:r>
        <w:rPr>
          <w:b w:val="0"/>
          <w:i w:val="0"/>
          <w:color w:val="1A1D21"/>
          <w:sz w:val="8"/>
        </w:rPr>
      </w:r>
    </w:p>
    <w:p>
      <w:pPr>
        <w:spacing w:after="140"/>
      </w:pPr>
      <w:r>
        <w:rPr>
          <w:b w:val="0"/>
          <w:i w:val="0"/>
          <w:color w:val="1A1D21"/>
          <w:sz w:val="20"/>
        </w:rPr>
        <w:t>They point the same way without being made to. The fundamental range brackets the price, the distribution is mildly positive and the trend is intact. None of that resolves the crux in section 1.7.</w:t>
      </w:r>
    </w:p>
    <w:p>
      <w:pPr>
        <w:pStyle w:val="Heading1"/>
      </w:pPr>
      <w:r>
        <w:t>5  Catalysts to watch</w:t>
      </w:r>
    </w:p>
    <w:p>
      <w:pPr>
        <w:pStyle w:val="ListBullet"/>
        <w:spacing w:after="60"/>
      </w:pPr>
      <w:r>
        <w:rPr>
          <w:color w:val="1A1D21"/>
          <w:sz w:val="20"/>
        </w:rPr>
        <w:t>The half-year 2026 results. None had been published as at 30 August 2026, which is itself notable this late in the year.</w:t>
      </w:r>
    </w:p>
    <w:p>
      <w:pPr>
        <w:pStyle w:val="ListBullet"/>
        <w:spacing w:after="60"/>
      </w:pPr>
      <w:r>
        <w:rPr>
          <w:color w:val="1A1D21"/>
          <w:sz w:val="20"/>
        </w:rPr>
        <w:t>The full-year 2025 results release. The audited statements were published but the accompanying release, which is where units sold, new sales, deliveries and construction spending are disclosed, was not.</w:t>
      </w:r>
    </w:p>
    <w:p>
      <w:pPr>
        <w:pStyle w:val="ListBullet"/>
        <w:spacing w:after="60"/>
      </w:pPr>
      <w:r>
        <w:rPr>
          <w:color w:val="1A1D21"/>
          <w:sz w:val="20"/>
        </w:rPr>
        <w:t>Any disclosure of collection terms — down payment, instalment tenor, post-handover tail. This is the single disclosure that would most narrow the range in this study.</w:t>
      </w:r>
    </w:p>
    <w:p>
      <w:pPr>
        <w:pStyle w:val="ListBullet"/>
        <w:spacing w:after="60"/>
      </w:pPr>
      <w:r>
        <w:rPr>
          <w:color w:val="1A1D21"/>
          <w:sz w:val="20"/>
        </w:rPr>
        <w:t>Progress on the EGP 30 billion securitisation programme. Selling receivables converts the instalment book to cash and is the direct lever on the crux; pricing on any tranche would also fix the cost of debt.</w:t>
      </w:r>
    </w:p>
    <w:p>
      <w:pPr>
        <w:pStyle w:val="ListBullet"/>
        <w:spacing w:after="60"/>
      </w:pPr>
      <w:r>
        <w:rPr>
          <w:color w:val="1A1D21"/>
          <w:sz w:val="20"/>
        </w:rPr>
        <w:t>The Village de La Capitale launch, which contributed EGP 24 billion of the EGP 52 billion of first-quarter 2026 sales. Whether that rate of launch sales repeats materially changes the order book path.</w:t>
      </w:r>
    </w:p>
    <w:p>
      <w:pPr>
        <w:pStyle w:val="ListBullet"/>
        <w:spacing w:after="60"/>
      </w:pPr>
      <w:r>
        <w:rPr>
          <w:color w:val="1A1D21"/>
          <w:sz w:val="20"/>
        </w:rPr>
        <w:t>Egyptian interest rates. The cost of capital here is built on a 23.00% sovereign yield; a sustained fall would raise every figure in section 1.9.</w:t>
      </w:r>
    </w:p>
    <w:p>
      <w:pPr>
        <w:pStyle w:val="Heading1"/>
      </w:pPr>
      <w:r>
        <w:t>6  Reading the probability zones</w:t>
      </w:r>
    </w:p>
    <w:p>
      <w:pPr>
        <w:spacing w:after="140"/>
      </w:pPr>
      <w:r>
        <w:rPr>
          <w:b w:val="0"/>
          <w:i w:val="0"/>
          <w:color w:val="1A1D21"/>
          <w:sz w:val="20"/>
        </w:rPr>
        <w:t>The bands in section 3 describe where the price has tended to go, not where it should go. They are wide because Egyptian equities are genuinely volatile: the middle half of the three-month distribution spans EGP 14.61 to EGP 18.27, a range of about 25 per cent of the current price. A reader who wants a narrower band is asking for a less honest one.</w:t>
      </w:r>
    </w:p>
    <w:p>
      <w:pPr>
        <w:spacing w:after="140"/>
      </w:pPr>
      <w:r>
        <w:rPr>
          <w:b w:val="0"/>
          <w:i w:val="0"/>
          <w:color w:val="1A1D21"/>
          <w:sz w:val="20"/>
        </w:rPr>
        <w:t>The touch ladder answers a different question from the percentile map. A level with a 51 per cent chance of being touched inside three months is not a level with a 51 per cent chance of holding — prices pass through levels far more often than they settle at them.</w:t>
      </w:r>
    </w:p>
    <w:p>
      <w:pPr>
        <w:pStyle w:val="Heading1"/>
      </w:pPr>
      <w:r>
        <w:t>7  Caveats and what would change our mind</w:t>
      </w:r>
    </w:p>
    <w:p>
      <w:pPr>
        <w:spacing w:after="140"/>
      </w:pPr>
      <w:r>
        <w:rPr>
          <w:b/>
          <w:i w:val="0"/>
          <w:color w:val="1A1D21"/>
          <w:sz w:val="20"/>
        </w:rPr>
        <w:t>Six things are not disclosed by the company and are therefore not in this study. Each is named with what would close it.</w:t>
      </w:r>
    </w:p>
    <w:tbl>
      <w:tblPr>
        <w:tblStyle w:val="TableGrid"/>
        <w:tblW w:type="auto" w:w="0"/>
        <w:jc w:val="center"/>
        <w:tblLayout w:type="fixed"/>
        <w:tblLook w:firstColumn="1" w:firstRow="1" w:lastColumn="0" w:lastRow="0" w:noHBand="0" w:noVBand="1" w:val="04A0"/>
        <w:tblLayout w:type="fixed"/>
      </w:tblPr>
      <w:tblGrid>
        <w:gridCol w:w="2041"/>
        <w:gridCol w:w="3969"/>
        <w:gridCol w:w="2948"/>
      </w:tblGrid>
      <w:tr>
        <w:trPr>
          <w:tblHeader w:val="true"/>
        </w:trPr>
        <w:tc>
          <w:tcPr>
            <w:tcW w:type="dxa" w:w="2041"/>
          </w:tcPr>
          <w:p>
            <w:r/>
            <w:r>
              <w:rPr>
                <w:b/>
                <w:color w:val="5B6570"/>
                <w:sz w:val="17"/>
              </w:rPr>
              <w:t>What is missing</w:t>
            </w:r>
          </w:p>
        </w:tc>
        <w:tc>
          <w:tcPr>
            <w:tcW w:type="dxa" w:w="3969"/>
          </w:tcPr>
          <w:p>
            <w:r/>
            <w:r>
              <w:rPr>
                <w:b/>
                <w:color w:val="5B6570"/>
                <w:sz w:val="17"/>
              </w:rPr>
              <w:t>Why it matters</w:t>
            </w:r>
          </w:p>
        </w:tc>
        <w:tc>
          <w:tcPr>
            <w:tcW w:type="dxa" w:w="2948"/>
          </w:tcPr>
          <w:p>
            <w:r/>
            <w:r>
              <w:rPr>
                <w:b/>
                <w:color w:val="5B6570"/>
                <w:sz w:val="17"/>
              </w:rPr>
              <w:t>What would close it</w:t>
            </w:r>
          </w:p>
        </w:tc>
      </w:tr>
      <w:tr>
        <w:trPr>
          <w:cantSplit/>
        </w:trPr>
        <w:tc>
          <w:tcPr>
            <w:tcW w:type="dxa" w:w="2041"/>
          </w:tcPr>
          <w:p>
            <w:r/>
            <w:r>
              <w:rPr>
                <w:color w:val="1A1D21"/>
                <w:sz w:val="17"/>
              </w:rPr>
              <w:t>Collection schedule</w:t>
            </w:r>
          </w:p>
        </w:tc>
        <w:tc>
          <w:tcPr>
            <w:tcW w:type="dxa" w:w="3969"/>
          </w:tcPr>
          <w:p>
            <w:r/>
            <w:r>
              <w:rPr>
                <w:color w:val="1A1D21"/>
                <w:sz w:val="17"/>
              </w:rPr>
              <w:t>Down payment, instalment tenor and post-handover tail are not published. This is the crux; it is measured from outcomes instead of built from terms.</w:t>
            </w:r>
          </w:p>
        </w:tc>
        <w:tc>
          <w:tcPr>
            <w:tcW w:type="dxa" w:w="2948"/>
          </w:tcPr>
          <w:p>
            <w:r/>
            <w:r>
              <w:rPr>
                <w:color w:val="1A1D21"/>
                <w:sz w:val="17"/>
              </w:rPr>
              <w:t>Disclosure of contract terms.</w:t>
            </w:r>
          </w:p>
        </w:tc>
      </w:tr>
      <w:tr>
        <w:trPr>
          <w:cantSplit/>
        </w:trPr>
        <w:tc>
          <w:tcPr>
            <w:tcW w:type="dxa" w:w="2041"/>
          </w:tcPr>
          <w:p>
            <w:r/>
            <w:r>
              <w:rPr>
                <w:color w:val="1A1D21"/>
                <w:sz w:val="17"/>
              </w:rPr>
              <w:t>Project unit economics</w:t>
            </w:r>
          </w:p>
        </w:tc>
        <w:tc>
          <w:tcPr>
            <w:tcW w:type="dxa" w:w="3969"/>
          </w:tcPr>
          <w:p>
            <w:r/>
            <w:r>
              <w:rPr>
                <w:color w:val="1A1D21"/>
                <w:sz w:val="17"/>
              </w:rPr>
              <w:t>No per-project unit mix, unit area, price per square metre or construction cost per square metre is disclosed.</w:t>
            </w:r>
          </w:p>
        </w:tc>
        <w:tc>
          <w:tcPr>
            <w:tcW w:type="dxa" w:w="2948"/>
          </w:tcPr>
          <w:p>
            <w:r/>
            <w:r>
              <w:rPr>
                <w:color w:val="1A1D21"/>
                <w:sz w:val="17"/>
              </w:rPr>
              <w:t>Project-level disclosure or an investor presentation carrying them.</w:t>
            </w:r>
          </w:p>
        </w:tc>
      </w:tr>
      <w:tr>
        <w:trPr>
          <w:cantSplit/>
        </w:trPr>
        <w:tc>
          <w:tcPr>
            <w:tcW w:type="dxa" w:w="2041"/>
          </w:tcPr>
          <w:p>
            <w:r/>
            <w:r>
              <w:rPr>
                <w:color w:val="1A1D21"/>
                <w:sz w:val="17"/>
              </w:rPr>
              <w:t>Cost of debt</w:t>
            </w:r>
          </w:p>
        </w:tc>
        <w:tc>
          <w:tcPr>
            <w:tcW w:type="dxa" w:w="3969"/>
          </w:tcPr>
          <w:p>
            <w:r/>
            <w:r>
              <w:rPr>
                <w:color w:val="1A1D21"/>
                <w:sz w:val="17"/>
              </w:rPr>
              <w:t>The February 2026 securitisation publishes sizes, tenors and ratings but no coupon.</w:t>
            </w:r>
          </w:p>
        </w:tc>
        <w:tc>
          <w:tcPr>
            <w:tcW w:type="dxa" w:w="2948"/>
          </w:tcPr>
          <w:p>
            <w:r/>
            <w:r>
              <w:rPr>
                <w:color w:val="1A1D21"/>
                <w:sz w:val="17"/>
              </w:rPr>
              <w:t>A coupon on any tranche.</w:t>
            </w:r>
          </w:p>
        </w:tc>
      </w:tr>
      <w:tr>
        <w:trPr>
          <w:cantSplit/>
        </w:trPr>
        <w:tc>
          <w:tcPr>
            <w:tcW w:type="dxa" w:w="2041"/>
          </w:tcPr>
          <w:p>
            <w:r/>
            <w:r>
              <w:rPr>
                <w:color w:val="1A1D21"/>
                <w:sz w:val="17"/>
              </w:rPr>
              <w:t>Full-year 2025 operating figures</w:t>
            </w:r>
          </w:p>
        </w:tc>
        <w:tc>
          <w:tcPr>
            <w:tcW w:type="dxa" w:w="3969"/>
          </w:tcPr>
          <w:p>
            <w:r/>
            <w:r>
              <w:rPr>
                <w:color w:val="1A1D21"/>
                <w:sz w:val="17"/>
              </w:rPr>
              <w:t>The audited statements were published; the results release, which carries units and new sales, was not.</w:t>
            </w:r>
          </w:p>
        </w:tc>
        <w:tc>
          <w:tcPr>
            <w:tcW w:type="dxa" w:w="2948"/>
          </w:tcPr>
          <w:p>
            <w:r/>
            <w:r>
              <w:rPr>
                <w:color w:val="1A1D21"/>
                <w:sz w:val="17"/>
              </w:rPr>
              <w:t>The 2025 results release.</w:t>
            </w:r>
          </w:p>
        </w:tc>
      </w:tr>
      <w:tr>
        <w:trPr>
          <w:cantSplit/>
        </w:trPr>
        <w:tc>
          <w:tcPr>
            <w:tcW w:type="dxa" w:w="2041"/>
          </w:tcPr>
          <w:p>
            <w:r/>
            <w:r>
              <w:rPr>
                <w:color w:val="1A1D21"/>
                <w:sz w:val="17"/>
              </w:rPr>
              <w:t>Half-year 2026</w:t>
            </w:r>
          </w:p>
        </w:tc>
        <w:tc>
          <w:tcPr>
            <w:tcW w:type="dxa" w:w="3969"/>
          </w:tcPr>
          <w:p>
            <w:r/>
            <w:r>
              <w:rPr>
                <w:color w:val="1A1D21"/>
                <w:sz w:val="17"/>
              </w:rPr>
              <w:t>Nothing newer than the first quarter of 2026 had been published as at this edition's date.</w:t>
            </w:r>
          </w:p>
        </w:tc>
        <w:tc>
          <w:tcPr>
            <w:tcW w:type="dxa" w:w="2948"/>
          </w:tcPr>
          <w:p>
            <w:r/>
            <w:r>
              <w:rPr>
                <w:color w:val="1A1D21"/>
                <w:sz w:val="17"/>
              </w:rPr>
              <w:t>The half-year filing.</w:t>
            </w:r>
          </w:p>
        </w:tc>
      </w:tr>
    </w:tbl>
    <w:p>
      <w:pPr>
        <w:spacing w:after="80"/>
      </w:pPr>
      <w:r>
        <w:rPr>
          <w:b w:val="0"/>
          <w:i w:val="0"/>
          <w:color w:val="1A1D21"/>
          <w:sz w:val="8"/>
        </w:rPr>
      </w:r>
    </w:p>
    <w:p>
      <w:pPr>
        <w:spacing w:after="140"/>
      </w:pPr>
      <w:r>
        <w:rPr>
          <w:b/>
          <w:i w:val="0"/>
          <w:color w:val="1A1D21"/>
          <w:sz w:val="20"/>
        </w:rPr>
        <w:t>What would change our mind, in order of force:</w:t>
      </w:r>
    </w:p>
    <w:p>
      <w:pPr>
        <w:pStyle w:val="ListBullet"/>
        <w:spacing w:after="60"/>
      </w:pPr>
      <w:r>
        <w:rPr>
          <w:color w:val="1A1D21"/>
          <w:sz w:val="20"/>
        </w:rPr>
        <w:t>Two more years of cash conversion clustering. Three observations spanning 3.9% to 17.9% cannot distinguish a volatile business from a mismeasured one; five could.</w:t>
      </w:r>
    </w:p>
    <w:p>
      <w:pPr>
        <w:pStyle w:val="ListBullet"/>
        <w:spacing w:after="60"/>
      </w:pPr>
      <w:r>
        <w:rPr>
          <w:color w:val="1A1D21"/>
          <w:sz w:val="20"/>
        </w:rPr>
        <w:t>Disclosure of collection terms, which would replace the measured range with a built schedule and narrow the answer directly.</w:t>
      </w:r>
    </w:p>
    <w:p>
      <w:pPr>
        <w:pStyle w:val="ListBullet"/>
        <w:spacing w:after="60"/>
      </w:pPr>
      <w:r>
        <w:rPr>
          <w:color w:val="1A1D21"/>
          <w:sz w:val="20"/>
        </w:rPr>
        <w:t>A sustained fall in Egyptian interest rates, which lifts every cell in the sensitivity table.</w:t>
      </w:r>
    </w:p>
    <w:p>
      <w:pPr>
        <w:pStyle w:val="ListBullet"/>
        <w:spacing w:after="60"/>
      </w:pPr>
      <w:r>
        <w:rPr>
          <w:color w:val="1A1D21"/>
          <w:sz w:val="20"/>
        </w:rPr>
        <w:t>Evidence that the order book converts at the rate the company's delivery history implies rather than more slowly. The order book is now more than seven times revenue, against 5.4 times in 2024 and 3.4 times in 2023; that ratio has risen every year and cannot rise indefinitely.</w:t>
      </w:r>
    </w:p>
    <w:p>
      <w:pPr>
        <w:spacing w:after="140"/>
      </w:pPr>
      <w:r>
        <w:rPr>
          <w:b w:val="0"/>
          <w:i w:val="0"/>
          <w:color w:val="1A1D21"/>
          <w:sz w:val="20"/>
        </w:rPr>
        <w:t>A note on this study's own track record. Tested across ten annual starting points on this company's history from 2011 to 2025, this method forecast revenue tolerably but overstated net profit by about three times, consistently and in 97 per cent of tested cases, and did worse than simply assuming no change. The cause was the mismatched recognition clock corrected in section 1.1. That is why this edition publishes ranges rather than a central figure, and why the reader should treat the upper end of section 1.9 with more suspicion than the lower.</w:t>
      </w:r>
    </w:p>
    <w:p>
      <w:r>
        <w:br w:type="page"/>
      </w:r>
    </w:p>
    <w:p>
      <w:pPr>
        <w:pStyle w:val="Heading1"/>
      </w:pPr>
      <w:r>
        <w:t>Appendix A  Financial statements</w:t>
      </w:r>
    </w:p>
    <w:p>
      <w:pPr>
        <w:pStyle w:val="Heading2"/>
      </w:pPr>
      <w:r>
        <w:t>A.1  Income statement</w:t>
      </w:r>
    </w:p>
    <w:tbl>
      <w:tblPr>
        <w:tblStyle w:val="TableGrid"/>
        <w:tblW w:type="auto" w:w="0"/>
        <w:jc w:val="center"/>
        <w:tblLayout w:type="fixed"/>
        <w:tblLook w:firstColumn="1" w:firstRow="1" w:lastColumn="0" w:lastRow="0" w:noHBand="0" w:noVBand="1" w:val="04A0"/>
        <w:tblLayout w:type="fixed"/>
      </w:tblPr>
      <w:tblGrid>
        <w:gridCol w:w="3515"/>
        <w:gridCol w:w="1871"/>
        <w:gridCol w:w="1871"/>
        <w:gridCol w:w="1871"/>
      </w:tblGrid>
      <w:tr>
        <w:trPr>
          <w:tblHeader w:val="true"/>
        </w:trPr>
        <w:tc>
          <w:tcPr>
            <w:tcW w:type="dxa" w:w="3515"/>
          </w:tcPr>
          <w:p>
            <w:r/>
            <w:r>
              <w:rPr>
                <w:b/>
                <w:color w:val="5B6570"/>
                <w:sz w:val="17"/>
              </w:rPr>
              <w:t>EGP million, as reported</w:t>
            </w:r>
          </w:p>
        </w:tc>
        <w:tc>
          <w:tcPr>
            <w:tcW w:type="dxa" w:w="1871"/>
          </w:tcPr>
          <w:p>
            <w:r/>
            <w:r>
              <w:rPr>
                <w:b/>
                <w:color w:val="5B6570"/>
                <w:sz w:val="17"/>
              </w:rPr>
              <w:t>2023</w:t>
            </w:r>
          </w:p>
        </w:tc>
        <w:tc>
          <w:tcPr>
            <w:tcW w:type="dxa" w:w="1871"/>
          </w:tcPr>
          <w:p>
            <w:r/>
            <w:r>
              <w:rPr>
                <w:b/>
                <w:color w:val="5B6570"/>
                <w:sz w:val="17"/>
              </w:rPr>
              <w:t>2024</w:t>
            </w:r>
          </w:p>
        </w:tc>
        <w:tc>
          <w:tcPr>
            <w:tcW w:type="dxa" w:w="1871"/>
          </w:tcPr>
          <w:p>
            <w:r/>
            <w:r>
              <w:rPr>
                <w:b/>
                <w:color w:val="5B6570"/>
                <w:sz w:val="17"/>
              </w:rPr>
              <w:t>2025</w:t>
            </w:r>
          </w:p>
        </w:tc>
      </w:tr>
      <w:tr>
        <w:trPr>
          <w:cantSplit/>
        </w:trPr>
        <w:tc>
          <w:tcPr>
            <w:tcW w:type="dxa" w:w="3515"/>
          </w:tcPr>
          <w:p>
            <w:r/>
            <w:r>
              <w:rPr>
                <w:color w:val="1A1D21"/>
                <w:sz w:val="17"/>
              </w:rPr>
              <w:t>Revenue</w:t>
            </w:r>
          </w:p>
        </w:tc>
        <w:tc>
          <w:tcPr>
            <w:tcW w:type="dxa" w:w="1871"/>
          </w:tcPr>
          <w:p>
            <w:pPr>
              <w:jc w:val="right"/>
            </w:pPr>
            <w:r/>
            <w:r>
              <w:rPr>
                <w:color w:val="1A1D21"/>
                <w:sz w:val="17"/>
              </w:rPr>
              <w:t>17,462.1</w:t>
            </w:r>
          </w:p>
        </w:tc>
        <w:tc>
          <w:tcPr>
            <w:tcW w:type="dxa" w:w="1871"/>
          </w:tcPr>
          <w:p>
            <w:pPr>
              <w:jc w:val="right"/>
            </w:pPr>
            <w:r/>
            <w:r>
              <w:rPr>
                <w:color w:val="1A1D21"/>
                <w:sz w:val="17"/>
              </w:rPr>
              <w:t>27,167.3</w:t>
            </w:r>
          </w:p>
        </w:tc>
        <w:tc>
          <w:tcPr>
            <w:tcW w:type="dxa" w:w="1871"/>
          </w:tcPr>
          <w:p>
            <w:pPr>
              <w:jc w:val="right"/>
            </w:pPr>
            <w:r/>
            <w:r>
              <w:rPr>
                <w:color w:val="1A1D21"/>
                <w:sz w:val="17"/>
              </w:rPr>
              <w:t>36,169.3</w:t>
            </w:r>
          </w:p>
        </w:tc>
      </w:tr>
      <w:tr>
        <w:trPr>
          <w:cantSplit/>
        </w:trPr>
        <w:tc>
          <w:tcPr>
            <w:tcW w:type="dxa" w:w="3515"/>
          </w:tcPr>
          <w:p>
            <w:r/>
            <w:r>
              <w:rPr>
                <w:color w:val="1A1D21"/>
                <w:sz w:val="17"/>
              </w:rPr>
              <w:t>Cost of revenue</w:t>
            </w:r>
          </w:p>
        </w:tc>
        <w:tc>
          <w:tcPr>
            <w:tcW w:type="dxa" w:w="1871"/>
          </w:tcPr>
          <w:p>
            <w:pPr>
              <w:jc w:val="right"/>
            </w:pPr>
            <w:r/>
            <w:r>
              <w:rPr>
                <w:color w:val="1A1D21"/>
                <w:sz w:val="17"/>
              </w:rPr>
              <w:t>-11,907.2</w:t>
            </w:r>
          </w:p>
        </w:tc>
        <w:tc>
          <w:tcPr>
            <w:tcW w:type="dxa" w:w="1871"/>
          </w:tcPr>
          <w:p>
            <w:pPr>
              <w:jc w:val="right"/>
            </w:pPr>
            <w:r/>
            <w:r>
              <w:rPr>
                <w:color w:val="1A1D21"/>
                <w:sz w:val="17"/>
              </w:rPr>
              <w:t>-17,739.9</w:t>
            </w:r>
          </w:p>
        </w:tc>
        <w:tc>
          <w:tcPr>
            <w:tcW w:type="dxa" w:w="1871"/>
          </w:tcPr>
          <w:p>
            <w:pPr>
              <w:jc w:val="right"/>
            </w:pPr>
            <w:r/>
            <w:r>
              <w:rPr>
                <w:color w:val="1A1D21"/>
                <w:sz w:val="17"/>
              </w:rPr>
              <w:t>-21,118.9</w:t>
            </w:r>
          </w:p>
        </w:tc>
      </w:tr>
      <w:tr>
        <w:trPr>
          <w:cantSplit/>
        </w:trPr>
        <w:tc>
          <w:tcPr>
            <w:tcW w:type="dxa" w:w="3515"/>
          </w:tcPr>
          <w:p>
            <w:r/>
            <w:r>
              <w:rPr>
                <w:color w:val="1A1D21"/>
                <w:sz w:val="17"/>
              </w:rPr>
              <w:t>Cash discount</w:t>
            </w:r>
          </w:p>
        </w:tc>
        <w:tc>
          <w:tcPr>
            <w:tcW w:type="dxa" w:w="1871"/>
          </w:tcPr>
          <w:p>
            <w:pPr>
              <w:jc w:val="right"/>
            </w:pPr>
            <w:r/>
            <w:r>
              <w:rPr>
                <w:color w:val="1A1D21"/>
                <w:sz w:val="17"/>
              </w:rPr>
              <w:t>-47.2</w:t>
            </w:r>
          </w:p>
        </w:tc>
        <w:tc>
          <w:tcPr>
            <w:tcW w:type="dxa" w:w="1871"/>
          </w:tcPr>
          <w:p>
            <w:pPr>
              <w:jc w:val="right"/>
            </w:pPr>
            <w:r/>
            <w:r>
              <w:rPr>
                <w:color w:val="1A1D21"/>
                <w:sz w:val="17"/>
              </w:rPr>
              <w:t>-97.3</w:t>
            </w:r>
          </w:p>
        </w:tc>
        <w:tc>
          <w:tcPr>
            <w:tcW w:type="dxa" w:w="1871"/>
          </w:tcPr>
          <w:p>
            <w:pPr>
              <w:jc w:val="right"/>
            </w:pPr>
            <w:r/>
            <w:r>
              <w:rPr>
                <w:color w:val="1A1D21"/>
                <w:sz w:val="17"/>
              </w:rPr>
              <w:t>-162.8</w:t>
            </w:r>
          </w:p>
        </w:tc>
      </w:tr>
      <w:tr>
        <w:trPr>
          <w:cantSplit/>
        </w:trPr>
        <w:tc>
          <w:tcPr>
            <w:tcW w:type="dxa" w:w="3515"/>
          </w:tcPr>
          <w:p>
            <w:r/>
            <w:r>
              <w:rPr>
                <w:color w:val="1A1D21"/>
                <w:sz w:val="17"/>
              </w:rPr>
              <w:t>Gross profit</w:t>
            </w:r>
          </w:p>
        </w:tc>
        <w:tc>
          <w:tcPr>
            <w:tcW w:type="dxa" w:w="1871"/>
          </w:tcPr>
          <w:p>
            <w:pPr>
              <w:jc w:val="right"/>
            </w:pPr>
            <w:r/>
            <w:r>
              <w:rPr>
                <w:color w:val="1A1D21"/>
                <w:sz w:val="17"/>
              </w:rPr>
              <w:t>5,507.6</w:t>
            </w:r>
          </w:p>
        </w:tc>
        <w:tc>
          <w:tcPr>
            <w:tcW w:type="dxa" w:w="1871"/>
          </w:tcPr>
          <w:p>
            <w:pPr>
              <w:jc w:val="right"/>
            </w:pPr>
            <w:r/>
            <w:r>
              <w:rPr>
                <w:color w:val="1A1D21"/>
                <w:sz w:val="17"/>
              </w:rPr>
              <w:t>9,330.1</w:t>
            </w:r>
          </w:p>
        </w:tc>
        <w:tc>
          <w:tcPr>
            <w:tcW w:type="dxa" w:w="1871"/>
          </w:tcPr>
          <w:p>
            <w:pPr>
              <w:jc w:val="right"/>
            </w:pPr>
            <w:r/>
            <w:r>
              <w:rPr>
                <w:color w:val="1A1D21"/>
                <w:sz w:val="17"/>
              </w:rPr>
              <w:t>14,887.6</w:t>
            </w:r>
          </w:p>
        </w:tc>
      </w:tr>
      <w:tr>
        <w:trPr>
          <w:cantSplit/>
        </w:trPr>
        <w:tc>
          <w:tcPr>
            <w:tcW w:type="dxa" w:w="3515"/>
          </w:tcPr>
          <w:p>
            <w:r/>
            <w:r>
              <w:rPr>
                <w:color w:val="1A1D21"/>
                <w:sz w:val="17"/>
              </w:rPr>
              <w:t>Overheads</w:t>
            </w:r>
          </w:p>
        </w:tc>
        <w:tc>
          <w:tcPr>
            <w:tcW w:type="dxa" w:w="1871"/>
          </w:tcPr>
          <w:p>
            <w:pPr>
              <w:jc w:val="right"/>
            </w:pPr>
            <w:r/>
            <w:r>
              <w:rPr>
                <w:color w:val="1A1D21"/>
                <w:sz w:val="17"/>
              </w:rPr>
              <w:t>-2,060.5</w:t>
            </w:r>
          </w:p>
        </w:tc>
        <w:tc>
          <w:tcPr>
            <w:tcW w:type="dxa" w:w="1871"/>
          </w:tcPr>
          <w:p>
            <w:pPr>
              <w:jc w:val="right"/>
            </w:pPr>
            <w:r/>
            <w:r>
              <w:rPr>
                <w:color w:val="1A1D21"/>
                <w:sz w:val="17"/>
              </w:rPr>
              <w:t>-3,435.8</w:t>
            </w:r>
          </w:p>
        </w:tc>
        <w:tc>
          <w:tcPr>
            <w:tcW w:type="dxa" w:w="1871"/>
          </w:tcPr>
          <w:p>
            <w:pPr>
              <w:jc w:val="right"/>
            </w:pPr>
            <w:r/>
            <w:r>
              <w:rPr>
                <w:color w:val="1A1D21"/>
                <w:sz w:val="17"/>
              </w:rPr>
              <w:t>-6,365.6</w:t>
            </w:r>
          </w:p>
        </w:tc>
      </w:tr>
      <w:tr>
        <w:trPr>
          <w:cantSplit/>
        </w:trPr>
        <w:tc>
          <w:tcPr>
            <w:tcW w:type="dxa" w:w="3515"/>
          </w:tcPr>
          <w:p>
            <w:r/>
            <w:r>
              <w:rPr>
                <w:color w:val="1A1D21"/>
                <w:sz w:val="17"/>
              </w:rPr>
              <w:t>Depreciation and amortisation</w:t>
            </w:r>
          </w:p>
        </w:tc>
        <w:tc>
          <w:tcPr>
            <w:tcW w:type="dxa" w:w="1871"/>
          </w:tcPr>
          <w:p>
            <w:pPr>
              <w:jc w:val="right"/>
            </w:pPr>
            <w:r/>
            <w:r>
              <w:rPr>
                <w:color w:val="1A1D21"/>
                <w:sz w:val="17"/>
              </w:rPr>
              <w:t>-178.6</w:t>
            </w:r>
          </w:p>
        </w:tc>
        <w:tc>
          <w:tcPr>
            <w:tcW w:type="dxa" w:w="1871"/>
          </w:tcPr>
          <w:p>
            <w:pPr>
              <w:jc w:val="right"/>
            </w:pPr>
            <w:r/>
            <w:r>
              <w:rPr>
                <w:color w:val="1A1D21"/>
                <w:sz w:val="17"/>
              </w:rPr>
              <w:t>-239.9</w:t>
            </w:r>
          </w:p>
        </w:tc>
        <w:tc>
          <w:tcPr>
            <w:tcW w:type="dxa" w:w="1871"/>
          </w:tcPr>
          <w:p>
            <w:pPr>
              <w:jc w:val="right"/>
            </w:pPr>
            <w:r/>
            <w:r>
              <w:rPr>
                <w:color w:val="1A1D21"/>
                <w:sz w:val="17"/>
              </w:rPr>
              <w:t>-353.7</w:t>
            </w:r>
          </w:p>
        </w:tc>
      </w:tr>
      <w:tr>
        <w:trPr>
          <w:cantSplit/>
        </w:trPr>
        <w:tc>
          <w:tcPr>
            <w:tcW w:type="dxa" w:w="3515"/>
          </w:tcPr>
          <w:p>
            <w:r/>
            <w:r>
              <w:rPr>
                <w:color w:val="1A1D21"/>
                <w:sz w:val="17"/>
              </w:rPr>
              <w:t>Finance cost</w:t>
            </w:r>
          </w:p>
        </w:tc>
        <w:tc>
          <w:tcPr>
            <w:tcW w:type="dxa" w:w="1871"/>
          </w:tcPr>
          <w:p>
            <w:r/>
            <w:r>
              <w:rPr>
                <w:color w:val="1A1D21"/>
                <w:sz w:val="17"/>
              </w:rPr>
            </w:r>
          </w:p>
        </w:tc>
        <w:tc>
          <w:tcPr>
            <w:tcW w:type="dxa" w:w="1871"/>
          </w:tcPr>
          <w:p>
            <w:pPr>
              <w:jc w:val="right"/>
            </w:pPr>
            <w:r/>
            <w:r>
              <w:rPr>
                <w:color w:val="1A1D21"/>
                <w:sz w:val="17"/>
              </w:rPr>
              <w:t>-2,311.4</w:t>
            </w:r>
          </w:p>
        </w:tc>
        <w:tc>
          <w:tcPr>
            <w:tcW w:type="dxa" w:w="1871"/>
          </w:tcPr>
          <w:p>
            <w:pPr>
              <w:jc w:val="right"/>
            </w:pPr>
            <w:r/>
            <w:r>
              <w:rPr>
                <w:color w:val="1A1D21"/>
                <w:sz w:val="17"/>
              </w:rPr>
              <w:t>-3,347.5</w:t>
            </w:r>
          </w:p>
        </w:tc>
      </w:tr>
      <w:tr>
        <w:trPr>
          <w:cantSplit/>
        </w:trPr>
        <w:tc>
          <w:tcPr>
            <w:tcW w:type="dxa" w:w="3515"/>
          </w:tcPr>
          <w:p>
            <w:r/>
            <w:r>
              <w:rPr>
                <w:color w:val="1A1D21"/>
                <w:sz w:val="17"/>
              </w:rPr>
              <w:t>Other income and items the record does not hold separately (residual)</w:t>
            </w:r>
          </w:p>
        </w:tc>
        <w:tc>
          <w:tcPr>
            <w:tcW w:type="dxa" w:w="1871"/>
          </w:tcPr>
          <w:p>
            <w:pPr>
              <w:jc w:val="right"/>
            </w:pPr>
            <w:r/>
            <w:r>
              <w:rPr>
                <w:color w:val="1A1D21"/>
                <w:sz w:val="17"/>
              </w:rPr>
              <w:t>-967.8</w:t>
            </w:r>
          </w:p>
        </w:tc>
        <w:tc>
          <w:tcPr>
            <w:tcW w:type="dxa" w:w="1871"/>
          </w:tcPr>
          <w:p>
            <w:pPr>
              <w:jc w:val="right"/>
            </w:pPr>
            <w:r/>
            <w:r>
              <w:rPr>
                <w:color w:val="1A1D21"/>
                <w:sz w:val="17"/>
              </w:rPr>
              <w:t>977.6</w:t>
            </w:r>
          </w:p>
        </w:tc>
        <w:tc>
          <w:tcPr>
            <w:tcW w:type="dxa" w:w="1871"/>
          </w:tcPr>
          <w:p>
            <w:pPr>
              <w:jc w:val="right"/>
            </w:pPr>
            <w:r/>
            <w:r>
              <w:rPr>
                <w:color w:val="1A1D21"/>
                <w:sz w:val="17"/>
              </w:rPr>
              <w:t>1,430.3</w:t>
            </w:r>
          </w:p>
        </w:tc>
      </w:tr>
      <w:tr>
        <w:trPr>
          <w:cantSplit/>
        </w:trPr>
        <w:tc>
          <w:tcPr>
            <w:tcW w:type="dxa" w:w="3515"/>
          </w:tcPr>
          <w:p>
            <w:r/>
            <w:r>
              <w:rPr>
                <w:color w:val="1A1D21"/>
                <w:sz w:val="17"/>
              </w:rPr>
              <w:t>Profit before tax</w:t>
            </w:r>
          </w:p>
        </w:tc>
        <w:tc>
          <w:tcPr>
            <w:tcW w:type="dxa" w:w="1871"/>
          </w:tcPr>
          <w:p>
            <w:pPr>
              <w:jc w:val="right"/>
            </w:pPr>
            <w:r/>
            <w:r>
              <w:rPr>
                <w:color w:val="1A1D21"/>
                <w:sz w:val="17"/>
              </w:rPr>
              <w:t>2,300.7</w:t>
            </w:r>
          </w:p>
        </w:tc>
        <w:tc>
          <w:tcPr>
            <w:tcW w:type="dxa" w:w="1871"/>
          </w:tcPr>
          <w:p>
            <w:pPr>
              <w:jc w:val="right"/>
            </w:pPr>
            <w:r/>
            <w:r>
              <w:rPr>
                <w:color w:val="1A1D21"/>
                <w:sz w:val="17"/>
              </w:rPr>
              <w:t>4,320.6</w:t>
            </w:r>
          </w:p>
        </w:tc>
        <w:tc>
          <w:tcPr>
            <w:tcW w:type="dxa" w:w="1871"/>
          </w:tcPr>
          <w:p>
            <w:pPr>
              <w:jc w:val="right"/>
            </w:pPr>
            <w:r/>
            <w:r>
              <w:rPr>
                <w:color w:val="1A1D21"/>
                <w:sz w:val="17"/>
              </w:rPr>
              <w:t>6,251.1</w:t>
            </w:r>
          </w:p>
        </w:tc>
      </w:tr>
      <w:tr>
        <w:trPr>
          <w:cantSplit/>
        </w:trPr>
        <w:tc>
          <w:tcPr>
            <w:tcW w:type="dxa" w:w="3515"/>
          </w:tcPr>
          <w:p>
            <w:r/>
            <w:r>
              <w:rPr>
                <w:color w:val="1A1D21"/>
                <w:sz w:val="17"/>
              </w:rPr>
              <w:t>Tax</w:t>
            </w:r>
          </w:p>
        </w:tc>
        <w:tc>
          <w:tcPr>
            <w:tcW w:type="dxa" w:w="1871"/>
          </w:tcPr>
          <w:p>
            <w:pPr>
              <w:jc w:val="right"/>
            </w:pPr>
            <w:r/>
            <w:r>
              <w:rPr>
                <w:color w:val="1A1D21"/>
                <w:sz w:val="17"/>
              </w:rPr>
              <w:t>-567.3</w:t>
            </w:r>
          </w:p>
        </w:tc>
        <w:tc>
          <w:tcPr>
            <w:tcW w:type="dxa" w:w="1871"/>
          </w:tcPr>
          <w:p>
            <w:pPr>
              <w:jc w:val="right"/>
            </w:pPr>
            <w:r/>
            <w:r>
              <w:rPr>
                <w:color w:val="1A1D21"/>
                <w:sz w:val="17"/>
              </w:rPr>
              <w:t>-917.1</w:t>
            </w:r>
          </w:p>
        </w:tc>
        <w:tc>
          <w:tcPr>
            <w:tcW w:type="dxa" w:w="1871"/>
          </w:tcPr>
          <w:p>
            <w:pPr>
              <w:jc w:val="right"/>
            </w:pPr>
            <w:r/>
            <w:r>
              <w:rPr>
                <w:color w:val="1A1D21"/>
                <w:sz w:val="17"/>
              </w:rPr>
              <w:t>-1,827.2</w:t>
            </w:r>
          </w:p>
        </w:tc>
      </w:tr>
      <w:tr>
        <w:trPr>
          <w:cantSplit/>
        </w:trPr>
        <w:tc>
          <w:tcPr>
            <w:tcW w:type="dxa" w:w="3515"/>
          </w:tcPr>
          <w:p>
            <w:r/>
            <w:r>
              <w:rPr>
                <w:color w:val="1A1D21"/>
                <w:sz w:val="17"/>
              </w:rPr>
              <w:t>Profit after tax</w:t>
            </w:r>
          </w:p>
        </w:tc>
        <w:tc>
          <w:tcPr>
            <w:tcW w:type="dxa" w:w="1871"/>
          </w:tcPr>
          <w:p>
            <w:pPr>
              <w:jc w:val="right"/>
            </w:pPr>
            <w:r/>
            <w:r>
              <w:rPr>
                <w:color w:val="1A1D21"/>
                <w:sz w:val="17"/>
              </w:rPr>
              <w:t>1,733.4</w:t>
            </w:r>
          </w:p>
        </w:tc>
        <w:tc>
          <w:tcPr>
            <w:tcW w:type="dxa" w:w="1871"/>
          </w:tcPr>
          <w:p>
            <w:pPr>
              <w:jc w:val="right"/>
            </w:pPr>
            <w:r/>
            <w:r>
              <w:rPr>
                <w:color w:val="1A1D21"/>
                <w:sz w:val="17"/>
              </w:rPr>
              <w:t>3,403.5</w:t>
            </w:r>
          </w:p>
        </w:tc>
        <w:tc>
          <w:tcPr>
            <w:tcW w:type="dxa" w:w="1871"/>
          </w:tcPr>
          <w:p>
            <w:pPr>
              <w:jc w:val="right"/>
            </w:pPr>
            <w:r/>
            <w:r>
              <w:rPr>
                <w:color w:val="1A1D21"/>
                <w:sz w:val="17"/>
              </w:rPr>
              <w:t>4,423.8</w:t>
            </w:r>
          </w:p>
        </w:tc>
      </w:tr>
      <w:tr>
        <w:trPr>
          <w:cantSplit/>
        </w:trPr>
        <w:tc>
          <w:tcPr>
            <w:tcW w:type="dxa" w:w="3515"/>
          </w:tcPr>
          <w:p>
            <w:r/>
            <w:r>
              <w:rPr>
                <w:color w:val="1A1D21"/>
                <w:sz w:val="17"/>
              </w:rPr>
              <w:t>Minority interest</w:t>
            </w:r>
          </w:p>
        </w:tc>
        <w:tc>
          <w:tcPr>
            <w:tcW w:type="dxa" w:w="1871"/>
          </w:tcPr>
          <w:p>
            <w:pPr>
              <w:jc w:val="right"/>
            </w:pPr>
            <w:r/>
            <w:r>
              <w:rPr>
                <w:color w:val="1A1D21"/>
                <w:sz w:val="17"/>
              </w:rPr>
              <w:t>-151.9</w:t>
            </w:r>
          </w:p>
        </w:tc>
        <w:tc>
          <w:tcPr>
            <w:tcW w:type="dxa" w:w="1871"/>
          </w:tcPr>
          <w:p>
            <w:pPr>
              <w:jc w:val="right"/>
            </w:pPr>
            <w:r/>
            <w:r>
              <w:rPr>
                <w:color w:val="1A1D21"/>
                <w:sz w:val="17"/>
              </w:rPr>
              <w:t>-148.5</w:t>
            </w:r>
          </w:p>
        </w:tc>
        <w:tc>
          <w:tcPr>
            <w:tcW w:type="dxa" w:w="1871"/>
          </w:tcPr>
          <w:p>
            <w:pPr>
              <w:jc w:val="right"/>
            </w:pPr>
            <w:r/>
            <w:r>
              <w:rPr>
                <w:color w:val="1A1D21"/>
                <w:sz w:val="17"/>
              </w:rPr>
              <w:t>-207.2</w:t>
            </w:r>
          </w:p>
        </w:tc>
      </w:tr>
      <w:tr>
        <w:trPr>
          <w:cantSplit/>
        </w:trPr>
        <w:tc>
          <w:tcPr>
            <w:tcW w:type="dxa" w:w="3515"/>
          </w:tcPr>
          <w:p>
            <w:r/>
            <w:r>
              <w:rPr>
                <w:color w:val="1A1D21"/>
                <w:sz w:val="17"/>
              </w:rPr>
              <w:t>Profit attributable to shareholders</w:t>
            </w:r>
          </w:p>
        </w:tc>
        <w:tc>
          <w:tcPr>
            <w:tcW w:type="dxa" w:w="1871"/>
          </w:tcPr>
          <w:p>
            <w:pPr>
              <w:jc w:val="right"/>
            </w:pPr>
            <w:r/>
            <w:r>
              <w:rPr>
                <w:color w:val="1A1D21"/>
                <w:sz w:val="17"/>
              </w:rPr>
              <w:t>1,581.5</w:t>
            </w:r>
          </w:p>
        </w:tc>
        <w:tc>
          <w:tcPr>
            <w:tcW w:type="dxa" w:w="1871"/>
          </w:tcPr>
          <w:p>
            <w:pPr>
              <w:jc w:val="right"/>
            </w:pPr>
            <w:r/>
            <w:r>
              <w:rPr>
                <w:color w:val="1A1D21"/>
                <w:sz w:val="17"/>
              </w:rPr>
              <w:t>3,254.9</w:t>
            </w:r>
          </w:p>
        </w:tc>
        <w:tc>
          <w:tcPr>
            <w:tcW w:type="dxa" w:w="1871"/>
          </w:tcPr>
          <w:p>
            <w:pPr>
              <w:jc w:val="right"/>
            </w:pPr>
            <w:r/>
            <w:r>
              <w:rPr>
                <w:color w:val="1A1D21"/>
                <w:sz w:val="17"/>
              </w:rPr>
              <w:t>4,216.7</w:t>
            </w:r>
          </w:p>
        </w:tc>
      </w:tr>
    </w:tbl>
    <w:p>
      <w:pPr>
        <w:spacing w:after="200"/>
      </w:pPr>
      <w:r>
        <w:rPr>
          <w:b w:val="0"/>
          <w:i/>
          <w:color w:val="5B6570"/>
          <w:sz w:val="16"/>
        </w:rPr>
        <w:t>Three years, each as that year's own audited statements reported it. Revenue less cost of revenue less the cash discount foots to reported gross profit in all three years, and profit before tax less tax less minority interest foots to the attributable figure. The residual line is what the printed rows leave over against reported profit before tax: this study holds no source filings of its own, so the items inside it are not separated here and are not guessed at. It is negative in 2023 because no finance cost for that year is in the record at all, and positive in 2024 and 2025 because an income line the company reports is not held separately.</w:t>
      </w:r>
    </w:p>
    <w:p>
      <w:pPr>
        <w:spacing w:after="140"/>
      </w:pPr>
      <w:r>
        <w:rPr>
          <w:b w:val="0"/>
          <w:i w:val="0"/>
          <w:color w:val="1A1D21"/>
          <w:sz w:val="20"/>
        </w:rPr>
        <w:t>One presentational difference is worth naming rather than smoothing. Cost of revenue for 2024 is EGP 17,739.9 million as the company reported it that year and EGP 17,837.2 million in the comparative column of the 2025 statements — a difference of EGP 97.3 million, exactly that year's cash discount, which the later presentation folds into cost. The forecast is built on the later basis throughout; the table above shows each year as first reported. Both figures are right on their own basis.</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Forecast,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Units delivered</w:t>
            </w:r>
          </w:p>
        </w:tc>
        <w:tc>
          <w:tcPr>
            <w:tcW w:type="dxa" w:w="1026"/>
          </w:tcPr>
          <w:p>
            <w:pPr>
              <w:jc w:val="right"/>
            </w:pPr>
            <w:r/>
            <w:r>
              <w:rPr>
                <w:color w:val="1A1D21"/>
                <w:sz w:val="17"/>
              </w:rPr>
              <w:t>2,035</w:t>
            </w:r>
          </w:p>
        </w:tc>
        <w:tc>
          <w:tcPr>
            <w:tcW w:type="dxa" w:w="1026"/>
          </w:tcPr>
          <w:p>
            <w:pPr>
              <w:jc w:val="right"/>
            </w:pPr>
            <w:r/>
            <w:r>
              <w:rPr>
                <w:color w:val="1A1D21"/>
                <w:sz w:val="17"/>
              </w:rPr>
              <w:t>2,340</w:t>
            </w:r>
          </w:p>
        </w:tc>
        <w:tc>
          <w:tcPr>
            <w:tcW w:type="dxa" w:w="1026"/>
          </w:tcPr>
          <w:p>
            <w:pPr>
              <w:jc w:val="right"/>
            </w:pPr>
            <w:r/>
            <w:r>
              <w:rPr>
                <w:color w:val="1A1D21"/>
                <w:sz w:val="17"/>
              </w:rPr>
              <w:t>2,656</w:t>
            </w:r>
          </w:p>
        </w:tc>
        <w:tc>
          <w:tcPr>
            <w:tcW w:type="dxa" w:w="1026"/>
          </w:tcPr>
          <w:p>
            <w:pPr>
              <w:jc w:val="right"/>
            </w:pPr>
            <w:r/>
            <w:r>
              <w:rPr>
                <w:color w:val="1A1D21"/>
                <w:sz w:val="17"/>
              </w:rPr>
              <w:t>2,975</w:t>
            </w:r>
          </w:p>
        </w:tc>
        <w:tc>
          <w:tcPr>
            <w:tcW w:type="dxa" w:w="1026"/>
          </w:tcPr>
          <w:p>
            <w:pPr>
              <w:jc w:val="right"/>
            </w:pPr>
            <w:r/>
            <w:r>
              <w:rPr>
                <w:color w:val="1A1D21"/>
                <w:sz w:val="17"/>
              </w:rPr>
              <w:t>3,287</w:t>
            </w:r>
          </w:p>
        </w:tc>
        <w:tc>
          <w:tcPr>
            <w:tcW w:type="dxa" w:w="1026"/>
          </w:tcPr>
          <w:p>
            <w:pPr>
              <w:jc w:val="right"/>
            </w:pPr>
            <w:r/>
            <w:r>
              <w:rPr>
                <w:color w:val="1A1D21"/>
                <w:sz w:val="17"/>
              </w:rPr>
              <w:t>4,395</w:t>
            </w:r>
          </w:p>
        </w:tc>
        <w:tc>
          <w:tcPr>
            <w:tcW w:type="dxa" w:w="1026"/>
          </w:tcPr>
          <w:p>
            <w:pPr>
              <w:jc w:val="right"/>
            </w:pPr>
            <w:r/>
            <w:r>
              <w:rPr>
                <w:color w:val="1A1D21"/>
                <w:sz w:val="17"/>
              </w:rPr>
              <w:t>4,461</w:t>
            </w:r>
          </w:p>
        </w:tc>
      </w:tr>
      <w:tr>
        <w:trPr>
          <w:cantSplit/>
        </w:trPr>
        <w:tc>
          <w:tcPr>
            <w:tcW w:type="dxa" w:w="1984"/>
          </w:tcPr>
          <w:p>
            <w:r/>
            <w:r>
              <w:rPr>
                <w:color w:val="1A1D21"/>
                <w:sz w:val="17"/>
              </w:rPr>
              <w:t>Revenue per delivered unit</w:t>
            </w:r>
          </w:p>
        </w:tc>
        <w:tc>
          <w:tcPr>
            <w:tcW w:type="dxa" w:w="1026"/>
          </w:tcPr>
          <w:p>
            <w:pPr>
              <w:jc w:val="right"/>
            </w:pPr>
            <w:r/>
            <w:r>
              <w:rPr>
                <w:color w:val="1A1D21"/>
                <w:sz w:val="17"/>
              </w:rPr>
              <w:t>19.73</w:t>
            </w:r>
          </w:p>
        </w:tc>
        <w:tc>
          <w:tcPr>
            <w:tcW w:type="dxa" w:w="1026"/>
          </w:tcPr>
          <w:p>
            <w:pPr>
              <w:jc w:val="right"/>
            </w:pPr>
            <w:r/>
            <w:r>
              <w:rPr>
                <w:color w:val="1A1D21"/>
                <w:sz w:val="17"/>
              </w:rPr>
              <w:t>22.10</w:t>
            </w:r>
          </w:p>
        </w:tc>
        <w:tc>
          <w:tcPr>
            <w:tcW w:type="dxa" w:w="1026"/>
          </w:tcPr>
          <w:p>
            <w:pPr>
              <w:jc w:val="right"/>
            </w:pPr>
            <w:r/>
            <w:r>
              <w:rPr>
                <w:color w:val="1A1D21"/>
                <w:sz w:val="17"/>
              </w:rPr>
              <w:t>24.08</w:t>
            </w:r>
          </w:p>
        </w:tc>
        <w:tc>
          <w:tcPr>
            <w:tcW w:type="dxa" w:w="1026"/>
          </w:tcPr>
          <w:p>
            <w:pPr>
              <w:jc w:val="right"/>
            </w:pPr>
            <w:r/>
            <w:r>
              <w:rPr>
                <w:color w:val="1A1D21"/>
                <w:sz w:val="17"/>
              </w:rPr>
              <w:t>25.89</w:t>
            </w:r>
          </w:p>
        </w:tc>
        <w:tc>
          <w:tcPr>
            <w:tcW w:type="dxa" w:w="1026"/>
          </w:tcPr>
          <w:p>
            <w:pPr>
              <w:jc w:val="right"/>
            </w:pPr>
            <w:r/>
            <w:r>
              <w:rPr>
                <w:color w:val="1A1D21"/>
                <w:sz w:val="17"/>
              </w:rPr>
              <w:t>27.70</w:t>
            </w:r>
          </w:p>
        </w:tc>
        <w:tc>
          <w:tcPr>
            <w:tcW w:type="dxa" w:w="1026"/>
          </w:tcPr>
          <w:p>
            <w:pPr>
              <w:jc w:val="right"/>
            </w:pPr>
            <w:r/>
            <w:r>
              <w:rPr>
                <w:color w:val="1A1D21"/>
                <w:sz w:val="17"/>
              </w:rPr>
              <w:t>38.85</w:t>
            </w:r>
          </w:p>
        </w:tc>
        <w:tc>
          <w:tcPr>
            <w:tcW w:type="dxa" w:w="1026"/>
          </w:tcPr>
          <w:p>
            <w:pPr>
              <w:jc w:val="right"/>
            </w:pPr>
            <w:r/>
            <w:r>
              <w:rPr>
                <w:color w:val="1A1D21"/>
                <w:sz w:val="17"/>
              </w:rPr>
              <w:t>54.49</w:t>
            </w:r>
          </w:p>
        </w:tc>
      </w:tr>
      <w:tr>
        <w:trPr>
          <w:cantSplit/>
        </w:trPr>
        <w:tc>
          <w:tcPr>
            <w:tcW w:type="dxa" w:w="1984"/>
          </w:tcPr>
          <w:p>
            <w:r/>
            <w:r>
              <w:rPr>
                <w:color w:val="1A1D21"/>
                <w:sz w:val="17"/>
              </w:rPr>
              <w:t>Revenue</w:t>
            </w:r>
          </w:p>
        </w:tc>
        <w:tc>
          <w:tcPr>
            <w:tcW w:type="dxa" w:w="1026"/>
          </w:tcPr>
          <w:p>
            <w:pPr>
              <w:jc w:val="right"/>
            </w:pPr>
            <w:r/>
            <w:r>
              <w:rPr>
                <w:color w:val="1A1D21"/>
                <w:sz w:val="17"/>
              </w:rPr>
              <w:t>40,148</w:t>
            </w:r>
          </w:p>
        </w:tc>
        <w:tc>
          <w:tcPr>
            <w:tcW w:type="dxa" w:w="1026"/>
          </w:tcPr>
          <w:p>
            <w:pPr>
              <w:jc w:val="right"/>
            </w:pPr>
            <w:r/>
            <w:r>
              <w:rPr>
                <w:color w:val="1A1D21"/>
                <w:sz w:val="17"/>
              </w:rPr>
              <w:t>51,711</w:t>
            </w:r>
          </w:p>
        </w:tc>
        <w:tc>
          <w:tcPr>
            <w:tcW w:type="dxa" w:w="1026"/>
          </w:tcPr>
          <w:p>
            <w:pPr>
              <w:jc w:val="right"/>
            </w:pPr>
            <w:r/>
            <w:r>
              <w:rPr>
                <w:color w:val="1A1D21"/>
                <w:sz w:val="17"/>
              </w:rPr>
              <w:t>63,974</w:t>
            </w:r>
          </w:p>
        </w:tc>
        <w:tc>
          <w:tcPr>
            <w:tcW w:type="dxa" w:w="1026"/>
          </w:tcPr>
          <w:p>
            <w:pPr>
              <w:jc w:val="right"/>
            </w:pPr>
            <w:r/>
            <w:r>
              <w:rPr>
                <w:color w:val="1A1D21"/>
                <w:sz w:val="17"/>
              </w:rPr>
              <w:t>77,024</w:t>
            </w:r>
          </w:p>
        </w:tc>
        <w:tc>
          <w:tcPr>
            <w:tcW w:type="dxa" w:w="1026"/>
          </w:tcPr>
          <w:p>
            <w:pPr>
              <w:jc w:val="right"/>
            </w:pPr>
            <w:r/>
            <w:r>
              <w:rPr>
                <w:color w:val="1A1D21"/>
                <w:sz w:val="17"/>
              </w:rPr>
              <w:t>91,070</w:t>
            </w:r>
          </w:p>
        </w:tc>
        <w:tc>
          <w:tcPr>
            <w:tcW w:type="dxa" w:w="1026"/>
          </w:tcPr>
          <w:p>
            <w:pPr>
              <w:jc w:val="right"/>
            </w:pPr>
            <w:r/>
            <w:r>
              <w:rPr>
                <w:color w:val="1A1D21"/>
                <w:sz w:val="17"/>
              </w:rPr>
              <w:t>170,760</w:t>
            </w:r>
          </w:p>
        </w:tc>
        <w:tc>
          <w:tcPr>
            <w:tcW w:type="dxa" w:w="1026"/>
          </w:tcPr>
          <w:p>
            <w:pPr>
              <w:jc w:val="right"/>
            </w:pPr>
            <w:r/>
            <w:r>
              <w:rPr>
                <w:color w:val="1A1D21"/>
                <w:sz w:val="17"/>
              </w:rPr>
              <w:t>243,093</w:t>
            </w:r>
          </w:p>
        </w:tc>
      </w:tr>
      <w:tr>
        <w:trPr>
          <w:cantSplit/>
        </w:trPr>
        <w:tc>
          <w:tcPr>
            <w:tcW w:type="dxa" w:w="1984"/>
          </w:tcPr>
          <w:p>
            <w:r/>
            <w:r>
              <w:rPr>
                <w:color w:val="1A1D21"/>
                <w:sz w:val="17"/>
              </w:rPr>
              <w:t>Cost per delivered unit</w:t>
            </w:r>
          </w:p>
        </w:tc>
        <w:tc>
          <w:tcPr>
            <w:tcW w:type="dxa" w:w="1026"/>
          </w:tcPr>
          <w:p>
            <w:pPr>
              <w:jc w:val="right"/>
            </w:pPr>
            <w:r/>
            <w:r>
              <w:rPr>
                <w:color w:val="1A1D21"/>
                <w:sz w:val="17"/>
              </w:rPr>
              <w:t>12.73</w:t>
            </w:r>
          </w:p>
        </w:tc>
        <w:tc>
          <w:tcPr>
            <w:tcW w:type="dxa" w:w="1026"/>
          </w:tcPr>
          <w:p>
            <w:pPr>
              <w:jc w:val="right"/>
            </w:pPr>
            <w:r/>
            <w:r>
              <w:rPr>
                <w:color w:val="1A1D21"/>
                <w:sz w:val="17"/>
              </w:rPr>
              <w:t>14.25</w:t>
            </w:r>
          </w:p>
        </w:tc>
        <w:tc>
          <w:tcPr>
            <w:tcW w:type="dxa" w:w="1026"/>
          </w:tcPr>
          <w:p>
            <w:pPr>
              <w:jc w:val="right"/>
            </w:pPr>
            <w:r/>
            <w:r>
              <w:rPr>
                <w:color w:val="1A1D21"/>
                <w:sz w:val="17"/>
              </w:rPr>
              <w:t>15.54</w:t>
            </w:r>
          </w:p>
        </w:tc>
        <w:tc>
          <w:tcPr>
            <w:tcW w:type="dxa" w:w="1026"/>
          </w:tcPr>
          <w:p>
            <w:pPr>
              <w:jc w:val="right"/>
            </w:pPr>
            <w:r/>
            <w:r>
              <w:rPr>
                <w:color w:val="1A1D21"/>
                <w:sz w:val="17"/>
              </w:rPr>
              <w:t>16.70</w:t>
            </w:r>
          </w:p>
        </w:tc>
        <w:tc>
          <w:tcPr>
            <w:tcW w:type="dxa" w:w="1026"/>
          </w:tcPr>
          <w:p>
            <w:pPr>
              <w:jc w:val="right"/>
            </w:pPr>
            <w:r/>
            <w:r>
              <w:rPr>
                <w:color w:val="1A1D21"/>
                <w:sz w:val="17"/>
              </w:rPr>
              <w:t>17.87</w:t>
            </w:r>
          </w:p>
        </w:tc>
        <w:tc>
          <w:tcPr>
            <w:tcW w:type="dxa" w:w="1026"/>
          </w:tcPr>
          <w:p>
            <w:pPr>
              <w:jc w:val="right"/>
            </w:pPr>
            <w:r/>
            <w:r>
              <w:rPr>
                <w:color w:val="1A1D21"/>
                <w:sz w:val="17"/>
              </w:rPr>
              <w:t>25.07</w:t>
            </w:r>
          </w:p>
        </w:tc>
        <w:tc>
          <w:tcPr>
            <w:tcW w:type="dxa" w:w="1026"/>
          </w:tcPr>
          <w:p>
            <w:pPr>
              <w:jc w:val="right"/>
            </w:pPr>
            <w:r/>
            <w:r>
              <w:rPr>
                <w:color w:val="1A1D21"/>
                <w:sz w:val="17"/>
              </w:rPr>
              <w:t>35.16</w:t>
            </w:r>
          </w:p>
        </w:tc>
      </w:tr>
      <w:tr>
        <w:trPr>
          <w:cantSplit/>
        </w:trPr>
        <w:tc>
          <w:tcPr>
            <w:tcW w:type="dxa" w:w="1984"/>
          </w:tcPr>
          <w:p>
            <w:r/>
            <w:r>
              <w:rPr>
                <w:color w:val="1A1D21"/>
                <w:sz w:val="17"/>
              </w:rPr>
              <w:t>Cost of revenue</w:t>
            </w:r>
          </w:p>
        </w:tc>
        <w:tc>
          <w:tcPr>
            <w:tcW w:type="dxa" w:w="1026"/>
          </w:tcPr>
          <w:p>
            <w:pPr>
              <w:jc w:val="right"/>
            </w:pPr>
            <w:r/>
            <w:r>
              <w:rPr>
                <w:color w:val="1A1D21"/>
                <w:sz w:val="17"/>
              </w:rPr>
              <w:t>-25,902</w:t>
            </w:r>
          </w:p>
        </w:tc>
        <w:tc>
          <w:tcPr>
            <w:tcW w:type="dxa" w:w="1026"/>
          </w:tcPr>
          <w:p>
            <w:pPr>
              <w:jc w:val="right"/>
            </w:pPr>
            <w:r/>
            <w:r>
              <w:rPr>
                <w:color w:val="1A1D21"/>
                <w:sz w:val="17"/>
              </w:rPr>
              <w:t>-33,362</w:t>
            </w:r>
          </w:p>
        </w:tc>
        <w:tc>
          <w:tcPr>
            <w:tcW w:type="dxa" w:w="1026"/>
          </w:tcPr>
          <w:p>
            <w:pPr>
              <w:jc w:val="right"/>
            </w:pPr>
            <w:r/>
            <w:r>
              <w:rPr>
                <w:color w:val="1A1D21"/>
                <w:sz w:val="17"/>
              </w:rPr>
              <w:t>-41,273</w:t>
            </w:r>
          </w:p>
        </w:tc>
        <w:tc>
          <w:tcPr>
            <w:tcW w:type="dxa" w:w="1026"/>
          </w:tcPr>
          <w:p>
            <w:pPr>
              <w:jc w:val="right"/>
            </w:pPr>
            <w:r/>
            <w:r>
              <w:rPr>
                <w:color w:val="1A1D21"/>
                <w:sz w:val="17"/>
              </w:rPr>
              <w:t>-49,693</w:t>
            </w:r>
          </w:p>
        </w:tc>
        <w:tc>
          <w:tcPr>
            <w:tcW w:type="dxa" w:w="1026"/>
          </w:tcPr>
          <w:p>
            <w:pPr>
              <w:jc w:val="right"/>
            </w:pPr>
            <w:r/>
            <w:r>
              <w:rPr>
                <w:color w:val="1A1D21"/>
                <w:sz w:val="17"/>
              </w:rPr>
              <w:t>-58,755</w:t>
            </w:r>
          </w:p>
        </w:tc>
        <w:tc>
          <w:tcPr>
            <w:tcW w:type="dxa" w:w="1026"/>
          </w:tcPr>
          <w:p>
            <w:pPr>
              <w:jc w:val="right"/>
            </w:pPr>
            <w:r/>
            <w:r>
              <w:rPr>
                <w:color w:val="1A1D21"/>
                <w:sz w:val="17"/>
              </w:rPr>
              <w:t>-110,168</w:t>
            </w:r>
          </w:p>
        </w:tc>
        <w:tc>
          <w:tcPr>
            <w:tcW w:type="dxa" w:w="1026"/>
          </w:tcPr>
          <w:p>
            <w:pPr>
              <w:jc w:val="right"/>
            </w:pPr>
            <w:r/>
            <w:r>
              <w:rPr>
                <w:color w:val="1A1D21"/>
                <w:sz w:val="17"/>
              </w:rPr>
              <w:t>-156,834</w:t>
            </w:r>
          </w:p>
        </w:tc>
      </w:tr>
      <w:tr>
        <w:trPr>
          <w:cantSplit/>
        </w:trPr>
        <w:tc>
          <w:tcPr>
            <w:tcW w:type="dxa" w:w="1984"/>
          </w:tcPr>
          <w:p>
            <w:r/>
            <w:r>
              <w:rPr>
                <w:color w:val="1A1D21"/>
                <w:sz w:val="17"/>
              </w:rPr>
              <w:t>Gross profit</w:t>
            </w:r>
          </w:p>
        </w:tc>
        <w:tc>
          <w:tcPr>
            <w:tcW w:type="dxa" w:w="1026"/>
          </w:tcPr>
          <w:p>
            <w:pPr>
              <w:jc w:val="right"/>
            </w:pPr>
            <w:r/>
            <w:r>
              <w:rPr>
                <w:color w:val="1A1D21"/>
                <w:sz w:val="17"/>
              </w:rPr>
              <w:t>14,246</w:t>
            </w:r>
          </w:p>
        </w:tc>
        <w:tc>
          <w:tcPr>
            <w:tcW w:type="dxa" w:w="1026"/>
          </w:tcPr>
          <w:p>
            <w:pPr>
              <w:jc w:val="right"/>
            </w:pPr>
            <w:r/>
            <w:r>
              <w:rPr>
                <w:color w:val="1A1D21"/>
                <w:sz w:val="17"/>
              </w:rPr>
              <w:t>18,349</w:t>
            </w:r>
          </w:p>
        </w:tc>
        <w:tc>
          <w:tcPr>
            <w:tcW w:type="dxa" w:w="1026"/>
          </w:tcPr>
          <w:p>
            <w:pPr>
              <w:jc w:val="right"/>
            </w:pPr>
            <w:r/>
            <w:r>
              <w:rPr>
                <w:color w:val="1A1D21"/>
                <w:sz w:val="17"/>
              </w:rPr>
              <w:t>22,700</w:t>
            </w:r>
          </w:p>
        </w:tc>
        <w:tc>
          <w:tcPr>
            <w:tcW w:type="dxa" w:w="1026"/>
          </w:tcPr>
          <w:p>
            <w:pPr>
              <w:jc w:val="right"/>
            </w:pPr>
            <w:r/>
            <w:r>
              <w:rPr>
                <w:color w:val="1A1D21"/>
                <w:sz w:val="17"/>
              </w:rPr>
              <w:t>27,331</w:t>
            </w:r>
          </w:p>
        </w:tc>
        <w:tc>
          <w:tcPr>
            <w:tcW w:type="dxa" w:w="1026"/>
          </w:tcPr>
          <w:p>
            <w:pPr>
              <w:jc w:val="right"/>
            </w:pPr>
            <w:r/>
            <w:r>
              <w:rPr>
                <w:color w:val="1A1D21"/>
                <w:sz w:val="17"/>
              </w:rPr>
              <w:t>32,315</w:t>
            </w:r>
          </w:p>
        </w:tc>
        <w:tc>
          <w:tcPr>
            <w:tcW w:type="dxa" w:w="1026"/>
          </w:tcPr>
          <w:p>
            <w:pPr>
              <w:jc w:val="right"/>
            </w:pPr>
            <w:r/>
            <w:r>
              <w:rPr>
                <w:color w:val="1A1D21"/>
                <w:sz w:val="17"/>
              </w:rPr>
              <w:t>60,592</w:t>
            </w:r>
          </w:p>
        </w:tc>
        <w:tc>
          <w:tcPr>
            <w:tcW w:type="dxa" w:w="1026"/>
          </w:tcPr>
          <w:p>
            <w:pPr>
              <w:jc w:val="right"/>
            </w:pPr>
            <w:r/>
            <w:r>
              <w:rPr>
                <w:color w:val="1A1D21"/>
                <w:sz w:val="17"/>
              </w:rPr>
              <w:t>86,259</w:t>
            </w:r>
          </w:p>
        </w:tc>
      </w:tr>
      <w:tr>
        <w:trPr>
          <w:cantSplit/>
        </w:trPr>
        <w:tc>
          <w:tcPr>
            <w:tcW w:type="dxa" w:w="1984"/>
          </w:tcPr>
          <w:p>
            <w:r/>
            <w:r>
              <w:rPr>
                <w:color w:val="1A1D21"/>
                <w:sz w:val="17"/>
              </w:rPr>
              <w:t>Gross margin</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r>
      <w:tr>
        <w:trPr>
          <w:cantSplit/>
        </w:trPr>
        <w:tc>
          <w:tcPr>
            <w:tcW w:type="dxa" w:w="1984"/>
          </w:tcPr>
          <w:p>
            <w:r/>
            <w:r>
              <w:rPr>
                <w:color w:val="1A1D21"/>
                <w:sz w:val="17"/>
              </w:rPr>
              <w:t>Overheads</w:t>
            </w:r>
          </w:p>
        </w:tc>
        <w:tc>
          <w:tcPr>
            <w:tcW w:type="dxa" w:w="1026"/>
          </w:tcPr>
          <w:p>
            <w:pPr>
              <w:jc w:val="right"/>
            </w:pPr>
            <w:r/>
            <w:r>
              <w:rPr>
                <w:color w:val="1A1D21"/>
                <w:sz w:val="17"/>
              </w:rPr>
              <w:t>-7,066</w:t>
            </w:r>
          </w:p>
        </w:tc>
        <w:tc>
          <w:tcPr>
            <w:tcW w:type="dxa" w:w="1026"/>
          </w:tcPr>
          <w:p>
            <w:pPr>
              <w:jc w:val="right"/>
            </w:pPr>
            <w:r/>
            <w:r>
              <w:rPr>
                <w:color w:val="1A1D21"/>
                <w:sz w:val="17"/>
              </w:rPr>
              <w:t>-9,101</w:t>
            </w:r>
          </w:p>
        </w:tc>
        <w:tc>
          <w:tcPr>
            <w:tcW w:type="dxa" w:w="1026"/>
          </w:tcPr>
          <w:p>
            <w:pPr>
              <w:jc w:val="right"/>
            </w:pPr>
            <w:r/>
            <w:r>
              <w:rPr>
                <w:color w:val="1A1D21"/>
                <w:sz w:val="17"/>
              </w:rPr>
              <w:t>-11,259</w:t>
            </w:r>
          </w:p>
        </w:tc>
        <w:tc>
          <w:tcPr>
            <w:tcW w:type="dxa" w:w="1026"/>
          </w:tcPr>
          <w:p>
            <w:pPr>
              <w:jc w:val="right"/>
            </w:pPr>
            <w:r/>
            <w:r>
              <w:rPr>
                <w:color w:val="1A1D21"/>
                <w:sz w:val="17"/>
              </w:rPr>
              <w:t>-13,556</w:t>
            </w:r>
          </w:p>
        </w:tc>
        <w:tc>
          <w:tcPr>
            <w:tcW w:type="dxa" w:w="1026"/>
          </w:tcPr>
          <w:p>
            <w:pPr>
              <w:jc w:val="right"/>
            </w:pPr>
            <w:r/>
            <w:r>
              <w:rPr>
                <w:color w:val="1A1D21"/>
                <w:sz w:val="17"/>
              </w:rPr>
              <w:t>-16,028</w:t>
            </w:r>
          </w:p>
        </w:tc>
        <w:tc>
          <w:tcPr>
            <w:tcW w:type="dxa" w:w="1026"/>
          </w:tcPr>
          <w:p>
            <w:pPr>
              <w:jc w:val="right"/>
            </w:pPr>
            <w:r/>
            <w:r>
              <w:rPr>
                <w:color w:val="1A1D21"/>
                <w:sz w:val="17"/>
              </w:rPr>
              <w:t>-30,053</w:t>
            </w:r>
          </w:p>
        </w:tc>
        <w:tc>
          <w:tcPr>
            <w:tcW w:type="dxa" w:w="1026"/>
          </w:tcPr>
          <w:p>
            <w:pPr>
              <w:jc w:val="right"/>
            </w:pPr>
            <w:r/>
            <w:r>
              <w:rPr>
                <w:color w:val="1A1D21"/>
                <w:sz w:val="17"/>
              </w:rPr>
              <w:t>-42,783</w:t>
            </w:r>
          </w:p>
        </w:tc>
      </w:tr>
      <w:tr>
        <w:trPr>
          <w:cantSplit/>
        </w:trPr>
        <w:tc>
          <w:tcPr>
            <w:tcW w:type="dxa" w:w="1984"/>
          </w:tcPr>
          <w:p>
            <w:r/>
            <w:r>
              <w:rPr>
                <w:color w:val="1A1D21"/>
                <w:sz w:val="17"/>
              </w:rPr>
              <w:t>Depreciation and amortisation</w:t>
            </w:r>
          </w:p>
        </w:tc>
        <w:tc>
          <w:tcPr>
            <w:tcW w:type="dxa" w:w="1026"/>
          </w:tcPr>
          <w:p>
            <w:pPr>
              <w:jc w:val="right"/>
            </w:pPr>
            <w:r/>
            <w:r>
              <w:rPr>
                <w:color w:val="1A1D21"/>
                <w:sz w:val="17"/>
              </w:rPr>
              <w:t>-393</w:t>
            </w:r>
          </w:p>
        </w:tc>
        <w:tc>
          <w:tcPr>
            <w:tcW w:type="dxa" w:w="1026"/>
          </w:tcPr>
          <w:p>
            <w:pPr>
              <w:jc w:val="right"/>
            </w:pPr>
            <w:r/>
            <w:r>
              <w:rPr>
                <w:color w:val="1A1D21"/>
                <w:sz w:val="17"/>
              </w:rPr>
              <w:t>-506</w:t>
            </w:r>
          </w:p>
        </w:tc>
        <w:tc>
          <w:tcPr>
            <w:tcW w:type="dxa" w:w="1026"/>
          </w:tcPr>
          <w:p>
            <w:pPr>
              <w:jc w:val="right"/>
            </w:pPr>
            <w:r/>
            <w:r>
              <w:rPr>
                <w:color w:val="1A1D21"/>
                <w:sz w:val="17"/>
              </w:rPr>
              <w:t>-626</w:t>
            </w:r>
          </w:p>
        </w:tc>
        <w:tc>
          <w:tcPr>
            <w:tcW w:type="dxa" w:w="1026"/>
          </w:tcPr>
          <w:p>
            <w:pPr>
              <w:jc w:val="right"/>
            </w:pPr>
            <w:r/>
            <w:r>
              <w:rPr>
                <w:color w:val="1A1D21"/>
                <w:sz w:val="17"/>
              </w:rPr>
              <w:t>-753</w:t>
            </w:r>
          </w:p>
        </w:tc>
        <w:tc>
          <w:tcPr>
            <w:tcW w:type="dxa" w:w="1026"/>
          </w:tcPr>
          <w:p>
            <w:pPr>
              <w:jc w:val="right"/>
            </w:pPr>
            <w:r/>
            <w:r>
              <w:rPr>
                <w:color w:val="1A1D21"/>
                <w:sz w:val="17"/>
              </w:rPr>
              <w:t>-891</w:t>
            </w:r>
          </w:p>
        </w:tc>
        <w:tc>
          <w:tcPr>
            <w:tcW w:type="dxa" w:w="1026"/>
          </w:tcPr>
          <w:p>
            <w:pPr>
              <w:jc w:val="right"/>
            </w:pPr>
            <w:r/>
            <w:r>
              <w:rPr>
                <w:color w:val="1A1D21"/>
                <w:sz w:val="17"/>
              </w:rPr>
              <w:t>-1,670</w:t>
            </w:r>
          </w:p>
        </w:tc>
        <w:tc>
          <w:tcPr>
            <w:tcW w:type="dxa" w:w="1026"/>
          </w:tcPr>
          <w:p>
            <w:pPr>
              <w:jc w:val="right"/>
            </w:pPr>
            <w:r/>
            <w:r>
              <w:rPr>
                <w:color w:val="1A1D21"/>
                <w:sz w:val="17"/>
              </w:rPr>
              <w:t>-2,377</w:t>
            </w:r>
          </w:p>
        </w:tc>
      </w:tr>
      <w:tr>
        <w:trPr>
          <w:cantSplit/>
        </w:trPr>
        <w:tc>
          <w:tcPr>
            <w:tcW w:type="dxa" w:w="1984"/>
          </w:tcPr>
          <w:p>
            <w:r/>
            <w:r>
              <w:rPr>
                <w:color w:val="1A1D21"/>
                <w:sz w:val="17"/>
              </w:rPr>
              <w:t>Operating profit</w:t>
            </w:r>
          </w:p>
        </w:tc>
        <w:tc>
          <w:tcPr>
            <w:tcW w:type="dxa" w:w="1026"/>
          </w:tcPr>
          <w:p>
            <w:pPr>
              <w:jc w:val="right"/>
            </w:pPr>
            <w:r/>
            <w:r>
              <w:rPr>
                <w:color w:val="1A1D21"/>
                <w:sz w:val="17"/>
              </w:rPr>
              <w:t>6,788</w:t>
            </w:r>
          </w:p>
        </w:tc>
        <w:tc>
          <w:tcPr>
            <w:tcW w:type="dxa" w:w="1026"/>
          </w:tcPr>
          <w:p>
            <w:pPr>
              <w:jc w:val="right"/>
            </w:pPr>
            <w:r/>
            <w:r>
              <w:rPr>
                <w:color w:val="1A1D21"/>
                <w:sz w:val="17"/>
              </w:rPr>
              <w:t>8,742</w:t>
            </w:r>
          </w:p>
        </w:tc>
        <w:tc>
          <w:tcPr>
            <w:tcW w:type="dxa" w:w="1026"/>
          </w:tcPr>
          <w:p>
            <w:pPr>
              <w:jc w:val="right"/>
            </w:pPr>
            <w:r/>
            <w:r>
              <w:rPr>
                <w:color w:val="1A1D21"/>
                <w:sz w:val="17"/>
              </w:rPr>
              <w:t>10,816</w:t>
            </w:r>
          </w:p>
        </w:tc>
        <w:tc>
          <w:tcPr>
            <w:tcW w:type="dxa" w:w="1026"/>
          </w:tcPr>
          <w:p>
            <w:pPr>
              <w:jc w:val="right"/>
            </w:pPr>
            <w:r/>
            <w:r>
              <w:rPr>
                <w:color w:val="1A1D21"/>
                <w:sz w:val="17"/>
              </w:rPr>
              <w:t>13,022</w:t>
            </w:r>
          </w:p>
        </w:tc>
        <w:tc>
          <w:tcPr>
            <w:tcW w:type="dxa" w:w="1026"/>
          </w:tcPr>
          <w:p>
            <w:pPr>
              <w:jc w:val="right"/>
            </w:pPr>
            <w:r/>
            <w:r>
              <w:rPr>
                <w:color w:val="1A1D21"/>
                <w:sz w:val="17"/>
              </w:rPr>
              <w:t>15,397</w:t>
            </w:r>
          </w:p>
        </w:tc>
        <w:tc>
          <w:tcPr>
            <w:tcW w:type="dxa" w:w="1026"/>
          </w:tcPr>
          <w:p>
            <w:pPr>
              <w:jc w:val="right"/>
            </w:pPr>
            <w:r/>
            <w:r>
              <w:rPr>
                <w:color w:val="1A1D21"/>
                <w:sz w:val="17"/>
              </w:rPr>
              <w:t>28,870</w:t>
            </w:r>
          </w:p>
        </w:tc>
        <w:tc>
          <w:tcPr>
            <w:tcW w:type="dxa" w:w="1026"/>
          </w:tcPr>
          <w:p>
            <w:pPr>
              <w:jc w:val="right"/>
            </w:pPr>
            <w:r/>
            <w:r>
              <w:rPr>
                <w:color w:val="1A1D21"/>
                <w:sz w:val="17"/>
              </w:rPr>
              <w:t>41,099</w:t>
            </w:r>
          </w:p>
        </w:tc>
      </w:tr>
      <w:tr>
        <w:trPr>
          <w:cantSplit/>
        </w:trPr>
        <w:tc>
          <w:tcPr>
            <w:tcW w:type="dxa" w:w="1984"/>
          </w:tcPr>
          <w:p>
            <w:r/>
            <w:r>
              <w:rPr>
                <w:color w:val="1A1D21"/>
                <w:sz w:val="17"/>
              </w:rPr>
              <w:t>Finance cost</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r>
      <w:tr>
        <w:trPr>
          <w:cantSplit/>
        </w:trPr>
        <w:tc>
          <w:tcPr>
            <w:tcW w:type="dxa" w:w="1984"/>
          </w:tcPr>
          <w:p>
            <w:r/>
            <w:r>
              <w:rPr>
                <w:color w:val="1A1D21"/>
                <w:sz w:val="17"/>
              </w:rPr>
              <w:t>Profit before tax</w:t>
            </w:r>
          </w:p>
        </w:tc>
        <w:tc>
          <w:tcPr>
            <w:tcW w:type="dxa" w:w="1026"/>
          </w:tcPr>
          <w:p>
            <w:pPr>
              <w:jc w:val="right"/>
            </w:pPr>
            <w:r/>
            <w:r>
              <w:rPr>
                <w:color w:val="1A1D21"/>
                <w:sz w:val="17"/>
              </w:rPr>
              <w:t>3,440</w:t>
            </w:r>
          </w:p>
        </w:tc>
        <w:tc>
          <w:tcPr>
            <w:tcW w:type="dxa" w:w="1026"/>
          </w:tcPr>
          <w:p>
            <w:pPr>
              <w:jc w:val="right"/>
            </w:pPr>
            <w:r/>
            <w:r>
              <w:rPr>
                <w:color w:val="1A1D21"/>
                <w:sz w:val="17"/>
              </w:rPr>
              <w:t>5,395</w:t>
            </w:r>
          </w:p>
        </w:tc>
        <w:tc>
          <w:tcPr>
            <w:tcW w:type="dxa" w:w="1026"/>
          </w:tcPr>
          <w:p>
            <w:pPr>
              <w:jc w:val="right"/>
            </w:pPr>
            <w:r/>
            <w:r>
              <w:rPr>
                <w:color w:val="1A1D21"/>
                <w:sz w:val="17"/>
              </w:rPr>
              <w:t>7,468</w:t>
            </w:r>
          </w:p>
        </w:tc>
        <w:tc>
          <w:tcPr>
            <w:tcW w:type="dxa" w:w="1026"/>
          </w:tcPr>
          <w:p>
            <w:pPr>
              <w:jc w:val="right"/>
            </w:pPr>
            <w:r/>
            <w:r>
              <w:rPr>
                <w:color w:val="1A1D21"/>
                <w:sz w:val="17"/>
              </w:rPr>
              <w:t>9,675</w:t>
            </w:r>
          </w:p>
        </w:tc>
        <w:tc>
          <w:tcPr>
            <w:tcW w:type="dxa" w:w="1026"/>
          </w:tcPr>
          <w:p>
            <w:pPr>
              <w:jc w:val="right"/>
            </w:pPr>
            <w:r/>
            <w:r>
              <w:rPr>
                <w:color w:val="1A1D21"/>
                <w:sz w:val="17"/>
              </w:rPr>
              <w:t>12,049</w:t>
            </w:r>
          </w:p>
        </w:tc>
        <w:tc>
          <w:tcPr>
            <w:tcW w:type="dxa" w:w="1026"/>
          </w:tcPr>
          <w:p>
            <w:pPr>
              <w:jc w:val="right"/>
            </w:pPr>
            <w:r/>
            <w:r>
              <w:rPr>
                <w:color w:val="1A1D21"/>
                <w:sz w:val="17"/>
              </w:rPr>
              <w:t>25,522</w:t>
            </w:r>
          </w:p>
        </w:tc>
        <w:tc>
          <w:tcPr>
            <w:tcW w:type="dxa" w:w="1026"/>
          </w:tcPr>
          <w:p>
            <w:pPr>
              <w:jc w:val="right"/>
            </w:pPr>
            <w:r/>
            <w:r>
              <w:rPr>
                <w:color w:val="1A1D21"/>
                <w:sz w:val="17"/>
              </w:rPr>
              <w:t>37,751</w:t>
            </w:r>
          </w:p>
        </w:tc>
      </w:tr>
      <w:tr>
        <w:trPr>
          <w:cantSplit/>
        </w:trPr>
        <w:tc>
          <w:tcPr>
            <w:tcW w:type="dxa" w:w="1984"/>
          </w:tcPr>
          <w:p>
            <w:r/>
            <w:r>
              <w:rPr>
                <w:color w:val="1A1D21"/>
                <w:sz w:val="17"/>
              </w:rPr>
              <w:t>Tax</w:t>
            </w:r>
          </w:p>
        </w:tc>
        <w:tc>
          <w:tcPr>
            <w:tcW w:type="dxa" w:w="1026"/>
          </w:tcPr>
          <w:p>
            <w:pPr>
              <w:jc w:val="right"/>
            </w:pPr>
            <w:r/>
            <w:r>
              <w:rPr>
                <w:color w:val="1A1D21"/>
                <w:sz w:val="17"/>
              </w:rPr>
              <w:t>-774</w:t>
            </w:r>
          </w:p>
        </w:tc>
        <w:tc>
          <w:tcPr>
            <w:tcW w:type="dxa" w:w="1026"/>
          </w:tcPr>
          <w:p>
            <w:pPr>
              <w:jc w:val="right"/>
            </w:pPr>
            <w:r/>
            <w:r>
              <w:rPr>
                <w:color w:val="1A1D21"/>
                <w:sz w:val="17"/>
              </w:rPr>
              <w:t>-1,214</w:t>
            </w:r>
          </w:p>
        </w:tc>
        <w:tc>
          <w:tcPr>
            <w:tcW w:type="dxa" w:w="1026"/>
          </w:tcPr>
          <w:p>
            <w:pPr>
              <w:jc w:val="right"/>
            </w:pPr>
            <w:r/>
            <w:r>
              <w:rPr>
                <w:color w:val="1A1D21"/>
                <w:sz w:val="17"/>
              </w:rPr>
              <w:t>-1,680</w:t>
            </w:r>
          </w:p>
        </w:tc>
        <w:tc>
          <w:tcPr>
            <w:tcW w:type="dxa" w:w="1026"/>
          </w:tcPr>
          <w:p>
            <w:pPr>
              <w:jc w:val="right"/>
            </w:pPr>
            <w:r/>
            <w:r>
              <w:rPr>
                <w:color w:val="1A1D21"/>
                <w:sz w:val="17"/>
              </w:rPr>
              <w:t>-2,177</w:t>
            </w:r>
          </w:p>
        </w:tc>
        <w:tc>
          <w:tcPr>
            <w:tcW w:type="dxa" w:w="1026"/>
          </w:tcPr>
          <w:p>
            <w:pPr>
              <w:jc w:val="right"/>
            </w:pPr>
            <w:r/>
            <w:r>
              <w:rPr>
                <w:color w:val="1A1D21"/>
                <w:sz w:val="17"/>
              </w:rPr>
              <w:t>-2,711</w:t>
            </w:r>
          </w:p>
        </w:tc>
        <w:tc>
          <w:tcPr>
            <w:tcW w:type="dxa" w:w="1026"/>
          </w:tcPr>
          <w:p>
            <w:pPr>
              <w:jc w:val="right"/>
            </w:pPr>
            <w:r/>
            <w:r>
              <w:rPr>
                <w:color w:val="1A1D21"/>
                <w:sz w:val="17"/>
              </w:rPr>
              <w:t>-5,742</w:t>
            </w:r>
          </w:p>
        </w:tc>
        <w:tc>
          <w:tcPr>
            <w:tcW w:type="dxa" w:w="1026"/>
          </w:tcPr>
          <w:p>
            <w:pPr>
              <w:jc w:val="right"/>
            </w:pPr>
            <w:r/>
            <w:r>
              <w:rPr>
                <w:color w:val="1A1D21"/>
                <w:sz w:val="17"/>
              </w:rPr>
              <w:t>-8,494</w:t>
            </w:r>
          </w:p>
        </w:tc>
      </w:tr>
      <w:tr>
        <w:trPr>
          <w:cantSplit/>
        </w:trPr>
        <w:tc>
          <w:tcPr>
            <w:tcW w:type="dxa" w:w="1984"/>
          </w:tcPr>
          <w:p>
            <w:r/>
            <w:r>
              <w:rPr>
                <w:color w:val="1A1D21"/>
                <w:sz w:val="17"/>
              </w:rPr>
              <w:t>Net profit</w:t>
            </w:r>
          </w:p>
        </w:tc>
        <w:tc>
          <w:tcPr>
            <w:tcW w:type="dxa" w:w="1026"/>
          </w:tcPr>
          <w:p>
            <w:pPr>
              <w:jc w:val="right"/>
            </w:pPr>
            <w:r/>
            <w:r>
              <w:rPr>
                <w:color w:val="1A1D21"/>
                <w:sz w:val="17"/>
              </w:rPr>
              <w:t>2,666</w:t>
            </w:r>
          </w:p>
        </w:tc>
        <w:tc>
          <w:tcPr>
            <w:tcW w:type="dxa" w:w="1026"/>
          </w:tcPr>
          <w:p>
            <w:pPr>
              <w:jc w:val="right"/>
            </w:pPr>
            <w:r/>
            <w:r>
              <w:rPr>
                <w:color w:val="1A1D21"/>
                <w:sz w:val="17"/>
              </w:rPr>
              <w:t>4,181</w:t>
            </w:r>
          </w:p>
        </w:tc>
        <w:tc>
          <w:tcPr>
            <w:tcW w:type="dxa" w:w="1026"/>
          </w:tcPr>
          <w:p>
            <w:pPr>
              <w:jc w:val="right"/>
            </w:pPr>
            <w:r/>
            <w:r>
              <w:rPr>
                <w:color w:val="1A1D21"/>
                <w:sz w:val="17"/>
              </w:rPr>
              <w:t>5,788</w:t>
            </w:r>
          </w:p>
        </w:tc>
        <w:tc>
          <w:tcPr>
            <w:tcW w:type="dxa" w:w="1026"/>
          </w:tcPr>
          <w:p>
            <w:pPr>
              <w:jc w:val="right"/>
            </w:pPr>
            <w:r/>
            <w:r>
              <w:rPr>
                <w:color w:val="1A1D21"/>
                <w:sz w:val="17"/>
              </w:rPr>
              <w:t>7,498</w:t>
            </w:r>
          </w:p>
        </w:tc>
        <w:tc>
          <w:tcPr>
            <w:tcW w:type="dxa" w:w="1026"/>
          </w:tcPr>
          <w:p>
            <w:pPr>
              <w:jc w:val="right"/>
            </w:pPr>
            <w:r/>
            <w:r>
              <w:rPr>
                <w:color w:val="1A1D21"/>
                <w:sz w:val="17"/>
              </w:rPr>
              <w:t>9,338</w:t>
            </w:r>
          </w:p>
        </w:tc>
        <w:tc>
          <w:tcPr>
            <w:tcW w:type="dxa" w:w="1026"/>
          </w:tcPr>
          <w:p>
            <w:pPr>
              <w:jc w:val="right"/>
            </w:pPr>
            <w:r/>
            <w:r>
              <w:rPr>
                <w:color w:val="1A1D21"/>
                <w:sz w:val="17"/>
              </w:rPr>
              <w:t>19,780</w:t>
            </w:r>
          </w:p>
        </w:tc>
        <w:tc>
          <w:tcPr>
            <w:tcW w:type="dxa" w:w="1026"/>
          </w:tcPr>
          <w:p>
            <w:pPr>
              <w:jc w:val="right"/>
            </w:pPr>
            <w:r/>
            <w:r>
              <w:rPr>
                <w:color w:val="1A1D21"/>
                <w:sz w:val="17"/>
              </w:rPr>
              <w:t>29,257</w:t>
            </w:r>
          </w:p>
        </w:tc>
      </w:tr>
      <w:tr>
        <w:trPr>
          <w:cantSplit/>
        </w:trPr>
        <w:tc>
          <w:tcPr>
            <w:tcW w:type="dxa" w:w="1984"/>
          </w:tcPr>
          <w:p>
            <w:r/>
            <w:r>
              <w:rPr>
                <w:color w:val="1A1D21"/>
                <w:sz w:val="17"/>
              </w:rPr>
              <w:t>Earnings per share (EGP)</w:t>
            </w:r>
          </w:p>
        </w:tc>
        <w:tc>
          <w:tcPr>
            <w:tcW w:type="dxa" w:w="1026"/>
          </w:tcPr>
          <w:p>
            <w:pPr>
              <w:jc w:val="right"/>
            </w:pPr>
            <w:r/>
            <w:r>
              <w:rPr>
                <w:color w:val="1A1D21"/>
                <w:sz w:val="17"/>
              </w:rPr>
              <w:t>0.93</w:t>
            </w:r>
          </w:p>
        </w:tc>
        <w:tc>
          <w:tcPr>
            <w:tcW w:type="dxa" w:w="1026"/>
          </w:tcPr>
          <w:p>
            <w:pPr>
              <w:jc w:val="right"/>
            </w:pPr>
            <w:r/>
            <w:r>
              <w:rPr>
                <w:color w:val="1A1D21"/>
                <w:sz w:val="17"/>
              </w:rPr>
              <w:t>1.46</w:t>
            </w:r>
          </w:p>
        </w:tc>
        <w:tc>
          <w:tcPr>
            <w:tcW w:type="dxa" w:w="1026"/>
          </w:tcPr>
          <w:p>
            <w:pPr>
              <w:jc w:val="right"/>
            </w:pPr>
            <w:r/>
            <w:r>
              <w:rPr>
                <w:color w:val="1A1D21"/>
                <w:sz w:val="17"/>
              </w:rPr>
              <w:t>2.02</w:t>
            </w:r>
          </w:p>
        </w:tc>
        <w:tc>
          <w:tcPr>
            <w:tcW w:type="dxa" w:w="1026"/>
          </w:tcPr>
          <w:p>
            <w:pPr>
              <w:jc w:val="right"/>
            </w:pPr>
            <w:r/>
            <w:r>
              <w:rPr>
                <w:color w:val="1A1D21"/>
                <w:sz w:val="17"/>
              </w:rPr>
              <w:t>2.62</w:t>
            </w:r>
          </w:p>
        </w:tc>
        <w:tc>
          <w:tcPr>
            <w:tcW w:type="dxa" w:w="1026"/>
          </w:tcPr>
          <w:p>
            <w:pPr>
              <w:jc w:val="right"/>
            </w:pPr>
            <w:r/>
            <w:r>
              <w:rPr>
                <w:color w:val="1A1D21"/>
                <w:sz w:val="17"/>
              </w:rPr>
              <w:t>3.27</w:t>
            </w:r>
          </w:p>
        </w:tc>
        <w:tc>
          <w:tcPr>
            <w:tcW w:type="dxa" w:w="1026"/>
          </w:tcPr>
          <w:p>
            <w:pPr>
              <w:jc w:val="right"/>
            </w:pPr>
            <w:r/>
            <w:r>
              <w:rPr>
                <w:color w:val="1A1D21"/>
                <w:sz w:val="17"/>
              </w:rPr>
              <w:t>6.92</w:t>
            </w:r>
          </w:p>
        </w:tc>
        <w:tc>
          <w:tcPr>
            <w:tcW w:type="dxa" w:w="1026"/>
          </w:tcPr>
          <w:p>
            <w:pPr>
              <w:jc w:val="right"/>
            </w:pPr>
            <w:r/>
            <w:r>
              <w:rPr>
                <w:color w:val="1A1D21"/>
                <w:sz w:val="17"/>
              </w:rPr>
              <w:t>10.23</w:t>
            </w:r>
          </w:p>
        </w:tc>
      </w:tr>
    </w:tbl>
    <w:p>
      <w:pPr>
        <w:spacing w:after="200"/>
      </w:pPr>
      <w:r>
        <w:rPr>
          <w:b w:val="0"/>
          <w:i/>
          <w:color w:val="5B6570"/>
          <w:sz w:val="16"/>
        </w:rPr>
        <w:t>Five forecast years. Gross margin is what price per unit and cost per unit leave behind, never an input. Years three to five should be read against the range in section 1.9, not as points.</w:t>
      </w:r>
    </w:p>
    <w:p>
      <w:pPr>
        <w:pStyle w:val="Heading2"/>
      </w:pPr>
      <w:r>
        <w:t>A.2  Balance sheet</w:t>
      </w:r>
    </w:p>
    <w:tbl>
      <w:tblPr>
        <w:tblStyle w:val="TableGrid"/>
        <w:tblW w:type="auto" w:w="0"/>
        <w:jc w:val="center"/>
        <w:tblLayout w:type="fixed"/>
        <w:tblLook w:firstColumn="1" w:firstRow="1" w:lastColumn="0" w:lastRow="0" w:noHBand="0" w:noVBand="1" w:val="04A0"/>
        <w:tblLayout w:type="fixed"/>
      </w:tblPr>
      <w:tblGrid>
        <w:gridCol w:w="3515"/>
        <w:gridCol w:w="2041"/>
        <w:gridCol w:w="1814"/>
        <w:gridCol w:w="1814"/>
      </w:tblGrid>
      <w:tr>
        <w:trPr>
          <w:tblHeader w:val="true"/>
        </w:trPr>
        <w:tc>
          <w:tcPr>
            <w:tcW w:type="dxa" w:w="3515"/>
          </w:tcPr>
          <w:p>
            <w:r/>
            <w:r>
              <w:rPr>
                <w:b/>
                <w:color w:val="5B6570"/>
                <w:sz w:val="17"/>
              </w:rPr>
              <w:t>EGP million, as reported</w:t>
            </w:r>
          </w:p>
        </w:tc>
        <w:tc>
          <w:tcPr>
            <w:tcW w:type="dxa" w:w="2041"/>
          </w:tcPr>
          <w:p>
            <w:r/>
            <w:r>
              <w:rPr>
                <w:b/>
                <w:color w:val="5B6570"/>
                <w:sz w:val="17"/>
              </w:rPr>
              <w:t>31 Mar 2026 (reviewed)</w:t>
            </w:r>
          </w:p>
        </w:tc>
        <w:tc>
          <w:tcPr>
            <w:tcW w:type="dxa" w:w="1814"/>
          </w:tcPr>
          <w:p>
            <w:r/>
            <w:r>
              <w:rPr>
                <w:b/>
                <w:color w:val="5B6570"/>
                <w:sz w:val="17"/>
              </w:rPr>
              <w:t>2025</w:t>
            </w:r>
          </w:p>
        </w:tc>
        <w:tc>
          <w:tcPr>
            <w:tcW w:type="dxa" w:w="1814"/>
          </w:tcPr>
          <w:p>
            <w:r/>
            <w:r>
              <w:rPr>
                <w:b/>
                <w:color w:val="5B6570"/>
                <w:sz w:val="17"/>
              </w:rPr>
              <w:t>2024</w:t>
            </w:r>
          </w:p>
        </w:tc>
      </w:tr>
      <w:tr>
        <w:trPr>
          <w:cantSplit/>
        </w:trPr>
        <w:tc>
          <w:tcPr>
            <w:tcW w:type="dxa" w:w="3515"/>
          </w:tcPr>
          <w:p>
            <w:r/>
            <w:r>
              <w:rPr>
                <w:color w:val="1A1D21"/>
                <w:sz w:val="17"/>
              </w:rPr>
              <w:t>Non-current assets</w:t>
            </w:r>
          </w:p>
        </w:tc>
        <w:tc>
          <w:tcPr>
            <w:tcW w:type="dxa" w:w="2041"/>
          </w:tcPr>
          <w:p>
            <w:pPr>
              <w:jc w:val="right"/>
            </w:pPr>
            <w:r/>
            <w:r>
              <w:rPr>
                <w:color w:val="1A1D21"/>
                <w:sz w:val="17"/>
              </w:rPr>
              <w:t>63,115.1</w:t>
            </w:r>
          </w:p>
        </w:tc>
        <w:tc>
          <w:tcPr>
            <w:tcW w:type="dxa" w:w="1814"/>
          </w:tcPr>
          <w:p>
            <w:pPr>
              <w:jc w:val="right"/>
            </w:pPr>
            <w:r/>
            <w:r>
              <w:rPr>
                <w:color w:val="1A1D21"/>
                <w:sz w:val="17"/>
              </w:rPr>
              <w:t>65,900.2</w:t>
            </w:r>
          </w:p>
        </w:tc>
        <w:tc>
          <w:tcPr>
            <w:tcW w:type="dxa" w:w="1814"/>
          </w:tcPr>
          <w:p>
            <w:pPr>
              <w:jc w:val="right"/>
            </w:pPr>
            <w:r/>
            <w:r>
              <w:rPr>
                <w:color w:val="1A1D21"/>
                <w:sz w:val="17"/>
              </w:rPr>
              <w:t>54,166.4</w:t>
            </w:r>
          </w:p>
        </w:tc>
      </w:tr>
      <w:tr>
        <w:trPr>
          <w:cantSplit/>
        </w:trPr>
        <w:tc>
          <w:tcPr>
            <w:tcW w:type="dxa" w:w="3515"/>
          </w:tcPr>
          <w:p>
            <w:r/>
            <w:r>
              <w:rPr>
                <w:color w:val="1A1D21"/>
                <w:sz w:val="17"/>
              </w:rPr>
              <w:t xml:space="preserve">  of which notes receivable, long term</w:t>
            </w:r>
          </w:p>
        </w:tc>
        <w:tc>
          <w:tcPr>
            <w:tcW w:type="dxa" w:w="2041"/>
          </w:tcPr>
          <w:p>
            <w:pPr>
              <w:jc w:val="right"/>
            </w:pPr>
            <w:r/>
            <w:r>
              <w:rPr>
                <w:color w:val="1A1D21"/>
                <w:sz w:val="17"/>
              </w:rPr>
              <w:t>53,187.9</w:t>
            </w:r>
          </w:p>
        </w:tc>
        <w:tc>
          <w:tcPr>
            <w:tcW w:type="dxa" w:w="1814"/>
          </w:tcPr>
          <w:p>
            <w:pPr>
              <w:jc w:val="right"/>
            </w:pPr>
            <w:r/>
            <w:r>
              <w:rPr>
                <w:color w:val="1A1D21"/>
                <w:sz w:val="17"/>
              </w:rPr>
              <w:t>56,319.8</w:t>
            </w:r>
          </w:p>
        </w:tc>
        <w:tc>
          <w:tcPr>
            <w:tcW w:type="dxa" w:w="1814"/>
          </w:tcPr>
          <w:p>
            <w:pPr>
              <w:jc w:val="right"/>
            </w:pPr>
            <w:r/>
            <w:r>
              <w:rPr>
                <w:color w:val="1A1D21"/>
                <w:sz w:val="17"/>
              </w:rPr>
              <w:t>46,309.1</w:t>
            </w:r>
          </w:p>
        </w:tc>
      </w:tr>
      <w:tr>
        <w:trPr>
          <w:cantSplit/>
        </w:trPr>
        <w:tc>
          <w:tcPr>
            <w:tcW w:type="dxa" w:w="3515"/>
          </w:tcPr>
          <w:p>
            <w:r/>
            <w:r>
              <w:rPr>
                <w:color w:val="1A1D21"/>
                <w:sz w:val="17"/>
              </w:rPr>
              <w:t>Current assets</w:t>
            </w:r>
          </w:p>
        </w:tc>
        <w:tc>
          <w:tcPr>
            <w:tcW w:type="dxa" w:w="2041"/>
          </w:tcPr>
          <w:p>
            <w:pPr>
              <w:jc w:val="right"/>
            </w:pPr>
            <w:r/>
            <w:r>
              <w:rPr>
                <w:color w:val="1A1D21"/>
                <w:sz w:val="17"/>
              </w:rPr>
              <w:t>114,863.9</w:t>
            </w:r>
          </w:p>
        </w:tc>
        <w:tc>
          <w:tcPr>
            <w:tcW w:type="dxa" w:w="1814"/>
          </w:tcPr>
          <w:p>
            <w:pPr>
              <w:jc w:val="right"/>
            </w:pPr>
            <w:r/>
            <w:r>
              <w:rPr>
                <w:color w:val="1A1D21"/>
                <w:sz w:val="17"/>
              </w:rPr>
              <w:t>106,229.6</w:t>
            </w:r>
          </w:p>
        </w:tc>
        <w:tc>
          <w:tcPr>
            <w:tcW w:type="dxa" w:w="1814"/>
          </w:tcPr>
          <w:p>
            <w:pPr>
              <w:jc w:val="right"/>
            </w:pPr>
            <w:r/>
            <w:r>
              <w:rPr>
                <w:color w:val="1A1D21"/>
                <w:sz w:val="17"/>
              </w:rPr>
              <w:t>69,270.9</w:t>
            </w:r>
          </w:p>
        </w:tc>
      </w:tr>
      <w:tr>
        <w:trPr>
          <w:cantSplit/>
        </w:trPr>
        <w:tc>
          <w:tcPr>
            <w:tcW w:type="dxa" w:w="3515"/>
          </w:tcPr>
          <w:p>
            <w:r/>
            <w:r>
              <w:rPr>
                <w:color w:val="1A1D21"/>
                <w:sz w:val="17"/>
              </w:rPr>
              <w:t xml:space="preserve">  of which work in progress</w:t>
            </w:r>
          </w:p>
        </w:tc>
        <w:tc>
          <w:tcPr>
            <w:tcW w:type="dxa" w:w="2041"/>
          </w:tcPr>
          <w:p>
            <w:pPr>
              <w:jc w:val="right"/>
            </w:pPr>
            <w:r/>
            <w:r>
              <w:rPr>
                <w:color w:val="1A1D21"/>
                <w:sz w:val="17"/>
              </w:rPr>
              <w:t>21,337.8</w:t>
            </w:r>
          </w:p>
        </w:tc>
        <w:tc>
          <w:tcPr>
            <w:tcW w:type="dxa" w:w="1814"/>
          </w:tcPr>
          <w:p>
            <w:pPr>
              <w:jc w:val="right"/>
            </w:pPr>
            <w:r/>
            <w:r>
              <w:rPr>
                <w:color w:val="1A1D21"/>
                <w:sz w:val="17"/>
              </w:rPr>
              <w:t>17,570.9</w:t>
            </w:r>
          </w:p>
        </w:tc>
        <w:tc>
          <w:tcPr>
            <w:tcW w:type="dxa" w:w="1814"/>
          </w:tcPr>
          <w:p>
            <w:pPr>
              <w:jc w:val="right"/>
            </w:pPr>
            <w:r/>
            <w:r>
              <w:rPr>
                <w:color w:val="1A1D21"/>
                <w:sz w:val="17"/>
              </w:rPr>
              <w:t>13,209.8</w:t>
            </w:r>
          </w:p>
        </w:tc>
      </w:tr>
      <w:tr>
        <w:trPr>
          <w:cantSplit/>
        </w:trPr>
        <w:tc>
          <w:tcPr>
            <w:tcW w:type="dxa" w:w="3515"/>
          </w:tcPr>
          <w:p>
            <w:r/>
            <w:r>
              <w:rPr>
                <w:color w:val="1A1D21"/>
                <w:sz w:val="17"/>
              </w:rPr>
              <w:t xml:space="preserve">  of which trade receivables</w:t>
            </w:r>
          </w:p>
        </w:tc>
        <w:tc>
          <w:tcPr>
            <w:tcW w:type="dxa" w:w="2041"/>
          </w:tcPr>
          <w:p>
            <w:pPr>
              <w:jc w:val="right"/>
            </w:pPr>
            <w:r/>
            <w:r>
              <w:rPr>
                <w:color w:val="1A1D21"/>
                <w:sz w:val="17"/>
              </w:rPr>
              <w:t>30,481.0</w:t>
            </w:r>
          </w:p>
        </w:tc>
        <w:tc>
          <w:tcPr>
            <w:tcW w:type="dxa" w:w="1814"/>
          </w:tcPr>
          <w:p>
            <w:pPr>
              <w:jc w:val="right"/>
            </w:pPr>
            <w:r/>
            <w:r>
              <w:rPr>
                <w:color w:val="1A1D21"/>
                <w:sz w:val="17"/>
              </w:rPr>
              <w:t>28,118.1</w:t>
            </w:r>
          </w:p>
        </w:tc>
        <w:tc>
          <w:tcPr>
            <w:tcW w:type="dxa" w:w="1814"/>
          </w:tcPr>
          <w:p>
            <w:pPr>
              <w:jc w:val="right"/>
            </w:pPr>
            <w:r/>
            <w:r>
              <w:rPr>
                <w:color w:val="1A1D21"/>
                <w:sz w:val="17"/>
              </w:rPr>
              <w:t>15,561.1</w:t>
            </w:r>
          </w:p>
        </w:tc>
      </w:tr>
      <w:tr>
        <w:trPr>
          <w:cantSplit/>
        </w:trPr>
        <w:tc>
          <w:tcPr>
            <w:tcW w:type="dxa" w:w="3515"/>
          </w:tcPr>
          <w:p>
            <w:r/>
            <w:r>
              <w:rPr>
                <w:color w:val="1A1D21"/>
                <w:sz w:val="17"/>
              </w:rPr>
              <w:t xml:space="preserve">  of which notes receivable, short term</w:t>
            </w:r>
          </w:p>
        </w:tc>
        <w:tc>
          <w:tcPr>
            <w:tcW w:type="dxa" w:w="2041"/>
          </w:tcPr>
          <w:p>
            <w:pPr>
              <w:jc w:val="right"/>
            </w:pPr>
            <w:r/>
            <w:r>
              <w:rPr>
                <w:color w:val="1A1D21"/>
                <w:sz w:val="17"/>
              </w:rPr>
              <w:t>17,788.2</w:t>
            </w:r>
          </w:p>
        </w:tc>
        <w:tc>
          <w:tcPr>
            <w:tcW w:type="dxa" w:w="1814"/>
          </w:tcPr>
          <w:p>
            <w:pPr>
              <w:jc w:val="right"/>
            </w:pPr>
            <w:r/>
            <w:r>
              <w:rPr>
                <w:color w:val="1A1D21"/>
                <w:sz w:val="17"/>
              </w:rPr>
              <w:t>19,073.0</w:t>
            </w:r>
          </w:p>
        </w:tc>
        <w:tc>
          <w:tcPr>
            <w:tcW w:type="dxa" w:w="1814"/>
          </w:tcPr>
          <w:p>
            <w:pPr>
              <w:jc w:val="right"/>
            </w:pPr>
            <w:r/>
            <w:r>
              <w:rPr>
                <w:color w:val="1A1D21"/>
                <w:sz w:val="17"/>
              </w:rPr>
              <w:t>15,148.4</w:t>
            </w:r>
          </w:p>
        </w:tc>
      </w:tr>
      <w:tr>
        <w:trPr>
          <w:cantSplit/>
        </w:trPr>
        <w:tc>
          <w:tcPr>
            <w:tcW w:type="dxa" w:w="3515"/>
          </w:tcPr>
          <w:p>
            <w:r/>
            <w:r>
              <w:rPr>
                <w:color w:val="1A1D21"/>
                <w:sz w:val="17"/>
              </w:rPr>
              <w:t xml:space="preserve">  of which cash</w:t>
            </w:r>
          </w:p>
        </w:tc>
        <w:tc>
          <w:tcPr>
            <w:tcW w:type="dxa" w:w="2041"/>
          </w:tcPr>
          <w:p>
            <w:pPr>
              <w:jc w:val="right"/>
            </w:pPr>
            <w:r/>
            <w:r>
              <w:rPr>
                <w:color w:val="1A1D21"/>
                <w:sz w:val="17"/>
              </w:rPr>
              <w:t>9,125.1</w:t>
            </w:r>
          </w:p>
        </w:tc>
        <w:tc>
          <w:tcPr>
            <w:tcW w:type="dxa" w:w="1814"/>
          </w:tcPr>
          <w:p>
            <w:pPr>
              <w:jc w:val="right"/>
            </w:pPr>
            <w:r/>
            <w:r>
              <w:rPr>
                <w:color w:val="1A1D21"/>
                <w:sz w:val="17"/>
              </w:rPr>
              <w:t>9,419.5</w:t>
            </w:r>
          </w:p>
        </w:tc>
        <w:tc>
          <w:tcPr>
            <w:tcW w:type="dxa" w:w="1814"/>
          </w:tcPr>
          <w:p>
            <w:pPr>
              <w:jc w:val="right"/>
            </w:pPr>
            <w:r/>
            <w:r>
              <w:rPr>
                <w:color w:val="1A1D21"/>
                <w:sz w:val="17"/>
              </w:rPr>
              <w:t>6,372.4</w:t>
            </w:r>
          </w:p>
        </w:tc>
      </w:tr>
      <w:tr>
        <w:trPr>
          <w:cantSplit/>
        </w:trPr>
        <w:tc>
          <w:tcPr>
            <w:tcW w:type="dxa" w:w="3515"/>
          </w:tcPr>
          <w:p>
            <w:r/>
            <w:r>
              <w:rPr>
                <w:color w:val="1A1D21"/>
                <w:sz w:val="17"/>
              </w:rPr>
              <w:t>Total assets</w:t>
            </w:r>
          </w:p>
        </w:tc>
        <w:tc>
          <w:tcPr>
            <w:tcW w:type="dxa" w:w="2041"/>
          </w:tcPr>
          <w:p>
            <w:pPr>
              <w:jc w:val="right"/>
            </w:pPr>
            <w:r/>
            <w:r>
              <w:rPr>
                <w:color w:val="1A1D21"/>
                <w:sz w:val="17"/>
              </w:rPr>
              <w:t>177,979.0</w:t>
            </w:r>
          </w:p>
        </w:tc>
        <w:tc>
          <w:tcPr>
            <w:tcW w:type="dxa" w:w="1814"/>
          </w:tcPr>
          <w:p>
            <w:pPr>
              <w:jc w:val="right"/>
            </w:pPr>
            <w:r/>
            <w:r>
              <w:rPr>
                <w:color w:val="1A1D21"/>
                <w:sz w:val="17"/>
              </w:rPr>
              <w:t>172,129.8</w:t>
            </w:r>
          </w:p>
        </w:tc>
        <w:tc>
          <w:tcPr>
            <w:tcW w:type="dxa" w:w="1814"/>
          </w:tcPr>
          <w:p>
            <w:pPr>
              <w:jc w:val="right"/>
            </w:pPr>
            <w:r/>
            <w:r>
              <w:rPr>
                <w:color w:val="1A1D21"/>
                <w:sz w:val="17"/>
              </w:rPr>
              <w:t>123,437.3</w:t>
            </w:r>
          </w:p>
        </w:tc>
      </w:tr>
      <w:tr>
        <w:trPr>
          <w:cantSplit/>
        </w:trPr>
        <w:tc>
          <w:tcPr>
            <w:tcW w:type="dxa" w:w="3515"/>
          </w:tcPr>
          <w:p>
            <w:r/>
            <w:r>
              <w:rPr>
                <w:color w:val="1A1D21"/>
                <w:sz w:val="17"/>
              </w:rPr>
              <w:t>Current liabilities</w:t>
            </w:r>
          </w:p>
        </w:tc>
        <w:tc>
          <w:tcPr>
            <w:tcW w:type="dxa" w:w="2041"/>
          </w:tcPr>
          <w:p>
            <w:pPr>
              <w:jc w:val="right"/>
            </w:pPr>
            <w:r/>
            <w:r>
              <w:rPr>
                <w:color w:val="1A1D21"/>
                <w:sz w:val="17"/>
              </w:rPr>
              <w:t>108,093.2</w:t>
            </w:r>
          </w:p>
        </w:tc>
        <w:tc>
          <w:tcPr>
            <w:tcW w:type="dxa" w:w="1814"/>
          </w:tcPr>
          <w:p>
            <w:pPr>
              <w:jc w:val="right"/>
            </w:pPr>
            <w:r/>
            <w:r>
              <w:rPr>
                <w:color w:val="1A1D21"/>
                <w:sz w:val="17"/>
              </w:rPr>
              <w:t>105,099.0</w:t>
            </w:r>
          </w:p>
        </w:tc>
        <w:tc>
          <w:tcPr>
            <w:tcW w:type="dxa" w:w="1814"/>
          </w:tcPr>
          <w:p>
            <w:pPr>
              <w:jc w:val="right"/>
            </w:pPr>
            <w:r/>
            <w:r>
              <w:rPr>
                <w:color w:val="1A1D21"/>
                <w:sz w:val="17"/>
              </w:rPr>
              <w:t>74,496.9</w:t>
            </w:r>
          </w:p>
        </w:tc>
      </w:tr>
      <w:tr>
        <w:trPr>
          <w:cantSplit/>
        </w:trPr>
        <w:tc>
          <w:tcPr>
            <w:tcW w:type="dxa" w:w="3515"/>
          </w:tcPr>
          <w:p>
            <w:r/>
            <w:r>
              <w:rPr>
                <w:color w:val="1A1D21"/>
                <w:sz w:val="17"/>
              </w:rPr>
              <w:t xml:space="preserve">  of which advances from customers</w:t>
            </w:r>
          </w:p>
        </w:tc>
        <w:tc>
          <w:tcPr>
            <w:tcW w:type="dxa" w:w="2041"/>
          </w:tcPr>
          <w:p>
            <w:pPr>
              <w:jc w:val="right"/>
            </w:pPr>
            <w:r/>
            <w:r>
              <w:rPr>
                <w:color w:val="1A1D21"/>
                <w:sz w:val="17"/>
              </w:rPr>
              <w:t>72,867.8</w:t>
            </w:r>
          </w:p>
        </w:tc>
        <w:tc>
          <w:tcPr>
            <w:tcW w:type="dxa" w:w="1814"/>
          </w:tcPr>
          <w:p>
            <w:pPr>
              <w:jc w:val="right"/>
            </w:pPr>
            <w:r/>
            <w:r>
              <w:rPr>
                <w:color w:val="1A1D21"/>
                <w:sz w:val="17"/>
              </w:rPr>
              <w:t>69,354.1</w:t>
            </w:r>
          </w:p>
        </w:tc>
        <w:tc>
          <w:tcPr>
            <w:tcW w:type="dxa" w:w="1814"/>
          </w:tcPr>
          <w:p>
            <w:pPr>
              <w:jc w:val="right"/>
            </w:pPr>
            <w:r/>
            <w:r>
              <w:rPr>
                <w:color w:val="1A1D21"/>
                <w:sz w:val="17"/>
              </w:rPr>
              <w:t>47,403.8</w:t>
            </w:r>
          </w:p>
        </w:tc>
      </w:tr>
      <w:tr>
        <w:trPr>
          <w:cantSplit/>
        </w:trPr>
        <w:tc>
          <w:tcPr>
            <w:tcW w:type="dxa" w:w="3515"/>
          </w:tcPr>
          <w:p>
            <w:r/>
            <w:r>
              <w:rPr>
                <w:color w:val="1A1D21"/>
                <w:sz w:val="17"/>
              </w:rPr>
              <w:t xml:space="preserve">  of which suppliers</w:t>
            </w:r>
          </w:p>
        </w:tc>
        <w:tc>
          <w:tcPr>
            <w:tcW w:type="dxa" w:w="2041"/>
          </w:tcPr>
          <w:p>
            <w:pPr>
              <w:jc w:val="right"/>
            </w:pPr>
            <w:r/>
            <w:r>
              <w:rPr>
                <w:color w:val="1A1D21"/>
                <w:sz w:val="17"/>
              </w:rPr>
              <w:t>5,340.1</w:t>
            </w:r>
          </w:p>
        </w:tc>
        <w:tc>
          <w:tcPr>
            <w:tcW w:type="dxa" w:w="1814"/>
          </w:tcPr>
          <w:p>
            <w:pPr>
              <w:jc w:val="right"/>
            </w:pPr>
            <w:r/>
            <w:r>
              <w:rPr>
                <w:color w:val="1A1D21"/>
                <w:sz w:val="17"/>
              </w:rPr>
              <w:t>3,807.0</w:t>
            </w:r>
          </w:p>
        </w:tc>
        <w:tc>
          <w:tcPr>
            <w:tcW w:type="dxa" w:w="1814"/>
          </w:tcPr>
          <w:p>
            <w:pPr>
              <w:jc w:val="right"/>
            </w:pPr>
            <w:r/>
            <w:r>
              <w:rPr>
                <w:color w:val="1A1D21"/>
                <w:sz w:val="17"/>
              </w:rPr>
              <w:t>3,426.7</w:t>
            </w:r>
          </w:p>
        </w:tc>
      </w:tr>
      <w:tr>
        <w:trPr>
          <w:cantSplit/>
        </w:trPr>
        <w:tc>
          <w:tcPr>
            <w:tcW w:type="dxa" w:w="3515"/>
          </w:tcPr>
          <w:p>
            <w:r/>
            <w:r>
              <w:rPr>
                <w:color w:val="1A1D21"/>
                <w:sz w:val="17"/>
              </w:rPr>
              <w:t>Non-current liabilities</w:t>
            </w:r>
          </w:p>
        </w:tc>
        <w:tc>
          <w:tcPr>
            <w:tcW w:type="dxa" w:w="2041"/>
          </w:tcPr>
          <w:p>
            <w:pPr>
              <w:jc w:val="right"/>
            </w:pPr>
            <w:r/>
            <w:r>
              <w:rPr>
                <w:color w:val="1A1D21"/>
                <w:sz w:val="17"/>
              </w:rPr>
              <w:t>49,497.4</w:t>
            </w:r>
          </w:p>
        </w:tc>
        <w:tc>
          <w:tcPr>
            <w:tcW w:type="dxa" w:w="1814"/>
          </w:tcPr>
          <w:p>
            <w:pPr>
              <w:jc w:val="right"/>
            </w:pPr>
            <w:r/>
            <w:r>
              <w:rPr>
                <w:color w:val="1A1D21"/>
                <w:sz w:val="17"/>
              </w:rPr>
              <w:t>48,265.1</w:t>
            </w:r>
          </w:p>
        </w:tc>
        <w:tc>
          <w:tcPr>
            <w:tcW w:type="dxa" w:w="1814"/>
          </w:tcPr>
          <w:p>
            <w:pPr>
              <w:jc w:val="right"/>
            </w:pPr>
            <w:r/>
            <w:r>
              <w:rPr>
                <w:color w:val="1A1D21"/>
                <w:sz w:val="17"/>
              </w:rPr>
              <w:t>34,315.7</w:t>
            </w:r>
          </w:p>
        </w:tc>
      </w:tr>
      <w:tr>
        <w:trPr>
          <w:cantSplit/>
        </w:trPr>
        <w:tc>
          <w:tcPr>
            <w:tcW w:type="dxa" w:w="3515"/>
          </w:tcPr>
          <w:p>
            <w:r/>
            <w:r>
              <w:rPr>
                <w:color w:val="1A1D21"/>
                <w:sz w:val="17"/>
              </w:rPr>
              <w:t>Total liabilities</w:t>
            </w:r>
          </w:p>
        </w:tc>
        <w:tc>
          <w:tcPr>
            <w:tcW w:type="dxa" w:w="2041"/>
          </w:tcPr>
          <w:p>
            <w:pPr>
              <w:jc w:val="right"/>
            </w:pPr>
            <w:r/>
            <w:r>
              <w:rPr>
                <w:color w:val="1A1D21"/>
                <w:sz w:val="17"/>
              </w:rPr>
              <w:t>157,590.6</w:t>
            </w:r>
          </w:p>
        </w:tc>
        <w:tc>
          <w:tcPr>
            <w:tcW w:type="dxa" w:w="1814"/>
          </w:tcPr>
          <w:p>
            <w:pPr>
              <w:jc w:val="right"/>
            </w:pPr>
            <w:r/>
            <w:r>
              <w:rPr>
                <w:color w:val="1A1D21"/>
                <w:sz w:val="17"/>
              </w:rPr>
              <w:t>153,364.1</w:t>
            </w:r>
          </w:p>
        </w:tc>
        <w:tc>
          <w:tcPr>
            <w:tcW w:type="dxa" w:w="1814"/>
          </w:tcPr>
          <w:p>
            <w:pPr>
              <w:jc w:val="right"/>
            </w:pPr>
            <w:r/>
            <w:r>
              <w:rPr>
                <w:color w:val="1A1D21"/>
                <w:sz w:val="17"/>
              </w:rPr>
              <w:t>108,812.6</w:t>
            </w:r>
          </w:p>
        </w:tc>
      </w:tr>
      <w:tr>
        <w:trPr>
          <w:cantSplit/>
        </w:trPr>
        <w:tc>
          <w:tcPr>
            <w:tcW w:type="dxa" w:w="3515"/>
          </w:tcPr>
          <w:p>
            <w:r/>
            <w:r>
              <w:rPr>
                <w:color w:val="1A1D21"/>
                <w:sz w:val="17"/>
              </w:rPr>
              <w:t>Shareholders' funds</w:t>
            </w:r>
          </w:p>
        </w:tc>
        <w:tc>
          <w:tcPr>
            <w:tcW w:type="dxa" w:w="2041"/>
          </w:tcPr>
          <w:p>
            <w:pPr>
              <w:jc w:val="right"/>
            </w:pPr>
            <w:r/>
            <w:r>
              <w:rPr>
                <w:color w:val="1A1D21"/>
                <w:sz w:val="17"/>
              </w:rPr>
              <w:t>20,388.4</w:t>
            </w:r>
          </w:p>
        </w:tc>
        <w:tc>
          <w:tcPr>
            <w:tcW w:type="dxa" w:w="1814"/>
          </w:tcPr>
          <w:p>
            <w:pPr>
              <w:jc w:val="right"/>
            </w:pPr>
            <w:r/>
            <w:r>
              <w:rPr>
                <w:color w:val="1A1D21"/>
                <w:sz w:val="17"/>
              </w:rPr>
              <w:t>18,765.8</w:t>
            </w:r>
          </w:p>
        </w:tc>
        <w:tc>
          <w:tcPr>
            <w:tcW w:type="dxa" w:w="1814"/>
          </w:tcPr>
          <w:p>
            <w:pPr>
              <w:jc w:val="right"/>
            </w:pPr>
            <w:r/>
            <w:r>
              <w:rPr>
                <w:color w:val="1A1D21"/>
                <w:sz w:val="17"/>
              </w:rPr>
              <w:t>14,624.7</w:t>
            </w:r>
          </w:p>
        </w:tc>
      </w:tr>
      <w:tr>
        <w:trPr>
          <w:cantSplit/>
        </w:trPr>
        <w:tc>
          <w:tcPr>
            <w:tcW w:type="dxa" w:w="3515"/>
          </w:tcPr>
          <w:p>
            <w:r/>
            <w:r>
              <w:rPr>
                <w:color w:val="1A1D21"/>
                <w:sz w:val="17"/>
              </w:rPr>
              <w:t xml:space="preserve">  of which attributable to the parent</w:t>
            </w:r>
          </w:p>
        </w:tc>
        <w:tc>
          <w:tcPr>
            <w:tcW w:type="dxa" w:w="2041"/>
          </w:tcPr>
          <w:p>
            <w:pPr>
              <w:jc w:val="right"/>
            </w:pPr>
            <w:r/>
            <w:r>
              <w:rPr>
                <w:color w:val="1A1D21"/>
                <w:sz w:val="17"/>
              </w:rPr>
              <w:t>18,955.7</w:t>
            </w:r>
          </w:p>
        </w:tc>
        <w:tc>
          <w:tcPr>
            <w:tcW w:type="dxa" w:w="1814"/>
          </w:tcPr>
          <w:p>
            <w:pPr>
              <w:jc w:val="right"/>
            </w:pPr>
            <w:r/>
            <w:r>
              <w:rPr>
                <w:color w:val="1A1D21"/>
                <w:sz w:val="17"/>
              </w:rPr>
              <w:t>17,431.4</w:t>
            </w:r>
          </w:p>
        </w:tc>
        <w:tc>
          <w:tcPr>
            <w:tcW w:type="dxa" w:w="1814"/>
          </w:tcPr>
          <w:p>
            <w:r/>
            <w:r>
              <w:rPr>
                <w:color w:val="1A1D21"/>
                <w:sz w:val="17"/>
              </w:rPr>
              <w:t>n/a</w:t>
            </w:r>
          </w:p>
        </w:tc>
      </w:tr>
      <w:tr>
        <w:trPr>
          <w:cantSplit/>
        </w:trPr>
        <w:tc>
          <w:tcPr>
            <w:tcW w:type="dxa" w:w="3515"/>
          </w:tcPr>
          <w:p>
            <w:r/>
            <w:r>
              <w:rPr>
                <w:color w:val="1A1D21"/>
                <w:sz w:val="17"/>
              </w:rPr>
              <w:t xml:space="preserve">  of which minority interests</w:t>
            </w:r>
          </w:p>
        </w:tc>
        <w:tc>
          <w:tcPr>
            <w:tcW w:type="dxa" w:w="2041"/>
          </w:tcPr>
          <w:p>
            <w:pPr>
              <w:jc w:val="right"/>
            </w:pPr>
            <w:r/>
            <w:r>
              <w:rPr>
                <w:color w:val="1A1D21"/>
                <w:sz w:val="17"/>
              </w:rPr>
              <w:t>1,432.7</w:t>
            </w:r>
          </w:p>
        </w:tc>
        <w:tc>
          <w:tcPr>
            <w:tcW w:type="dxa" w:w="1814"/>
          </w:tcPr>
          <w:p>
            <w:pPr>
              <w:jc w:val="right"/>
            </w:pPr>
            <w:r/>
            <w:r>
              <w:rPr>
                <w:color w:val="1A1D21"/>
                <w:sz w:val="17"/>
              </w:rPr>
              <w:t>1,334.3</w:t>
            </w:r>
          </w:p>
        </w:tc>
        <w:tc>
          <w:tcPr>
            <w:tcW w:type="dxa" w:w="1814"/>
          </w:tcPr>
          <w:p>
            <w:r/>
            <w:r>
              <w:rPr>
                <w:color w:val="1A1D21"/>
                <w:sz w:val="17"/>
              </w:rPr>
              <w:t>n/a</w:t>
            </w:r>
          </w:p>
        </w:tc>
      </w:tr>
      <w:tr>
        <w:trPr>
          <w:cantSplit/>
        </w:trPr>
        <w:tc>
          <w:tcPr>
            <w:tcW w:type="dxa" w:w="3515"/>
          </w:tcPr>
          <w:p>
            <w:r/>
            <w:r>
              <w:rPr>
                <w:color w:val="1A1D21"/>
                <w:sz w:val="17"/>
              </w:rPr>
              <w:t>Total equity and liabilities</w:t>
            </w:r>
          </w:p>
        </w:tc>
        <w:tc>
          <w:tcPr>
            <w:tcW w:type="dxa" w:w="2041"/>
          </w:tcPr>
          <w:p>
            <w:pPr>
              <w:jc w:val="right"/>
            </w:pPr>
            <w:r/>
            <w:r>
              <w:rPr>
                <w:color w:val="1A1D21"/>
                <w:sz w:val="17"/>
              </w:rPr>
              <w:t>177,979.0</w:t>
            </w:r>
          </w:p>
        </w:tc>
        <w:tc>
          <w:tcPr>
            <w:tcW w:type="dxa" w:w="1814"/>
          </w:tcPr>
          <w:p>
            <w:pPr>
              <w:jc w:val="right"/>
            </w:pPr>
            <w:r/>
            <w:r>
              <w:rPr>
                <w:color w:val="1A1D21"/>
                <w:sz w:val="17"/>
              </w:rPr>
              <w:t>172,129.8</w:t>
            </w:r>
          </w:p>
        </w:tc>
        <w:tc>
          <w:tcPr>
            <w:tcW w:type="dxa" w:w="1814"/>
          </w:tcPr>
          <w:p>
            <w:pPr>
              <w:jc w:val="right"/>
            </w:pPr>
            <w:r/>
            <w:r>
              <w:rPr>
                <w:color w:val="1A1D21"/>
                <w:sz w:val="17"/>
              </w:rPr>
              <w:t>123,437.3</w:t>
            </w:r>
          </w:p>
        </w:tc>
      </w:tr>
    </w:tbl>
    <w:p>
      <w:pPr>
        <w:spacing w:after="200"/>
      </w:pPr>
      <w:r>
        <w:rPr>
          <w:b w:val="0"/>
          <w:i/>
          <w:color w:val="5B6570"/>
          <w:sz w:val="16"/>
        </w:rPr>
        <w:t>As reported. Total assets equal total liabilities plus shareholders' funds on all three dates, and each subtotal reconciles to its components. The March 2026 column is the reviewed interim statement and is the sheet the bridge, the book value and the borrowings stand on; the split of shareholders' funds is not carried in the 2024 comparative column the study holds.</w:t>
      </w:r>
    </w:p>
    <w:p>
      <w:pPr>
        <w:pStyle w:val="Heading2"/>
      </w:pPr>
      <w:r>
        <w:t>A.3  Forecast balance sheet and cash flow</w:t>
      </w:r>
    </w:p>
    <w:p>
      <w:pPr>
        <w:spacing w:after="140"/>
      </w:pPr>
      <w:r>
        <w:rPr>
          <w:b w:val="0"/>
          <w:i w:val="0"/>
          <w:color w:val="1A1D21"/>
          <w:sz w:val="20"/>
        </w:rPr>
        <w:t>Because the balance sheet and the cash-flow statement disagree about 2025 by EGP 16,938 million, and that difference cannot be split from what has been disclosed, the forecast is published two ways. Neither is averaged into the other. Both rest on the same income statement above; they differ only in what they hold fixed about cash.</w:t>
      </w:r>
    </w:p>
    <w:p>
      <w:pPr>
        <w:pStyle w:val="ListBullet"/>
        <w:spacing w:after="60"/>
      </w:pPr>
      <w:r>
        <w:rPr>
          <w:color w:val="1A1D21"/>
          <w:sz w:val="20"/>
        </w:rPr>
        <w:t>The first holds the collection cycle. Every working-capital line stays at the ratio to revenue it stood at in 2025, the balance sheet is built from those ratios, and operating cash is what is left. It asks what the growth costs to fund if nothing about collection changes.</w:t>
      </w:r>
    </w:p>
    <w:p>
      <w:pPr>
        <w:pStyle w:val="ListBullet"/>
        <w:spacing w:after="60"/>
      </w:pPr>
      <w:r>
        <w:rPr>
          <w:color w:val="1A1D21"/>
          <w:sz w:val="20"/>
        </w:rPr>
        <w:t>The second holds cash conversion. Operating cash is set at the company's own disclosed rate — 4.3, 17.9 and 3.9 per cent of revenue in the three published years, 8.7 per cent on average — and working capital is what is left. It asks what the collection cycle must do for the cash to keep converting as it has.</w:t>
      </w:r>
    </w:p>
    <w:p>
      <w:pPr>
        <w:spacing w:after="140"/>
      </w:pPr>
      <w:r>
        <w:rPr>
          <w:b w:val="0"/>
          <w:i w:val="0"/>
          <w:color w:val="1A1D21"/>
          <w:sz w:val="20"/>
        </w:rPr>
        <w:t>The valuation stands on the second, because that is the reading the company's own cash-flow statements support. The first is printed beside it because the two do not agree, and a single set of figures would hide that they don't.</w:t>
      </w:r>
    </w:p>
    <w:p>
      <w:pPr>
        <w:pStyle w:val="Heading3"/>
      </w:pPr>
      <w:r>
        <w:t>If cash conversion holds — the basis of the valuation</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Forecast balance sheet,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Trade and notes receivable</w:t>
            </w:r>
          </w:p>
        </w:tc>
        <w:tc>
          <w:tcPr>
            <w:tcW w:type="dxa" w:w="1026"/>
          </w:tcPr>
          <w:p>
            <w:pPr>
              <w:jc w:val="right"/>
            </w:pPr>
            <w:r/>
            <w:r>
              <w:rPr>
                <w:color w:val="1A1D21"/>
                <w:sz w:val="17"/>
              </w:rPr>
              <w:t>102,781</w:t>
            </w:r>
          </w:p>
        </w:tc>
        <w:tc>
          <w:tcPr>
            <w:tcW w:type="dxa" w:w="1026"/>
          </w:tcPr>
          <w:p>
            <w:pPr>
              <w:jc w:val="right"/>
            </w:pPr>
            <w:r/>
            <w:r>
              <w:rPr>
                <w:color w:val="1A1D21"/>
                <w:sz w:val="17"/>
              </w:rPr>
              <w:t>103,081</w:t>
            </w:r>
          </w:p>
        </w:tc>
        <w:tc>
          <w:tcPr>
            <w:tcW w:type="dxa" w:w="1026"/>
          </w:tcPr>
          <w:p>
            <w:pPr>
              <w:jc w:val="right"/>
            </w:pPr>
            <w:r/>
            <w:r>
              <w:rPr>
                <w:color w:val="1A1D21"/>
                <w:sz w:val="17"/>
              </w:rPr>
              <w:t>104,475</w:t>
            </w:r>
          </w:p>
        </w:tc>
        <w:tc>
          <w:tcPr>
            <w:tcW w:type="dxa" w:w="1026"/>
          </w:tcPr>
          <w:p>
            <w:pPr>
              <w:jc w:val="right"/>
            </w:pPr>
            <w:r/>
            <w:r>
              <w:rPr>
                <w:color w:val="1A1D21"/>
                <w:sz w:val="17"/>
              </w:rPr>
              <w:t>107,031</w:t>
            </w:r>
          </w:p>
        </w:tc>
        <w:tc>
          <w:tcPr>
            <w:tcW w:type="dxa" w:w="1026"/>
          </w:tcPr>
          <w:p>
            <w:pPr>
              <w:jc w:val="right"/>
            </w:pPr>
            <w:r/>
            <w:r>
              <w:rPr>
                <w:color w:val="1A1D21"/>
                <w:sz w:val="17"/>
              </w:rPr>
              <w:t>110,840</w:t>
            </w:r>
          </w:p>
        </w:tc>
        <w:tc>
          <w:tcPr>
            <w:tcW w:type="dxa" w:w="1026"/>
          </w:tcPr>
          <w:p>
            <w:pPr>
              <w:jc w:val="right"/>
            </w:pPr>
            <w:r/>
            <w:r>
              <w:rPr>
                <w:color w:val="1A1D21"/>
                <w:sz w:val="17"/>
              </w:rPr>
              <w:t>151,036</w:t>
            </w:r>
          </w:p>
        </w:tc>
        <w:tc>
          <w:tcPr>
            <w:tcW w:type="dxa" w:w="1026"/>
          </w:tcPr>
          <w:p>
            <w:pPr>
              <w:jc w:val="right"/>
            </w:pPr>
            <w:r/>
            <w:r>
              <w:rPr>
                <w:color w:val="1A1D21"/>
                <w:sz w:val="17"/>
              </w:rPr>
              <w:t>224,555</w:t>
            </w:r>
          </w:p>
        </w:tc>
      </w:tr>
      <w:tr>
        <w:trPr>
          <w:cantSplit/>
        </w:trPr>
        <w:tc>
          <w:tcPr>
            <w:tcW w:type="dxa" w:w="1984"/>
          </w:tcPr>
          <w:p>
            <w:r/>
            <w:r>
              <w:rPr>
                <w:color w:val="1A1D21"/>
                <w:sz w:val="17"/>
              </w:rPr>
              <w:t>Work in progress</w:t>
            </w:r>
          </w:p>
        </w:tc>
        <w:tc>
          <w:tcPr>
            <w:tcW w:type="dxa" w:w="1026"/>
          </w:tcPr>
          <w:p>
            <w:pPr>
              <w:jc w:val="right"/>
            </w:pPr>
            <w:r/>
            <w:r>
              <w:rPr>
                <w:color w:val="1A1D21"/>
                <w:sz w:val="17"/>
              </w:rPr>
              <w:t>17,447</w:t>
            </w:r>
          </w:p>
        </w:tc>
        <w:tc>
          <w:tcPr>
            <w:tcW w:type="dxa" w:w="1026"/>
          </w:tcPr>
          <w:p>
            <w:pPr>
              <w:jc w:val="right"/>
            </w:pPr>
            <w:r/>
            <w:r>
              <w:rPr>
                <w:color w:val="1A1D21"/>
                <w:sz w:val="17"/>
              </w:rPr>
              <w:t>17,498</w:t>
            </w:r>
          </w:p>
        </w:tc>
        <w:tc>
          <w:tcPr>
            <w:tcW w:type="dxa" w:w="1026"/>
          </w:tcPr>
          <w:p>
            <w:pPr>
              <w:jc w:val="right"/>
            </w:pPr>
            <w:r/>
            <w:r>
              <w:rPr>
                <w:color w:val="1A1D21"/>
                <w:sz w:val="17"/>
              </w:rPr>
              <w:t>17,734</w:t>
            </w:r>
          </w:p>
        </w:tc>
        <w:tc>
          <w:tcPr>
            <w:tcW w:type="dxa" w:w="1026"/>
          </w:tcPr>
          <w:p>
            <w:pPr>
              <w:jc w:val="right"/>
            </w:pPr>
            <w:r/>
            <w:r>
              <w:rPr>
                <w:color w:val="1A1D21"/>
                <w:sz w:val="17"/>
              </w:rPr>
              <w:t>18,168</w:t>
            </w:r>
          </w:p>
        </w:tc>
        <w:tc>
          <w:tcPr>
            <w:tcW w:type="dxa" w:w="1026"/>
          </w:tcPr>
          <w:p>
            <w:pPr>
              <w:jc w:val="right"/>
            </w:pPr>
            <w:r/>
            <w:r>
              <w:rPr>
                <w:color w:val="1A1D21"/>
                <w:sz w:val="17"/>
              </w:rPr>
              <w:t>18,815</w:t>
            </w:r>
          </w:p>
        </w:tc>
        <w:tc>
          <w:tcPr>
            <w:tcW w:type="dxa" w:w="1026"/>
          </w:tcPr>
          <w:p>
            <w:pPr>
              <w:jc w:val="right"/>
            </w:pPr>
            <w:r/>
            <w:r>
              <w:rPr>
                <w:color w:val="1A1D21"/>
                <w:sz w:val="17"/>
              </w:rPr>
              <w:t>25,638</w:t>
            </w:r>
          </w:p>
        </w:tc>
        <w:tc>
          <w:tcPr>
            <w:tcW w:type="dxa" w:w="1026"/>
          </w:tcPr>
          <w:p>
            <w:pPr>
              <w:jc w:val="right"/>
            </w:pPr>
            <w:r/>
            <w:r>
              <w:rPr>
                <w:color w:val="1A1D21"/>
                <w:sz w:val="17"/>
              </w:rPr>
              <w:t>38,118</w:t>
            </w:r>
          </w:p>
        </w:tc>
      </w:tr>
      <w:tr>
        <w:trPr>
          <w:cantSplit/>
        </w:trPr>
        <w:tc>
          <w:tcPr>
            <w:tcW w:type="dxa" w:w="1984"/>
          </w:tcPr>
          <w:p>
            <w:r/>
            <w:r>
              <w:rPr>
                <w:color w:val="1A1D21"/>
                <w:sz w:val="17"/>
              </w:rPr>
              <w:t>Other receivables and prepayments</w:t>
            </w:r>
          </w:p>
        </w:tc>
        <w:tc>
          <w:tcPr>
            <w:tcW w:type="dxa" w:w="1026"/>
          </w:tcPr>
          <w:p>
            <w:pPr>
              <w:jc w:val="right"/>
            </w:pPr>
            <w:r/>
            <w:r>
              <w:rPr>
                <w:color w:val="1A1D21"/>
                <w:sz w:val="17"/>
              </w:rPr>
              <w:t>12,831</w:t>
            </w:r>
          </w:p>
        </w:tc>
        <w:tc>
          <w:tcPr>
            <w:tcW w:type="dxa" w:w="1026"/>
          </w:tcPr>
          <w:p>
            <w:pPr>
              <w:jc w:val="right"/>
            </w:pPr>
            <w:r/>
            <w:r>
              <w:rPr>
                <w:color w:val="1A1D21"/>
                <w:sz w:val="17"/>
              </w:rPr>
              <w:t>12,868</w:t>
            </w:r>
          </w:p>
        </w:tc>
        <w:tc>
          <w:tcPr>
            <w:tcW w:type="dxa" w:w="1026"/>
          </w:tcPr>
          <w:p>
            <w:pPr>
              <w:jc w:val="right"/>
            </w:pPr>
            <w:r/>
            <w:r>
              <w:rPr>
                <w:color w:val="1A1D21"/>
                <w:sz w:val="17"/>
              </w:rPr>
              <w:t>13,042</w:t>
            </w:r>
          </w:p>
        </w:tc>
        <w:tc>
          <w:tcPr>
            <w:tcW w:type="dxa" w:w="1026"/>
          </w:tcPr>
          <w:p>
            <w:pPr>
              <w:jc w:val="right"/>
            </w:pPr>
            <w:r/>
            <w:r>
              <w:rPr>
                <w:color w:val="1A1D21"/>
                <w:sz w:val="17"/>
              </w:rPr>
              <w:t>13,361</w:t>
            </w:r>
          </w:p>
        </w:tc>
        <w:tc>
          <w:tcPr>
            <w:tcW w:type="dxa" w:w="1026"/>
          </w:tcPr>
          <w:p>
            <w:pPr>
              <w:jc w:val="right"/>
            </w:pPr>
            <w:r/>
            <w:r>
              <w:rPr>
                <w:color w:val="1A1D21"/>
                <w:sz w:val="17"/>
              </w:rPr>
              <w:t>13,837</w:t>
            </w:r>
          </w:p>
        </w:tc>
        <w:tc>
          <w:tcPr>
            <w:tcW w:type="dxa" w:w="1026"/>
          </w:tcPr>
          <w:p>
            <w:pPr>
              <w:jc w:val="right"/>
            </w:pPr>
            <w:r/>
            <w:r>
              <w:rPr>
                <w:color w:val="1A1D21"/>
                <w:sz w:val="17"/>
              </w:rPr>
              <w:t>18,855</w:t>
            </w:r>
          </w:p>
        </w:tc>
        <w:tc>
          <w:tcPr>
            <w:tcW w:type="dxa" w:w="1026"/>
          </w:tcPr>
          <w:p>
            <w:pPr>
              <w:jc w:val="right"/>
            </w:pPr>
            <w:r/>
            <w:r>
              <w:rPr>
                <w:color w:val="1A1D21"/>
                <w:sz w:val="17"/>
              </w:rPr>
              <w:t>28,033</w:t>
            </w:r>
          </w:p>
        </w:tc>
      </w:tr>
      <w:tr>
        <w:trPr>
          <w:cantSplit/>
        </w:trPr>
        <w:tc>
          <w:tcPr>
            <w:tcW w:type="dxa" w:w="1984"/>
          </w:tcPr>
          <w:p>
            <w:r/>
            <w:r>
              <w:rPr>
                <w:color w:val="1A1D21"/>
                <w:sz w:val="17"/>
              </w:rPr>
              <w:t>Advances to suppliers</w:t>
            </w:r>
          </w:p>
        </w:tc>
        <w:tc>
          <w:tcPr>
            <w:tcW w:type="dxa" w:w="1026"/>
          </w:tcPr>
          <w:p>
            <w:pPr>
              <w:jc w:val="right"/>
            </w:pPr>
            <w:r/>
            <w:r>
              <w:rPr>
                <w:color w:val="1A1D21"/>
                <w:sz w:val="17"/>
              </w:rPr>
              <w:t>8,992</w:t>
            </w:r>
          </w:p>
        </w:tc>
        <w:tc>
          <w:tcPr>
            <w:tcW w:type="dxa" w:w="1026"/>
          </w:tcPr>
          <w:p>
            <w:pPr>
              <w:jc w:val="right"/>
            </w:pPr>
            <w:r/>
            <w:r>
              <w:rPr>
                <w:color w:val="1A1D21"/>
                <w:sz w:val="17"/>
              </w:rPr>
              <w:t>9,019</w:t>
            </w:r>
          </w:p>
        </w:tc>
        <w:tc>
          <w:tcPr>
            <w:tcW w:type="dxa" w:w="1026"/>
          </w:tcPr>
          <w:p>
            <w:pPr>
              <w:jc w:val="right"/>
            </w:pPr>
            <w:r/>
            <w:r>
              <w:rPr>
                <w:color w:val="1A1D21"/>
                <w:sz w:val="17"/>
              </w:rPr>
              <w:t>9,141</w:t>
            </w:r>
          </w:p>
        </w:tc>
        <w:tc>
          <w:tcPr>
            <w:tcW w:type="dxa" w:w="1026"/>
          </w:tcPr>
          <w:p>
            <w:pPr>
              <w:jc w:val="right"/>
            </w:pPr>
            <w:r/>
            <w:r>
              <w:rPr>
                <w:color w:val="1A1D21"/>
                <w:sz w:val="17"/>
              </w:rPr>
              <w:t>9,364</w:t>
            </w:r>
          </w:p>
        </w:tc>
        <w:tc>
          <w:tcPr>
            <w:tcW w:type="dxa" w:w="1026"/>
          </w:tcPr>
          <w:p>
            <w:pPr>
              <w:jc w:val="right"/>
            </w:pPr>
            <w:r/>
            <w:r>
              <w:rPr>
                <w:color w:val="1A1D21"/>
                <w:sz w:val="17"/>
              </w:rPr>
              <w:t>9,697</w:t>
            </w:r>
          </w:p>
        </w:tc>
        <w:tc>
          <w:tcPr>
            <w:tcW w:type="dxa" w:w="1026"/>
          </w:tcPr>
          <w:p>
            <w:pPr>
              <w:jc w:val="right"/>
            </w:pPr>
            <w:r/>
            <w:r>
              <w:rPr>
                <w:color w:val="1A1D21"/>
                <w:sz w:val="17"/>
              </w:rPr>
              <w:t>13,214</w:t>
            </w:r>
          </w:p>
        </w:tc>
        <w:tc>
          <w:tcPr>
            <w:tcW w:type="dxa" w:w="1026"/>
          </w:tcPr>
          <w:p>
            <w:pPr>
              <w:jc w:val="right"/>
            </w:pPr>
            <w:r/>
            <w:r>
              <w:rPr>
                <w:color w:val="1A1D21"/>
                <w:sz w:val="17"/>
              </w:rPr>
              <w:t>19,646</w:t>
            </w:r>
          </w:p>
        </w:tc>
      </w:tr>
      <w:tr>
        <w:trPr>
          <w:cantSplit/>
        </w:trPr>
        <w:tc>
          <w:tcPr>
            <w:tcW w:type="dxa" w:w="1984"/>
          </w:tcPr>
          <w:p>
            <w:r/>
            <w:r>
              <w:rPr>
                <w:color w:val="1A1D21"/>
                <w:sz w:val="17"/>
              </w:rPr>
              <w:t>Cash and equivalents</w:t>
            </w:r>
          </w:p>
        </w:tc>
        <w:tc>
          <w:tcPr>
            <w:tcW w:type="dxa" w:w="1026"/>
          </w:tcPr>
          <w:p>
            <w:pPr>
              <w:jc w:val="right"/>
            </w:pPr>
            <w:r/>
            <w:r>
              <w:rPr>
                <w:color w:val="1A1D21"/>
                <w:sz w:val="17"/>
              </w:rPr>
              <w:t>12,516</w:t>
            </w:r>
          </w:p>
        </w:tc>
        <w:tc>
          <w:tcPr>
            <w:tcW w:type="dxa" w:w="1026"/>
          </w:tcPr>
          <w:p>
            <w:pPr>
              <w:jc w:val="right"/>
            </w:pPr>
            <w:r/>
            <w:r>
              <w:rPr>
                <w:color w:val="1A1D21"/>
                <w:sz w:val="17"/>
              </w:rPr>
              <w:t>16,505</w:t>
            </w:r>
          </w:p>
        </w:tc>
        <w:tc>
          <w:tcPr>
            <w:tcW w:type="dxa" w:w="1026"/>
          </w:tcPr>
          <w:p>
            <w:pPr>
              <w:jc w:val="right"/>
            </w:pPr>
            <w:r/>
            <w:r>
              <w:rPr>
                <w:color w:val="1A1D21"/>
                <w:sz w:val="17"/>
              </w:rPr>
              <w:t>21,440</w:t>
            </w:r>
          </w:p>
        </w:tc>
        <w:tc>
          <w:tcPr>
            <w:tcW w:type="dxa" w:w="1026"/>
          </w:tcPr>
          <w:p>
            <w:pPr>
              <w:jc w:val="right"/>
            </w:pPr>
            <w:r/>
            <w:r>
              <w:rPr>
                <w:color w:val="1A1D21"/>
                <w:sz w:val="17"/>
              </w:rPr>
              <w:t>27,381</w:t>
            </w:r>
          </w:p>
        </w:tc>
        <w:tc>
          <w:tcPr>
            <w:tcW w:type="dxa" w:w="1026"/>
          </w:tcPr>
          <w:p>
            <w:pPr>
              <w:jc w:val="right"/>
            </w:pPr>
            <w:r/>
            <w:r>
              <w:rPr>
                <w:color w:val="1A1D21"/>
                <w:sz w:val="17"/>
              </w:rPr>
              <w:t>34,406</w:t>
            </w:r>
          </w:p>
        </w:tc>
        <w:tc>
          <w:tcPr>
            <w:tcW w:type="dxa" w:w="1026"/>
          </w:tcPr>
          <w:p>
            <w:pPr>
              <w:jc w:val="right"/>
            </w:pPr>
            <w:r/>
            <w:r>
              <w:rPr>
                <w:color w:val="1A1D21"/>
                <w:sz w:val="17"/>
              </w:rPr>
              <w:t>87,835</w:t>
            </w:r>
          </w:p>
        </w:tc>
        <w:tc>
          <w:tcPr>
            <w:tcW w:type="dxa" w:w="1026"/>
          </w:tcPr>
          <w:p>
            <w:pPr>
              <w:jc w:val="right"/>
            </w:pPr>
            <w:r/>
            <w:r>
              <w:rPr>
                <w:color w:val="1A1D21"/>
                <w:sz w:val="17"/>
              </w:rPr>
              <w:t>170,102</w:t>
            </w:r>
          </w:p>
        </w:tc>
      </w:tr>
      <w:tr>
        <w:trPr>
          <w:cantSplit/>
        </w:trPr>
        <w:tc>
          <w:tcPr>
            <w:tcW w:type="dxa" w:w="1984"/>
          </w:tcPr>
          <w:p>
            <w:r/>
            <w:r>
              <w:rPr>
                <w:color w:val="1A1D21"/>
                <w:sz w:val="17"/>
              </w:rPr>
              <w:t>Property and equipment</w:t>
            </w:r>
          </w:p>
        </w:tc>
        <w:tc>
          <w:tcPr>
            <w:tcW w:type="dxa" w:w="1026"/>
          </w:tcPr>
          <w:p>
            <w:pPr>
              <w:jc w:val="right"/>
            </w:pPr>
            <w:r/>
            <w:r>
              <w:rPr>
                <w:color w:val="1A1D21"/>
                <w:sz w:val="17"/>
              </w:rPr>
              <w:t>4,531</w:t>
            </w:r>
          </w:p>
        </w:tc>
        <w:tc>
          <w:tcPr>
            <w:tcW w:type="dxa" w:w="1026"/>
          </w:tcPr>
          <w:p>
            <w:pPr>
              <w:jc w:val="right"/>
            </w:pPr>
            <w:r/>
            <w:r>
              <w:rPr>
                <w:color w:val="1A1D21"/>
                <w:sz w:val="17"/>
              </w:rPr>
              <w:t>4,542</w:t>
            </w:r>
          </w:p>
        </w:tc>
        <w:tc>
          <w:tcPr>
            <w:tcW w:type="dxa" w:w="1026"/>
          </w:tcPr>
          <w:p>
            <w:pPr>
              <w:jc w:val="right"/>
            </w:pPr>
            <w:r/>
            <w:r>
              <w:rPr>
                <w:color w:val="1A1D21"/>
                <w:sz w:val="17"/>
              </w:rPr>
              <w:t>4,556</w:t>
            </w:r>
          </w:p>
        </w:tc>
        <w:tc>
          <w:tcPr>
            <w:tcW w:type="dxa" w:w="1026"/>
          </w:tcPr>
          <w:p>
            <w:pPr>
              <w:jc w:val="right"/>
            </w:pPr>
            <w:r/>
            <w:r>
              <w:rPr>
                <w:color w:val="1A1D21"/>
                <w:sz w:val="17"/>
              </w:rPr>
              <w:t>4,573</w:t>
            </w:r>
          </w:p>
        </w:tc>
        <w:tc>
          <w:tcPr>
            <w:tcW w:type="dxa" w:w="1026"/>
          </w:tcPr>
          <w:p>
            <w:pPr>
              <w:jc w:val="right"/>
            </w:pPr>
            <w:r/>
            <w:r>
              <w:rPr>
                <w:color w:val="1A1D21"/>
                <w:sz w:val="17"/>
              </w:rPr>
              <w:t>4,594</w:t>
            </w:r>
          </w:p>
        </w:tc>
        <w:tc>
          <w:tcPr>
            <w:tcW w:type="dxa" w:w="1026"/>
          </w:tcPr>
          <w:p>
            <w:pPr>
              <w:jc w:val="right"/>
            </w:pPr>
            <w:r/>
            <w:r>
              <w:rPr>
                <w:color w:val="1A1D21"/>
                <w:sz w:val="17"/>
              </w:rPr>
              <w:t>4,747</w:t>
            </w:r>
          </w:p>
        </w:tc>
        <w:tc>
          <w:tcPr>
            <w:tcW w:type="dxa" w:w="1026"/>
          </w:tcPr>
          <w:p>
            <w:pPr>
              <w:jc w:val="right"/>
            </w:pPr>
            <w:r/>
            <w:r>
              <w:rPr>
                <w:color w:val="1A1D21"/>
                <w:sz w:val="17"/>
              </w:rPr>
              <w:t>4,982</w:t>
            </w:r>
          </w:p>
        </w:tc>
      </w:tr>
      <w:tr>
        <w:trPr>
          <w:cantSplit/>
        </w:trPr>
        <w:tc>
          <w:tcPr>
            <w:tcW w:type="dxa" w:w="1984"/>
          </w:tcPr>
          <w:p>
            <w:r/>
            <w:r>
              <w:rPr>
                <w:color w:val="1A1D21"/>
                <w:sz w:val="17"/>
              </w:rPr>
              <w:t>Other assets, held at the 2025 level</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r>
      <w:tr>
        <w:trPr>
          <w:cantSplit/>
        </w:trPr>
        <w:tc>
          <w:tcPr>
            <w:tcW w:type="dxa" w:w="1984"/>
          </w:tcPr>
          <w:p>
            <w:r/>
            <w:r>
              <w:rPr>
                <w:color w:val="1A1D21"/>
                <w:sz w:val="17"/>
              </w:rPr>
              <w:t>Total assets</w:t>
            </w:r>
          </w:p>
        </w:tc>
        <w:tc>
          <w:tcPr>
            <w:tcW w:type="dxa" w:w="1026"/>
          </w:tcPr>
          <w:p>
            <w:pPr>
              <w:jc w:val="right"/>
            </w:pPr>
            <w:r/>
            <w:r>
              <w:rPr>
                <w:color w:val="1A1D21"/>
                <w:sz w:val="17"/>
              </w:rPr>
              <w:t>174,226</w:t>
            </w:r>
          </w:p>
        </w:tc>
        <w:tc>
          <w:tcPr>
            <w:tcW w:type="dxa" w:w="1026"/>
          </w:tcPr>
          <w:p>
            <w:pPr>
              <w:jc w:val="right"/>
            </w:pPr>
            <w:r/>
            <w:r>
              <w:rPr>
                <w:color w:val="1A1D21"/>
                <w:sz w:val="17"/>
              </w:rPr>
              <w:t>178,642</w:t>
            </w:r>
          </w:p>
        </w:tc>
        <w:tc>
          <w:tcPr>
            <w:tcW w:type="dxa" w:w="1026"/>
          </w:tcPr>
          <w:p>
            <w:pPr>
              <w:jc w:val="right"/>
            </w:pPr>
            <w:r/>
            <w:r>
              <w:rPr>
                <w:color w:val="1A1D21"/>
                <w:sz w:val="17"/>
              </w:rPr>
              <w:t>185,517</w:t>
            </w:r>
          </w:p>
        </w:tc>
        <w:tc>
          <w:tcPr>
            <w:tcW w:type="dxa" w:w="1026"/>
          </w:tcPr>
          <w:p>
            <w:pPr>
              <w:jc w:val="right"/>
            </w:pPr>
            <w:r/>
            <w:r>
              <w:rPr>
                <w:color w:val="1A1D21"/>
                <w:sz w:val="17"/>
              </w:rPr>
              <w:t>195,009</w:t>
            </w:r>
          </w:p>
        </w:tc>
        <w:tc>
          <w:tcPr>
            <w:tcW w:type="dxa" w:w="1026"/>
          </w:tcPr>
          <w:p>
            <w:pPr>
              <w:jc w:val="right"/>
            </w:pPr>
            <w:r/>
            <w:r>
              <w:rPr>
                <w:color w:val="1A1D21"/>
                <w:sz w:val="17"/>
              </w:rPr>
              <w:t>207,317</w:t>
            </w:r>
          </w:p>
        </w:tc>
        <w:tc>
          <w:tcPr>
            <w:tcW w:type="dxa" w:w="1026"/>
          </w:tcPr>
          <w:p>
            <w:pPr>
              <w:jc w:val="right"/>
            </w:pPr>
            <w:r/>
            <w:r>
              <w:rPr>
                <w:color w:val="1A1D21"/>
                <w:sz w:val="17"/>
              </w:rPr>
              <w:t>316,454</w:t>
            </w:r>
          </w:p>
        </w:tc>
        <w:tc>
          <w:tcPr>
            <w:tcW w:type="dxa" w:w="1026"/>
          </w:tcPr>
          <w:p>
            <w:pPr>
              <w:jc w:val="right"/>
            </w:pPr>
            <w:r/>
            <w:r>
              <w:rPr>
                <w:color w:val="1A1D21"/>
                <w:sz w:val="17"/>
              </w:rPr>
              <w:t>500,564</w:t>
            </w:r>
          </w:p>
        </w:tc>
      </w:tr>
      <w:tr>
        <w:trPr>
          <w:cantSplit/>
        </w:trPr>
        <w:tc>
          <w:tcPr>
            <w:tcW w:type="dxa" w:w="1984"/>
          </w:tcPr>
          <w:p>
            <w:r/>
            <w:r>
              <w:rPr>
                <w:color w:val="1A1D21"/>
                <w:sz w:val="17"/>
              </w:rPr>
              <w:t>Customer advances</w:t>
            </w:r>
          </w:p>
        </w:tc>
        <w:tc>
          <w:tcPr>
            <w:tcW w:type="dxa" w:w="1026"/>
          </w:tcPr>
          <w:p>
            <w:pPr>
              <w:jc w:val="right"/>
            </w:pPr>
            <w:r/>
            <w:r>
              <w:rPr>
                <w:color w:val="1A1D21"/>
                <w:sz w:val="17"/>
              </w:rPr>
              <w:t>68,865</w:t>
            </w:r>
          </w:p>
        </w:tc>
        <w:tc>
          <w:tcPr>
            <w:tcW w:type="dxa" w:w="1026"/>
          </w:tcPr>
          <w:p>
            <w:pPr>
              <w:jc w:val="right"/>
            </w:pPr>
            <w:r/>
            <w:r>
              <w:rPr>
                <w:color w:val="1A1D21"/>
                <w:sz w:val="17"/>
              </w:rPr>
              <w:t>69,066</w:t>
            </w:r>
          </w:p>
        </w:tc>
        <w:tc>
          <w:tcPr>
            <w:tcW w:type="dxa" w:w="1026"/>
          </w:tcPr>
          <w:p>
            <w:pPr>
              <w:jc w:val="right"/>
            </w:pPr>
            <w:r/>
            <w:r>
              <w:rPr>
                <w:color w:val="1A1D21"/>
                <w:sz w:val="17"/>
              </w:rPr>
              <w:t>70,000</w:t>
            </w:r>
          </w:p>
        </w:tc>
        <w:tc>
          <w:tcPr>
            <w:tcW w:type="dxa" w:w="1026"/>
          </w:tcPr>
          <w:p>
            <w:pPr>
              <w:jc w:val="right"/>
            </w:pPr>
            <w:r/>
            <w:r>
              <w:rPr>
                <w:color w:val="1A1D21"/>
                <w:sz w:val="17"/>
              </w:rPr>
              <w:t>71,713</w:t>
            </w:r>
          </w:p>
        </w:tc>
        <w:tc>
          <w:tcPr>
            <w:tcW w:type="dxa" w:w="1026"/>
          </w:tcPr>
          <w:p>
            <w:pPr>
              <w:jc w:val="right"/>
            </w:pPr>
            <w:r/>
            <w:r>
              <w:rPr>
                <w:color w:val="1A1D21"/>
                <w:sz w:val="17"/>
              </w:rPr>
              <w:t>74,265</w:t>
            </w:r>
          </w:p>
        </w:tc>
        <w:tc>
          <w:tcPr>
            <w:tcW w:type="dxa" w:w="1026"/>
          </w:tcPr>
          <w:p>
            <w:pPr>
              <w:jc w:val="right"/>
            </w:pPr>
            <w:r/>
            <w:r>
              <w:rPr>
                <w:color w:val="1A1D21"/>
                <w:sz w:val="17"/>
              </w:rPr>
              <w:t>101,197</w:t>
            </w:r>
          </w:p>
        </w:tc>
        <w:tc>
          <w:tcPr>
            <w:tcW w:type="dxa" w:w="1026"/>
          </w:tcPr>
          <w:p>
            <w:pPr>
              <w:jc w:val="right"/>
            </w:pPr>
            <w:r/>
            <w:r>
              <w:rPr>
                <w:color w:val="1A1D21"/>
                <w:sz w:val="17"/>
              </w:rPr>
              <w:t>150,455</w:t>
            </w:r>
          </w:p>
        </w:tc>
      </w:tr>
      <w:tr>
        <w:trPr>
          <w:cantSplit/>
        </w:trPr>
        <w:tc>
          <w:tcPr>
            <w:tcW w:type="dxa" w:w="1984"/>
          </w:tcPr>
          <w:p>
            <w:r/>
            <w:r>
              <w:rPr>
                <w:color w:val="1A1D21"/>
                <w:sz w:val="17"/>
              </w:rPr>
              <w:t>Suppliers</w:t>
            </w:r>
          </w:p>
        </w:tc>
        <w:tc>
          <w:tcPr>
            <w:tcW w:type="dxa" w:w="1026"/>
          </w:tcPr>
          <w:p>
            <w:pPr>
              <w:jc w:val="right"/>
            </w:pPr>
            <w:r/>
            <w:r>
              <w:rPr>
                <w:color w:val="1A1D21"/>
                <w:sz w:val="17"/>
              </w:rPr>
              <w:t>3,780</w:t>
            </w:r>
          </w:p>
        </w:tc>
        <w:tc>
          <w:tcPr>
            <w:tcW w:type="dxa" w:w="1026"/>
          </w:tcPr>
          <w:p>
            <w:pPr>
              <w:jc w:val="right"/>
            </w:pPr>
            <w:r/>
            <w:r>
              <w:rPr>
                <w:color w:val="1A1D21"/>
                <w:sz w:val="17"/>
              </w:rPr>
              <w:t>3,791</w:t>
            </w:r>
          </w:p>
        </w:tc>
        <w:tc>
          <w:tcPr>
            <w:tcW w:type="dxa" w:w="1026"/>
          </w:tcPr>
          <w:p>
            <w:pPr>
              <w:jc w:val="right"/>
            </w:pPr>
            <w:r/>
            <w:r>
              <w:rPr>
                <w:color w:val="1A1D21"/>
                <w:sz w:val="17"/>
              </w:rPr>
              <w:t>3,842</w:t>
            </w:r>
          </w:p>
        </w:tc>
        <w:tc>
          <w:tcPr>
            <w:tcW w:type="dxa" w:w="1026"/>
          </w:tcPr>
          <w:p>
            <w:pPr>
              <w:jc w:val="right"/>
            </w:pPr>
            <w:r/>
            <w:r>
              <w:rPr>
                <w:color w:val="1A1D21"/>
                <w:sz w:val="17"/>
              </w:rPr>
              <w:t>3,936</w:t>
            </w:r>
          </w:p>
        </w:tc>
        <w:tc>
          <w:tcPr>
            <w:tcW w:type="dxa" w:w="1026"/>
          </w:tcPr>
          <w:p>
            <w:pPr>
              <w:jc w:val="right"/>
            </w:pPr>
            <w:r/>
            <w:r>
              <w:rPr>
                <w:color w:val="1A1D21"/>
                <w:sz w:val="17"/>
              </w:rPr>
              <w:t>4,077</w:t>
            </w:r>
          </w:p>
        </w:tc>
        <w:tc>
          <w:tcPr>
            <w:tcW w:type="dxa" w:w="1026"/>
          </w:tcPr>
          <w:p>
            <w:pPr>
              <w:jc w:val="right"/>
            </w:pPr>
            <w:r/>
            <w:r>
              <w:rPr>
                <w:color w:val="1A1D21"/>
                <w:sz w:val="17"/>
              </w:rPr>
              <w:t>5,555</w:t>
            </w:r>
          </w:p>
        </w:tc>
        <w:tc>
          <w:tcPr>
            <w:tcW w:type="dxa" w:w="1026"/>
          </w:tcPr>
          <w:p>
            <w:pPr>
              <w:jc w:val="right"/>
            </w:pPr>
            <w:r/>
            <w:r>
              <w:rPr>
                <w:color w:val="1A1D21"/>
                <w:sz w:val="17"/>
              </w:rPr>
              <w:t>8,259</w:t>
            </w:r>
          </w:p>
        </w:tc>
      </w:tr>
      <w:tr>
        <w:trPr>
          <w:cantSplit/>
        </w:trPr>
        <w:tc>
          <w:tcPr>
            <w:tcW w:type="dxa" w:w="1984"/>
          </w:tcPr>
          <w:p>
            <w:r/>
            <w:r>
              <w:rPr>
                <w:color w:val="1A1D21"/>
                <w:sz w:val="17"/>
              </w:rPr>
              <w:t>Other creditors</w:t>
            </w:r>
          </w:p>
        </w:tc>
        <w:tc>
          <w:tcPr>
            <w:tcW w:type="dxa" w:w="1026"/>
          </w:tcPr>
          <w:p>
            <w:pPr>
              <w:jc w:val="right"/>
            </w:pPr>
            <w:r/>
            <w:r>
              <w:rPr>
                <w:color w:val="1A1D21"/>
                <w:sz w:val="17"/>
              </w:rPr>
              <w:t>5,086</w:t>
            </w:r>
          </w:p>
        </w:tc>
        <w:tc>
          <w:tcPr>
            <w:tcW w:type="dxa" w:w="1026"/>
          </w:tcPr>
          <w:p>
            <w:pPr>
              <w:jc w:val="right"/>
            </w:pPr>
            <w:r/>
            <w:r>
              <w:rPr>
                <w:color w:val="1A1D21"/>
                <w:sz w:val="17"/>
              </w:rPr>
              <w:t>5,100</w:t>
            </w:r>
          </w:p>
        </w:tc>
        <w:tc>
          <w:tcPr>
            <w:tcW w:type="dxa" w:w="1026"/>
          </w:tcPr>
          <w:p>
            <w:pPr>
              <w:jc w:val="right"/>
            </w:pPr>
            <w:r/>
            <w:r>
              <w:rPr>
                <w:color w:val="1A1D21"/>
                <w:sz w:val="17"/>
              </w:rPr>
              <w:t>5,169</w:t>
            </w:r>
          </w:p>
        </w:tc>
        <w:tc>
          <w:tcPr>
            <w:tcW w:type="dxa" w:w="1026"/>
          </w:tcPr>
          <w:p>
            <w:pPr>
              <w:jc w:val="right"/>
            </w:pPr>
            <w:r/>
            <w:r>
              <w:rPr>
                <w:color w:val="1A1D21"/>
                <w:sz w:val="17"/>
              </w:rPr>
              <w:t>5,296</w:t>
            </w:r>
          </w:p>
        </w:tc>
        <w:tc>
          <w:tcPr>
            <w:tcW w:type="dxa" w:w="1026"/>
          </w:tcPr>
          <w:p>
            <w:pPr>
              <w:jc w:val="right"/>
            </w:pPr>
            <w:r/>
            <w:r>
              <w:rPr>
                <w:color w:val="1A1D21"/>
                <w:sz w:val="17"/>
              </w:rPr>
              <w:t>5,484</w:t>
            </w:r>
          </w:p>
        </w:tc>
        <w:tc>
          <w:tcPr>
            <w:tcW w:type="dxa" w:w="1026"/>
          </w:tcPr>
          <w:p>
            <w:pPr>
              <w:jc w:val="right"/>
            </w:pPr>
            <w:r/>
            <w:r>
              <w:rPr>
                <w:color w:val="1A1D21"/>
                <w:sz w:val="17"/>
              </w:rPr>
              <w:t>7,473</w:t>
            </w:r>
          </w:p>
        </w:tc>
        <w:tc>
          <w:tcPr>
            <w:tcW w:type="dxa" w:w="1026"/>
          </w:tcPr>
          <w:p>
            <w:pPr>
              <w:jc w:val="right"/>
            </w:pPr>
            <w:r/>
            <w:r>
              <w:rPr>
                <w:color w:val="1A1D21"/>
                <w:sz w:val="17"/>
              </w:rPr>
              <w:t>11,111</w:t>
            </w:r>
          </w:p>
        </w:tc>
      </w:tr>
      <w:tr>
        <w:trPr>
          <w:cantSplit/>
        </w:trPr>
        <w:tc>
          <w:tcPr>
            <w:tcW w:type="dxa" w:w="1984"/>
          </w:tcPr>
          <w:p>
            <w:r/>
            <w:r>
              <w:rPr>
                <w:color w:val="1A1D21"/>
                <w:sz w:val="17"/>
              </w:rPr>
              <w:t>Cheques under collection</w:t>
            </w:r>
          </w:p>
        </w:tc>
        <w:tc>
          <w:tcPr>
            <w:tcW w:type="dxa" w:w="1026"/>
          </w:tcPr>
          <w:p>
            <w:pPr>
              <w:jc w:val="right"/>
            </w:pPr>
            <w:r/>
            <w:r>
              <w:rPr>
                <w:color w:val="1A1D21"/>
                <w:sz w:val="17"/>
              </w:rPr>
              <w:t>2,436</w:t>
            </w:r>
          </w:p>
        </w:tc>
        <w:tc>
          <w:tcPr>
            <w:tcW w:type="dxa" w:w="1026"/>
          </w:tcPr>
          <w:p>
            <w:pPr>
              <w:jc w:val="right"/>
            </w:pPr>
            <w:r/>
            <w:r>
              <w:rPr>
                <w:color w:val="1A1D21"/>
                <w:sz w:val="17"/>
              </w:rPr>
              <w:t>2,444</w:t>
            </w:r>
          </w:p>
        </w:tc>
        <w:tc>
          <w:tcPr>
            <w:tcW w:type="dxa" w:w="1026"/>
          </w:tcPr>
          <w:p>
            <w:pPr>
              <w:jc w:val="right"/>
            </w:pPr>
            <w:r/>
            <w:r>
              <w:rPr>
                <w:color w:val="1A1D21"/>
                <w:sz w:val="17"/>
              </w:rPr>
              <w:t>2,477</w:t>
            </w:r>
          </w:p>
        </w:tc>
        <w:tc>
          <w:tcPr>
            <w:tcW w:type="dxa" w:w="1026"/>
          </w:tcPr>
          <w:p>
            <w:pPr>
              <w:jc w:val="right"/>
            </w:pPr>
            <w:r/>
            <w:r>
              <w:rPr>
                <w:color w:val="1A1D21"/>
                <w:sz w:val="17"/>
              </w:rPr>
              <w:t>2,537</w:t>
            </w:r>
          </w:p>
        </w:tc>
        <w:tc>
          <w:tcPr>
            <w:tcW w:type="dxa" w:w="1026"/>
          </w:tcPr>
          <w:p>
            <w:pPr>
              <w:jc w:val="right"/>
            </w:pPr>
            <w:r/>
            <w:r>
              <w:rPr>
                <w:color w:val="1A1D21"/>
                <w:sz w:val="17"/>
              </w:rPr>
              <w:t>2,627</w:t>
            </w:r>
          </w:p>
        </w:tc>
        <w:tc>
          <w:tcPr>
            <w:tcW w:type="dxa" w:w="1026"/>
          </w:tcPr>
          <w:p>
            <w:pPr>
              <w:jc w:val="right"/>
            </w:pPr>
            <w:r/>
            <w:r>
              <w:rPr>
                <w:color w:val="1A1D21"/>
                <w:sz w:val="17"/>
              </w:rPr>
              <w:t>3,580</w:t>
            </w:r>
          </w:p>
        </w:tc>
        <w:tc>
          <w:tcPr>
            <w:tcW w:type="dxa" w:w="1026"/>
          </w:tcPr>
          <w:p>
            <w:pPr>
              <w:jc w:val="right"/>
            </w:pPr>
            <w:r/>
            <w:r>
              <w:rPr>
                <w:color w:val="1A1D21"/>
                <w:sz w:val="17"/>
              </w:rPr>
              <w:t>5,323</w:t>
            </w:r>
          </w:p>
        </w:tc>
      </w:tr>
      <w:tr>
        <w:trPr>
          <w:cantSplit/>
        </w:trPr>
        <w:tc>
          <w:tcPr>
            <w:tcW w:type="dxa" w:w="1984"/>
          </w:tcPr>
          <w:p>
            <w:r/>
            <w:r>
              <w:rPr>
                <w:color w:val="1A1D21"/>
                <w:sz w:val="17"/>
              </w:rPr>
              <w:t>Borrowings</w:t>
            </w:r>
          </w:p>
        </w:tc>
        <w:tc>
          <w:tcPr>
            <w:tcW w:type="dxa" w:w="1026"/>
          </w:tcPr>
          <w:p>
            <w:pPr>
              <w:jc w:val="right"/>
            </w:pPr>
            <w:r/>
            <w:r>
              <w:rPr>
                <w:color w:val="1A1D21"/>
                <w:sz w:val="17"/>
              </w:rPr>
              <w:t>33,553</w:t>
            </w:r>
          </w:p>
        </w:tc>
        <w:tc>
          <w:tcPr>
            <w:tcW w:type="dxa" w:w="1026"/>
          </w:tcPr>
          <w:p>
            <w:pPr>
              <w:jc w:val="right"/>
            </w:pPr>
            <w:r/>
            <w:r>
              <w:rPr>
                <w:color w:val="1A1D21"/>
                <w:sz w:val="17"/>
              </w:rPr>
              <w:t>33,553</w:t>
            </w:r>
          </w:p>
        </w:tc>
        <w:tc>
          <w:tcPr>
            <w:tcW w:type="dxa" w:w="1026"/>
          </w:tcPr>
          <w:p>
            <w:pPr>
              <w:jc w:val="right"/>
            </w:pPr>
            <w:r/>
            <w:r>
              <w:rPr>
                <w:color w:val="1A1D21"/>
                <w:sz w:val="17"/>
              </w:rPr>
              <w:t>33,553</w:t>
            </w:r>
          </w:p>
        </w:tc>
        <w:tc>
          <w:tcPr>
            <w:tcW w:type="dxa" w:w="1026"/>
          </w:tcPr>
          <w:p>
            <w:pPr>
              <w:jc w:val="right"/>
            </w:pPr>
            <w:r/>
            <w:r>
              <w:rPr>
                <w:color w:val="1A1D21"/>
                <w:sz w:val="17"/>
              </w:rPr>
              <w:t>33,553</w:t>
            </w:r>
          </w:p>
        </w:tc>
        <w:tc>
          <w:tcPr>
            <w:tcW w:type="dxa" w:w="1026"/>
          </w:tcPr>
          <w:p>
            <w:pPr>
              <w:jc w:val="right"/>
            </w:pPr>
            <w:r/>
            <w:r>
              <w:rPr>
                <w:color w:val="1A1D21"/>
                <w:sz w:val="17"/>
              </w:rPr>
              <w:t>33,553</w:t>
            </w:r>
          </w:p>
        </w:tc>
        <w:tc>
          <w:tcPr>
            <w:tcW w:type="dxa" w:w="1026"/>
          </w:tcPr>
          <w:p>
            <w:pPr>
              <w:jc w:val="right"/>
            </w:pPr>
            <w:r/>
            <w:r>
              <w:rPr>
                <w:color w:val="1A1D21"/>
                <w:sz w:val="17"/>
              </w:rPr>
              <w:t>33,553</w:t>
            </w:r>
          </w:p>
        </w:tc>
        <w:tc>
          <w:tcPr>
            <w:tcW w:type="dxa" w:w="1026"/>
          </w:tcPr>
          <w:p>
            <w:pPr>
              <w:jc w:val="right"/>
            </w:pPr>
            <w:r/>
            <w:r>
              <w:rPr>
                <w:color w:val="1A1D21"/>
                <w:sz w:val="17"/>
              </w:rPr>
              <w:t>33,553</w:t>
            </w:r>
          </w:p>
        </w:tc>
      </w:tr>
      <w:tr>
        <w:trPr>
          <w:cantSplit/>
        </w:trPr>
        <w:tc>
          <w:tcPr>
            <w:tcW w:type="dxa" w:w="1984"/>
          </w:tcPr>
          <w:p>
            <w:r/>
            <w:r>
              <w:rPr>
                <w:color w:val="1A1D21"/>
                <w:sz w:val="17"/>
              </w:rPr>
              <w:t>Other liabilities, held at the 2025 level</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r>
      <w:tr>
        <w:trPr>
          <w:cantSplit/>
        </w:trPr>
        <w:tc>
          <w:tcPr>
            <w:tcW w:type="dxa" w:w="1984"/>
          </w:tcPr>
          <w:p>
            <w:r/>
            <w:r>
              <w:rPr>
                <w:color w:val="1A1D21"/>
                <w:sz w:val="17"/>
              </w:rPr>
              <w:t>Total liabilities</w:t>
            </w:r>
          </w:p>
        </w:tc>
        <w:tc>
          <w:tcPr>
            <w:tcW w:type="dxa" w:w="1026"/>
          </w:tcPr>
          <w:p>
            <w:pPr>
              <w:jc w:val="right"/>
            </w:pPr>
            <w:r/>
            <w:r>
              <w:rPr>
                <w:color w:val="1A1D21"/>
                <w:sz w:val="17"/>
              </w:rPr>
              <w:t>152,794</w:t>
            </w:r>
          </w:p>
        </w:tc>
        <w:tc>
          <w:tcPr>
            <w:tcW w:type="dxa" w:w="1026"/>
          </w:tcPr>
          <w:p>
            <w:pPr>
              <w:jc w:val="right"/>
            </w:pPr>
            <w:r/>
            <w:r>
              <w:rPr>
                <w:color w:val="1A1D21"/>
                <w:sz w:val="17"/>
              </w:rPr>
              <w:t>153,029</w:t>
            </w:r>
          </w:p>
        </w:tc>
        <w:tc>
          <w:tcPr>
            <w:tcW w:type="dxa" w:w="1026"/>
          </w:tcPr>
          <w:p>
            <w:pPr>
              <w:jc w:val="right"/>
            </w:pPr>
            <w:r/>
            <w:r>
              <w:rPr>
                <w:color w:val="1A1D21"/>
                <w:sz w:val="17"/>
              </w:rPr>
              <w:t>154,116</w:t>
            </w:r>
          </w:p>
        </w:tc>
        <w:tc>
          <w:tcPr>
            <w:tcW w:type="dxa" w:w="1026"/>
          </w:tcPr>
          <w:p>
            <w:pPr>
              <w:jc w:val="right"/>
            </w:pPr>
            <w:r/>
            <w:r>
              <w:rPr>
                <w:color w:val="1A1D21"/>
                <w:sz w:val="17"/>
              </w:rPr>
              <w:t>156,110</w:t>
            </w:r>
          </w:p>
        </w:tc>
        <w:tc>
          <w:tcPr>
            <w:tcW w:type="dxa" w:w="1026"/>
          </w:tcPr>
          <w:p>
            <w:pPr>
              <w:jc w:val="right"/>
            </w:pPr>
            <w:r/>
            <w:r>
              <w:rPr>
                <w:color w:val="1A1D21"/>
                <w:sz w:val="17"/>
              </w:rPr>
              <w:t>159,081</w:t>
            </w:r>
          </w:p>
        </w:tc>
        <w:tc>
          <w:tcPr>
            <w:tcW w:type="dxa" w:w="1026"/>
          </w:tcPr>
          <w:p>
            <w:pPr>
              <w:jc w:val="right"/>
            </w:pPr>
            <w:r/>
            <w:r>
              <w:rPr>
                <w:color w:val="1A1D21"/>
                <w:sz w:val="17"/>
              </w:rPr>
              <w:t>190,433</w:t>
            </w:r>
          </w:p>
        </w:tc>
        <w:tc>
          <w:tcPr>
            <w:tcW w:type="dxa" w:w="1026"/>
          </w:tcPr>
          <w:p>
            <w:pPr>
              <w:jc w:val="right"/>
            </w:pPr>
            <w:r/>
            <w:r>
              <w:rPr>
                <w:color w:val="1A1D21"/>
                <w:sz w:val="17"/>
              </w:rPr>
              <w:t>247,776</w:t>
            </w:r>
          </w:p>
        </w:tc>
      </w:tr>
      <w:tr>
        <w:trPr>
          <w:cantSplit/>
        </w:trPr>
        <w:tc>
          <w:tcPr>
            <w:tcW w:type="dxa" w:w="1984"/>
          </w:tcPr>
          <w:p>
            <w:r/>
            <w:r>
              <w:rPr>
                <w:color w:val="1A1D21"/>
                <w:sz w:val="17"/>
              </w:rPr>
              <w:t>Shareholders' funds</w:t>
            </w:r>
          </w:p>
        </w:tc>
        <w:tc>
          <w:tcPr>
            <w:tcW w:type="dxa" w:w="1026"/>
          </w:tcPr>
          <w:p>
            <w:pPr>
              <w:jc w:val="right"/>
            </w:pPr>
            <w:r/>
            <w:r>
              <w:rPr>
                <w:color w:val="1A1D21"/>
                <w:sz w:val="17"/>
              </w:rPr>
              <w:t>21,432</w:t>
            </w:r>
          </w:p>
        </w:tc>
        <w:tc>
          <w:tcPr>
            <w:tcW w:type="dxa" w:w="1026"/>
          </w:tcPr>
          <w:p>
            <w:pPr>
              <w:jc w:val="right"/>
            </w:pPr>
            <w:r/>
            <w:r>
              <w:rPr>
                <w:color w:val="1A1D21"/>
                <w:sz w:val="17"/>
              </w:rPr>
              <w:t>25,613</w:t>
            </w:r>
          </w:p>
        </w:tc>
        <w:tc>
          <w:tcPr>
            <w:tcW w:type="dxa" w:w="1026"/>
          </w:tcPr>
          <w:p>
            <w:pPr>
              <w:jc w:val="right"/>
            </w:pPr>
            <w:r/>
            <w:r>
              <w:rPr>
                <w:color w:val="1A1D21"/>
                <w:sz w:val="17"/>
              </w:rPr>
              <w:t>31,401</w:t>
            </w:r>
          </w:p>
        </w:tc>
        <w:tc>
          <w:tcPr>
            <w:tcW w:type="dxa" w:w="1026"/>
          </w:tcPr>
          <w:p>
            <w:pPr>
              <w:jc w:val="right"/>
            </w:pPr>
            <w:r/>
            <w:r>
              <w:rPr>
                <w:color w:val="1A1D21"/>
                <w:sz w:val="17"/>
              </w:rPr>
              <w:t>38,899</w:t>
            </w:r>
          </w:p>
        </w:tc>
        <w:tc>
          <w:tcPr>
            <w:tcW w:type="dxa" w:w="1026"/>
          </w:tcPr>
          <w:p>
            <w:pPr>
              <w:jc w:val="right"/>
            </w:pPr>
            <w:r/>
            <w:r>
              <w:rPr>
                <w:color w:val="1A1D21"/>
                <w:sz w:val="17"/>
              </w:rPr>
              <w:t>48,237</w:t>
            </w:r>
          </w:p>
        </w:tc>
        <w:tc>
          <w:tcPr>
            <w:tcW w:type="dxa" w:w="1026"/>
          </w:tcPr>
          <w:p>
            <w:pPr>
              <w:jc w:val="right"/>
            </w:pPr>
            <w:r/>
            <w:r>
              <w:rPr>
                <w:color w:val="1A1D21"/>
                <w:sz w:val="17"/>
              </w:rPr>
              <w:t>126,021</w:t>
            </w:r>
          </w:p>
        </w:tc>
        <w:tc>
          <w:tcPr>
            <w:tcW w:type="dxa" w:w="1026"/>
          </w:tcPr>
          <w:p>
            <w:pPr>
              <w:jc w:val="right"/>
            </w:pPr>
            <w:r/>
            <w:r>
              <w:rPr>
                <w:color w:val="1A1D21"/>
                <w:sz w:val="17"/>
              </w:rPr>
              <w:t>252,788</w:t>
            </w:r>
          </w:p>
        </w:tc>
      </w:tr>
      <w:tr>
        <w:trPr>
          <w:cantSplit/>
        </w:trPr>
        <w:tc>
          <w:tcPr>
            <w:tcW w:type="dxa" w:w="1984"/>
          </w:tcPr>
          <w:p>
            <w:r/>
            <w:r>
              <w:rPr>
                <w:color w:val="1A1D21"/>
                <w:sz w:val="17"/>
              </w:rPr>
              <w:t>Total liabilities and equity</w:t>
            </w:r>
          </w:p>
        </w:tc>
        <w:tc>
          <w:tcPr>
            <w:tcW w:type="dxa" w:w="1026"/>
          </w:tcPr>
          <w:p>
            <w:pPr>
              <w:jc w:val="right"/>
            </w:pPr>
            <w:r/>
            <w:r>
              <w:rPr>
                <w:color w:val="1A1D21"/>
                <w:sz w:val="17"/>
              </w:rPr>
              <w:t>174,226</w:t>
            </w:r>
          </w:p>
        </w:tc>
        <w:tc>
          <w:tcPr>
            <w:tcW w:type="dxa" w:w="1026"/>
          </w:tcPr>
          <w:p>
            <w:pPr>
              <w:jc w:val="right"/>
            </w:pPr>
            <w:r/>
            <w:r>
              <w:rPr>
                <w:color w:val="1A1D21"/>
                <w:sz w:val="17"/>
              </w:rPr>
              <w:t>178,642</w:t>
            </w:r>
          </w:p>
        </w:tc>
        <w:tc>
          <w:tcPr>
            <w:tcW w:type="dxa" w:w="1026"/>
          </w:tcPr>
          <w:p>
            <w:pPr>
              <w:jc w:val="right"/>
            </w:pPr>
            <w:r/>
            <w:r>
              <w:rPr>
                <w:color w:val="1A1D21"/>
                <w:sz w:val="17"/>
              </w:rPr>
              <w:t>185,517</w:t>
            </w:r>
          </w:p>
        </w:tc>
        <w:tc>
          <w:tcPr>
            <w:tcW w:type="dxa" w:w="1026"/>
          </w:tcPr>
          <w:p>
            <w:pPr>
              <w:jc w:val="right"/>
            </w:pPr>
            <w:r/>
            <w:r>
              <w:rPr>
                <w:color w:val="1A1D21"/>
                <w:sz w:val="17"/>
              </w:rPr>
              <w:t>195,009</w:t>
            </w:r>
          </w:p>
        </w:tc>
        <w:tc>
          <w:tcPr>
            <w:tcW w:type="dxa" w:w="1026"/>
          </w:tcPr>
          <w:p>
            <w:pPr>
              <w:jc w:val="right"/>
            </w:pPr>
            <w:r/>
            <w:r>
              <w:rPr>
                <w:color w:val="1A1D21"/>
                <w:sz w:val="17"/>
              </w:rPr>
              <w:t>207,317</w:t>
            </w:r>
          </w:p>
        </w:tc>
        <w:tc>
          <w:tcPr>
            <w:tcW w:type="dxa" w:w="1026"/>
          </w:tcPr>
          <w:p>
            <w:pPr>
              <w:jc w:val="right"/>
            </w:pPr>
            <w:r/>
            <w:r>
              <w:rPr>
                <w:color w:val="1A1D21"/>
                <w:sz w:val="17"/>
              </w:rPr>
              <w:t>316,454</w:t>
            </w:r>
          </w:p>
        </w:tc>
        <w:tc>
          <w:tcPr>
            <w:tcW w:type="dxa" w:w="1026"/>
          </w:tcPr>
          <w:p>
            <w:pPr>
              <w:jc w:val="right"/>
            </w:pPr>
            <w:r/>
            <w:r>
              <w:rPr>
                <w:color w:val="1A1D21"/>
                <w:sz w:val="17"/>
              </w:rPr>
              <w:t>500,564</w:t>
            </w:r>
          </w:p>
        </w:tc>
      </w:tr>
    </w:tbl>
    <w:p>
      <w:pPr>
        <w:spacing w:after="200"/>
      </w:pPr>
      <w:r>
        <w:rPr>
          <w:b w:val="0"/>
          <w:i/>
          <w:color w:val="5B6570"/>
          <w:sz w:val="16"/>
        </w:rPr>
        <w:t>Assets equal liabilities plus shareholders' funds in every year, to the same tenth of a million the audited 2025 sheet itself foots to.</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Forecast cash flow,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Net profit</w:t>
            </w:r>
          </w:p>
        </w:tc>
        <w:tc>
          <w:tcPr>
            <w:tcW w:type="dxa" w:w="1026"/>
          </w:tcPr>
          <w:p>
            <w:pPr>
              <w:jc w:val="right"/>
            </w:pPr>
            <w:r/>
            <w:r>
              <w:rPr>
                <w:color w:val="1A1D21"/>
                <w:sz w:val="17"/>
              </w:rPr>
              <w:t>2,666</w:t>
            </w:r>
          </w:p>
        </w:tc>
        <w:tc>
          <w:tcPr>
            <w:tcW w:type="dxa" w:w="1026"/>
          </w:tcPr>
          <w:p>
            <w:pPr>
              <w:jc w:val="right"/>
            </w:pPr>
            <w:r/>
            <w:r>
              <w:rPr>
                <w:color w:val="1A1D21"/>
                <w:sz w:val="17"/>
              </w:rPr>
              <w:t>4,181</w:t>
            </w:r>
          </w:p>
        </w:tc>
        <w:tc>
          <w:tcPr>
            <w:tcW w:type="dxa" w:w="1026"/>
          </w:tcPr>
          <w:p>
            <w:pPr>
              <w:jc w:val="right"/>
            </w:pPr>
            <w:r/>
            <w:r>
              <w:rPr>
                <w:color w:val="1A1D21"/>
                <w:sz w:val="17"/>
              </w:rPr>
              <w:t>5,788</w:t>
            </w:r>
          </w:p>
        </w:tc>
        <w:tc>
          <w:tcPr>
            <w:tcW w:type="dxa" w:w="1026"/>
          </w:tcPr>
          <w:p>
            <w:pPr>
              <w:jc w:val="right"/>
            </w:pPr>
            <w:r/>
            <w:r>
              <w:rPr>
                <w:color w:val="1A1D21"/>
                <w:sz w:val="17"/>
              </w:rPr>
              <w:t>7,498</w:t>
            </w:r>
          </w:p>
        </w:tc>
        <w:tc>
          <w:tcPr>
            <w:tcW w:type="dxa" w:w="1026"/>
          </w:tcPr>
          <w:p>
            <w:pPr>
              <w:jc w:val="right"/>
            </w:pPr>
            <w:r/>
            <w:r>
              <w:rPr>
                <w:color w:val="1A1D21"/>
                <w:sz w:val="17"/>
              </w:rPr>
              <w:t>9,338</w:t>
            </w:r>
          </w:p>
        </w:tc>
        <w:tc>
          <w:tcPr>
            <w:tcW w:type="dxa" w:w="1026"/>
          </w:tcPr>
          <w:p>
            <w:pPr>
              <w:jc w:val="right"/>
            </w:pPr>
            <w:r/>
            <w:r>
              <w:rPr>
                <w:color w:val="1A1D21"/>
                <w:sz w:val="17"/>
              </w:rPr>
              <w:t>19,780</w:t>
            </w:r>
          </w:p>
        </w:tc>
        <w:tc>
          <w:tcPr>
            <w:tcW w:type="dxa" w:w="1026"/>
          </w:tcPr>
          <w:p>
            <w:pPr>
              <w:jc w:val="right"/>
            </w:pPr>
            <w:r/>
            <w:r>
              <w:rPr>
                <w:color w:val="1A1D21"/>
                <w:sz w:val="17"/>
              </w:rPr>
              <w:t>29,257</w:t>
            </w:r>
          </w:p>
        </w:tc>
      </w:tr>
      <w:tr>
        <w:trPr>
          <w:cantSplit/>
        </w:trPr>
        <w:tc>
          <w:tcPr>
            <w:tcW w:type="dxa" w:w="1984"/>
          </w:tcPr>
          <w:p>
            <w:r/>
            <w:r>
              <w:rPr>
                <w:color w:val="1A1D21"/>
                <w:sz w:val="17"/>
              </w:rPr>
              <w:t>Depreciation and amortisation</w:t>
            </w:r>
          </w:p>
        </w:tc>
        <w:tc>
          <w:tcPr>
            <w:tcW w:type="dxa" w:w="1026"/>
          </w:tcPr>
          <w:p>
            <w:pPr>
              <w:jc w:val="right"/>
            </w:pPr>
            <w:r/>
            <w:r>
              <w:rPr>
                <w:color w:val="1A1D21"/>
                <w:sz w:val="17"/>
              </w:rPr>
              <w:t>393</w:t>
            </w:r>
          </w:p>
        </w:tc>
        <w:tc>
          <w:tcPr>
            <w:tcW w:type="dxa" w:w="1026"/>
          </w:tcPr>
          <w:p>
            <w:pPr>
              <w:jc w:val="right"/>
            </w:pPr>
            <w:r/>
            <w:r>
              <w:rPr>
                <w:color w:val="1A1D21"/>
                <w:sz w:val="17"/>
              </w:rPr>
              <w:t>506</w:t>
            </w:r>
          </w:p>
        </w:tc>
        <w:tc>
          <w:tcPr>
            <w:tcW w:type="dxa" w:w="1026"/>
          </w:tcPr>
          <w:p>
            <w:pPr>
              <w:jc w:val="right"/>
            </w:pPr>
            <w:r/>
            <w:r>
              <w:rPr>
                <w:color w:val="1A1D21"/>
                <w:sz w:val="17"/>
              </w:rPr>
              <w:t>626</w:t>
            </w:r>
          </w:p>
        </w:tc>
        <w:tc>
          <w:tcPr>
            <w:tcW w:type="dxa" w:w="1026"/>
          </w:tcPr>
          <w:p>
            <w:pPr>
              <w:jc w:val="right"/>
            </w:pPr>
            <w:r/>
            <w:r>
              <w:rPr>
                <w:color w:val="1A1D21"/>
                <w:sz w:val="17"/>
              </w:rPr>
              <w:t>753</w:t>
            </w:r>
          </w:p>
        </w:tc>
        <w:tc>
          <w:tcPr>
            <w:tcW w:type="dxa" w:w="1026"/>
          </w:tcPr>
          <w:p>
            <w:pPr>
              <w:jc w:val="right"/>
            </w:pPr>
            <w:r/>
            <w:r>
              <w:rPr>
                <w:color w:val="1A1D21"/>
                <w:sz w:val="17"/>
              </w:rPr>
              <w:t>891</w:t>
            </w:r>
          </w:p>
        </w:tc>
        <w:tc>
          <w:tcPr>
            <w:tcW w:type="dxa" w:w="1026"/>
          </w:tcPr>
          <w:p>
            <w:pPr>
              <w:jc w:val="right"/>
            </w:pPr>
            <w:r/>
            <w:r>
              <w:rPr>
                <w:color w:val="1A1D21"/>
                <w:sz w:val="17"/>
              </w:rPr>
              <w:t>1,670</w:t>
            </w:r>
          </w:p>
        </w:tc>
        <w:tc>
          <w:tcPr>
            <w:tcW w:type="dxa" w:w="1026"/>
          </w:tcPr>
          <w:p>
            <w:pPr>
              <w:jc w:val="right"/>
            </w:pPr>
            <w:r/>
            <w:r>
              <w:rPr>
                <w:color w:val="1A1D21"/>
                <w:sz w:val="17"/>
              </w:rPr>
              <w:t>2,377</w:t>
            </w:r>
          </w:p>
        </w:tc>
      </w:tr>
      <w:tr>
        <w:trPr>
          <w:cantSplit/>
        </w:trPr>
        <w:tc>
          <w:tcPr>
            <w:tcW w:type="dxa" w:w="1984"/>
          </w:tcPr>
          <w:p>
            <w:r/>
            <w:r>
              <w:rPr>
                <w:color w:val="1A1D21"/>
                <w:sz w:val="17"/>
              </w:rPr>
              <w:t>Change in working capital, cash effect</w:t>
            </w:r>
          </w:p>
        </w:tc>
        <w:tc>
          <w:tcPr>
            <w:tcW w:type="dxa" w:w="1026"/>
          </w:tcPr>
          <w:p>
            <w:pPr>
              <w:jc w:val="right"/>
            </w:pPr>
            <w:r/>
            <w:r>
              <w:rPr>
                <w:color w:val="1A1D21"/>
                <w:sz w:val="17"/>
              </w:rPr>
              <w:t>440</w:t>
            </w:r>
          </w:p>
        </w:tc>
        <w:tc>
          <w:tcPr>
            <w:tcW w:type="dxa" w:w="1026"/>
          </w:tcPr>
          <w:p>
            <w:pPr>
              <w:jc w:val="right"/>
            </w:pPr>
            <w:r/>
            <w:r>
              <w:rPr>
                <w:color w:val="1A1D21"/>
                <w:sz w:val="17"/>
              </w:rPr>
              <w:t>-181</w:t>
            </w:r>
          </w:p>
        </w:tc>
        <w:tc>
          <w:tcPr>
            <w:tcW w:type="dxa" w:w="1026"/>
          </w:tcPr>
          <w:p>
            <w:pPr>
              <w:jc w:val="right"/>
            </w:pPr>
            <w:r/>
            <w:r>
              <w:rPr>
                <w:color w:val="1A1D21"/>
                <w:sz w:val="17"/>
              </w:rPr>
              <w:t>-839</w:t>
            </w:r>
          </w:p>
        </w:tc>
        <w:tc>
          <w:tcPr>
            <w:tcW w:type="dxa" w:w="1026"/>
          </w:tcPr>
          <w:p>
            <w:pPr>
              <w:jc w:val="right"/>
            </w:pPr>
            <w:r/>
            <w:r>
              <w:rPr>
                <w:color w:val="1A1D21"/>
                <w:sz w:val="17"/>
              </w:rPr>
              <w:t>-1,539</w:t>
            </w:r>
          </w:p>
        </w:tc>
        <w:tc>
          <w:tcPr>
            <w:tcW w:type="dxa" w:w="1026"/>
          </w:tcPr>
          <w:p>
            <w:pPr>
              <w:jc w:val="right"/>
            </w:pPr>
            <w:r/>
            <w:r>
              <w:rPr>
                <w:color w:val="1A1D21"/>
                <w:sz w:val="17"/>
              </w:rPr>
              <w:t>-2,293</w:t>
            </w:r>
          </w:p>
        </w:tc>
        <w:tc>
          <w:tcPr>
            <w:tcW w:type="dxa" w:w="1026"/>
          </w:tcPr>
          <w:p>
            <w:pPr>
              <w:jc w:val="right"/>
            </w:pPr>
            <w:r/>
            <w:r>
              <w:rPr>
                <w:color w:val="1A1D21"/>
                <w:sz w:val="17"/>
              </w:rPr>
              <w:t>-6,570</w:t>
            </w:r>
          </w:p>
        </w:tc>
        <w:tc>
          <w:tcPr>
            <w:tcW w:type="dxa" w:w="1026"/>
          </w:tcPr>
          <w:p>
            <w:pPr>
              <w:jc w:val="right"/>
            </w:pPr>
            <w:r/>
            <w:r>
              <w:rPr>
                <w:color w:val="1A1D21"/>
                <w:sz w:val="17"/>
              </w:rPr>
              <w:t>-10,452</w:t>
            </w:r>
          </w:p>
        </w:tc>
      </w:tr>
      <w:tr>
        <w:trPr>
          <w:cantSplit/>
        </w:trPr>
        <w:tc>
          <w:tcPr>
            <w:tcW w:type="dxa" w:w="1984"/>
          </w:tcPr>
          <w:p>
            <w:r/>
            <w:r>
              <w:rPr>
                <w:color w:val="1A1D21"/>
                <w:sz w:val="17"/>
              </w:rPr>
              <w:t>Cash from operations</w:t>
            </w:r>
          </w:p>
        </w:tc>
        <w:tc>
          <w:tcPr>
            <w:tcW w:type="dxa" w:w="1026"/>
          </w:tcPr>
          <w:p>
            <w:pPr>
              <w:jc w:val="right"/>
            </w:pPr>
            <w:r/>
            <w:r>
              <w:rPr>
                <w:color w:val="1A1D21"/>
                <w:sz w:val="17"/>
              </w:rPr>
              <w:t>3,498</w:t>
            </w:r>
          </w:p>
        </w:tc>
        <w:tc>
          <w:tcPr>
            <w:tcW w:type="dxa" w:w="1026"/>
          </w:tcPr>
          <w:p>
            <w:pPr>
              <w:jc w:val="right"/>
            </w:pPr>
            <w:r/>
            <w:r>
              <w:rPr>
                <w:color w:val="1A1D21"/>
                <w:sz w:val="17"/>
              </w:rPr>
              <w:t>4,506</w:t>
            </w:r>
          </w:p>
        </w:tc>
        <w:tc>
          <w:tcPr>
            <w:tcW w:type="dxa" w:w="1026"/>
          </w:tcPr>
          <w:p>
            <w:pPr>
              <w:jc w:val="right"/>
            </w:pPr>
            <w:r/>
            <w:r>
              <w:rPr>
                <w:color w:val="1A1D21"/>
                <w:sz w:val="17"/>
              </w:rPr>
              <w:t>5,574</w:t>
            </w:r>
          </w:p>
        </w:tc>
        <w:tc>
          <w:tcPr>
            <w:tcW w:type="dxa" w:w="1026"/>
          </w:tcPr>
          <w:p>
            <w:pPr>
              <w:jc w:val="right"/>
            </w:pPr>
            <w:r/>
            <w:r>
              <w:rPr>
                <w:color w:val="1A1D21"/>
                <w:sz w:val="17"/>
              </w:rPr>
              <w:t>6,712</w:t>
            </w:r>
          </w:p>
        </w:tc>
        <w:tc>
          <w:tcPr>
            <w:tcW w:type="dxa" w:w="1026"/>
          </w:tcPr>
          <w:p>
            <w:pPr>
              <w:jc w:val="right"/>
            </w:pPr>
            <w:r/>
            <w:r>
              <w:rPr>
                <w:color w:val="1A1D21"/>
                <w:sz w:val="17"/>
              </w:rPr>
              <w:t>7,936</w:t>
            </w:r>
          </w:p>
        </w:tc>
        <w:tc>
          <w:tcPr>
            <w:tcW w:type="dxa" w:w="1026"/>
          </w:tcPr>
          <w:p>
            <w:pPr>
              <w:jc w:val="right"/>
            </w:pPr>
            <w:r/>
            <w:r>
              <w:rPr>
                <w:color w:val="1A1D21"/>
                <w:sz w:val="17"/>
              </w:rPr>
              <w:t>14,879</w:t>
            </w:r>
          </w:p>
        </w:tc>
        <w:tc>
          <w:tcPr>
            <w:tcW w:type="dxa" w:w="1026"/>
          </w:tcPr>
          <w:p>
            <w:pPr>
              <w:jc w:val="right"/>
            </w:pPr>
            <w:r/>
            <w:r>
              <w:rPr>
                <w:color w:val="1A1D21"/>
                <w:sz w:val="17"/>
              </w:rPr>
              <w:t>21,182</w:t>
            </w:r>
          </w:p>
        </w:tc>
      </w:tr>
      <w:tr>
        <w:trPr>
          <w:cantSplit/>
        </w:trPr>
        <w:tc>
          <w:tcPr>
            <w:tcW w:type="dxa" w:w="1984"/>
          </w:tcPr>
          <w:p>
            <w:r/>
            <w:r>
              <w:rPr>
                <w:color w:val="1A1D21"/>
                <w:sz w:val="17"/>
              </w:rPr>
              <w:t xml:space="preserve">  as a share of revenue</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r>
      <w:tr>
        <w:trPr>
          <w:cantSplit/>
        </w:trPr>
        <w:tc>
          <w:tcPr>
            <w:tcW w:type="dxa" w:w="1984"/>
          </w:tcPr>
          <w:p>
            <w:r/>
            <w:r>
              <w:rPr>
                <w:color w:val="1A1D21"/>
                <w:sz w:val="17"/>
              </w:rPr>
              <w:t>Capital expenditure</w:t>
            </w:r>
          </w:p>
        </w:tc>
        <w:tc>
          <w:tcPr>
            <w:tcW w:type="dxa" w:w="1026"/>
          </w:tcPr>
          <w:p>
            <w:pPr>
              <w:jc w:val="right"/>
            </w:pPr>
            <w:r/>
            <w:r>
              <w:rPr>
                <w:color w:val="1A1D21"/>
                <w:sz w:val="17"/>
              </w:rPr>
              <w:t>-401</w:t>
            </w:r>
          </w:p>
        </w:tc>
        <w:tc>
          <w:tcPr>
            <w:tcW w:type="dxa" w:w="1026"/>
          </w:tcPr>
          <w:p>
            <w:pPr>
              <w:jc w:val="right"/>
            </w:pPr>
            <w:r/>
            <w:r>
              <w:rPr>
                <w:color w:val="1A1D21"/>
                <w:sz w:val="17"/>
              </w:rPr>
              <w:t>-517</w:t>
            </w:r>
          </w:p>
        </w:tc>
        <w:tc>
          <w:tcPr>
            <w:tcW w:type="dxa" w:w="1026"/>
          </w:tcPr>
          <w:p>
            <w:pPr>
              <w:jc w:val="right"/>
            </w:pPr>
            <w:r/>
            <w:r>
              <w:rPr>
                <w:color w:val="1A1D21"/>
                <w:sz w:val="17"/>
              </w:rPr>
              <w:t>-640</w:t>
            </w:r>
          </w:p>
        </w:tc>
        <w:tc>
          <w:tcPr>
            <w:tcW w:type="dxa" w:w="1026"/>
          </w:tcPr>
          <w:p>
            <w:pPr>
              <w:jc w:val="right"/>
            </w:pPr>
            <w:r/>
            <w:r>
              <w:rPr>
                <w:color w:val="1A1D21"/>
                <w:sz w:val="17"/>
              </w:rPr>
              <w:t>-770</w:t>
            </w:r>
          </w:p>
        </w:tc>
        <w:tc>
          <w:tcPr>
            <w:tcW w:type="dxa" w:w="1026"/>
          </w:tcPr>
          <w:p>
            <w:pPr>
              <w:jc w:val="right"/>
            </w:pPr>
            <w:r/>
            <w:r>
              <w:rPr>
                <w:color w:val="1A1D21"/>
                <w:sz w:val="17"/>
              </w:rPr>
              <w:t>-911</w:t>
            </w:r>
          </w:p>
        </w:tc>
        <w:tc>
          <w:tcPr>
            <w:tcW w:type="dxa" w:w="1026"/>
          </w:tcPr>
          <w:p>
            <w:pPr>
              <w:jc w:val="right"/>
            </w:pPr>
            <w:r/>
            <w:r>
              <w:rPr>
                <w:color w:val="1A1D21"/>
                <w:sz w:val="17"/>
              </w:rPr>
              <w:t>-1,708</w:t>
            </w:r>
          </w:p>
        </w:tc>
        <w:tc>
          <w:tcPr>
            <w:tcW w:type="dxa" w:w="1026"/>
          </w:tcPr>
          <w:p>
            <w:pPr>
              <w:jc w:val="right"/>
            </w:pPr>
            <w:r/>
            <w:r>
              <w:rPr>
                <w:color w:val="1A1D21"/>
                <w:sz w:val="17"/>
              </w:rPr>
              <w:t>-2,431</w:t>
            </w:r>
          </w:p>
        </w:tc>
      </w:tr>
      <w:tr>
        <w:trPr>
          <w:cantSplit/>
        </w:trPr>
        <w:tc>
          <w:tcPr>
            <w:tcW w:type="dxa" w:w="1984"/>
          </w:tcPr>
          <w:p>
            <w:r/>
            <w:r>
              <w:rPr>
                <w:color w:val="1A1D21"/>
                <w:sz w:val="17"/>
              </w:rPr>
              <w:t>New borrowing drawn</w:t>
            </w:r>
          </w:p>
        </w:tc>
        <w:tc>
          <w:tcPr>
            <w:tcW w:type="dxa" w:w="1026"/>
          </w:tcPr>
          <w:p>
            <w:pPr>
              <w:jc w:val="right"/>
            </w:pPr>
            <w:r/>
            <w:r>
              <w:rPr>
                <w:color w:val="1A1D21"/>
                <w:sz w:val="17"/>
              </w:rPr>
              <w:t>0</w:t>
            </w:r>
          </w:p>
        </w:tc>
        <w:tc>
          <w:tcPr>
            <w:tcW w:type="dxa" w:w="1026"/>
          </w:tcPr>
          <w:p>
            <w:pPr>
              <w:jc w:val="right"/>
            </w:pPr>
            <w:r/>
            <w:r>
              <w:rPr>
                <w:color w:val="1A1D21"/>
                <w:sz w:val="17"/>
              </w:rPr>
              <w:t>0</w:t>
            </w:r>
          </w:p>
        </w:tc>
        <w:tc>
          <w:tcPr>
            <w:tcW w:type="dxa" w:w="1026"/>
          </w:tcPr>
          <w:p>
            <w:pPr>
              <w:jc w:val="right"/>
            </w:pPr>
            <w:r/>
            <w:r>
              <w:rPr>
                <w:color w:val="1A1D21"/>
                <w:sz w:val="17"/>
              </w:rPr>
              <w:t>0</w:t>
            </w:r>
          </w:p>
        </w:tc>
        <w:tc>
          <w:tcPr>
            <w:tcW w:type="dxa" w:w="1026"/>
          </w:tcPr>
          <w:p>
            <w:pPr>
              <w:jc w:val="right"/>
            </w:pPr>
            <w:r/>
            <w:r>
              <w:rPr>
                <w:color w:val="1A1D21"/>
                <w:sz w:val="17"/>
              </w:rPr>
              <w:t>0</w:t>
            </w:r>
          </w:p>
        </w:tc>
        <w:tc>
          <w:tcPr>
            <w:tcW w:type="dxa" w:w="1026"/>
          </w:tcPr>
          <w:p>
            <w:pPr>
              <w:jc w:val="right"/>
            </w:pPr>
            <w:r/>
            <w:r>
              <w:rPr>
                <w:color w:val="1A1D21"/>
                <w:sz w:val="17"/>
              </w:rPr>
              <w:t>0</w:t>
            </w:r>
          </w:p>
        </w:tc>
        <w:tc>
          <w:tcPr>
            <w:tcW w:type="dxa" w:w="1026"/>
          </w:tcPr>
          <w:p>
            <w:pPr>
              <w:jc w:val="right"/>
            </w:pPr>
            <w:r/>
            <w:r>
              <w:rPr>
                <w:color w:val="1A1D21"/>
                <w:sz w:val="17"/>
              </w:rPr>
              <w:t>0</w:t>
            </w:r>
          </w:p>
        </w:tc>
        <w:tc>
          <w:tcPr>
            <w:tcW w:type="dxa" w:w="1026"/>
          </w:tcPr>
          <w:p>
            <w:pPr>
              <w:jc w:val="right"/>
            </w:pPr>
            <w:r/>
            <w:r>
              <w:rPr>
                <w:color w:val="1A1D21"/>
                <w:sz w:val="17"/>
              </w:rPr>
              <w:t>0</w:t>
            </w:r>
          </w:p>
        </w:tc>
      </w:tr>
      <w:tr>
        <w:trPr>
          <w:cantSplit/>
        </w:trPr>
        <w:tc>
          <w:tcPr>
            <w:tcW w:type="dxa" w:w="1984"/>
          </w:tcPr>
          <w:p>
            <w:r/>
            <w:r>
              <w:rPr>
                <w:color w:val="1A1D21"/>
                <w:sz w:val="17"/>
              </w:rPr>
              <w:t>Closing cash</w:t>
            </w:r>
          </w:p>
        </w:tc>
        <w:tc>
          <w:tcPr>
            <w:tcW w:type="dxa" w:w="1026"/>
          </w:tcPr>
          <w:p>
            <w:pPr>
              <w:jc w:val="right"/>
            </w:pPr>
            <w:r/>
            <w:r>
              <w:rPr>
                <w:color w:val="1A1D21"/>
                <w:sz w:val="17"/>
              </w:rPr>
              <w:t>12,516</w:t>
            </w:r>
          </w:p>
        </w:tc>
        <w:tc>
          <w:tcPr>
            <w:tcW w:type="dxa" w:w="1026"/>
          </w:tcPr>
          <w:p>
            <w:pPr>
              <w:jc w:val="right"/>
            </w:pPr>
            <w:r/>
            <w:r>
              <w:rPr>
                <w:color w:val="1A1D21"/>
                <w:sz w:val="17"/>
              </w:rPr>
              <w:t>16,505</w:t>
            </w:r>
          </w:p>
        </w:tc>
        <w:tc>
          <w:tcPr>
            <w:tcW w:type="dxa" w:w="1026"/>
          </w:tcPr>
          <w:p>
            <w:pPr>
              <w:jc w:val="right"/>
            </w:pPr>
            <w:r/>
            <w:r>
              <w:rPr>
                <w:color w:val="1A1D21"/>
                <w:sz w:val="17"/>
              </w:rPr>
              <w:t>21,440</w:t>
            </w:r>
          </w:p>
        </w:tc>
        <w:tc>
          <w:tcPr>
            <w:tcW w:type="dxa" w:w="1026"/>
          </w:tcPr>
          <w:p>
            <w:pPr>
              <w:jc w:val="right"/>
            </w:pPr>
            <w:r/>
            <w:r>
              <w:rPr>
                <w:color w:val="1A1D21"/>
                <w:sz w:val="17"/>
              </w:rPr>
              <w:t>27,381</w:t>
            </w:r>
          </w:p>
        </w:tc>
        <w:tc>
          <w:tcPr>
            <w:tcW w:type="dxa" w:w="1026"/>
          </w:tcPr>
          <w:p>
            <w:pPr>
              <w:jc w:val="right"/>
            </w:pPr>
            <w:r/>
            <w:r>
              <w:rPr>
                <w:color w:val="1A1D21"/>
                <w:sz w:val="17"/>
              </w:rPr>
              <w:t>34,406</w:t>
            </w:r>
          </w:p>
        </w:tc>
        <w:tc>
          <w:tcPr>
            <w:tcW w:type="dxa" w:w="1026"/>
          </w:tcPr>
          <w:p>
            <w:pPr>
              <w:jc w:val="right"/>
            </w:pPr>
            <w:r/>
            <w:r>
              <w:rPr>
                <w:color w:val="1A1D21"/>
                <w:sz w:val="17"/>
              </w:rPr>
              <w:t>87,835</w:t>
            </w:r>
          </w:p>
        </w:tc>
        <w:tc>
          <w:tcPr>
            <w:tcW w:type="dxa" w:w="1026"/>
          </w:tcPr>
          <w:p>
            <w:pPr>
              <w:jc w:val="right"/>
            </w:pPr>
            <w:r/>
            <w:r>
              <w:rPr>
                <w:color w:val="1A1D21"/>
                <w:sz w:val="17"/>
              </w:rPr>
              <w:t>170,102</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The cycle this implies</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Collection period, days</w:t>
            </w:r>
          </w:p>
        </w:tc>
        <w:tc>
          <w:tcPr>
            <w:tcW w:type="dxa" w:w="1026"/>
          </w:tcPr>
          <w:p>
            <w:pPr>
              <w:jc w:val="right"/>
            </w:pPr>
            <w:r/>
            <w:r>
              <w:rPr>
                <w:color w:val="1A1D21"/>
                <w:sz w:val="17"/>
              </w:rPr>
              <w:t>934</w:t>
            </w:r>
          </w:p>
        </w:tc>
        <w:tc>
          <w:tcPr>
            <w:tcW w:type="dxa" w:w="1026"/>
          </w:tcPr>
          <w:p>
            <w:pPr>
              <w:jc w:val="right"/>
            </w:pPr>
            <w:r/>
            <w:r>
              <w:rPr>
                <w:color w:val="1A1D21"/>
                <w:sz w:val="17"/>
              </w:rPr>
              <w:t>728</w:t>
            </w:r>
          </w:p>
        </w:tc>
        <w:tc>
          <w:tcPr>
            <w:tcW w:type="dxa" w:w="1026"/>
          </w:tcPr>
          <w:p>
            <w:pPr>
              <w:jc w:val="right"/>
            </w:pPr>
            <w:r/>
            <w:r>
              <w:rPr>
                <w:color w:val="1A1D21"/>
                <w:sz w:val="17"/>
              </w:rPr>
              <w:t>596</w:t>
            </w:r>
          </w:p>
        </w:tc>
        <w:tc>
          <w:tcPr>
            <w:tcW w:type="dxa" w:w="1026"/>
          </w:tcPr>
          <w:p>
            <w:pPr>
              <w:jc w:val="right"/>
            </w:pPr>
            <w:r/>
            <w:r>
              <w:rPr>
                <w:color w:val="1A1D21"/>
                <w:sz w:val="17"/>
              </w:rPr>
              <w:t>507</w:t>
            </w:r>
          </w:p>
        </w:tc>
        <w:tc>
          <w:tcPr>
            <w:tcW w:type="dxa" w:w="1026"/>
          </w:tcPr>
          <w:p>
            <w:pPr>
              <w:jc w:val="right"/>
            </w:pPr>
            <w:r/>
            <w:r>
              <w:rPr>
                <w:color w:val="1A1D21"/>
                <w:sz w:val="17"/>
              </w:rPr>
              <w:t>444</w:t>
            </w:r>
          </w:p>
        </w:tc>
        <w:tc>
          <w:tcPr>
            <w:tcW w:type="dxa" w:w="1026"/>
          </w:tcPr>
          <w:p>
            <w:pPr>
              <w:jc w:val="right"/>
            </w:pPr>
            <w:r/>
            <w:r>
              <w:rPr>
                <w:color w:val="1A1D21"/>
                <w:sz w:val="17"/>
              </w:rPr>
              <w:t>323</w:t>
            </w:r>
          </w:p>
        </w:tc>
        <w:tc>
          <w:tcPr>
            <w:tcW w:type="dxa" w:w="1026"/>
          </w:tcPr>
          <w:p>
            <w:pPr>
              <w:jc w:val="right"/>
            </w:pPr>
            <w:r/>
            <w:r>
              <w:rPr>
                <w:color w:val="1A1D21"/>
                <w:sz w:val="17"/>
              </w:rPr>
              <w:t>337</w:t>
            </w:r>
          </w:p>
        </w:tc>
      </w:tr>
      <w:tr>
        <w:trPr>
          <w:cantSplit/>
        </w:trPr>
        <w:tc>
          <w:tcPr>
            <w:tcW w:type="dxa" w:w="1984"/>
          </w:tcPr>
          <w:p>
            <w:r/>
            <w:r>
              <w:rPr>
                <w:color w:val="1A1D21"/>
                <w:sz w:val="17"/>
              </w:rPr>
              <w:t>Work in progress, days of cost</w:t>
            </w:r>
          </w:p>
        </w:tc>
        <w:tc>
          <w:tcPr>
            <w:tcW w:type="dxa" w:w="1026"/>
          </w:tcPr>
          <w:p>
            <w:pPr>
              <w:jc w:val="right"/>
            </w:pPr>
            <w:r/>
            <w:r>
              <w:rPr>
                <w:color w:val="1A1D21"/>
                <w:sz w:val="17"/>
              </w:rPr>
              <w:t>246</w:t>
            </w:r>
          </w:p>
        </w:tc>
        <w:tc>
          <w:tcPr>
            <w:tcW w:type="dxa" w:w="1026"/>
          </w:tcPr>
          <w:p>
            <w:pPr>
              <w:jc w:val="right"/>
            </w:pPr>
            <w:r/>
            <w:r>
              <w:rPr>
                <w:color w:val="1A1D21"/>
                <w:sz w:val="17"/>
              </w:rPr>
              <w:t>191</w:t>
            </w:r>
          </w:p>
        </w:tc>
        <w:tc>
          <w:tcPr>
            <w:tcW w:type="dxa" w:w="1026"/>
          </w:tcPr>
          <w:p>
            <w:pPr>
              <w:jc w:val="right"/>
            </w:pPr>
            <w:r/>
            <w:r>
              <w:rPr>
                <w:color w:val="1A1D21"/>
                <w:sz w:val="17"/>
              </w:rPr>
              <w:t>157</w:t>
            </w:r>
          </w:p>
        </w:tc>
        <w:tc>
          <w:tcPr>
            <w:tcW w:type="dxa" w:w="1026"/>
          </w:tcPr>
          <w:p>
            <w:pPr>
              <w:jc w:val="right"/>
            </w:pPr>
            <w:r/>
            <w:r>
              <w:rPr>
                <w:color w:val="1A1D21"/>
                <w:sz w:val="17"/>
              </w:rPr>
              <w:t>133</w:t>
            </w:r>
          </w:p>
        </w:tc>
        <w:tc>
          <w:tcPr>
            <w:tcW w:type="dxa" w:w="1026"/>
          </w:tcPr>
          <w:p>
            <w:pPr>
              <w:jc w:val="right"/>
            </w:pPr>
            <w:r/>
            <w:r>
              <w:rPr>
                <w:color w:val="1A1D21"/>
                <w:sz w:val="17"/>
              </w:rPr>
              <w:t>117</w:t>
            </w:r>
          </w:p>
        </w:tc>
        <w:tc>
          <w:tcPr>
            <w:tcW w:type="dxa" w:w="1026"/>
          </w:tcPr>
          <w:p>
            <w:pPr>
              <w:jc w:val="right"/>
            </w:pPr>
            <w:r/>
            <w:r>
              <w:rPr>
                <w:color w:val="1A1D21"/>
                <w:sz w:val="17"/>
              </w:rPr>
              <w:t>85</w:t>
            </w:r>
          </w:p>
        </w:tc>
        <w:tc>
          <w:tcPr>
            <w:tcW w:type="dxa" w:w="1026"/>
          </w:tcPr>
          <w:p>
            <w:pPr>
              <w:jc w:val="right"/>
            </w:pPr>
            <w:r/>
            <w:r>
              <w:rPr>
                <w:color w:val="1A1D21"/>
                <w:sz w:val="17"/>
              </w:rPr>
              <w:t>89</w:t>
            </w:r>
          </w:p>
        </w:tc>
      </w:tr>
      <w:tr>
        <w:trPr>
          <w:cantSplit/>
        </w:trPr>
        <w:tc>
          <w:tcPr>
            <w:tcW w:type="dxa" w:w="1984"/>
          </w:tcPr>
          <w:p>
            <w:r/>
            <w:r>
              <w:rPr>
                <w:color w:val="1A1D21"/>
                <w:sz w:val="17"/>
              </w:rPr>
              <w:t>Suppliers, days of cost</w:t>
            </w:r>
          </w:p>
        </w:tc>
        <w:tc>
          <w:tcPr>
            <w:tcW w:type="dxa" w:w="1026"/>
          </w:tcPr>
          <w:p>
            <w:pPr>
              <w:jc w:val="right"/>
            </w:pPr>
            <w:r/>
            <w:r>
              <w:rPr>
                <w:color w:val="1A1D21"/>
                <w:sz w:val="17"/>
              </w:rPr>
              <w:t>53</w:t>
            </w:r>
          </w:p>
        </w:tc>
        <w:tc>
          <w:tcPr>
            <w:tcW w:type="dxa" w:w="1026"/>
          </w:tcPr>
          <w:p>
            <w:pPr>
              <w:jc w:val="right"/>
            </w:pPr>
            <w:r/>
            <w:r>
              <w:rPr>
                <w:color w:val="1A1D21"/>
                <w:sz w:val="17"/>
              </w:rPr>
              <w:t>41</w:t>
            </w:r>
          </w:p>
        </w:tc>
        <w:tc>
          <w:tcPr>
            <w:tcW w:type="dxa" w:w="1026"/>
          </w:tcPr>
          <w:p>
            <w:pPr>
              <w:jc w:val="right"/>
            </w:pPr>
            <w:r/>
            <w:r>
              <w:rPr>
                <w:color w:val="1A1D21"/>
                <w:sz w:val="17"/>
              </w:rPr>
              <w:t>34</w:t>
            </w:r>
          </w:p>
        </w:tc>
        <w:tc>
          <w:tcPr>
            <w:tcW w:type="dxa" w:w="1026"/>
          </w:tcPr>
          <w:p>
            <w:pPr>
              <w:jc w:val="right"/>
            </w:pPr>
            <w:r/>
            <w:r>
              <w:rPr>
                <w:color w:val="1A1D21"/>
                <w:sz w:val="17"/>
              </w:rPr>
              <w:t>29</w:t>
            </w:r>
          </w:p>
        </w:tc>
        <w:tc>
          <w:tcPr>
            <w:tcW w:type="dxa" w:w="1026"/>
          </w:tcPr>
          <w:p>
            <w:pPr>
              <w:jc w:val="right"/>
            </w:pPr>
            <w:r/>
            <w:r>
              <w:rPr>
                <w:color w:val="1A1D21"/>
                <w:sz w:val="17"/>
              </w:rPr>
              <w:t>25</w:t>
            </w:r>
          </w:p>
        </w:tc>
        <w:tc>
          <w:tcPr>
            <w:tcW w:type="dxa" w:w="1026"/>
          </w:tcPr>
          <w:p>
            <w:pPr>
              <w:jc w:val="right"/>
            </w:pPr>
            <w:r/>
            <w:r>
              <w:rPr>
                <w:color w:val="1A1D21"/>
                <w:sz w:val="17"/>
              </w:rPr>
              <w:t>18</w:t>
            </w:r>
          </w:p>
        </w:tc>
        <w:tc>
          <w:tcPr>
            <w:tcW w:type="dxa" w:w="1026"/>
          </w:tcPr>
          <w:p>
            <w:pPr>
              <w:jc w:val="right"/>
            </w:pPr>
            <w:r/>
            <w:r>
              <w:rPr>
                <w:color w:val="1A1D21"/>
                <w:sz w:val="17"/>
              </w:rPr>
              <w:t>19</w:t>
            </w:r>
          </w:p>
        </w:tc>
      </w:tr>
      <w:tr>
        <w:trPr>
          <w:cantSplit/>
        </w:trPr>
        <w:tc>
          <w:tcPr>
            <w:tcW w:type="dxa" w:w="1984"/>
          </w:tcPr>
          <w:p>
            <w:r/>
            <w:r>
              <w:rPr>
                <w:color w:val="1A1D21"/>
                <w:sz w:val="17"/>
              </w:rPr>
              <w:t>Customer advances, share of the order book</w:t>
            </w:r>
          </w:p>
        </w:tc>
        <w:tc>
          <w:tcPr>
            <w:tcW w:type="dxa" w:w="1026"/>
          </w:tcPr>
          <w:p>
            <w:pPr>
              <w:jc w:val="right"/>
            </w:pPr>
            <w:r/>
            <w:r>
              <w:rPr>
                <w:color w:val="1A1D21"/>
                <w:sz w:val="17"/>
              </w:rPr>
              <w:t>19.5%</w:t>
            </w:r>
          </w:p>
        </w:tc>
        <w:tc>
          <w:tcPr>
            <w:tcW w:type="dxa" w:w="1026"/>
          </w:tcPr>
          <w:p>
            <w:pPr>
              <w:jc w:val="right"/>
            </w:pPr>
            <w:r/>
            <w:r>
              <w:rPr>
                <w:color w:val="1A1D21"/>
                <w:sz w:val="17"/>
              </w:rPr>
              <w:t>15.5%</w:t>
            </w:r>
          </w:p>
        </w:tc>
        <w:tc>
          <w:tcPr>
            <w:tcW w:type="dxa" w:w="1026"/>
          </w:tcPr>
          <w:p>
            <w:pPr>
              <w:jc w:val="right"/>
            </w:pPr>
            <w:r/>
            <w:r>
              <w:rPr>
                <w:color w:val="1A1D21"/>
                <w:sz w:val="17"/>
              </w:rPr>
              <w:t>13.0%</w:t>
            </w:r>
          </w:p>
        </w:tc>
        <w:tc>
          <w:tcPr>
            <w:tcW w:type="dxa" w:w="1026"/>
          </w:tcPr>
          <w:p>
            <w:pPr>
              <w:jc w:val="right"/>
            </w:pPr>
            <w:r/>
            <w:r>
              <w:rPr>
                <w:color w:val="1A1D21"/>
                <w:sz w:val="17"/>
              </w:rPr>
              <w:t>11.3%</w:t>
            </w:r>
          </w:p>
        </w:tc>
        <w:tc>
          <w:tcPr>
            <w:tcW w:type="dxa" w:w="1026"/>
          </w:tcPr>
          <w:p>
            <w:pPr>
              <w:jc w:val="right"/>
            </w:pPr>
            <w:r/>
            <w:r>
              <w:rPr>
                <w:color w:val="1A1D21"/>
                <w:sz w:val="17"/>
              </w:rPr>
              <w:t>10.2%</w:t>
            </w:r>
          </w:p>
        </w:tc>
        <w:tc>
          <w:tcPr>
            <w:tcW w:type="dxa" w:w="1026"/>
          </w:tcPr>
          <w:p>
            <w:pPr>
              <w:jc w:val="right"/>
            </w:pPr>
            <w:r/>
            <w:r>
              <w:rPr>
                <w:color w:val="1A1D21"/>
                <w:sz w:val="17"/>
              </w:rPr>
              <w:t>8.8%</w:t>
            </w:r>
          </w:p>
        </w:tc>
        <w:tc>
          <w:tcPr>
            <w:tcW w:type="dxa" w:w="1026"/>
          </w:tcPr>
          <w:p>
            <w:pPr>
              <w:jc w:val="right"/>
            </w:pPr>
            <w:r/>
            <w:r>
              <w:rPr>
                <w:color w:val="1A1D21"/>
                <w:sz w:val="17"/>
              </w:rPr>
              <w:t>9.1%</w:t>
            </w:r>
          </w:p>
        </w:tc>
      </w:tr>
      <w:tr>
        <w:trPr>
          <w:cantSplit/>
        </w:trPr>
        <w:tc>
          <w:tcPr>
            <w:tcW w:type="dxa" w:w="1984"/>
          </w:tcPr>
          <w:p>
            <w:r/>
            <w:r>
              <w:rPr>
                <w:color w:val="1A1D21"/>
                <w:sz w:val="17"/>
              </w:rPr>
              <w:t>Net working capital</w:t>
            </w:r>
          </w:p>
        </w:tc>
        <w:tc>
          <w:tcPr>
            <w:tcW w:type="dxa" w:w="1026"/>
          </w:tcPr>
          <w:p>
            <w:pPr>
              <w:jc w:val="right"/>
            </w:pPr>
            <w:r/>
            <w:r>
              <w:rPr>
                <w:color w:val="1A1D21"/>
                <w:sz w:val="17"/>
              </w:rPr>
              <w:t>61,884</w:t>
            </w:r>
          </w:p>
        </w:tc>
        <w:tc>
          <w:tcPr>
            <w:tcW w:type="dxa" w:w="1026"/>
          </w:tcPr>
          <w:p>
            <w:pPr>
              <w:jc w:val="right"/>
            </w:pPr>
            <w:r/>
            <w:r>
              <w:rPr>
                <w:color w:val="1A1D21"/>
                <w:sz w:val="17"/>
              </w:rPr>
              <w:t>62,065</w:t>
            </w:r>
          </w:p>
        </w:tc>
        <w:tc>
          <w:tcPr>
            <w:tcW w:type="dxa" w:w="1026"/>
          </w:tcPr>
          <w:p>
            <w:pPr>
              <w:jc w:val="right"/>
            </w:pPr>
            <w:r/>
            <w:r>
              <w:rPr>
                <w:color w:val="1A1D21"/>
                <w:sz w:val="17"/>
              </w:rPr>
              <w:t>62,904</w:t>
            </w:r>
          </w:p>
        </w:tc>
        <w:tc>
          <w:tcPr>
            <w:tcW w:type="dxa" w:w="1026"/>
          </w:tcPr>
          <w:p>
            <w:pPr>
              <w:jc w:val="right"/>
            </w:pPr>
            <w:r/>
            <w:r>
              <w:rPr>
                <w:color w:val="1A1D21"/>
                <w:sz w:val="17"/>
              </w:rPr>
              <w:t>64,443</w:t>
            </w:r>
          </w:p>
        </w:tc>
        <w:tc>
          <w:tcPr>
            <w:tcW w:type="dxa" w:w="1026"/>
          </w:tcPr>
          <w:p>
            <w:pPr>
              <w:jc w:val="right"/>
            </w:pPr>
            <w:r/>
            <w:r>
              <w:rPr>
                <w:color w:val="1A1D21"/>
                <w:sz w:val="17"/>
              </w:rPr>
              <w:t>66,736</w:t>
            </w:r>
          </w:p>
        </w:tc>
        <w:tc>
          <w:tcPr>
            <w:tcW w:type="dxa" w:w="1026"/>
          </w:tcPr>
          <w:p>
            <w:pPr>
              <w:jc w:val="right"/>
            </w:pPr>
            <w:r/>
            <w:r>
              <w:rPr>
                <w:color w:val="1A1D21"/>
                <w:sz w:val="17"/>
              </w:rPr>
              <w:t>90,938</w:t>
            </w:r>
          </w:p>
        </w:tc>
        <w:tc>
          <w:tcPr>
            <w:tcW w:type="dxa" w:w="1026"/>
          </w:tcPr>
          <w:p>
            <w:pPr>
              <w:jc w:val="right"/>
            </w:pPr>
            <w:r/>
            <w:r>
              <w:rPr>
                <w:color w:val="1A1D21"/>
                <w:sz w:val="17"/>
              </w:rPr>
              <w:t>135,203</w:t>
            </w:r>
          </w:p>
        </w:tc>
      </w:tr>
      <w:tr>
        <w:trPr>
          <w:cantSplit/>
        </w:trPr>
        <w:tc>
          <w:tcPr>
            <w:tcW w:type="dxa" w:w="1984"/>
          </w:tcPr>
          <w:p>
            <w:r/>
            <w:r>
              <w:rPr>
                <w:color w:val="1A1D21"/>
                <w:sz w:val="17"/>
              </w:rPr>
              <w:t xml:space="preserve">  as a multiple of revenue</w:t>
            </w:r>
          </w:p>
        </w:tc>
        <w:tc>
          <w:tcPr>
            <w:tcW w:type="dxa" w:w="1026"/>
          </w:tcPr>
          <w:p>
            <w:pPr>
              <w:jc w:val="right"/>
            </w:pPr>
            <w:r/>
            <w:r>
              <w:rPr>
                <w:color w:val="1A1D21"/>
                <w:sz w:val="17"/>
              </w:rPr>
              <w:t>1.54</w:t>
            </w:r>
          </w:p>
        </w:tc>
        <w:tc>
          <w:tcPr>
            <w:tcW w:type="dxa" w:w="1026"/>
          </w:tcPr>
          <w:p>
            <w:pPr>
              <w:jc w:val="right"/>
            </w:pPr>
            <w:r/>
            <w:r>
              <w:rPr>
                <w:color w:val="1A1D21"/>
                <w:sz w:val="17"/>
              </w:rPr>
              <w:t>1.20</w:t>
            </w:r>
          </w:p>
        </w:tc>
        <w:tc>
          <w:tcPr>
            <w:tcW w:type="dxa" w:w="1026"/>
          </w:tcPr>
          <w:p>
            <w:pPr>
              <w:jc w:val="right"/>
            </w:pPr>
            <w:r/>
            <w:r>
              <w:rPr>
                <w:color w:val="1A1D21"/>
                <w:sz w:val="17"/>
              </w:rPr>
              <w:t>0.98</w:t>
            </w:r>
          </w:p>
        </w:tc>
        <w:tc>
          <w:tcPr>
            <w:tcW w:type="dxa" w:w="1026"/>
          </w:tcPr>
          <w:p>
            <w:pPr>
              <w:jc w:val="right"/>
            </w:pPr>
            <w:r/>
            <w:r>
              <w:rPr>
                <w:color w:val="1A1D21"/>
                <w:sz w:val="17"/>
              </w:rPr>
              <w:t>0.84</w:t>
            </w:r>
          </w:p>
        </w:tc>
        <w:tc>
          <w:tcPr>
            <w:tcW w:type="dxa" w:w="1026"/>
          </w:tcPr>
          <w:p>
            <w:pPr>
              <w:jc w:val="right"/>
            </w:pPr>
            <w:r/>
            <w:r>
              <w:rPr>
                <w:color w:val="1A1D21"/>
                <w:sz w:val="17"/>
              </w:rPr>
              <w:t>0.73</w:t>
            </w:r>
          </w:p>
        </w:tc>
        <w:tc>
          <w:tcPr>
            <w:tcW w:type="dxa" w:w="1026"/>
          </w:tcPr>
          <w:p>
            <w:pPr>
              <w:jc w:val="right"/>
            </w:pPr>
            <w:r/>
            <w:r>
              <w:rPr>
                <w:color w:val="1A1D21"/>
                <w:sz w:val="17"/>
              </w:rPr>
              <w:t>0.53</w:t>
            </w:r>
          </w:p>
        </w:tc>
        <w:tc>
          <w:tcPr>
            <w:tcW w:type="dxa" w:w="1026"/>
          </w:tcPr>
          <w:p>
            <w:pPr>
              <w:jc w:val="right"/>
            </w:pPr>
            <w:r/>
            <w:r>
              <w:rPr>
                <w:color w:val="1A1D21"/>
                <w:sz w:val="17"/>
              </w:rPr>
              <w:t>0.56</w:t>
            </w:r>
          </w:p>
        </w:tc>
      </w:tr>
    </w:tbl>
    <w:p>
      <w:pPr>
        <w:spacing w:after="200"/>
      </w:pPr>
      <w:r>
        <w:rPr>
          <w:b w:val="0"/>
          <w:i/>
          <w:color w:val="5B6570"/>
          <w:sz w:val="16"/>
        </w:rPr>
        <w:t>The collection period falls from 934 days to 337 over five years. That is what this reading requires, and it is a large improvement to take on trust — which is exactly why the other reading is printed too.</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Free cash flow to the firm,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Cash from operations</w:t>
            </w:r>
          </w:p>
        </w:tc>
        <w:tc>
          <w:tcPr>
            <w:tcW w:type="dxa" w:w="1026"/>
          </w:tcPr>
          <w:p>
            <w:pPr>
              <w:jc w:val="right"/>
            </w:pPr>
            <w:r/>
            <w:r>
              <w:rPr>
                <w:color w:val="1A1D21"/>
                <w:sz w:val="17"/>
              </w:rPr>
              <w:t>3,498</w:t>
            </w:r>
          </w:p>
        </w:tc>
        <w:tc>
          <w:tcPr>
            <w:tcW w:type="dxa" w:w="1026"/>
          </w:tcPr>
          <w:p>
            <w:pPr>
              <w:jc w:val="right"/>
            </w:pPr>
            <w:r/>
            <w:r>
              <w:rPr>
                <w:color w:val="1A1D21"/>
                <w:sz w:val="17"/>
              </w:rPr>
              <w:t>4,506</w:t>
            </w:r>
          </w:p>
        </w:tc>
        <w:tc>
          <w:tcPr>
            <w:tcW w:type="dxa" w:w="1026"/>
          </w:tcPr>
          <w:p>
            <w:pPr>
              <w:jc w:val="right"/>
            </w:pPr>
            <w:r/>
            <w:r>
              <w:rPr>
                <w:color w:val="1A1D21"/>
                <w:sz w:val="17"/>
              </w:rPr>
              <w:t>5,574</w:t>
            </w:r>
          </w:p>
        </w:tc>
        <w:tc>
          <w:tcPr>
            <w:tcW w:type="dxa" w:w="1026"/>
          </w:tcPr>
          <w:p>
            <w:pPr>
              <w:jc w:val="right"/>
            </w:pPr>
            <w:r/>
            <w:r>
              <w:rPr>
                <w:color w:val="1A1D21"/>
                <w:sz w:val="17"/>
              </w:rPr>
              <w:t>6,712</w:t>
            </w:r>
          </w:p>
        </w:tc>
        <w:tc>
          <w:tcPr>
            <w:tcW w:type="dxa" w:w="1026"/>
          </w:tcPr>
          <w:p>
            <w:pPr>
              <w:jc w:val="right"/>
            </w:pPr>
            <w:r/>
            <w:r>
              <w:rPr>
                <w:color w:val="1A1D21"/>
                <w:sz w:val="17"/>
              </w:rPr>
              <w:t>7,936</w:t>
            </w:r>
          </w:p>
        </w:tc>
        <w:tc>
          <w:tcPr>
            <w:tcW w:type="dxa" w:w="1026"/>
          </w:tcPr>
          <w:p>
            <w:pPr>
              <w:jc w:val="right"/>
            </w:pPr>
            <w:r/>
            <w:r>
              <w:rPr>
                <w:color w:val="1A1D21"/>
                <w:sz w:val="17"/>
              </w:rPr>
              <w:t>14,879</w:t>
            </w:r>
          </w:p>
        </w:tc>
        <w:tc>
          <w:tcPr>
            <w:tcW w:type="dxa" w:w="1026"/>
          </w:tcPr>
          <w:p>
            <w:pPr>
              <w:jc w:val="right"/>
            </w:pPr>
            <w:r/>
            <w:r>
              <w:rPr>
                <w:color w:val="1A1D21"/>
                <w:sz w:val="17"/>
              </w:rPr>
              <w:t>21,182</w:t>
            </w:r>
          </w:p>
        </w:tc>
      </w:tr>
      <w:tr>
        <w:trPr>
          <w:cantSplit/>
        </w:trPr>
        <w:tc>
          <w:tcPr>
            <w:tcW w:type="dxa" w:w="1984"/>
          </w:tcPr>
          <w:p>
            <w:r/>
            <w:r>
              <w:rPr>
                <w:color w:val="1A1D21"/>
                <w:sz w:val="17"/>
              </w:rPr>
              <w:t>plus finance cost, after tax</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r>
      <w:tr>
        <w:trPr>
          <w:cantSplit/>
        </w:trPr>
        <w:tc>
          <w:tcPr>
            <w:tcW w:type="dxa" w:w="1984"/>
          </w:tcPr>
          <w:p>
            <w:r/>
            <w:r>
              <w:rPr>
                <w:color w:val="1A1D21"/>
                <w:sz w:val="17"/>
              </w:rPr>
              <w:t>less capital expenditure</w:t>
            </w:r>
          </w:p>
        </w:tc>
        <w:tc>
          <w:tcPr>
            <w:tcW w:type="dxa" w:w="1026"/>
          </w:tcPr>
          <w:p>
            <w:pPr>
              <w:jc w:val="right"/>
            </w:pPr>
            <w:r/>
            <w:r>
              <w:rPr>
                <w:color w:val="1A1D21"/>
                <w:sz w:val="17"/>
              </w:rPr>
              <w:t>-401</w:t>
            </w:r>
          </w:p>
        </w:tc>
        <w:tc>
          <w:tcPr>
            <w:tcW w:type="dxa" w:w="1026"/>
          </w:tcPr>
          <w:p>
            <w:pPr>
              <w:jc w:val="right"/>
            </w:pPr>
            <w:r/>
            <w:r>
              <w:rPr>
                <w:color w:val="1A1D21"/>
                <w:sz w:val="17"/>
              </w:rPr>
              <w:t>-517</w:t>
            </w:r>
          </w:p>
        </w:tc>
        <w:tc>
          <w:tcPr>
            <w:tcW w:type="dxa" w:w="1026"/>
          </w:tcPr>
          <w:p>
            <w:pPr>
              <w:jc w:val="right"/>
            </w:pPr>
            <w:r/>
            <w:r>
              <w:rPr>
                <w:color w:val="1A1D21"/>
                <w:sz w:val="17"/>
              </w:rPr>
              <w:t>-640</w:t>
            </w:r>
          </w:p>
        </w:tc>
        <w:tc>
          <w:tcPr>
            <w:tcW w:type="dxa" w:w="1026"/>
          </w:tcPr>
          <w:p>
            <w:pPr>
              <w:jc w:val="right"/>
            </w:pPr>
            <w:r/>
            <w:r>
              <w:rPr>
                <w:color w:val="1A1D21"/>
                <w:sz w:val="17"/>
              </w:rPr>
              <w:t>-770</w:t>
            </w:r>
          </w:p>
        </w:tc>
        <w:tc>
          <w:tcPr>
            <w:tcW w:type="dxa" w:w="1026"/>
          </w:tcPr>
          <w:p>
            <w:pPr>
              <w:jc w:val="right"/>
            </w:pPr>
            <w:r/>
            <w:r>
              <w:rPr>
                <w:color w:val="1A1D21"/>
                <w:sz w:val="17"/>
              </w:rPr>
              <w:t>-911</w:t>
            </w:r>
          </w:p>
        </w:tc>
        <w:tc>
          <w:tcPr>
            <w:tcW w:type="dxa" w:w="1026"/>
          </w:tcPr>
          <w:p>
            <w:pPr>
              <w:jc w:val="right"/>
            </w:pPr>
            <w:r/>
            <w:r>
              <w:rPr>
                <w:color w:val="1A1D21"/>
                <w:sz w:val="17"/>
              </w:rPr>
              <w:t>-1,708</w:t>
            </w:r>
          </w:p>
        </w:tc>
        <w:tc>
          <w:tcPr>
            <w:tcW w:type="dxa" w:w="1026"/>
          </w:tcPr>
          <w:p>
            <w:pPr>
              <w:jc w:val="right"/>
            </w:pPr>
            <w:r/>
            <w:r>
              <w:rPr>
                <w:color w:val="1A1D21"/>
                <w:sz w:val="17"/>
              </w:rPr>
              <w:t>-2,431</w:t>
            </w:r>
          </w:p>
        </w:tc>
      </w:tr>
      <w:tr>
        <w:trPr>
          <w:cantSplit/>
        </w:trPr>
        <w:tc>
          <w:tcPr>
            <w:tcW w:type="dxa" w:w="1984"/>
          </w:tcPr>
          <w:p>
            <w:r/>
            <w:r>
              <w:rPr>
                <w:color w:val="1A1D21"/>
                <w:sz w:val="17"/>
              </w:rPr>
              <w:t>Free cash flow to the firm</w:t>
            </w:r>
          </w:p>
        </w:tc>
        <w:tc>
          <w:tcPr>
            <w:tcW w:type="dxa" w:w="1026"/>
          </w:tcPr>
          <w:p>
            <w:pPr>
              <w:jc w:val="right"/>
            </w:pPr>
            <w:r/>
            <w:r>
              <w:rPr>
                <w:color w:val="1A1D21"/>
                <w:sz w:val="17"/>
              </w:rPr>
              <w:t>5,691</w:t>
            </w:r>
          </w:p>
        </w:tc>
        <w:tc>
          <w:tcPr>
            <w:tcW w:type="dxa" w:w="1026"/>
          </w:tcPr>
          <w:p>
            <w:pPr>
              <w:jc w:val="right"/>
            </w:pPr>
            <w:r/>
            <w:r>
              <w:rPr>
                <w:color w:val="1A1D21"/>
                <w:sz w:val="17"/>
              </w:rPr>
              <w:t>6,583</w:t>
            </w:r>
          </w:p>
        </w:tc>
        <w:tc>
          <w:tcPr>
            <w:tcW w:type="dxa" w:w="1026"/>
          </w:tcPr>
          <w:p>
            <w:pPr>
              <w:jc w:val="right"/>
            </w:pPr>
            <w:r/>
            <w:r>
              <w:rPr>
                <w:color w:val="1A1D21"/>
                <w:sz w:val="17"/>
              </w:rPr>
              <w:t>7,529</w:t>
            </w:r>
          </w:p>
        </w:tc>
        <w:tc>
          <w:tcPr>
            <w:tcW w:type="dxa" w:w="1026"/>
          </w:tcPr>
          <w:p>
            <w:pPr>
              <w:jc w:val="right"/>
            </w:pPr>
            <w:r/>
            <w:r>
              <w:rPr>
                <w:color w:val="1A1D21"/>
                <w:sz w:val="17"/>
              </w:rPr>
              <w:t>8,536</w:t>
            </w:r>
          </w:p>
        </w:tc>
        <w:tc>
          <w:tcPr>
            <w:tcW w:type="dxa" w:w="1026"/>
          </w:tcPr>
          <w:p>
            <w:pPr>
              <w:jc w:val="right"/>
            </w:pPr>
            <w:r/>
            <w:r>
              <w:rPr>
                <w:color w:val="1A1D21"/>
                <w:sz w:val="17"/>
              </w:rPr>
              <w:t>9,619</w:t>
            </w:r>
          </w:p>
        </w:tc>
        <w:tc>
          <w:tcPr>
            <w:tcW w:type="dxa" w:w="1026"/>
          </w:tcPr>
          <w:p>
            <w:pPr>
              <w:jc w:val="right"/>
            </w:pPr>
            <w:r/>
            <w:r>
              <w:rPr>
                <w:color w:val="1A1D21"/>
                <w:sz w:val="17"/>
              </w:rPr>
              <w:t>15,766</w:t>
            </w:r>
          </w:p>
        </w:tc>
        <w:tc>
          <w:tcPr>
            <w:tcW w:type="dxa" w:w="1026"/>
          </w:tcPr>
          <w:p>
            <w:pPr>
              <w:jc w:val="right"/>
            </w:pPr>
            <w:r/>
            <w:r>
              <w:rPr>
                <w:color w:val="1A1D21"/>
                <w:sz w:val="17"/>
              </w:rPr>
              <w:t>21,346</w:t>
            </w:r>
          </w:p>
        </w:tc>
      </w:tr>
      <w:tr>
        <w:trPr>
          <w:cantSplit/>
        </w:trPr>
        <w:tc>
          <w:tcPr>
            <w:tcW w:type="dxa" w:w="1984"/>
          </w:tcPr>
          <w:p>
            <w:r/>
            <w:r>
              <w:rPr>
                <w:color w:val="1A1D21"/>
                <w:sz w:val="17"/>
              </w:rPr>
              <w:t>Present value, on the schedule</w:t>
            </w:r>
          </w:p>
        </w:tc>
        <w:tc>
          <w:tcPr>
            <w:tcW w:type="dxa" w:w="1026"/>
          </w:tcPr>
          <w:p>
            <w:pPr>
              <w:jc w:val="right"/>
            </w:pPr>
            <w:r/>
            <w:r>
              <w:rPr>
                <w:color w:val="1A1D21"/>
                <w:sz w:val="17"/>
              </w:rPr>
              <w:t>4,549</w:t>
            </w:r>
          </w:p>
        </w:tc>
        <w:tc>
          <w:tcPr>
            <w:tcW w:type="dxa" w:w="1026"/>
          </w:tcPr>
          <w:p>
            <w:pPr>
              <w:jc w:val="right"/>
            </w:pPr>
            <w:r/>
            <w:r>
              <w:rPr>
                <w:color w:val="1A1D21"/>
                <w:sz w:val="17"/>
              </w:rPr>
              <w:t>4,317</w:t>
            </w:r>
          </w:p>
        </w:tc>
        <w:tc>
          <w:tcPr>
            <w:tcW w:type="dxa" w:w="1026"/>
          </w:tcPr>
          <w:p>
            <w:pPr>
              <w:jc w:val="right"/>
            </w:pPr>
            <w:r/>
            <w:r>
              <w:rPr>
                <w:color w:val="1A1D21"/>
                <w:sz w:val="17"/>
              </w:rPr>
              <w:t>4,137</w:t>
            </w:r>
          </w:p>
        </w:tc>
        <w:tc>
          <w:tcPr>
            <w:tcW w:type="dxa" w:w="1026"/>
          </w:tcPr>
          <w:p>
            <w:pPr>
              <w:jc w:val="right"/>
            </w:pPr>
            <w:r/>
            <w:r>
              <w:rPr>
                <w:color w:val="1A1D21"/>
                <w:sz w:val="17"/>
              </w:rPr>
              <w:t>3,994</w:t>
            </w:r>
          </w:p>
        </w:tc>
        <w:tc>
          <w:tcPr>
            <w:tcW w:type="dxa" w:w="1026"/>
          </w:tcPr>
          <w:p>
            <w:pPr>
              <w:jc w:val="right"/>
            </w:pPr>
            <w:r/>
            <w:r>
              <w:rPr>
                <w:color w:val="1A1D21"/>
                <w:sz w:val="17"/>
              </w:rPr>
              <w:t>3,875</w:t>
            </w:r>
          </w:p>
        </w:tc>
        <w:tc>
          <w:tcPr>
            <w:tcW w:type="dxa" w:w="1026"/>
          </w:tcPr>
          <w:p>
            <w:pPr>
              <w:jc w:val="right"/>
            </w:pPr>
            <w:r/>
            <w:r>
              <w:rPr>
                <w:color w:val="1A1D21"/>
                <w:sz w:val="17"/>
              </w:rPr>
              <w:t>3,004</w:t>
            </w:r>
          </w:p>
        </w:tc>
        <w:tc>
          <w:tcPr>
            <w:tcW w:type="dxa" w:w="1026"/>
          </w:tcPr>
          <w:p>
            <w:pPr>
              <w:jc w:val="right"/>
            </w:pPr>
            <w:r/>
            <w:r>
              <w:rPr>
                <w:color w:val="1A1D21"/>
                <w:sz w:val="17"/>
              </w:rPr>
              <w:t>1,924</w:t>
            </w:r>
          </w:p>
        </w:tc>
      </w:tr>
    </w:tbl>
    <w:p>
      <w:pPr>
        <w:spacing w:after="200"/>
      </w:pPr>
      <w:r>
        <w:rPr>
          <w:b w:val="0"/>
          <w:i/>
          <w:color w:val="5B6570"/>
          <w:sz w:val="16"/>
        </w:rPr>
        <w:t>These are the figures discounted in section 1.1, shown again here beside the statements they come out of.</w:t>
      </w:r>
    </w:p>
    <w:p>
      <w:pPr>
        <w:pStyle w:val="Heading3"/>
      </w:pPr>
      <w:r>
        <w:t>If the collection cycle holds</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Forecast balance sheet,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Trade and notes receivable</w:t>
            </w:r>
          </w:p>
        </w:tc>
        <w:tc>
          <w:tcPr>
            <w:tcW w:type="dxa" w:w="1026"/>
          </w:tcPr>
          <w:p>
            <w:pPr>
              <w:jc w:val="right"/>
            </w:pPr>
            <w:r/>
            <w:r>
              <w:rPr>
                <w:color w:val="1A1D21"/>
                <w:sz w:val="17"/>
              </w:rPr>
              <w:t>114,897</w:t>
            </w:r>
          </w:p>
        </w:tc>
        <w:tc>
          <w:tcPr>
            <w:tcW w:type="dxa" w:w="1026"/>
          </w:tcPr>
          <w:p>
            <w:pPr>
              <w:jc w:val="right"/>
            </w:pPr>
            <w:r/>
            <w:r>
              <w:rPr>
                <w:color w:val="1A1D21"/>
                <w:sz w:val="17"/>
              </w:rPr>
              <w:t>147,987</w:t>
            </w:r>
          </w:p>
        </w:tc>
        <w:tc>
          <w:tcPr>
            <w:tcW w:type="dxa" w:w="1026"/>
          </w:tcPr>
          <w:p>
            <w:pPr>
              <w:jc w:val="right"/>
            </w:pPr>
            <w:r/>
            <w:r>
              <w:rPr>
                <w:color w:val="1A1D21"/>
                <w:sz w:val="17"/>
              </w:rPr>
              <w:t>183,083</w:t>
            </w:r>
          </w:p>
        </w:tc>
        <w:tc>
          <w:tcPr>
            <w:tcW w:type="dxa" w:w="1026"/>
          </w:tcPr>
          <w:p>
            <w:pPr>
              <w:jc w:val="right"/>
            </w:pPr>
            <w:r/>
            <w:r>
              <w:rPr>
                <w:color w:val="1A1D21"/>
                <w:sz w:val="17"/>
              </w:rPr>
              <w:t>220,432</w:t>
            </w:r>
          </w:p>
        </w:tc>
        <w:tc>
          <w:tcPr>
            <w:tcW w:type="dxa" w:w="1026"/>
          </w:tcPr>
          <w:p>
            <w:pPr>
              <w:jc w:val="right"/>
            </w:pPr>
            <w:r/>
            <w:r>
              <w:rPr>
                <w:color w:val="1A1D21"/>
                <w:sz w:val="17"/>
              </w:rPr>
              <w:t>260,627</w:t>
            </w:r>
          </w:p>
        </w:tc>
        <w:tc>
          <w:tcPr>
            <w:tcW w:type="dxa" w:w="1026"/>
          </w:tcPr>
          <w:p>
            <w:pPr>
              <w:jc w:val="right"/>
            </w:pPr>
            <w:r/>
            <w:r>
              <w:rPr>
                <w:color w:val="1A1D21"/>
                <w:sz w:val="17"/>
              </w:rPr>
              <w:t>488,690</w:t>
            </w:r>
          </w:p>
        </w:tc>
        <w:tc>
          <w:tcPr>
            <w:tcW w:type="dxa" w:w="1026"/>
          </w:tcPr>
          <w:p>
            <w:pPr>
              <w:jc w:val="right"/>
            </w:pPr>
            <w:r/>
            <w:r>
              <w:rPr>
                <w:color w:val="1A1D21"/>
                <w:sz w:val="17"/>
              </w:rPr>
              <w:t>695,694</w:t>
            </w:r>
          </w:p>
        </w:tc>
      </w:tr>
      <w:tr>
        <w:trPr>
          <w:cantSplit/>
        </w:trPr>
        <w:tc>
          <w:tcPr>
            <w:tcW w:type="dxa" w:w="1984"/>
          </w:tcPr>
          <w:p>
            <w:r/>
            <w:r>
              <w:rPr>
                <w:color w:val="1A1D21"/>
                <w:sz w:val="17"/>
              </w:rPr>
              <w:t>Work in progress</w:t>
            </w:r>
          </w:p>
        </w:tc>
        <w:tc>
          <w:tcPr>
            <w:tcW w:type="dxa" w:w="1026"/>
          </w:tcPr>
          <w:p>
            <w:pPr>
              <w:jc w:val="right"/>
            </w:pPr>
            <w:r/>
            <w:r>
              <w:rPr>
                <w:color w:val="1A1D21"/>
                <w:sz w:val="17"/>
              </w:rPr>
              <w:t>19,504</w:t>
            </w:r>
          </w:p>
        </w:tc>
        <w:tc>
          <w:tcPr>
            <w:tcW w:type="dxa" w:w="1026"/>
          </w:tcPr>
          <w:p>
            <w:pPr>
              <w:jc w:val="right"/>
            </w:pPr>
            <w:r/>
            <w:r>
              <w:rPr>
                <w:color w:val="1A1D21"/>
                <w:sz w:val="17"/>
              </w:rPr>
              <w:t>25,121</w:t>
            </w:r>
          </w:p>
        </w:tc>
        <w:tc>
          <w:tcPr>
            <w:tcW w:type="dxa" w:w="1026"/>
          </w:tcPr>
          <w:p>
            <w:pPr>
              <w:jc w:val="right"/>
            </w:pPr>
            <w:r/>
            <w:r>
              <w:rPr>
                <w:color w:val="1A1D21"/>
                <w:sz w:val="17"/>
              </w:rPr>
              <w:t>31,078</w:t>
            </w:r>
          </w:p>
        </w:tc>
        <w:tc>
          <w:tcPr>
            <w:tcW w:type="dxa" w:w="1026"/>
          </w:tcPr>
          <w:p>
            <w:pPr>
              <w:jc w:val="right"/>
            </w:pPr>
            <w:r/>
            <w:r>
              <w:rPr>
                <w:color w:val="1A1D21"/>
                <w:sz w:val="17"/>
              </w:rPr>
              <w:t>37,418</w:t>
            </w:r>
          </w:p>
        </w:tc>
        <w:tc>
          <w:tcPr>
            <w:tcW w:type="dxa" w:w="1026"/>
          </w:tcPr>
          <w:p>
            <w:pPr>
              <w:jc w:val="right"/>
            </w:pPr>
            <w:r/>
            <w:r>
              <w:rPr>
                <w:color w:val="1A1D21"/>
                <w:sz w:val="17"/>
              </w:rPr>
              <w:t>44,241</w:t>
            </w:r>
          </w:p>
        </w:tc>
        <w:tc>
          <w:tcPr>
            <w:tcW w:type="dxa" w:w="1026"/>
          </w:tcPr>
          <w:p>
            <w:pPr>
              <w:jc w:val="right"/>
            </w:pPr>
            <w:r/>
            <w:r>
              <w:rPr>
                <w:color w:val="1A1D21"/>
                <w:sz w:val="17"/>
              </w:rPr>
              <w:t>82,955</w:t>
            </w:r>
          </w:p>
        </w:tc>
        <w:tc>
          <w:tcPr>
            <w:tcW w:type="dxa" w:w="1026"/>
          </w:tcPr>
          <w:p>
            <w:pPr>
              <w:jc w:val="right"/>
            </w:pPr>
            <w:r/>
            <w:r>
              <w:rPr>
                <w:color w:val="1A1D21"/>
                <w:sz w:val="17"/>
              </w:rPr>
              <w:t>118,093</w:t>
            </w:r>
          </w:p>
        </w:tc>
      </w:tr>
      <w:tr>
        <w:trPr>
          <w:cantSplit/>
        </w:trPr>
        <w:tc>
          <w:tcPr>
            <w:tcW w:type="dxa" w:w="1984"/>
          </w:tcPr>
          <w:p>
            <w:r/>
            <w:r>
              <w:rPr>
                <w:color w:val="1A1D21"/>
                <w:sz w:val="17"/>
              </w:rPr>
              <w:t>Other receivables and prepayments</w:t>
            </w:r>
          </w:p>
        </w:tc>
        <w:tc>
          <w:tcPr>
            <w:tcW w:type="dxa" w:w="1026"/>
          </w:tcPr>
          <w:p>
            <w:pPr>
              <w:jc w:val="right"/>
            </w:pPr>
            <w:r/>
            <w:r>
              <w:rPr>
                <w:color w:val="1A1D21"/>
                <w:sz w:val="17"/>
              </w:rPr>
              <w:t>14,343</w:t>
            </w:r>
          </w:p>
        </w:tc>
        <w:tc>
          <w:tcPr>
            <w:tcW w:type="dxa" w:w="1026"/>
          </w:tcPr>
          <w:p>
            <w:pPr>
              <w:jc w:val="right"/>
            </w:pPr>
            <w:r/>
            <w:r>
              <w:rPr>
                <w:color w:val="1A1D21"/>
                <w:sz w:val="17"/>
              </w:rPr>
              <w:t>18,474</w:t>
            </w:r>
          </w:p>
        </w:tc>
        <w:tc>
          <w:tcPr>
            <w:tcW w:type="dxa" w:w="1026"/>
          </w:tcPr>
          <w:p>
            <w:pPr>
              <w:jc w:val="right"/>
            </w:pPr>
            <w:r/>
            <w:r>
              <w:rPr>
                <w:color w:val="1A1D21"/>
                <w:sz w:val="17"/>
              </w:rPr>
              <w:t>22,856</w:t>
            </w:r>
          </w:p>
        </w:tc>
        <w:tc>
          <w:tcPr>
            <w:tcW w:type="dxa" w:w="1026"/>
          </w:tcPr>
          <w:p>
            <w:pPr>
              <w:jc w:val="right"/>
            </w:pPr>
            <w:r/>
            <w:r>
              <w:rPr>
                <w:color w:val="1A1D21"/>
                <w:sz w:val="17"/>
              </w:rPr>
              <w:t>27,518</w:t>
            </w:r>
          </w:p>
        </w:tc>
        <w:tc>
          <w:tcPr>
            <w:tcW w:type="dxa" w:w="1026"/>
          </w:tcPr>
          <w:p>
            <w:pPr>
              <w:jc w:val="right"/>
            </w:pPr>
            <w:r/>
            <w:r>
              <w:rPr>
                <w:color w:val="1A1D21"/>
                <w:sz w:val="17"/>
              </w:rPr>
              <w:t>32,536</w:t>
            </w:r>
          </w:p>
        </w:tc>
        <w:tc>
          <w:tcPr>
            <w:tcW w:type="dxa" w:w="1026"/>
          </w:tcPr>
          <w:p>
            <w:pPr>
              <w:jc w:val="right"/>
            </w:pPr>
            <w:r/>
            <w:r>
              <w:rPr>
                <w:color w:val="1A1D21"/>
                <w:sz w:val="17"/>
              </w:rPr>
              <w:t>61,007</w:t>
            </w:r>
          </w:p>
        </w:tc>
        <w:tc>
          <w:tcPr>
            <w:tcW w:type="dxa" w:w="1026"/>
          </w:tcPr>
          <w:p>
            <w:pPr>
              <w:jc w:val="right"/>
            </w:pPr>
            <w:r/>
            <w:r>
              <w:rPr>
                <w:color w:val="1A1D21"/>
                <w:sz w:val="17"/>
              </w:rPr>
              <w:t>86,848</w:t>
            </w:r>
          </w:p>
        </w:tc>
      </w:tr>
      <w:tr>
        <w:trPr>
          <w:cantSplit/>
        </w:trPr>
        <w:tc>
          <w:tcPr>
            <w:tcW w:type="dxa" w:w="1984"/>
          </w:tcPr>
          <w:p>
            <w:r/>
            <w:r>
              <w:rPr>
                <w:color w:val="1A1D21"/>
                <w:sz w:val="17"/>
              </w:rPr>
              <w:t>Advances to suppliers</w:t>
            </w:r>
          </w:p>
        </w:tc>
        <w:tc>
          <w:tcPr>
            <w:tcW w:type="dxa" w:w="1026"/>
          </w:tcPr>
          <w:p>
            <w:pPr>
              <w:jc w:val="right"/>
            </w:pPr>
            <w:r/>
            <w:r>
              <w:rPr>
                <w:color w:val="1A1D21"/>
                <w:sz w:val="17"/>
              </w:rPr>
              <w:t>10,052</w:t>
            </w:r>
          </w:p>
        </w:tc>
        <w:tc>
          <w:tcPr>
            <w:tcW w:type="dxa" w:w="1026"/>
          </w:tcPr>
          <w:p>
            <w:pPr>
              <w:jc w:val="right"/>
            </w:pPr>
            <w:r/>
            <w:r>
              <w:rPr>
                <w:color w:val="1A1D21"/>
                <w:sz w:val="17"/>
              </w:rPr>
              <w:t>12,947</w:t>
            </w:r>
          </w:p>
        </w:tc>
        <w:tc>
          <w:tcPr>
            <w:tcW w:type="dxa" w:w="1026"/>
          </w:tcPr>
          <w:p>
            <w:pPr>
              <w:jc w:val="right"/>
            </w:pPr>
            <w:r/>
            <w:r>
              <w:rPr>
                <w:color w:val="1A1D21"/>
                <w:sz w:val="17"/>
              </w:rPr>
              <w:t>16,018</w:t>
            </w:r>
          </w:p>
        </w:tc>
        <w:tc>
          <w:tcPr>
            <w:tcW w:type="dxa" w:w="1026"/>
          </w:tcPr>
          <w:p>
            <w:pPr>
              <w:jc w:val="right"/>
            </w:pPr>
            <w:r/>
            <w:r>
              <w:rPr>
                <w:color w:val="1A1D21"/>
                <w:sz w:val="17"/>
              </w:rPr>
              <w:t>19,286</w:t>
            </w:r>
          </w:p>
        </w:tc>
        <w:tc>
          <w:tcPr>
            <w:tcW w:type="dxa" w:w="1026"/>
          </w:tcPr>
          <w:p>
            <w:pPr>
              <w:jc w:val="right"/>
            </w:pPr>
            <w:r/>
            <w:r>
              <w:rPr>
                <w:color w:val="1A1D21"/>
                <w:sz w:val="17"/>
              </w:rPr>
              <w:t>22,802</w:t>
            </w:r>
          </w:p>
        </w:tc>
        <w:tc>
          <w:tcPr>
            <w:tcW w:type="dxa" w:w="1026"/>
          </w:tcPr>
          <w:p>
            <w:pPr>
              <w:jc w:val="right"/>
            </w:pPr>
            <w:r/>
            <w:r>
              <w:rPr>
                <w:color w:val="1A1D21"/>
                <w:sz w:val="17"/>
              </w:rPr>
              <w:t>42,756</w:t>
            </w:r>
          </w:p>
        </w:tc>
        <w:tc>
          <w:tcPr>
            <w:tcW w:type="dxa" w:w="1026"/>
          </w:tcPr>
          <w:p>
            <w:pPr>
              <w:jc w:val="right"/>
            </w:pPr>
            <w:r/>
            <w:r>
              <w:rPr>
                <w:color w:val="1A1D21"/>
                <w:sz w:val="17"/>
              </w:rPr>
              <w:t>60,866</w:t>
            </w:r>
          </w:p>
        </w:tc>
      </w:tr>
      <w:tr>
        <w:trPr>
          <w:cantSplit/>
        </w:trPr>
        <w:tc>
          <w:tcPr>
            <w:tcW w:type="dxa" w:w="1984"/>
          </w:tcPr>
          <w:p>
            <w:r/>
            <w:r>
              <w:rPr>
                <w:color w:val="1A1D21"/>
                <w:sz w:val="17"/>
              </w:rPr>
              <w:t>Cash and equivalents</w:t>
            </w:r>
          </w:p>
        </w:tc>
        <w:tc>
          <w:tcPr>
            <w:tcW w:type="dxa" w:w="1026"/>
          </w:tcPr>
          <w:p>
            <w:pPr>
              <w:jc w:val="right"/>
            </w:pPr>
            <w:r/>
            <w:r>
              <w:rPr>
                <w:color w:val="1A1D21"/>
                <w:sz w:val="17"/>
              </w:rPr>
              <w:t>5,221</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7,905</w:t>
            </w:r>
          </w:p>
        </w:tc>
      </w:tr>
      <w:tr>
        <w:trPr>
          <w:cantSplit/>
        </w:trPr>
        <w:tc>
          <w:tcPr>
            <w:tcW w:type="dxa" w:w="1984"/>
          </w:tcPr>
          <w:p>
            <w:r/>
            <w:r>
              <w:rPr>
                <w:color w:val="1A1D21"/>
                <w:sz w:val="17"/>
              </w:rPr>
              <w:t>Property and equipment</w:t>
            </w:r>
          </w:p>
        </w:tc>
        <w:tc>
          <w:tcPr>
            <w:tcW w:type="dxa" w:w="1026"/>
          </w:tcPr>
          <w:p>
            <w:pPr>
              <w:jc w:val="right"/>
            </w:pPr>
            <w:r/>
            <w:r>
              <w:rPr>
                <w:color w:val="1A1D21"/>
                <w:sz w:val="17"/>
              </w:rPr>
              <w:t>4,531</w:t>
            </w:r>
          </w:p>
        </w:tc>
        <w:tc>
          <w:tcPr>
            <w:tcW w:type="dxa" w:w="1026"/>
          </w:tcPr>
          <w:p>
            <w:pPr>
              <w:jc w:val="right"/>
            </w:pPr>
            <w:r/>
            <w:r>
              <w:rPr>
                <w:color w:val="1A1D21"/>
                <w:sz w:val="17"/>
              </w:rPr>
              <w:t>4,542</w:t>
            </w:r>
          </w:p>
        </w:tc>
        <w:tc>
          <w:tcPr>
            <w:tcW w:type="dxa" w:w="1026"/>
          </w:tcPr>
          <w:p>
            <w:pPr>
              <w:jc w:val="right"/>
            </w:pPr>
            <w:r/>
            <w:r>
              <w:rPr>
                <w:color w:val="1A1D21"/>
                <w:sz w:val="17"/>
              </w:rPr>
              <w:t>4,556</w:t>
            </w:r>
          </w:p>
        </w:tc>
        <w:tc>
          <w:tcPr>
            <w:tcW w:type="dxa" w:w="1026"/>
          </w:tcPr>
          <w:p>
            <w:pPr>
              <w:jc w:val="right"/>
            </w:pPr>
            <w:r/>
            <w:r>
              <w:rPr>
                <w:color w:val="1A1D21"/>
                <w:sz w:val="17"/>
              </w:rPr>
              <w:t>4,573</w:t>
            </w:r>
          </w:p>
        </w:tc>
        <w:tc>
          <w:tcPr>
            <w:tcW w:type="dxa" w:w="1026"/>
          </w:tcPr>
          <w:p>
            <w:pPr>
              <w:jc w:val="right"/>
            </w:pPr>
            <w:r/>
            <w:r>
              <w:rPr>
                <w:color w:val="1A1D21"/>
                <w:sz w:val="17"/>
              </w:rPr>
              <w:t>4,594</w:t>
            </w:r>
          </w:p>
        </w:tc>
        <w:tc>
          <w:tcPr>
            <w:tcW w:type="dxa" w:w="1026"/>
          </w:tcPr>
          <w:p>
            <w:pPr>
              <w:jc w:val="right"/>
            </w:pPr>
            <w:r/>
            <w:r>
              <w:rPr>
                <w:color w:val="1A1D21"/>
                <w:sz w:val="17"/>
              </w:rPr>
              <w:t>4,747</w:t>
            </w:r>
          </w:p>
        </w:tc>
        <w:tc>
          <w:tcPr>
            <w:tcW w:type="dxa" w:w="1026"/>
          </w:tcPr>
          <w:p>
            <w:pPr>
              <w:jc w:val="right"/>
            </w:pPr>
            <w:r/>
            <w:r>
              <w:rPr>
                <w:color w:val="1A1D21"/>
                <w:sz w:val="17"/>
              </w:rPr>
              <w:t>4,982</w:t>
            </w:r>
          </w:p>
        </w:tc>
      </w:tr>
      <w:tr>
        <w:trPr>
          <w:cantSplit/>
        </w:trPr>
        <w:tc>
          <w:tcPr>
            <w:tcW w:type="dxa" w:w="1984"/>
          </w:tcPr>
          <w:p>
            <w:r/>
            <w:r>
              <w:rPr>
                <w:color w:val="1A1D21"/>
                <w:sz w:val="17"/>
              </w:rPr>
              <w:t>Other assets, held at the 2025 level</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r>
      <w:tr>
        <w:trPr>
          <w:cantSplit/>
        </w:trPr>
        <w:tc>
          <w:tcPr>
            <w:tcW w:type="dxa" w:w="1984"/>
          </w:tcPr>
          <w:p>
            <w:r/>
            <w:r>
              <w:rPr>
                <w:color w:val="1A1D21"/>
                <w:sz w:val="17"/>
              </w:rPr>
              <w:t>Total assets</w:t>
            </w:r>
          </w:p>
        </w:tc>
        <w:tc>
          <w:tcPr>
            <w:tcW w:type="dxa" w:w="1026"/>
          </w:tcPr>
          <w:p>
            <w:pPr>
              <w:jc w:val="right"/>
            </w:pPr>
            <w:r/>
            <w:r>
              <w:rPr>
                <w:color w:val="1A1D21"/>
                <w:sz w:val="17"/>
              </w:rPr>
              <w:t>183,677</w:t>
            </w:r>
          </w:p>
        </w:tc>
        <w:tc>
          <w:tcPr>
            <w:tcW w:type="dxa" w:w="1026"/>
          </w:tcPr>
          <w:p>
            <w:pPr>
              <w:jc w:val="right"/>
            </w:pPr>
            <w:r/>
            <w:r>
              <w:rPr>
                <w:color w:val="1A1D21"/>
                <w:sz w:val="17"/>
              </w:rPr>
              <w:t>226,555</w:t>
            </w:r>
          </w:p>
        </w:tc>
        <w:tc>
          <w:tcPr>
            <w:tcW w:type="dxa" w:w="1026"/>
          </w:tcPr>
          <w:p>
            <w:pPr>
              <w:jc w:val="right"/>
            </w:pPr>
            <w:r/>
            <w:r>
              <w:rPr>
                <w:color w:val="1A1D21"/>
                <w:sz w:val="17"/>
              </w:rPr>
              <w:t>275,074</w:t>
            </w:r>
          </w:p>
        </w:tc>
        <w:tc>
          <w:tcPr>
            <w:tcW w:type="dxa" w:w="1026"/>
          </w:tcPr>
          <w:p>
            <w:pPr>
              <w:jc w:val="right"/>
            </w:pPr>
            <w:r/>
            <w:r>
              <w:rPr>
                <w:color w:val="1A1D21"/>
                <w:sz w:val="17"/>
              </w:rPr>
              <w:t>326,710</w:t>
            </w:r>
          </w:p>
        </w:tc>
        <w:tc>
          <w:tcPr>
            <w:tcW w:type="dxa" w:w="1026"/>
          </w:tcPr>
          <w:p>
            <w:pPr>
              <w:jc w:val="right"/>
            </w:pPr>
            <w:r/>
            <w:r>
              <w:rPr>
                <w:color w:val="1A1D21"/>
                <w:sz w:val="17"/>
              </w:rPr>
              <w:t>382,284</w:t>
            </w:r>
          </w:p>
        </w:tc>
        <w:tc>
          <w:tcPr>
            <w:tcW w:type="dxa" w:w="1026"/>
          </w:tcPr>
          <w:p>
            <w:pPr>
              <w:jc w:val="right"/>
            </w:pPr>
            <w:r/>
            <w:r>
              <w:rPr>
                <w:color w:val="1A1D21"/>
                <w:sz w:val="17"/>
              </w:rPr>
              <w:t>697,636</w:t>
            </w:r>
          </w:p>
        </w:tc>
        <w:tc>
          <w:tcPr>
            <w:tcW w:type="dxa" w:w="1026"/>
          </w:tcPr>
          <w:p>
            <w:pPr>
              <w:jc w:val="right"/>
            </w:pPr>
            <w:r/>
            <w:r>
              <w:rPr>
                <w:color w:val="1A1D21"/>
                <w:sz w:val="17"/>
              </w:rPr>
              <w:t>989,518</w:t>
            </w:r>
          </w:p>
        </w:tc>
      </w:tr>
      <w:tr>
        <w:trPr>
          <w:cantSplit/>
        </w:trPr>
        <w:tc>
          <w:tcPr>
            <w:tcW w:type="dxa" w:w="1984"/>
          </w:tcPr>
          <w:p>
            <w:r/>
            <w:r>
              <w:rPr>
                <w:color w:val="1A1D21"/>
                <w:sz w:val="17"/>
              </w:rPr>
              <w:t>Customer advances</w:t>
            </w:r>
          </w:p>
        </w:tc>
        <w:tc>
          <w:tcPr>
            <w:tcW w:type="dxa" w:w="1026"/>
          </w:tcPr>
          <w:p>
            <w:pPr>
              <w:jc w:val="right"/>
            </w:pPr>
            <w:r/>
            <w:r>
              <w:rPr>
                <w:color w:val="1A1D21"/>
                <w:sz w:val="17"/>
              </w:rPr>
              <w:t>76,983</w:t>
            </w:r>
          </w:p>
        </w:tc>
        <w:tc>
          <w:tcPr>
            <w:tcW w:type="dxa" w:w="1026"/>
          </w:tcPr>
          <w:p>
            <w:pPr>
              <w:jc w:val="right"/>
            </w:pPr>
            <w:r/>
            <w:r>
              <w:rPr>
                <w:color w:val="1A1D21"/>
                <w:sz w:val="17"/>
              </w:rPr>
              <w:t>99,154</w:t>
            </w:r>
          </w:p>
        </w:tc>
        <w:tc>
          <w:tcPr>
            <w:tcW w:type="dxa" w:w="1026"/>
          </w:tcPr>
          <w:p>
            <w:pPr>
              <w:jc w:val="right"/>
            </w:pPr>
            <w:r/>
            <w:r>
              <w:rPr>
                <w:color w:val="1A1D21"/>
                <w:sz w:val="17"/>
              </w:rPr>
              <w:t>122,669</w:t>
            </w:r>
          </w:p>
        </w:tc>
        <w:tc>
          <w:tcPr>
            <w:tcW w:type="dxa" w:w="1026"/>
          </w:tcPr>
          <w:p>
            <w:pPr>
              <w:jc w:val="right"/>
            </w:pPr>
            <w:r/>
            <w:r>
              <w:rPr>
                <w:color w:val="1A1D21"/>
                <w:sz w:val="17"/>
              </w:rPr>
              <w:t>147,693</w:t>
            </w:r>
          </w:p>
        </w:tc>
        <w:tc>
          <w:tcPr>
            <w:tcW w:type="dxa" w:w="1026"/>
          </w:tcPr>
          <w:p>
            <w:pPr>
              <w:jc w:val="right"/>
            </w:pPr>
            <w:r/>
            <w:r>
              <w:rPr>
                <w:color w:val="1A1D21"/>
                <w:sz w:val="17"/>
              </w:rPr>
              <w:t>174,625</w:t>
            </w:r>
          </w:p>
        </w:tc>
        <w:tc>
          <w:tcPr>
            <w:tcW w:type="dxa" w:w="1026"/>
          </w:tcPr>
          <w:p>
            <w:pPr>
              <w:jc w:val="right"/>
            </w:pPr>
            <w:r/>
            <w:r>
              <w:rPr>
                <w:color w:val="1A1D21"/>
                <w:sz w:val="17"/>
              </w:rPr>
              <w:t>327,430</w:t>
            </w:r>
          </w:p>
        </w:tc>
        <w:tc>
          <w:tcPr>
            <w:tcW w:type="dxa" w:w="1026"/>
          </w:tcPr>
          <w:p>
            <w:pPr>
              <w:jc w:val="right"/>
            </w:pPr>
            <w:r/>
            <w:r>
              <w:rPr>
                <w:color w:val="1A1D21"/>
                <w:sz w:val="17"/>
              </w:rPr>
              <w:t>466,127</w:t>
            </w:r>
          </w:p>
        </w:tc>
      </w:tr>
      <w:tr>
        <w:trPr>
          <w:cantSplit/>
        </w:trPr>
        <w:tc>
          <w:tcPr>
            <w:tcW w:type="dxa" w:w="1984"/>
          </w:tcPr>
          <w:p>
            <w:r/>
            <w:r>
              <w:rPr>
                <w:color w:val="1A1D21"/>
                <w:sz w:val="17"/>
              </w:rPr>
              <w:t>Suppliers</w:t>
            </w:r>
          </w:p>
        </w:tc>
        <w:tc>
          <w:tcPr>
            <w:tcW w:type="dxa" w:w="1026"/>
          </w:tcPr>
          <w:p>
            <w:pPr>
              <w:jc w:val="right"/>
            </w:pPr>
            <w:r/>
            <w:r>
              <w:rPr>
                <w:color w:val="1A1D21"/>
                <w:sz w:val="17"/>
              </w:rPr>
              <w:t>4,226</w:t>
            </w:r>
          </w:p>
        </w:tc>
        <w:tc>
          <w:tcPr>
            <w:tcW w:type="dxa" w:w="1026"/>
          </w:tcPr>
          <w:p>
            <w:pPr>
              <w:jc w:val="right"/>
            </w:pPr>
            <w:r/>
            <w:r>
              <w:rPr>
                <w:color w:val="1A1D21"/>
                <w:sz w:val="17"/>
              </w:rPr>
              <w:t>5,443</w:t>
            </w:r>
          </w:p>
        </w:tc>
        <w:tc>
          <w:tcPr>
            <w:tcW w:type="dxa" w:w="1026"/>
          </w:tcPr>
          <w:p>
            <w:pPr>
              <w:jc w:val="right"/>
            </w:pPr>
            <w:r/>
            <w:r>
              <w:rPr>
                <w:color w:val="1A1D21"/>
                <w:sz w:val="17"/>
              </w:rPr>
              <w:t>6,734</w:t>
            </w:r>
          </w:p>
        </w:tc>
        <w:tc>
          <w:tcPr>
            <w:tcW w:type="dxa" w:w="1026"/>
          </w:tcPr>
          <w:p>
            <w:pPr>
              <w:jc w:val="right"/>
            </w:pPr>
            <w:r/>
            <w:r>
              <w:rPr>
                <w:color w:val="1A1D21"/>
                <w:sz w:val="17"/>
              </w:rPr>
              <w:t>8,107</w:t>
            </w:r>
          </w:p>
        </w:tc>
        <w:tc>
          <w:tcPr>
            <w:tcW w:type="dxa" w:w="1026"/>
          </w:tcPr>
          <w:p>
            <w:pPr>
              <w:jc w:val="right"/>
            </w:pPr>
            <w:r/>
            <w:r>
              <w:rPr>
                <w:color w:val="1A1D21"/>
                <w:sz w:val="17"/>
              </w:rPr>
              <w:t>9,586</w:t>
            </w:r>
          </w:p>
        </w:tc>
        <w:tc>
          <w:tcPr>
            <w:tcW w:type="dxa" w:w="1026"/>
          </w:tcPr>
          <w:p>
            <w:pPr>
              <w:jc w:val="right"/>
            </w:pPr>
            <w:r/>
            <w:r>
              <w:rPr>
                <w:color w:val="1A1D21"/>
                <w:sz w:val="17"/>
              </w:rPr>
              <w:t>17,973</w:t>
            </w:r>
          </w:p>
        </w:tc>
        <w:tc>
          <w:tcPr>
            <w:tcW w:type="dxa" w:w="1026"/>
          </w:tcPr>
          <w:p>
            <w:pPr>
              <w:jc w:val="right"/>
            </w:pPr>
            <w:r/>
            <w:r>
              <w:rPr>
                <w:color w:val="1A1D21"/>
                <w:sz w:val="17"/>
              </w:rPr>
              <w:t>25,587</w:t>
            </w:r>
          </w:p>
        </w:tc>
      </w:tr>
      <w:tr>
        <w:trPr>
          <w:cantSplit/>
        </w:trPr>
        <w:tc>
          <w:tcPr>
            <w:tcW w:type="dxa" w:w="1984"/>
          </w:tcPr>
          <w:p>
            <w:r/>
            <w:r>
              <w:rPr>
                <w:color w:val="1A1D21"/>
                <w:sz w:val="17"/>
              </w:rPr>
              <w:t>Other creditors</w:t>
            </w:r>
          </w:p>
        </w:tc>
        <w:tc>
          <w:tcPr>
            <w:tcW w:type="dxa" w:w="1026"/>
          </w:tcPr>
          <w:p>
            <w:pPr>
              <w:jc w:val="right"/>
            </w:pPr>
            <w:r/>
            <w:r>
              <w:rPr>
                <w:color w:val="1A1D21"/>
                <w:sz w:val="17"/>
              </w:rPr>
              <w:t>5,685</w:t>
            </w:r>
          </w:p>
        </w:tc>
        <w:tc>
          <w:tcPr>
            <w:tcW w:type="dxa" w:w="1026"/>
          </w:tcPr>
          <w:p>
            <w:pPr>
              <w:jc w:val="right"/>
            </w:pPr>
            <w:r/>
            <w:r>
              <w:rPr>
                <w:color w:val="1A1D21"/>
                <w:sz w:val="17"/>
              </w:rPr>
              <w:t>7,322</w:t>
            </w:r>
          </w:p>
        </w:tc>
        <w:tc>
          <w:tcPr>
            <w:tcW w:type="dxa" w:w="1026"/>
          </w:tcPr>
          <w:p>
            <w:pPr>
              <w:jc w:val="right"/>
            </w:pPr>
            <w:r/>
            <w:r>
              <w:rPr>
                <w:color w:val="1A1D21"/>
                <w:sz w:val="17"/>
              </w:rPr>
              <w:t>9,059</w:t>
            </w:r>
          </w:p>
        </w:tc>
        <w:tc>
          <w:tcPr>
            <w:tcW w:type="dxa" w:w="1026"/>
          </w:tcPr>
          <w:p>
            <w:pPr>
              <w:jc w:val="right"/>
            </w:pPr>
            <w:r/>
            <w:r>
              <w:rPr>
                <w:color w:val="1A1D21"/>
                <w:sz w:val="17"/>
              </w:rPr>
              <w:t>10,907</w:t>
            </w:r>
          </w:p>
        </w:tc>
        <w:tc>
          <w:tcPr>
            <w:tcW w:type="dxa" w:w="1026"/>
          </w:tcPr>
          <w:p>
            <w:pPr>
              <w:jc w:val="right"/>
            </w:pPr>
            <w:r/>
            <w:r>
              <w:rPr>
                <w:color w:val="1A1D21"/>
                <w:sz w:val="17"/>
              </w:rPr>
              <w:t>12,896</w:t>
            </w:r>
          </w:p>
        </w:tc>
        <w:tc>
          <w:tcPr>
            <w:tcW w:type="dxa" w:w="1026"/>
          </w:tcPr>
          <w:p>
            <w:pPr>
              <w:jc w:val="right"/>
            </w:pPr>
            <w:r/>
            <w:r>
              <w:rPr>
                <w:color w:val="1A1D21"/>
                <w:sz w:val="17"/>
              </w:rPr>
              <w:t>24,180</w:t>
            </w:r>
          </w:p>
        </w:tc>
        <w:tc>
          <w:tcPr>
            <w:tcW w:type="dxa" w:w="1026"/>
          </w:tcPr>
          <w:p>
            <w:pPr>
              <w:jc w:val="right"/>
            </w:pPr>
            <w:r/>
            <w:r>
              <w:rPr>
                <w:color w:val="1A1D21"/>
                <w:sz w:val="17"/>
              </w:rPr>
              <w:t>34,423</w:t>
            </w:r>
          </w:p>
        </w:tc>
      </w:tr>
      <w:tr>
        <w:trPr>
          <w:cantSplit/>
        </w:trPr>
        <w:tc>
          <w:tcPr>
            <w:tcW w:type="dxa" w:w="1984"/>
          </w:tcPr>
          <w:p>
            <w:r/>
            <w:r>
              <w:rPr>
                <w:color w:val="1A1D21"/>
                <w:sz w:val="17"/>
              </w:rPr>
              <w:t>Cheques under collection</w:t>
            </w:r>
          </w:p>
        </w:tc>
        <w:tc>
          <w:tcPr>
            <w:tcW w:type="dxa" w:w="1026"/>
          </w:tcPr>
          <w:p>
            <w:pPr>
              <w:jc w:val="right"/>
            </w:pPr>
            <w:r/>
            <w:r>
              <w:rPr>
                <w:color w:val="1A1D21"/>
                <w:sz w:val="17"/>
              </w:rPr>
              <w:t>2,724</w:t>
            </w:r>
          </w:p>
        </w:tc>
        <w:tc>
          <w:tcPr>
            <w:tcW w:type="dxa" w:w="1026"/>
          </w:tcPr>
          <w:p>
            <w:pPr>
              <w:jc w:val="right"/>
            </w:pPr>
            <w:r/>
            <w:r>
              <w:rPr>
                <w:color w:val="1A1D21"/>
                <w:sz w:val="17"/>
              </w:rPr>
              <w:t>3,508</w:t>
            </w:r>
          </w:p>
        </w:tc>
        <w:tc>
          <w:tcPr>
            <w:tcW w:type="dxa" w:w="1026"/>
          </w:tcPr>
          <w:p>
            <w:pPr>
              <w:jc w:val="right"/>
            </w:pPr>
            <w:r/>
            <w:r>
              <w:rPr>
                <w:color w:val="1A1D21"/>
                <w:sz w:val="17"/>
              </w:rPr>
              <w:t>4,340</w:t>
            </w:r>
          </w:p>
        </w:tc>
        <w:tc>
          <w:tcPr>
            <w:tcW w:type="dxa" w:w="1026"/>
          </w:tcPr>
          <w:p>
            <w:pPr>
              <w:jc w:val="right"/>
            </w:pPr>
            <w:r/>
            <w:r>
              <w:rPr>
                <w:color w:val="1A1D21"/>
                <w:sz w:val="17"/>
              </w:rPr>
              <w:t>5,225</w:t>
            </w:r>
          </w:p>
        </w:tc>
        <w:tc>
          <w:tcPr>
            <w:tcW w:type="dxa" w:w="1026"/>
          </w:tcPr>
          <w:p>
            <w:pPr>
              <w:jc w:val="right"/>
            </w:pPr>
            <w:r/>
            <w:r>
              <w:rPr>
                <w:color w:val="1A1D21"/>
                <w:sz w:val="17"/>
              </w:rPr>
              <w:t>6,178</w:t>
            </w:r>
          </w:p>
        </w:tc>
        <w:tc>
          <w:tcPr>
            <w:tcW w:type="dxa" w:w="1026"/>
          </w:tcPr>
          <w:p>
            <w:pPr>
              <w:jc w:val="right"/>
            </w:pPr>
            <w:r/>
            <w:r>
              <w:rPr>
                <w:color w:val="1A1D21"/>
                <w:sz w:val="17"/>
              </w:rPr>
              <w:t>11,584</w:t>
            </w:r>
          </w:p>
        </w:tc>
        <w:tc>
          <w:tcPr>
            <w:tcW w:type="dxa" w:w="1026"/>
          </w:tcPr>
          <w:p>
            <w:pPr>
              <w:jc w:val="right"/>
            </w:pPr>
            <w:r/>
            <w:r>
              <w:rPr>
                <w:color w:val="1A1D21"/>
                <w:sz w:val="17"/>
              </w:rPr>
              <w:t>16,491</w:t>
            </w:r>
          </w:p>
        </w:tc>
      </w:tr>
      <w:tr>
        <w:trPr>
          <w:cantSplit/>
        </w:trPr>
        <w:tc>
          <w:tcPr>
            <w:tcW w:type="dxa" w:w="1984"/>
          </w:tcPr>
          <w:p>
            <w:r/>
            <w:r>
              <w:rPr>
                <w:color w:val="1A1D21"/>
                <w:sz w:val="17"/>
              </w:rPr>
              <w:t>Borrowings</w:t>
            </w:r>
          </w:p>
        </w:tc>
        <w:tc>
          <w:tcPr>
            <w:tcW w:type="dxa" w:w="1026"/>
          </w:tcPr>
          <w:p>
            <w:pPr>
              <w:jc w:val="right"/>
            </w:pPr>
            <w:r/>
            <w:r>
              <w:rPr>
                <w:color w:val="1A1D21"/>
                <w:sz w:val="17"/>
              </w:rPr>
              <w:t>33,553</w:t>
            </w:r>
          </w:p>
        </w:tc>
        <w:tc>
          <w:tcPr>
            <w:tcW w:type="dxa" w:w="1026"/>
          </w:tcPr>
          <w:p>
            <w:pPr>
              <w:jc w:val="right"/>
            </w:pPr>
            <w:r/>
            <w:r>
              <w:rPr>
                <w:color w:val="1A1D21"/>
                <w:sz w:val="17"/>
              </w:rPr>
              <w:t>46,440</w:t>
            </w:r>
          </w:p>
        </w:tc>
        <w:tc>
          <w:tcPr>
            <w:tcW w:type="dxa" w:w="1026"/>
          </w:tcPr>
          <w:p>
            <w:pPr>
              <w:jc w:val="right"/>
            </w:pPr>
            <w:r/>
            <w:r>
              <w:rPr>
                <w:color w:val="1A1D21"/>
                <w:sz w:val="17"/>
              </w:rPr>
              <w:t>61,797</w:t>
            </w:r>
          </w:p>
        </w:tc>
        <w:tc>
          <w:tcPr>
            <w:tcW w:type="dxa" w:w="1026"/>
          </w:tcPr>
          <w:p>
            <w:pPr>
              <w:jc w:val="right"/>
            </w:pPr>
            <w:r/>
            <w:r>
              <w:rPr>
                <w:color w:val="1A1D21"/>
                <w:sz w:val="17"/>
              </w:rPr>
              <w:t>76,804</w:t>
            </w:r>
          </w:p>
        </w:tc>
        <w:tc>
          <w:tcPr>
            <w:tcW w:type="dxa" w:w="1026"/>
          </w:tcPr>
          <w:p>
            <w:pPr>
              <w:jc w:val="right"/>
            </w:pPr>
            <w:r/>
            <w:r>
              <w:rPr>
                <w:color w:val="1A1D21"/>
                <w:sz w:val="17"/>
              </w:rPr>
              <w:t>91,688</w:t>
            </w:r>
          </w:p>
        </w:tc>
        <w:tc>
          <w:tcPr>
            <w:tcW w:type="dxa" w:w="1026"/>
          </w:tcPr>
          <w:p>
            <w:pPr>
              <w:jc w:val="right"/>
            </w:pPr>
            <w:r/>
            <w:r>
              <w:rPr>
                <w:color w:val="1A1D21"/>
                <w:sz w:val="17"/>
              </w:rPr>
              <w:t>151,372</w:t>
            </w:r>
          </w:p>
        </w:tc>
        <w:tc>
          <w:tcPr>
            <w:tcW w:type="dxa" w:w="1026"/>
          </w:tcPr>
          <w:p>
            <w:pPr>
              <w:jc w:val="right"/>
            </w:pPr>
            <w:r/>
            <w:r>
              <w:rPr>
                <w:color w:val="1A1D21"/>
                <w:sz w:val="17"/>
              </w:rPr>
              <w:t>155,027</w:t>
            </w:r>
          </w:p>
        </w:tc>
      </w:tr>
      <w:tr>
        <w:trPr>
          <w:cantSplit/>
        </w:trPr>
        <w:tc>
          <w:tcPr>
            <w:tcW w:type="dxa" w:w="1984"/>
          </w:tcPr>
          <w:p>
            <w:r/>
            <w:r>
              <w:rPr>
                <w:color w:val="1A1D21"/>
                <w:sz w:val="17"/>
              </w:rPr>
              <w:t>Other liabilities, held at the 2025 level</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r>
      <w:tr>
        <w:trPr>
          <w:cantSplit/>
        </w:trPr>
        <w:tc>
          <w:tcPr>
            <w:tcW w:type="dxa" w:w="1984"/>
          </w:tcPr>
          <w:p>
            <w:r/>
            <w:r>
              <w:rPr>
                <w:color w:val="1A1D21"/>
                <w:sz w:val="17"/>
              </w:rPr>
              <w:t>Total liabilities</w:t>
            </w:r>
          </w:p>
        </w:tc>
        <w:tc>
          <w:tcPr>
            <w:tcW w:type="dxa" w:w="1026"/>
          </w:tcPr>
          <w:p>
            <w:pPr>
              <w:jc w:val="right"/>
            </w:pPr>
            <w:r/>
            <w:r>
              <w:rPr>
                <w:color w:val="1A1D21"/>
                <w:sz w:val="17"/>
              </w:rPr>
              <w:t>162,245</w:t>
            </w:r>
          </w:p>
        </w:tc>
        <w:tc>
          <w:tcPr>
            <w:tcW w:type="dxa" w:w="1026"/>
          </w:tcPr>
          <w:p>
            <w:pPr>
              <w:jc w:val="right"/>
            </w:pPr>
            <w:r/>
            <w:r>
              <w:rPr>
                <w:color w:val="1A1D21"/>
                <w:sz w:val="17"/>
              </w:rPr>
              <w:t>200,943</w:t>
            </w:r>
          </w:p>
        </w:tc>
        <w:tc>
          <w:tcPr>
            <w:tcW w:type="dxa" w:w="1026"/>
          </w:tcPr>
          <w:p>
            <w:pPr>
              <w:jc w:val="right"/>
            </w:pPr>
            <w:r/>
            <w:r>
              <w:rPr>
                <w:color w:val="1A1D21"/>
                <w:sz w:val="17"/>
              </w:rPr>
              <w:t>243,673</w:t>
            </w:r>
          </w:p>
        </w:tc>
        <w:tc>
          <w:tcPr>
            <w:tcW w:type="dxa" w:w="1026"/>
          </w:tcPr>
          <w:p>
            <w:pPr>
              <w:jc w:val="right"/>
            </w:pPr>
            <w:r/>
            <w:r>
              <w:rPr>
                <w:color w:val="1A1D21"/>
                <w:sz w:val="17"/>
              </w:rPr>
              <w:t>287,811</w:t>
            </w:r>
          </w:p>
        </w:tc>
        <w:tc>
          <w:tcPr>
            <w:tcW w:type="dxa" w:w="1026"/>
          </w:tcPr>
          <w:p>
            <w:pPr>
              <w:jc w:val="right"/>
            </w:pPr>
            <w:r/>
            <w:r>
              <w:rPr>
                <w:color w:val="1A1D21"/>
                <w:sz w:val="17"/>
              </w:rPr>
              <w:t>334,047</w:t>
            </w:r>
          </w:p>
        </w:tc>
        <w:tc>
          <w:tcPr>
            <w:tcW w:type="dxa" w:w="1026"/>
          </w:tcPr>
          <w:p>
            <w:pPr>
              <w:jc w:val="right"/>
            </w:pPr>
            <w:r/>
            <w:r>
              <w:rPr>
                <w:color w:val="1A1D21"/>
                <w:sz w:val="17"/>
              </w:rPr>
              <w:t>571,615</w:t>
            </w:r>
          </w:p>
        </w:tc>
        <w:tc>
          <w:tcPr>
            <w:tcW w:type="dxa" w:w="1026"/>
          </w:tcPr>
          <w:p>
            <w:pPr>
              <w:jc w:val="right"/>
            </w:pPr>
            <w:r/>
            <w:r>
              <w:rPr>
                <w:color w:val="1A1D21"/>
                <w:sz w:val="17"/>
              </w:rPr>
              <w:t>736,730</w:t>
            </w:r>
          </w:p>
        </w:tc>
      </w:tr>
      <w:tr>
        <w:trPr>
          <w:cantSplit/>
        </w:trPr>
        <w:tc>
          <w:tcPr>
            <w:tcW w:type="dxa" w:w="1984"/>
          </w:tcPr>
          <w:p>
            <w:r/>
            <w:r>
              <w:rPr>
                <w:color w:val="1A1D21"/>
                <w:sz w:val="17"/>
              </w:rPr>
              <w:t>Shareholders' funds</w:t>
            </w:r>
          </w:p>
        </w:tc>
        <w:tc>
          <w:tcPr>
            <w:tcW w:type="dxa" w:w="1026"/>
          </w:tcPr>
          <w:p>
            <w:pPr>
              <w:jc w:val="right"/>
            </w:pPr>
            <w:r/>
            <w:r>
              <w:rPr>
                <w:color w:val="1A1D21"/>
                <w:sz w:val="17"/>
              </w:rPr>
              <w:t>21,432</w:t>
            </w:r>
          </w:p>
        </w:tc>
        <w:tc>
          <w:tcPr>
            <w:tcW w:type="dxa" w:w="1026"/>
          </w:tcPr>
          <w:p>
            <w:pPr>
              <w:jc w:val="right"/>
            </w:pPr>
            <w:r/>
            <w:r>
              <w:rPr>
                <w:color w:val="1A1D21"/>
                <w:sz w:val="17"/>
              </w:rPr>
              <w:t>25,613</w:t>
            </w:r>
          </w:p>
        </w:tc>
        <w:tc>
          <w:tcPr>
            <w:tcW w:type="dxa" w:w="1026"/>
          </w:tcPr>
          <w:p>
            <w:pPr>
              <w:jc w:val="right"/>
            </w:pPr>
            <w:r/>
            <w:r>
              <w:rPr>
                <w:color w:val="1A1D21"/>
                <w:sz w:val="17"/>
              </w:rPr>
              <w:t>31,401</w:t>
            </w:r>
          </w:p>
        </w:tc>
        <w:tc>
          <w:tcPr>
            <w:tcW w:type="dxa" w:w="1026"/>
          </w:tcPr>
          <w:p>
            <w:pPr>
              <w:jc w:val="right"/>
            </w:pPr>
            <w:r/>
            <w:r>
              <w:rPr>
                <w:color w:val="1A1D21"/>
                <w:sz w:val="17"/>
              </w:rPr>
              <w:t>38,899</w:t>
            </w:r>
          </w:p>
        </w:tc>
        <w:tc>
          <w:tcPr>
            <w:tcW w:type="dxa" w:w="1026"/>
          </w:tcPr>
          <w:p>
            <w:pPr>
              <w:jc w:val="right"/>
            </w:pPr>
            <w:r/>
            <w:r>
              <w:rPr>
                <w:color w:val="1A1D21"/>
                <w:sz w:val="17"/>
              </w:rPr>
              <w:t>48,237</w:t>
            </w:r>
          </w:p>
        </w:tc>
        <w:tc>
          <w:tcPr>
            <w:tcW w:type="dxa" w:w="1026"/>
          </w:tcPr>
          <w:p>
            <w:pPr>
              <w:jc w:val="right"/>
            </w:pPr>
            <w:r/>
            <w:r>
              <w:rPr>
                <w:color w:val="1A1D21"/>
                <w:sz w:val="17"/>
              </w:rPr>
              <w:t>126,021</w:t>
            </w:r>
          </w:p>
        </w:tc>
        <w:tc>
          <w:tcPr>
            <w:tcW w:type="dxa" w:w="1026"/>
          </w:tcPr>
          <w:p>
            <w:pPr>
              <w:jc w:val="right"/>
            </w:pPr>
            <w:r/>
            <w:r>
              <w:rPr>
                <w:color w:val="1A1D21"/>
                <w:sz w:val="17"/>
              </w:rPr>
              <w:t>252,788</w:t>
            </w:r>
          </w:p>
        </w:tc>
      </w:tr>
      <w:tr>
        <w:trPr>
          <w:cantSplit/>
        </w:trPr>
        <w:tc>
          <w:tcPr>
            <w:tcW w:type="dxa" w:w="1984"/>
          </w:tcPr>
          <w:p>
            <w:r/>
            <w:r>
              <w:rPr>
                <w:color w:val="1A1D21"/>
                <w:sz w:val="17"/>
              </w:rPr>
              <w:t>Total liabilities and equity</w:t>
            </w:r>
          </w:p>
        </w:tc>
        <w:tc>
          <w:tcPr>
            <w:tcW w:type="dxa" w:w="1026"/>
          </w:tcPr>
          <w:p>
            <w:pPr>
              <w:jc w:val="right"/>
            </w:pPr>
            <w:r/>
            <w:r>
              <w:rPr>
                <w:color w:val="1A1D21"/>
                <w:sz w:val="17"/>
              </w:rPr>
              <w:t>183,677</w:t>
            </w:r>
          </w:p>
        </w:tc>
        <w:tc>
          <w:tcPr>
            <w:tcW w:type="dxa" w:w="1026"/>
          </w:tcPr>
          <w:p>
            <w:pPr>
              <w:jc w:val="right"/>
            </w:pPr>
            <w:r/>
            <w:r>
              <w:rPr>
                <w:color w:val="1A1D21"/>
                <w:sz w:val="17"/>
              </w:rPr>
              <w:t>226,555</w:t>
            </w:r>
          </w:p>
        </w:tc>
        <w:tc>
          <w:tcPr>
            <w:tcW w:type="dxa" w:w="1026"/>
          </w:tcPr>
          <w:p>
            <w:pPr>
              <w:jc w:val="right"/>
            </w:pPr>
            <w:r/>
            <w:r>
              <w:rPr>
                <w:color w:val="1A1D21"/>
                <w:sz w:val="17"/>
              </w:rPr>
              <w:t>275,074</w:t>
            </w:r>
          </w:p>
        </w:tc>
        <w:tc>
          <w:tcPr>
            <w:tcW w:type="dxa" w:w="1026"/>
          </w:tcPr>
          <w:p>
            <w:pPr>
              <w:jc w:val="right"/>
            </w:pPr>
            <w:r/>
            <w:r>
              <w:rPr>
                <w:color w:val="1A1D21"/>
                <w:sz w:val="17"/>
              </w:rPr>
              <w:t>326,710</w:t>
            </w:r>
          </w:p>
        </w:tc>
        <w:tc>
          <w:tcPr>
            <w:tcW w:type="dxa" w:w="1026"/>
          </w:tcPr>
          <w:p>
            <w:pPr>
              <w:jc w:val="right"/>
            </w:pPr>
            <w:r/>
            <w:r>
              <w:rPr>
                <w:color w:val="1A1D21"/>
                <w:sz w:val="17"/>
              </w:rPr>
              <w:t>382,284</w:t>
            </w:r>
          </w:p>
        </w:tc>
        <w:tc>
          <w:tcPr>
            <w:tcW w:type="dxa" w:w="1026"/>
          </w:tcPr>
          <w:p>
            <w:pPr>
              <w:jc w:val="right"/>
            </w:pPr>
            <w:r/>
            <w:r>
              <w:rPr>
                <w:color w:val="1A1D21"/>
                <w:sz w:val="17"/>
              </w:rPr>
              <w:t>697,636</w:t>
            </w:r>
          </w:p>
        </w:tc>
        <w:tc>
          <w:tcPr>
            <w:tcW w:type="dxa" w:w="1026"/>
          </w:tcPr>
          <w:p>
            <w:pPr>
              <w:jc w:val="right"/>
            </w:pPr>
            <w:r/>
            <w:r>
              <w:rPr>
                <w:color w:val="1A1D21"/>
                <w:sz w:val="17"/>
              </w:rPr>
              <w:t>989,518</w:t>
            </w:r>
          </w:p>
        </w:tc>
      </w:tr>
    </w:tbl>
    <w:p>
      <w:pPr>
        <w:spacing w:after="200"/>
      </w:pPr>
      <w:r>
        <w:rPr>
          <w:b w:val="0"/>
          <w:i/>
          <w:color w:val="5B6570"/>
          <w:sz w:val="16"/>
        </w:rPr>
        <w:t>Assets equal liabilities plus shareholders' funds in every year, to the same tenth of a million the audited 2025 sheet itself foots to.</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Forecast cash flow,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Net profit</w:t>
            </w:r>
          </w:p>
        </w:tc>
        <w:tc>
          <w:tcPr>
            <w:tcW w:type="dxa" w:w="1026"/>
          </w:tcPr>
          <w:p>
            <w:pPr>
              <w:jc w:val="right"/>
            </w:pPr>
            <w:r/>
            <w:r>
              <w:rPr>
                <w:color w:val="1A1D21"/>
                <w:sz w:val="17"/>
              </w:rPr>
              <w:t>2,666</w:t>
            </w:r>
          </w:p>
        </w:tc>
        <w:tc>
          <w:tcPr>
            <w:tcW w:type="dxa" w:w="1026"/>
          </w:tcPr>
          <w:p>
            <w:pPr>
              <w:jc w:val="right"/>
            </w:pPr>
            <w:r/>
            <w:r>
              <w:rPr>
                <w:color w:val="1A1D21"/>
                <w:sz w:val="17"/>
              </w:rPr>
              <w:t>4,181</w:t>
            </w:r>
          </w:p>
        </w:tc>
        <w:tc>
          <w:tcPr>
            <w:tcW w:type="dxa" w:w="1026"/>
          </w:tcPr>
          <w:p>
            <w:pPr>
              <w:jc w:val="right"/>
            </w:pPr>
            <w:r/>
            <w:r>
              <w:rPr>
                <w:color w:val="1A1D21"/>
                <w:sz w:val="17"/>
              </w:rPr>
              <w:t>5,788</w:t>
            </w:r>
          </w:p>
        </w:tc>
        <w:tc>
          <w:tcPr>
            <w:tcW w:type="dxa" w:w="1026"/>
          </w:tcPr>
          <w:p>
            <w:pPr>
              <w:jc w:val="right"/>
            </w:pPr>
            <w:r/>
            <w:r>
              <w:rPr>
                <w:color w:val="1A1D21"/>
                <w:sz w:val="17"/>
              </w:rPr>
              <w:t>7,498</w:t>
            </w:r>
          </w:p>
        </w:tc>
        <w:tc>
          <w:tcPr>
            <w:tcW w:type="dxa" w:w="1026"/>
          </w:tcPr>
          <w:p>
            <w:pPr>
              <w:jc w:val="right"/>
            </w:pPr>
            <w:r/>
            <w:r>
              <w:rPr>
                <w:color w:val="1A1D21"/>
                <w:sz w:val="17"/>
              </w:rPr>
              <w:t>9,338</w:t>
            </w:r>
          </w:p>
        </w:tc>
        <w:tc>
          <w:tcPr>
            <w:tcW w:type="dxa" w:w="1026"/>
          </w:tcPr>
          <w:p>
            <w:pPr>
              <w:jc w:val="right"/>
            </w:pPr>
            <w:r/>
            <w:r>
              <w:rPr>
                <w:color w:val="1A1D21"/>
                <w:sz w:val="17"/>
              </w:rPr>
              <w:t>19,780</w:t>
            </w:r>
          </w:p>
        </w:tc>
        <w:tc>
          <w:tcPr>
            <w:tcW w:type="dxa" w:w="1026"/>
          </w:tcPr>
          <w:p>
            <w:pPr>
              <w:jc w:val="right"/>
            </w:pPr>
            <w:r/>
            <w:r>
              <w:rPr>
                <w:color w:val="1A1D21"/>
                <w:sz w:val="17"/>
              </w:rPr>
              <w:t>29,257</w:t>
            </w:r>
          </w:p>
        </w:tc>
      </w:tr>
      <w:tr>
        <w:trPr>
          <w:cantSplit/>
        </w:trPr>
        <w:tc>
          <w:tcPr>
            <w:tcW w:type="dxa" w:w="1984"/>
          </w:tcPr>
          <w:p>
            <w:r/>
            <w:r>
              <w:rPr>
                <w:color w:val="1A1D21"/>
                <w:sz w:val="17"/>
              </w:rPr>
              <w:t>Depreciation and amortisation</w:t>
            </w:r>
          </w:p>
        </w:tc>
        <w:tc>
          <w:tcPr>
            <w:tcW w:type="dxa" w:w="1026"/>
          </w:tcPr>
          <w:p>
            <w:pPr>
              <w:jc w:val="right"/>
            </w:pPr>
            <w:r/>
            <w:r>
              <w:rPr>
                <w:color w:val="1A1D21"/>
                <w:sz w:val="17"/>
              </w:rPr>
              <w:t>393</w:t>
            </w:r>
          </w:p>
        </w:tc>
        <w:tc>
          <w:tcPr>
            <w:tcW w:type="dxa" w:w="1026"/>
          </w:tcPr>
          <w:p>
            <w:pPr>
              <w:jc w:val="right"/>
            </w:pPr>
            <w:r/>
            <w:r>
              <w:rPr>
                <w:color w:val="1A1D21"/>
                <w:sz w:val="17"/>
              </w:rPr>
              <w:t>506</w:t>
            </w:r>
          </w:p>
        </w:tc>
        <w:tc>
          <w:tcPr>
            <w:tcW w:type="dxa" w:w="1026"/>
          </w:tcPr>
          <w:p>
            <w:pPr>
              <w:jc w:val="right"/>
            </w:pPr>
            <w:r/>
            <w:r>
              <w:rPr>
                <w:color w:val="1A1D21"/>
                <w:sz w:val="17"/>
              </w:rPr>
              <w:t>626</w:t>
            </w:r>
          </w:p>
        </w:tc>
        <w:tc>
          <w:tcPr>
            <w:tcW w:type="dxa" w:w="1026"/>
          </w:tcPr>
          <w:p>
            <w:pPr>
              <w:jc w:val="right"/>
            </w:pPr>
            <w:r/>
            <w:r>
              <w:rPr>
                <w:color w:val="1A1D21"/>
                <w:sz w:val="17"/>
              </w:rPr>
              <w:t>753</w:t>
            </w:r>
          </w:p>
        </w:tc>
        <w:tc>
          <w:tcPr>
            <w:tcW w:type="dxa" w:w="1026"/>
          </w:tcPr>
          <w:p>
            <w:pPr>
              <w:jc w:val="right"/>
            </w:pPr>
            <w:r/>
            <w:r>
              <w:rPr>
                <w:color w:val="1A1D21"/>
                <w:sz w:val="17"/>
              </w:rPr>
              <w:t>891</w:t>
            </w:r>
          </w:p>
        </w:tc>
        <w:tc>
          <w:tcPr>
            <w:tcW w:type="dxa" w:w="1026"/>
          </w:tcPr>
          <w:p>
            <w:pPr>
              <w:jc w:val="right"/>
            </w:pPr>
            <w:r/>
            <w:r>
              <w:rPr>
                <w:color w:val="1A1D21"/>
                <w:sz w:val="17"/>
              </w:rPr>
              <w:t>1,670</w:t>
            </w:r>
          </w:p>
        </w:tc>
        <w:tc>
          <w:tcPr>
            <w:tcW w:type="dxa" w:w="1026"/>
          </w:tcPr>
          <w:p>
            <w:pPr>
              <w:jc w:val="right"/>
            </w:pPr>
            <w:r/>
            <w:r>
              <w:rPr>
                <w:color w:val="1A1D21"/>
                <w:sz w:val="17"/>
              </w:rPr>
              <w:t>2,377</w:t>
            </w:r>
          </w:p>
        </w:tc>
      </w:tr>
      <w:tr>
        <w:trPr>
          <w:cantSplit/>
        </w:trPr>
        <w:tc>
          <w:tcPr>
            <w:tcW w:type="dxa" w:w="1984"/>
          </w:tcPr>
          <w:p>
            <w:r/>
            <w:r>
              <w:rPr>
                <w:color w:val="1A1D21"/>
                <w:sz w:val="17"/>
              </w:rPr>
              <w:t>Change in working capital, cash effect</w:t>
            </w:r>
          </w:p>
        </w:tc>
        <w:tc>
          <w:tcPr>
            <w:tcW w:type="dxa" w:w="1026"/>
          </w:tcPr>
          <w:p>
            <w:pPr>
              <w:jc w:val="right"/>
            </w:pPr>
            <w:r/>
            <w:r>
              <w:rPr>
                <w:color w:val="1A1D21"/>
                <w:sz w:val="17"/>
              </w:rPr>
              <w:t>-6,856</w:t>
            </w:r>
          </w:p>
        </w:tc>
        <w:tc>
          <w:tcPr>
            <w:tcW w:type="dxa" w:w="1026"/>
          </w:tcPr>
          <w:p>
            <w:pPr>
              <w:jc w:val="right"/>
            </w:pPr>
            <w:r/>
            <w:r>
              <w:rPr>
                <w:color w:val="1A1D21"/>
                <w:sz w:val="17"/>
              </w:rPr>
              <w:t>-19,924</w:t>
            </w:r>
          </w:p>
        </w:tc>
        <w:tc>
          <w:tcPr>
            <w:tcW w:type="dxa" w:w="1026"/>
          </w:tcPr>
          <w:p>
            <w:pPr>
              <w:jc w:val="right"/>
            </w:pPr>
            <w:r/>
            <w:r>
              <w:rPr>
                <w:color w:val="1A1D21"/>
                <w:sz w:val="17"/>
              </w:rPr>
              <w:t>-21,131</w:t>
            </w:r>
          </w:p>
        </w:tc>
        <w:tc>
          <w:tcPr>
            <w:tcW w:type="dxa" w:w="1026"/>
          </w:tcPr>
          <w:p>
            <w:pPr>
              <w:jc w:val="right"/>
            </w:pPr>
            <w:r/>
            <w:r>
              <w:rPr>
                <w:color w:val="1A1D21"/>
                <w:sz w:val="17"/>
              </w:rPr>
              <w:t>-22,488</w:t>
            </w:r>
          </w:p>
        </w:tc>
        <w:tc>
          <w:tcPr>
            <w:tcW w:type="dxa" w:w="1026"/>
          </w:tcPr>
          <w:p>
            <w:pPr>
              <w:jc w:val="right"/>
            </w:pPr>
            <w:r/>
            <w:r>
              <w:rPr>
                <w:color w:val="1A1D21"/>
                <w:sz w:val="17"/>
              </w:rPr>
              <w:t>-24,202</w:t>
            </w:r>
          </w:p>
        </w:tc>
        <w:tc>
          <w:tcPr>
            <w:tcW w:type="dxa" w:w="1026"/>
          </w:tcPr>
          <w:p>
            <w:pPr>
              <w:jc w:val="right"/>
            </w:pPr>
            <w:r/>
            <w:r>
              <w:rPr>
                <w:color w:val="1A1D21"/>
                <w:sz w:val="17"/>
              </w:rPr>
              <w:t>-27,259</w:t>
            </w:r>
          </w:p>
        </w:tc>
        <w:tc>
          <w:tcPr>
            <w:tcW w:type="dxa" w:w="1026"/>
          </w:tcPr>
          <w:p>
            <w:pPr>
              <w:jc w:val="right"/>
            </w:pPr>
            <w:r/>
            <w:r>
              <w:rPr>
                <w:color w:val="1A1D21"/>
                <w:sz w:val="17"/>
              </w:rPr>
              <w:t>-27,403</w:t>
            </w:r>
          </w:p>
        </w:tc>
      </w:tr>
      <w:tr>
        <w:trPr>
          <w:cantSplit/>
        </w:trPr>
        <w:tc>
          <w:tcPr>
            <w:tcW w:type="dxa" w:w="1984"/>
          </w:tcPr>
          <w:p>
            <w:r/>
            <w:r>
              <w:rPr>
                <w:color w:val="1A1D21"/>
                <w:sz w:val="17"/>
              </w:rPr>
              <w:t>Cash from operations</w:t>
            </w:r>
          </w:p>
        </w:tc>
        <w:tc>
          <w:tcPr>
            <w:tcW w:type="dxa" w:w="1026"/>
          </w:tcPr>
          <w:p>
            <w:pPr>
              <w:jc w:val="right"/>
            </w:pPr>
            <w:r/>
            <w:r>
              <w:rPr>
                <w:color w:val="1A1D21"/>
                <w:sz w:val="17"/>
              </w:rPr>
              <w:t>-3,797</w:t>
            </w:r>
          </w:p>
        </w:tc>
        <w:tc>
          <w:tcPr>
            <w:tcW w:type="dxa" w:w="1026"/>
          </w:tcPr>
          <w:p>
            <w:pPr>
              <w:jc w:val="right"/>
            </w:pPr>
            <w:r/>
            <w:r>
              <w:rPr>
                <w:color w:val="1A1D21"/>
                <w:sz w:val="17"/>
              </w:rPr>
              <w:t>-15,237</w:t>
            </w:r>
          </w:p>
        </w:tc>
        <w:tc>
          <w:tcPr>
            <w:tcW w:type="dxa" w:w="1026"/>
          </w:tcPr>
          <w:p>
            <w:pPr>
              <w:jc w:val="right"/>
            </w:pPr>
            <w:r/>
            <w:r>
              <w:rPr>
                <w:color w:val="1A1D21"/>
                <w:sz w:val="17"/>
              </w:rPr>
              <w:t>-14,717</w:t>
            </w:r>
          </w:p>
        </w:tc>
        <w:tc>
          <w:tcPr>
            <w:tcW w:type="dxa" w:w="1026"/>
          </w:tcPr>
          <w:p>
            <w:pPr>
              <w:jc w:val="right"/>
            </w:pPr>
            <w:r/>
            <w:r>
              <w:rPr>
                <w:color w:val="1A1D21"/>
                <w:sz w:val="17"/>
              </w:rPr>
              <w:t>-14,237</w:t>
            </w:r>
          </w:p>
        </w:tc>
        <w:tc>
          <w:tcPr>
            <w:tcW w:type="dxa" w:w="1026"/>
          </w:tcPr>
          <w:p>
            <w:pPr>
              <w:jc w:val="right"/>
            </w:pPr>
            <w:r/>
            <w:r>
              <w:rPr>
                <w:color w:val="1A1D21"/>
                <w:sz w:val="17"/>
              </w:rPr>
              <w:t>-13,973</w:t>
            </w:r>
          </w:p>
        </w:tc>
        <w:tc>
          <w:tcPr>
            <w:tcW w:type="dxa" w:w="1026"/>
          </w:tcPr>
          <w:p>
            <w:pPr>
              <w:jc w:val="right"/>
            </w:pPr>
            <w:r/>
            <w:r>
              <w:rPr>
                <w:color w:val="1A1D21"/>
                <w:sz w:val="17"/>
              </w:rPr>
              <w:t>-5,809</w:t>
            </w:r>
          </w:p>
        </w:tc>
        <w:tc>
          <w:tcPr>
            <w:tcW w:type="dxa" w:w="1026"/>
          </w:tcPr>
          <w:p>
            <w:pPr>
              <w:jc w:val="right"/>
            </w:pPr>
            <w:r/>
            <w:r>
              <w:rPr>
                <w:color w:val="1A1D21"/>
                <w:sz w:val="17"/>
              </w:rPr>
              <w:t>4,231</w:t>
            </w:r>
          </w:p>
        </w:tc>
      </w:tr>
      <w:tr>
        <w:trPr>
          <w:cantSplit/>
        </w:trPr>
        <w:tc>
          <w:tcPr>
            <w:tcW w:type="dxa" w:w="1984"/>
          </w:tcPr>
          <w:p>
            <w:r/>
            <w:r>
              <w:rPr>
                <w:color w:val="1A1D21"/>
                <w:sz w:val="17"/>
              </w:rPr>
              <w:t xml:space="preserve">  as a share of revenue</w:t>
            </w:r>
          </w:p>
        </w:tc>
        <w:tc>
          <w:tcPr>
            <w:tcW w:type="dxa" w:w="1026"/>
          </w:tcPr>
          <w:p>
            <w:pPr>
              <w:jc w:val="right"/>
            </w:pPr>
            <w:r/>
            <w:r>
              <w:rPr>
                <w:color w:val="1A1D21"/>
                <w:sz w:val="17"/>
              </w:rPr>
              <w:t>-9.5%</w:t>
            </w:r>
          </w:p>
        </w:tc>
        <w:tc>
          <w:tcPr>
            <w:tcW w:type="dxa" w:w="1026"/>
          </w:tcPr>
          <w:p>
            <w:pPr>
              <w:jc w:val="right"/>
            </w:pPr>
            <w:r/>
            <w:r>
              <w:rPr>
                <w:color w:val="1A1D21"/>
                <w:sz w:val="17"/>
              </w:rPr>
              <w:t>-29.5%</w:t>
            </w:r>
          </w:p>
        </w:tc>
        <w:tc>
          <w:tcPr>
            <w:tcW w:type="dxa" w:w="1026"/>
          </w:tcPr>
          <w:p>
            <w:pPr>
              <w:jc w:val="right"/>
            </w:pPr>
            <w:r/>
            <w:r>
              <w:rPr>
                <w:color w:val="1A1D21"/>
                <w:sz w:val="17"/>
              </w:rPr>
              <w:t>-23.0%</w:t>
            </w:r>
          </w:p>
        </w:tc>
        <w:tc>
          <w:tcPr>
            <w:tcW w:type="dxa" w:w="1026"/>
          </w:tcPr>
          <w:p>
            <w:pPr>
              <w:jc w:val="right"/>
            </w:pPr>
            <w:r/>
            <w:r>
              <w:rPr>
                <w:color w:val="1A1D21"/>
                <w:sz w:val="17"/>
              </w:rPr>
              <w:t>-18.5%</w:t>
            </w:r>
          </w:p>
        </w:tc>
        <w:tc>
          <w:tcPr>
            <w:tcW w:type="dxa" w:w="1026"/>
          </w:tcPr>
          <w:p>
            <w:pPr>
              <w:jc w:val="right"/>
            </w:pPr>
            <w:r/>
            <w:r>
              <w:rPr>
                <w:color w:val="1A1D21"/>
                <w:sz w:val="17"/>
              </w:rPr>
              <w:t>-15.3%</w:t>
            </w:r>
          </w:p>
        </w:tc>
        <w:tc>
          <w:tcPr>
            <w:tcW w:type="dxa" w:w="1026"/>
          </w:tcPr>
          <w:p>
            <w:pPr>
              <w:jc w:val="right"/>
            </w:pPr>
            <w:r/>
            <w:r>
              <w:rPr>
                <w:color w:val="1A1D21"/>
                <w:sz w:val="17"/>
              </w:rPr>
              <w:t>-3.4%</w:t>
            </w:r>
          </w:p>
        </w:tc>
        <w:tc>
          <w:tcPr>
            <w:tcW w:type="dxa" w:w="1026"/>
          </w:tcPr>
          <w:p>
            <w:pPr>
              <w:jc w:val="right"/>
            </w:pPr>
            <w:r/>
            <w:r>
              <w:rPr>
                <w:color w:val="1A1D21"/>
                <w:sz w:val="17"/>
              </w:rPr>
              <w:t>1.7%</w:t>
            </w:r>
          </w:p>
        </w:tc>
      </w:tr>
      <w:tr>
        <w:trPr>
          <w:cantSplit/>
        </w:trPr>
        <w:tc>
          <w:tcPr>
            <w:tcW w:type="dxa" w:w="1984"/>
          </w:tcPr>
          <w:p>
            <w:r/>
            <w:r>
              <w:rPr>
                <w:color w:val="1A1D21"/>
                <w:sz w:val="17"/>
              </w:rPr>
              <w:t>Capital expenditure</w:t>
            </w:r>
          </w:p>
        </w:tc>
        <w:tc>
          <w:tcPr>
            <w:tcW w:type="dxa" w:w="1026"/>
          </w:tcPr>
          <w:p>
            <w:pPr>
              <w:jc w:val="right"/>
            </w:pPr>
            <w:r/>
            <w:r>
              <w:rPr>
                <w:color w:val="1A1D21"/>
                <w:sz w:val="17"/>
              </w:rPr>
              <w:t>-401</w:t>
            </w:r>
          </w:p>
        </w:tc>
        <w:tc>
          <w:tcPr>
            <w:tcW w:type="dxa" w:w="1026"/>
          </w:tcPr>
          <w:p>
            <w:pPr>
              <w:jc w:val="right"/>
            </w:pPr>
            <w:r/>
            <w:r>
              <w:rPr>
                <w:color w:val="1A1D21"/>
                <w:sz w:val="17"/>
              </w:rPr>
              <w:t>-517</w:t>
            </w:r>
          </w:p>
        </w:tc>
        <w:tc>
          <w:tcPr>
            <w:tcW w:type="dxa" w:w="1026"/>
          </w:tcPr>
          <w:p>
            <w:pPr>
              <w:jc w:val="right"/>
            </w:pPr>
            <w:r/>
            <w:r>
              <w:rPr>
                <w:color w:val="1A1D21"/>
                <w:sz w:val="17"/>
              </w:rPr>
              <w:t>-640</w:t>
            </w:r>
          </w:p>
        </w:tc>
        <w:tc>
          <w:tcPr>
            <w:tcW w:type="dxa" w:w="1026"/>
          </w:tcPr>
          <w:p>
            <w:pPr>
              <w:jc w:val="right"/>
            </w:pPr>
            <w:r/>
            <w:r>
              <w:rPr>
                <w:color w:val="1A1D21"/>
                <w:sz w:val="17"/>
              </w:rPr>
              <w:t>-770</w:t>
            </w:r>
          </w:p>
        </w:tc>
        <w:tc>
          <w:tcPr>
            <w:tcW w:type="dxa" w:w="1026"/>
          </w:tcPr>
          <w:p>
            <w:pPr>
              <w:jc w:val="right"/>
            </w:pPr>
            <w:r/>
            <w:r>
              <w:rPr>
                <w:color w:val="1A1D21"/>
                <w:sz w:val="17"/>
              </w:rPr>
              <w:t>-911</w:t>
            </w:r>
          </w:p>
        </w:tc>
        <w:tc>
          <w:tcPr>
            <w:tcW w:type="dxa" w:w="1026"/>
          </w:tcPr>
          <w:p>
            <w:pPr>
              <w:jc w:val="right"/>
            </w:pPr>
            <w:r/>
            <w:r>
              <w:rPr>
                <w:color w:val="1A1D21"/>
                <w:sz w:val="17"/>
              </w:rPr>
              <w:t>-1,708</w:t>
            </w:r>
          </w:p>
        </w:tc>
        <w:tc>
          <w:tcPr>
            <w:tcW w:type="dxa" w:w="1026"/>
          </w:tcPr>
          <w:p>
            <w:pPr>
              <w:jc w:val="right"/>
            </w:pPr>
            <w:r/>
            <w:r>
              <w:rPr>
                <w:color w:val="1A1D21"/>
                <w:sz w:val="17"/>
              </w:rPr>
              <w:t>-2,431</w:t>
            </w:r>
          </w:p>
        </w:tc>
      </w:tr>
      <w:tr>
        <w:trPr>
          <w:cantSplit/>
        </w:trPr>
        <w:tc>
          <w:tcPr>
            <w:tcW w:type="dxa" w:w="1984"/>
          </w:tcPr>
          <w:p>
            <w:r/>
            <w:r>
              <w:rPr>
                <w:color w:val="1A1D21"/>
                <w:sz w:val="17"/>
              </w:rPr>
              <w:t>New borrowing drawn</w:t>
            </w:r>
          </w:p>
        </w:tc>
        <w:tc>
          <w:tcPr>
            <w:tcW w:type="dxa" w:w="1026"/>
          </w:tcPr>
          <w:p>
            <w:pPr>
              <w:jc w:val="right"/>
            </w:pPr>
            <w:r/>
            <w:r>
              <w:rPr>
                <w:color w:val="1A1D21"/>
                <w:sz w:val="17"/>
              </w:rPr>
              <w:t>0</w:t>
            </w:r>
          </w:p>
        </w:tc>
        <w:tc>
          <w:tcPr>
            <w:tcW w:type="dxa" w:w="1026"/>
          </w:tcPr>
          <w:p>
            <w:pPr>
              <w:jc w:val="right"/>
            </w:pPr>
            <w:r/>
            <w:r>
              <w:rPr>
                <w:color w:val="1A1D21"/>
                <w:sz w:val="17"/>
              </w:rPr>
              <w:t>12,888</w:t>
            </w:r>
          </w:p>
        </w:tc>
        <w:tc>
          <w:tcPr>
            <w:tcW w:type="dxa" w:w="1026"/>
          </w:tcPr>
          <w:p>
            <w:pPr>
              <w:jc w:val="right"/>
            </w:pPr>
            <w:r/>
            <w:r>
              <w:rPr>
                <w:color w:val="1A1D21"/>
                <w:sz w:val="17"/>
              </w:rPr>
              <w:t>15,357</w:t>
            </w:r>
          </w:p>
        </w:tc>
        <w:tc>
          <w:tcPr>
            <w:tcW w:type="dxa" w:w="1026"/>
          </w:tcPr>
          <w:p>
            <w:pPr>
              <w:jc w:val="right"/>
            </w:pPr>
            <w:r/>
            <w:r>
              <w:rPr>
                <w:color w:val="1A1D21"/>
                <w:sz w:val="17"/>
              </w:rPr>
              <w:t>15,007</w:t>
            </w:r>
          </w:p>
        </w:tc>
        <w:tc>
          <w:tcPr>
            <w:tcW w:type="dxa" w:w="1026"/>
          </w:tcPr>
          <w:p>
            <w:pPr>
              <w:jc w:val="right"/>
            </w:pPr>
            <w:r/>
            <w:r>
              <w:rPr>
                <w:color w:val="1A1D21"/>
                <w:sz w:val="17"/>
              </w:rPr>
              <w:t>14,884</w:t>
            </w:r>
          </w:p>
        </w:tc>
        <w:tc>
          <w:tcPr>
            <w:tcW w:type="dxa" w:w="1026"/>
          </w:tcPr>
          <w:p>
            <w:pPr>
              <w:jc w:val="right"/>
            </w:pPr>
            <w:r/>
            <w:r>
              <w:rPr>
                <w:color w:val="1A1D21"/>
                <w:sz w:val="17"/>
              </w:rPr>
              <w:t>7,517</w:t>
            </w:r>
          </w:p>
        </w:tc>
        <w:tc>
          <w:tcPr>
            <w:tcW w:type="dxa" w:w="1026"/>
          </w:tcPr>
          <w:p>
            <w:pPr>
              <w:jc w:val="right"/>
            </w:pPr>
            <w:r/>
            <w:r>
              <w:rPr>
                <w:color w:val="1A1D21"/>
                <w:sz w:val="17"/>
              </w:rPr>
              <w:t>0</w:t>
            </w:r>
          </w:p>
        </w:tc>
      </w:tr>
      <w:tr>
        <w:trPr>
          <w:cantSplit/>
        </w:trPr>
        <w:tc>
          <w:tcPr>
            <w:tcW w:type="dxa" w:w="1984"/>
          </w:tcPr>
          <w:p>
            <w:r/>
            <w:r>
              <w:rPr>
                <w:color w:val="1A1D21"/>
                <w:sz w:val="17"/>
              </w:rPr>
              <w:t>Closing cash</w:t>
            </w:r>
          </w:p>
        </w:tc>
        <w:tc>
          <w:tcPr>
            <w:tcW w:type="dxa" w:w="1026"/>
          </w:tcPr>
          <w:p>
            <w:pPr>
              <w:jc w:val="right"/>
            </w:pPr>
            <w:r/>
            <w:r>
              <w:rPr>
                <w:color w:val="1A1D21"/>
                <w:sz w:val="17"/>
              </w:rPr>
              <w:t>5,221</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7,905</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The cycle this implies</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Collection period, days</w:t>
            </w:r>
          </w:p>
        </w:tc>
        <w:tc>
          <w:tcPr>
            <w:tcW w:type="dxa" w:w="1026"/>
          </w:tcPr>
          <w:p>
            <w:pPr>
              <w:jc w:val="right"/>
            </w:pPr>
            <w:r/>
            <w:r>
              <w:rPr>
                <w:color w:val="1A1D21"/>
                <w:sz w:val="17"/>
              </w:rPr>
              <w:t>1045</w:t>
            </w:r>
          </w:p>
        </w:tc>
        <w:tc>
          <w:tcPr>
            <w:tcW w:type="dxa" w:w="1026"/>
          </w:tcPr>
          <w:p>
            <w:pPr>
              <w:jc w:val="right"/>
            </w:pPr>
            <w:r/>
            <w:r>
              <w:rPr>
                <w:color w:val="1A1D21"/>
                <w:sz w:val="17"/>
              </w:rPr>
              <w:t>1045</w:t>
            </w:r>
          </w:p>
        </w:tc>
        <w:tc>
          <w:tcPr>
            <w:tcW w:type="dxa" w:w="1026"/>
          </w:tcPr>
          <w:p>
            <w:pPr>
              <w:jc w:val="right"/>
            </w:pPr>
            <w:r/>
            <w:r>
              <w:rPr>
                <w:color w:val="1A1D21"/>
                <w:sz w:val="17"/>
              </w:rPr>
              <w:t>1045</w:t>
            </w:r>
          </w:p>
        </w:tc>
        <w:tc>
          <w:tcPr>
            <w:tcW w:type="dxa" w:w="1026"/>
          </w:tcPr>
          <w:p>
            <w:pPr>
              <w:jc w:val="right"/>
            </w:pPr>
            <w:r/>
            <w:r>
              <w:rPr>
                <w:color w:val="1A1D21"/>
                <w:sz w:val="17"/>
              </w:rPr>
              <w:t>1045</w:t>
            </w:r>
          </w:p>
        </w:tc>
        <w:tc>
          <w:tcPr>
            <w:tcW w:type="dxa" w:w="1026"/>
          </w:tcPr>
          <w:p>
            <w:pPr>
              <w:jc w:val="right"/>
            </w:pPr>
            <w:r/>
            <w:r>
              <w:rPr>
                <w:color w:val="1A1D21"/>
                <w:sz w:val="17"/>
              </w:rPr>
              <w:t>1045</w:t>
            </w:r>
          </w:p>
        </w:tc>
        <w:tc>
          <w:tcPr>
            <w:tcW w:type="dxa" w:w="1026"/>
          </w:tcPr>
          <w:p>
            <w:pPr>
              <w:jc w:val="right"/>
            </w:pPr>
            <w:r/>
            <w:r>
              <w:rPr>
                <w:color w:val="1A1D21"/>
                <w:sz w:val="17"/>
              </w:rPr>
              <w:t>1045</w:t>
            </w:r>
          </w:p>
        </w:tc>
        <w:tc>
          <w:tcPr>
            <w:tcW w:type="dxa" w:w="1026"/>
          </w:tcPr>
          <w:p>
            <w:pPr>
              <w:jc w:val="right"/>
            </w:pPr>
            <w:r/>
            <w:r>
              <w:rPr>
                <w:color w:val="1A1D21"/>
                <w:sz w:val="17"/>
              </w:rPr>
              <w:t>1045</w:t>
            </w:r>
          </w:p>
        </w:tc>
      </w:tr>
      <w:tr>
        <w:trPr>
          <w:cantSplit/>
        </w:trPr>
        <w:tc>
          <w:tcPr>
            <w:tcW w:type="dxa" w:w="1984"/>
          </w:tcPr>
          <w:p>
            <w:r/>
            <w:r>
              <w:rPr>
                <w:color w:val="1A1D21"/>
                <w:sz w:val="17"/>
              </w:rPr>
              <w:t>Work in progress, days of cost</w:t>
            </w:r>
          </w:p>
        </w:tc>
        <w:tc>
          <w:tcPr>
            <w:tcW w:type="dxa" w:w="1026"/>
          </w:tcPr>
          <w:p>
            <w:pPr>
              <w:jc w:val="right"/>
            </w:pPr>
            <w:r/>
            <w:r>
              <w:rPr>
                <w:color w:val="1A1D21"/>
                <w:sz w:val="17"/>
              </w:rPr>
              <w:t>275</w:t>
            </w:r>
          </w:p>
        </w:tc>
        <w:tc>
          <w:tcPr>
            <w:tcW w:type="dxa" w:w="1026"/>
          </w:tcPr>
          <w:p>
            <w:pPr>
              <w:jc w:val="right"/>
            </w:pPr>
            <w:r/>
            <w:r>
              <w:rPr>
                <w:color w:val="1A1D21"/>
                <w:sz w:val="17"/>
              </w:rPr>
              <w:t>275</w:t>
            </w:r>
          </w:p>
        </w:tc>
        <w:tc>
          <w:tcPr>
            <w:tcW w:type="dxa" w:w="1026"/>
          </w:tcPr>
          <w:p>
            <w:pPr>
              <w:jc w:val="right"/>
            </w:pPr>
            <w:r/>
            <w:r>
              <w:rPr>
                <w:color w:val="1A1D21"/>
                <w:sz w:val="17"/>
              </w:rPr>
              <w:t>275</w:t>
            </w:r>
          </w:p>
        </w:tc>
        <w:tc>
          <w:tcPr>
            <w:tcW w:type="dxa" w:w="1026"/>
          </w:tcPr>
          <w:p>
            <w:pPr>
              <w:jc w:val="right"/>
            </w:pPr>
            <w:r/>
            <w:r>
              <w:rPr>
                <w:color w:val="1A1D21"/>
                <w:sz w:val="17"/>
              </w:rPr>
              <w:t>275</w:t>
            </w:r>
          </w:p>
        </w:tc>
        <w:tc>
          <w:tcPr>
            <w:tcW w:type="dxa" w:w="1026"/>
          </w:tcPr>
          <w:p>
            <w:pPr>
              <w:jc w:val="right"/>
            </w:pPr>
            <w:r/>
            <w:r>
              <w:rPr>
                <w:color w:val="1A1D21"/>
                <w:sz w:val="17"/>
              </w:rPr>
              <w:t>275</w:t>
            </w:r>
          </w:p>
        </w:tc>
        <w:tc>
          <w:tcPr>
            <w:tcW w:type="dxa" w:w="1026"/>
          </w:tcPr>
          <w:p>
            <w:pPr>
              <w:jc w:val="right"/>
            </w:pPr>
            <w:r/>
            <w:r>
              <w:rPr>
                <w:color w:val="1A1D21"/>
                <w:sz w:val="17"/>
              </w:rPr>
              <w:t>275</w:t>
            </w:r>
          </w:p>
        </w:tc>
        <w:tc>
          <w:tcPr>
            <w:tcW w:type="dxa" w:w="1026"/>
          </w:tcPr>
          <w:p>
            <w:pPr>
              <w:jc w:val="right"/>
            </w:pPr>
            <w:r/>
            <w:r>
              <w:rPr>
                <w:color w:val="1A1D21"/>
                <w:sz w:val="17"/>
              </w:rPr>
              <w:t>275</w:t>
            </w:r>
          </w:p>
        </w:tc>
      </w:tr>
      <w:tr>
        <w:trPr>
          <w:cantSplit/>
        </w:trPr>
        <w:tc>
          <w:tcPr>
            <w:tcW w:type="dxa" w:w="1984"/>
          </w:tcPr>
          <w:p>
            <w:r/>
            <w:r>
              <w:rPr>
                <w:color w:val="1A1D21"/>
                <w:sz w:val="17"/>
              </w:rPr>
              <w:t>Suppliers, days of cost</w:t>
            </w:r>
          </w:p>
        </w:tc>
        <w:tc>
          <w:tcPr>
            <w:tcW w:type="dxa" w:w="1026"/>
          </w:tcPr>
          <w:p>
            <w:pPr>
              <w:jc w:val="right"/>
            </w:pPr>
            <w:r/>
            <w:r>
              <w:rPr>
                <w:color w:val="1A1D21"/>
                <w:sz w:val="17"/>
              </w:rPr>
              <w:t>60</w:t>
            </w:r>
          </w:p>
        </w:tc>
        <w:tc>
          <w:tcPr>
            <w:tcW w:type="dxa" w:w="1026"/>
          </w:tcPr>
          <w:p>
            <w:pPr>
              <w:jc w:val="right"/>
            </w:pPr>
            <w:r/>
            <w:r>
              <w:rPr>
                <w:color w:val="1A1D21"/>
                <w:sz w:val="17"/>
              </w:rPr>
              <w:t>60</w:t>
            </w:r>
          </w:p>
        </w:tc>
        <w:tc>
          <w:tcPr>
            <w:tcW w:type="dxa" w:w="1026"/>
          </w:tcPr>
          <w:p>
            <w:pPr>
              <w:jc w:val="right"/>
            </w:pPr>
            <w:r/>
            <w:r>
              <w:rPr>
                <w:color w:val="1A1D21"/>
                <w:sz w:val="17"/>
              </w:rPr>
              <w:t>60</w:t>
            </w:r>
          </w:p>
        </w:tc>
        <w:tc>
          <w:tcPr>
            <w:tcW w:type="dxa" w:w="1026"/>
          </w:tcPr>
          <w:p>
            <w:pPr>
              <w:jc w:val="right"/>
            </w:pPr>
            <w:r/>
            <w:r>
              <w:rPr>
                <w:color w:val="1A1D21"/>
                <w:sz w:val="17"/>
              </w:rPr>
              <w:t>60</w:t>
            </w:r>
          </w:p>
        </w:tc>
        <w:tc>
          <w:tcPr>
            <w:tcW w:type="dxa" w:w="1026"/>
          </w:tcPr>
          <w:p>
            <w:pPr>
              <w:jc w:val="right"/>
            </w:pPr>
            <w:r/>
            <w:r>
              <w:rPr>
                <w:color w:val="1A1D21"/>
                <w:sz w:val="17"/>
              </w:rPr>
              <w:t>60</w:t>
            </w:r>
          </w:p>
        </w:tc>
        <w:tc>
          <w:tcPr>
            <w:tcW w:type="dxa" w:w="1026"/>
          </w:tcPr>
          <w:p>
            <w:pPr>
              <w:jc w:val="right"/>
            </w:pPr>
            <w:r/>
            <w:r>
              <w:rPr>
                <w:color w:val="1A1D21"/>
                <w:sz w:val="17"/>
              </w:rPr>
              <w:t>60</w:t>
            </w:r>
          </w:p>
        </w:tc>
        <w:tc>
          <w:tcPr>
            <w:tcW w:type="dxa" w:w="1026"/>
          </w:tcPr>
          <w:p>
            <w:pPr>
              <w:jc w:val="right"/>
            </w:pPr>
            <w:r/>
            <w:r>
              <w:rPr>
                <w:color w:val="1A1D21"/>
                <w:sz w:val="17"/>
              </w:rPr>
              <w:t>60</w:t>
            </w:r>
          </w:p>
        </w:tc>
      </w:tr>
      <w:tr>
        <w:trPr>
          <w:cantSplit/>
        </w:trPr>
        <w:tc>
          <w:tcPr>
            <w:tcW w:type="dxa" w:w="1984"/>
          </w:tcPr>
          <w:p>
            <w:r/>
            <w:r>
              <w:rPr>
                <w:color w:val="1A1D21"/>
                <w:sz w:val="17"/>
              </w:rPr>
              <w:t>Customer advances, share of the order book</w:t>
            </w:r>
          </w:p>
        </w:tc>
        <w:tc>
          <w:tcPr>
            <w:tcW w:type="dxa" w:w="1026"/>
          </w:tcPr>
          <w:p>
            <w:pPr>
              <w:jc w:val="right"/>
            </w:pPr>
            <w:r/>
            <w:r>
              <w:rPr>
                <w:color w:val="1A1D21"/>
                <w:sz w:val="17"/>
              </w:rPr>
              <w:t>21.8%</w:t>
            </w:r>
          </w:p>
        </w:tc>
        <w:tc>
          <w:tcPr>
            <w:tcW w:type="dxa" w:w="1026"/>
          </w:tcPr>
          <w:p>
            <w:pPr>
              <w:jc w:val="right"/>
            </w:pPr>
            <w:r/>
            <w:r>
              <w:rPr>
                <w:color w:val="1A1D21"/>
                <w:sz w:val="17"/>
              </w:rPr>
              <w:t>22.2%</w:t>
            </w:r>
          </w:p>
        </w:tc>
        <w:tc>
          <w:tcPr>
            <w:tcW w:type="dxa" w:w="1026"/>
          </w:tcPr>
          <w:p>
            <w:pPr>
              <w:jc w:val="right"/>
            </w:pPr>
            <w:r/>
            <w:r>
              <w:rPr>
                <w:color w:val="1A1D21"/>
                <w:sz w:val="17"/>
              </w:rPr>
              <w:t>22.7%</w:t>
            </w:r>
          </w:p>
        </w:tc>
        <w:tc>
          <w:tcPr>
            <w:tcW w:type="dxa" w:w="1026"/>
          </w:tcPr>
          <w:p>
            <w:pPr>
              <w:jc w:val="right"/>
            </w:pPr>
            <w:r/>
            <w:r>
              <w:rPr>
                <w:color w:val="1A1D21"/>
                <w:sz w:val="17"/>
              </w:rPr>
              <w:t>23.3%</w:t>
            </w:r>
          </w:p>
        </w:tc>
        <w:tc>
          <w:tcPr>
            <w:tcW w:type="dxa" w:w="1026"/>
          </w:tcPr>
          <w:p>
            <w:pPr>
              <w:jc w:val="right"/>
            </w:pPr>
            <w:r/>
            <w:r>
              <w:rPr>
                <w:color w:val="1A1D21"/>
                <w:sz w:val="17"/>
              </w:rPr>
              <w:t>24.1%</w:t>
            </w:r>
          </w:p>
        </w:tc>
        <w:tc>
          <w:tcPr>
            <w:tcW w:type="dxa" w:w="1026"/>
          </w:tcPr>
          <w:p>
            <w:pPr>
              <w:jc w:val="right"/>
            </w:pPr>
            <w:r/>
            <w:r>
              <w:rPr>
                <w:color w:val="1A1D21"/>
                <w:sz w:val="17"/>
              </w:rPr>
              <w:t>28.4%</w:t>
            </w:r>
          </w:p>
        </w:tc>
        <w:tc>
          <w:tcPr>
            <w:tcW w:type="dxa" w:w="1026"/>
          </w:tcPr>
          <w:p>
            <w:pPr>
              <w:jc w:val="right"/>
            </w:pPr>
            <w:r/>
            <w:r>
              <w:rPr>
                <w:color w:val="1A1D21"/>
                <w:sz w:val="17"/>
              </w:rPr>
              <w:t>28.1%</w:t>
            </w:r>
          </w:p>
        </w:tc>
      </w:tr>
      <w:tr>
        <w:trPr>
          <w:cantSplit/>
        </w:trPr>
        <w:tc>
          <w:tcPr>
            <w:tcW w:type="dxa" w:w="1984"/>
          </w:tcPr>
          <w:p>
            <w:r/>
            <w:r>
              <w:rPr>
                <w:color w:val="1A1D21"/>
                <w:sz w:val="17"/>
              </w:rPr>
              <w:t>Net working capital</w:t>
            </w:r>
          </w:p>
        </w:tc>
        <w:tc>
          <w:tcPr>
            <w:tcW w:type="dxa" w:w="1026"/>
          </w:tcPr>
          <w:p>
            <w:pPr>
              <w:jc w:val="right"/>
            </w:pPr>
            <w:r/>
            <w:r>
              <w:rPr>
                <w:color w:val="1A1D21"/>
                <w:sz w:val="17"/>
              </w:rPr>
              <w:t>69,179</w:t>
            </w:r>
          </w:p>
        </w:tc>
        <w:tc>
          <w:tcPr>
            <w:tcW w:type="dxa" w:w="1026"/>
          </w:tcPr>
          <w:p>
            <w:pPr>
              <w:jc w:val="right"/>
            </w:pPr>
            <w:r/>
            <w:r>
              <w:rPr>
                <w:color w:val="1A1D21"/>
                <w:sz w:val="17"/>
              </w:rPr>
              <w:t>89,103</w:t>
            </w:r>
          </w:p>
        </w:tc>
        <w:tc>
          <w:tcPr>
            <w:tcW w:type="dxa" w:w="1026"/>
          </w:tcPr>
          <w:p>
            <w:pPr>
              <w:jc w:val="right"/>
            </w:pPr>
            <w:r/>
            <w:r>
              <w:rPr>
                <w:color w:val="1A1D21"/>
                <w:sz w:val="17"/>
              </w:rPr>
              <w:t>110,233</w:t>
            </w:r>
          </w:p>
        </w:tc>
        <w:tc>
          <w:tcPr>
            <w:tcW w:type="dxa" w:w="1026"/>
          </w:tcPr>
          <w:p>
            <w:pPr>
              <w:jc w:val="right"/>
            </w:pPr>
            <w:r/>
            <w:r>
              <w:rPr>
                <w:color w:val="1A1D21"/>
                <w:sz w:val="17"/>
              </w:rPr>
              <w:t>132,721</w:t>
            </w:r>
          </w:p>
        </w:tc>
        <w:tc>
          <w:tcPr>
            <w:tcW w:type="dxa" w:w="1026"/>
          </w:tcPr>
          <w:p>
            <w:pPr>
              <w:jc w:val="right"/>
            </w:pPr>
            <w:r/>
            <w:r>
              <w:rPr>
                <w:color w:val="1A1D21"/>
                <w:sz w:val="17"/>
              </w:rPr>
              <w:t>156,923</w:t>
            </w:r>
          </w:p>
        </w:tc>
        <w:tc>
          <w:tcPr>
            <w:tcW w:type="dxa" w:w="1026"/>
          </w:tcPr>
          <w:p>
            <w:pPr>
              <w:jc w:val="right"/>
            </w:pPr>
            <w:r/>
            <w:r>
              <w:rPr>
                <w:color w:val="1A1D21"/>
                <w:sz w:val="17"/>
              </w:rPr>
              <w:t>294,238</w:t>
            </w:r>
          </w:p>
        </w:tc>
        <w:tc>
          <w:tcPr>
            <w:tcW w:type="dxa" w:w="1026"/>
          </w:tcPr>
          <w:p>
            <w:pPr>
              <w:jc w:val="right"/>
            </w:pPr>
            <w:r/>
            <w:r>
              <w:rPr>
                <w:color w:val="1A1D21"/>
                <w:sz w:val="17"/>
              </w:rPr>
              <w:t>418,874</w:t>
            </w:r>
          </w:p>
        </w:tc>
      </w:tr>
      <w:tr>
        <w:trPr>
          <w:cantSplit/>
        </w:trPr>
        <w:tc>
          <w:tcPr>
            <w:tcW w:type="dxa" w:w="1984"/>
          </w:tcPr>
          <w:p>
            <w:r/>
            <w:r>
              <w:rPr>
                <w:color w:val="1A1D21"/>
                <w:sz w:val="17"/>
              </w:rPr>
              <w:t xml:space="preserve">  as a multiple of revenue</w:t>
            </w:r>
          </w:p>
        </w:tc>
        <w:tc>
          <w:tcPr>
            <w:tcW w:type="dxa" w:w="1026"/>
          </w:tcPr>
          <w:p>
            <w:pPr>
              <w:jc w:val="right"/>
            </w:pPr>
            <w:r/>
            <w:r>
              <w:rPr>
                <w:color w:val="1A1D21"/>
                <w:sz w:val="17"/>
              </w:rPr>
              <w:t>1.72</w:t>
            </w:r>
          </w:p>
        </w:tc>
        <w:tc>
          <w:tcPr>
            <w:tcW w:type="dxa" w:w="1026"/>
          </w:tcPr>
          <w:p>
            <w:pPr>
              <w:jc w:val="right"/>
            </w:pPr>
            <w:r/>
            <w:r>
              <w:rPr>
                <w:color w:val="1A1D21"/>
                <w:sz w:val="17"/>
              </w:rPr>
              <w:t>1.72</w:t>
            </w:r>
          </w:p>
        </w:tc>
        <w:tc>
          <w:tcPr>
            <w:tcW w:type="dxa" w:w="1026"/>
          </w:tcPr>
          <w:p>
            <w:pPr>
              <w:jc w:val="right"/>
            </w:pPr>
            <w:r/>
            <w:r>
              <w:rPr>
                <w:color w:val="1A1D21"/>
                <w:sz w:val="17"/>
              </w:rPr>
              <w:t>1.72</w:t>
            </w:r>
          </w:p>
        </w:tc>
        <w:tc>
          <w:tcPr>
            <w:tcW w:type="dxa" w:w="1026"/>
          </w:tcPr>
          <w:p>
            <w:pPr>
              <w:jc w:val="right"/>
            </w:pPr>
            <w:r/>
            <w:r>
              <w:rPr>
                <w:color w:val="1A1D21"/>
                <w:sz w:val="17"/>
              </w:rPr>
              <w:t>1.72</w:t>
            </w:r>
          </w:p>
        </w:tc>
        <w:tc>
          <w:tcPr>
            <w:tcW w:type="dxa" w:w="1026"/>
          </w:tcPr>
          <w:p>
            <w:pPr>
              <w:jc w:val="right"/>
            </w:pPr>
            <w:r/>
            <w:r>
              <w:rPr>
                <w:color w:val="1A1D21"/>
                <w:sz w:val="17"/>
              </w:rPr>
              <w:t>1.72</w:t>
            </w:r>
          </w:p>
        </w:tc>
        <w:tc>
          <w:tcPr>
            <w:tcW w:type="dxa" w:w="1026"/>
          </w:tcPr>
          <w:p>
            <w:pPr>
              <w:jc w:val="right"/>
            </w:pPr>
            <w:r/>
            <w:r>
              <w:rPr>
                <w:color w:val="1A1D21"/>
                <w:sz w:val="17"/>
              </w:rPr>
              <w:t>1.72</w:t>
            </w:r>
          </w:p>
        </w:tc>
        <w:tc>
          <w:tcPr>
            <w:tcW w:type="dxa" w:w="1026"/>
          </w:tcPr>
          <w:p>
            <w:pPr>
              <w:jc w:val="right"/>
            </w:pPr>
            <w:r/>
            <w:r>
              <w:rPr>
                <w:color w:val="1A1D21"/>
                <w:sz w:val="17"/>
              </w:rPr>
              <w:t>1.72</w:t>
            </w:r>
          </w:p>
        </w:tc>
      </w:tr>
    </w:tbl>
    <w:p>
      <w:pPr>
        <w:spacing w:after="200"/>
      </w:pPr>
      <w:r>
        <w:rPr>
          <w:b w:val="0"/>
          <w:i/>
          <w:color w:val="5B6570"/>
          <w:sz w:val="16"/>
        </w:rPr>
        <w:t>Every ratio is held where 2025 left it, by construction. The customer-advance share rises only because the order book grows more slowly than revenue on this path.</w:t>
      </w:r>
    </w:p>
    <w:p>
      <w:pPr>
        <w:spacing w:after="140"/>
      </w:pPr>
      <w:r>
        <w:rPr>
          <w:b w:val="0"/>
          <w:i w:val="0"/>
          <w:color w:val="1A1D21"/>
          <w:sz w:val="20"/>
        </w:rPr>
        <w:t>This reading does not produce a value per share, and the reason is worth stating plainly rather than burying. Free cash flow is negative in every one of the five years and reaches minus EGP 4,395 million in 2030. A terminal value taken on a negative flow returns a large negative number that looks like a valuation and is not one: it asserts the company burns cash for ever at a compounding rate, which is not a forecast anybody made. So none is taken. What this reading measures instead is the funding the growth would need.</w:t>
      </w:r>
    </w:p>
    <w:tbl>
      <w:tblPr>
        <w:tblStyle w:val="TableGrid"/>
        <w:tblW w:type="auto" w:w="0"/>
        <w:jc w:val="center"/>
        <w:tblLayout w:type="fixed"/>
        <w:tblLook w:firstColumn="1" w:firstRow="1" w:lastColumn="0" w:lastRow="0" w:noHBand="0" w:noVBand="1" w:val="04A0"/>
        <w:tblLayout w:type="fixed"/>
      </w:tblPr>
      <w:tblGrid>
        <w:gridCol w:w="6010"/>
        <w:gridCol w:w="3175"/>
      </w:tblGrid>
      <w:tr>
        <w:trPr>
          <w:tblHeader w:val="true"/>
        </w:trPr>
        <w:tc>
          <w:tcPr>
            <w:tcW w:type="dxa" w:w="6009"/>
          </w:tcPr>
          <w:p>
            <w:r/>
            <w:r>
              <w:rPr>
                <w:b/>
                <w:color w:val="5B6570"/>
                <w:sz w:val="17"/>
              </w:rPr>
              <w:t>If the cycle holds, what the growth costs</w:t>
            </w:r>
          </w:p>
        </w:tc>
        <w:tc>
          <w:tcPr>
            <w:tcW w:type="dxa" w:w="3175"/>
          </w:tcPr>
          <w:p>
            <w:r/>
            <w:r>
              <w:rPr>
                <w:b/>
                <w:color w:val="5B6570"/>
                <w:sz w:val="17"/>
              </w:rPr>
              <w:t>EGP mn</w:t>
            </w:r>
          </w:p>
        </w:tc>
      </w:tr>
      <w:tr>
        <w:trPr>
          <w:cantSplit/>
        </w:trPr>
        <w:tc>
          <w:tcPr>
            <w:tcW w:type="dxa" w:w="6009"/>
          </w:tcPr>
          <w:p>
            <w:r/>
            <w:r>
              <w:rPr>
                <w:color w:val="1A1D21"/>
                <w:sz w:val="17"/>
              </w:rPr>
              <w:t>Present value of the five forecast years</w:t>
            </w:r>
          </w:p>
        </w:tc>
        <w:tc>
          <w:tcPr>
            <w:tcW w:type="dxa" w:w="3175"/>
          </w:tcPr>
          <w:p>
            <w:pPr>
              <w:jc w:val="right"/>
            </w:pPr>
            <w:r/>
            <w:r>
              <w:rPr>
                <w:color w:val="1A1D21"/>
                <w:sz w:val="17"/>
              </w:rPr>
              <w:t>-39,026</w:t>
            </w:r>
          </w:p>
        </w:tc>
      </w:tr>
      <w:tr>
        <w:trPr>
          <w:cantSplit/>
        </w:trPr>
        <w:tc>
          <w:tcPr>
            <w:tcW w:type="dxa" w:w="6009"/>
          </w:tcPr>
          <w:p>
            <w:r/>
            <w:r>
              <w:rPr>
                <w:color w:val="1A1D21"/>
                <w:sz w:val="17"/>
              </w:rPr>
              <w:t>New borrowing required by 2030</w:t>
            </w:r>
          </w:p>
        </w:tc>
        <w:tc>
          <w:tcPr>
            <w:tcW w:type="dxa" w:w="3175"/>
          </w:tcPr>
          <w:p>
            <w:pPr>
              <w:jc w:val="right"/>
            </w:pPr>
            <w:r/>
            <w:r>
              <w:rPr>
                <w:color w:val="1A1D21"/>
                <w:sz w:val="17"/>
              </w:rPr>
              <w:t>121,474</w:t>
            </w:r>
          </w:p>
        </w:tc>
      </w:tr>
      <w:tr>
        <w:trPr>
          <w:cantSplit/>
        </w:trPr>
        <w:tc>
          <w:tcPr>
            <w:tcW w:type="dxa" w:w="6009"/>
          </w:tcPr>
          <w:p>
            <w:r/>
            <w:r>
              <w:rPr>
                <w:color w:val="1A1D21"/>
                <w:sz w:val="17"/>
              </w:rPr>
              <w:t>Its annual interest by 2030, at 25.50 per cent</w:t>
            </w:r>
          </w:p>
        </w:tc>
        <w:tc>
          <w:tcPr>
            <w:tcW w:type="dxa" w:w="3175"/>
          </w:tcPr>
          <w:p>
            <w:pPr>
              <w:jc w:val="right"/>
            </w:pPr>
            <w:r/>
            <w:r>
              <w:rPr>
                <w:color w:val="1A1D21"/>
                <w:sz w:val="17"/>
              </w:rPr>
              <w:t>30,976</w:t>
            </w:r>
          </w:p>
        </w:tc>
      </w:tr>
      <w:tr>
        <w:trPr>
          <w:cantSplit/>
        </w:trPr>
        <w:tc>
          <w:tcPr>
            <w:tcW w:type="dxa" w:w="6009"/>
          </w:tcPr>
          <w:p>
            <w:r/>
            <w:r>
              <w:rPr>
                <w:color w:val="1A1D21"/>
                <w:sz w:val="17"/>
              </w:rPr>
              <w:t>That interest as a share of 2030 operating profit</w:t>
            </w:r>
          </w:p>
        </w:tc>
        <w:tc>
          <w:tcPr>
            <w:tcW w:type="dxa" w:w="3175"/>
          </w:tcPr>
          <w:p>
            <w:pPr>
              <w:jc w:val="right"/>
            </w:pPr>
            <w:r/>
            <w:r>
              <w:rPr>
                <w:color w:val="1A1D21"/>
                <w:sz w:val="17"/>
              </w:rPr>
              <w:t>75%</w:t>
            </w:r>
          </w:p>
        </w:tc>
      </w:tr>
    </w:tbl>
    <w:p>
      <w:pPr>
        <w:spacing w:after="200"/>
      </w:pPr>
      <w:r>
        <w:rPr>
          <w:b w:val="0"/>
          <w:i/>
          <w:color w:val="5B6570"/>
          <w:sz w:val="16"/>
        </w:rPr>
        <w:t>The interest on that borrowing is not in the profit forecast above, and by 2030 it would exceed operating profit outright. The collection cycle and this growth path cannot both hold — which is the finding, not a defect in the arithmetic.</w:t>
      </w:r>
    </w:p>
    <w:p>
      <w:r>
        <w:br w:type="page"/>
      </w:r>
    </w:p>
    <w:p>
      <w:pPr>
        <w:pStyle w:val="Heading1"/>
      </w:pPr>
      <w:r>
        <w:t>Appendix B  Peer frame, risk register and research register</w:t>
      </w:r>
    </w:p>
    <w:p>
      <w:pPr>
        <w:pStyle w:val="Heading2"/>
      </w:pPr>
      <w:r>
        <w:t>B.1  The Egyptian listed developers</w:t>
      </w:r>
    </w:p>
    <w:tbl>
      <w:tblPr>
        <w:tblStyle w:val="TableGrid"/>
        <w:tblW w:type="auto" w:w="0"/>
        <w:jc w:val="center"/>
        <w:tblLayout w:type="fixed"/>
        <w:tblLook w:firstColumn="1" w:firstRow="1" w:lastColumn="0" w:lastRow="0" w:noHBand="0" w:noVBand="1" w:val="04A0"/>
        <w:tblLayout w:type="fixed"/>
      </w:tblPr>
      <w:tblGrid>
        <w:gridCol w:w="964"/>
        <w:gridCol w:w="2495"/>
        <w:gridCol w:w="1134"/>
        <w:gridCol w:w="1247"/>
        <w:gridCol w:w="1134"/>
        <w:gridCol w:w="1134"/>
        <w:gridCol w:w="1134"/>
      </w:tblGrid>
      <w:tr>
        <w:trPr>
          <w:tblHeader w:val="true"/>
        </w:trPr>
        <w:tc>
          <w:tcPr>
            <w:tcW w:type="dxa" w:w="964"/>
          </w:tcPr>
          <w:p>
            <w:r/>
            <w:r>
              <w:rPr>
                <w:b/>
                <w:color w:val="5B6570"/>
                <w:sz w:val="17"/>
              </w:rPr>
              <w:t>Code</w:t>
            </w:r>
          </w:p>
        </w:tc>
        <w:tc>
          <w:tcPr>
            <w:tcW w:type="dxa" w:w="2494"/>
          </w:tcPr>
          <w:p>
            <w:r/>
            <w:r>
              <w:rPr>
                <w:b/>
                <w:color w:val="5B6570"/>
                <w:sz w:val="17"/>
              </w:rPr>
              <w:t>Company</w:t>
            </w:r>
          </w:p>
        </w:tc>
        <w:tc>
          <w:tcPr>
            <w:tcW w:type="dxa" w:w="1134"/>
          </w:tcPr>
          <w:p>
            <w:r/>
            <w:r>
              <w:rPr>
                <w:b/>
                <w:color w:val="5B6570"/>
                <w:sz w:val="17"/>
              </w:rPr>
              <w:t>Beta</w:t>
            </w:r>
          </w:p>
        </w:tc>
        <w:tc>
          <w:tcPr>
            <w:tcW w:type="dxa" w:w="1247"/>
          </w:tcPr>
          <w:p>
            <w:r/>
            <w:r>
              <w:rPr>
                <w:b/>
                <w:color w:val="5B6570"/>
                <w:sz w:val="17"/>
              </w:rPr>
              <w:t>R-squared</w:t>
            </w:r>
          </w:p>
        </w:tc>
        <w:tc>
          <w:tcPr>
            <w:tcW w:type="dxa" w:w="1134"/>
          </w:tcPr>
          <w:p>
            <w:r/>
            <w:r>
              <w:rPr>
                <w:b/>
                <w:color w:val="5B6570"/>
                <w:sz w:val="17"/>
              </w:rPr>
              <w:t>Std error</w:t>
            </w:r>
          </w:p>
        </w:tc>
        <w:tc>
          <w:tcPr>
            <w:tcW w:type="dxa" w:w="1134"/>
          </w:tcPr>
          <w:p>
            <w:r/>
            <w:r>
              <w:rPr>
                <w:b/>
                <w:color w:val="5B6570"/>
                <w:sz w:val="17"/>
              </w:rPr>
              <w:t>Volatility</w:t>
            </w:r>
          </w:p>
        </w:tc>
        <w:tc>
          <w:tcPr>
            <w:tcW w:type="dxa" w:w="1134"/>
          </w:tcPr>
          <w:p>
            <w:r/>
            <w:r>
              <w:rPr>
                <w:b/>
                <w:color w:val="5B6570"/>
                <w:sz w:val="17"/>
              </w:rPr>
              <w:t>Worst fall</w:t>
            </w:r>
          </w:p>
        </w:tc>
      </w:tr>
      <w:tr>
        <w:trPr>
          <w:cantSplit/>
        </w:trPr>
        <w:tc>
          <w:tcPr>
            <w:tcW w:type="dxa" w:w="964"/>
          </w:tcPr>
          <w:p>
            <w:r/>
            <w:r>
              <w:rPr>
                <w:color w:val="1A1D21"/>
                <w:sz w:val="17"/>
              </w:rPr>
              <w:t>TMGH</w:t>
            </w:r>
          </w:p>
        </w:tc>
        <w:tc>
          <w:tcPr>
            <w:tcW w:type="dxa" w:w="2494"/>
          </w:tcPr>
          <w:p>
            <w:r/>
            <w:r>
              <w:rPr>
                <w:color w:val="1A1D21"/>
                <w:sz w:val="17"/>
              </w:rPr>
              <w:t>Talaat Moustafa Group Holding</w:t>
            </w:r>
          </w:p>
        </w:tc>
        <w:tc>
          <w:tcPr>
            <w:tcW w:type="dxa" w:w="1134"/>
          </w:tcPr>
          <w:p>
            <w:pPr>
              <w:jc w:val="right"/>
            </w:pPr>
            <w:r/>
            <w:r>
              <w:rPr>
                <w:color w:val="1A1D21"/>
                <w:sz w:val="17"/>
              </w:rPr>
              <w:t>1.4718</w:t>
            </w:r>
          </w:p>
        </w:tc>
        <w:tc>
          <w:tcPr>
            <w:tcW w:type="dxa" w:w="1247"/>
          </w:tcPr>
          <w:p>
            <w:pPr>
              <w:jc w:val="right"/>
            </w:pPr>
            <w:r/>
            <w:r>
              <w:rPr>
                <w:color w:val="1A1D21"/>
                <w:sz w:val="17"/>
              </w:rPr>
              <w:t>32.6%</w:t>
            </w:r>
          </w:p>
        </w:tc>
        <w:tc>
          <w:tcPr>
            <w:tcW w:type="dxa" w:w="1134"/>
          </w:tcPr>
          <w:p>
            <w:pPr>
              <w:jc w:val="right"/>
            </w:pPr>
            <w:r/>
            <w:r>
              <w:rPr>
                <w:color w:val="1A1D21"/>
                <w:sz w:val="17"/>
              </w:rPr>
              <w:t>0.185</w:t>
            </w:r>
          </w:p>
        </w:tc>
        <w:tc>
          <w:tcPr>
            <w:tcW w:type="dxa" w:w="1134"/>
          </w:tcPr>
          <w:p>
            <w:pPr>
              <w:jc w:val="right"/>
            </w:pPr>
            <w:r/>
            <w:r>
              <w:rPr>
                <w:color w:val="1A1D21"/>
                <w:sz w:val="17"/>
              </w:rPr>
              <w:t>43.9%</w:t>
            </w:r>
          </w:p>
        </w:tc>
        <w:tc>
          <w:tcPr>
            <w:tcW w:type="dxa" w:w="1134"/>
          </w:tcPr>
          <w:p>
            <w:pPr>
              <w:jc w:val="right"/>
            </w:pPr>
            <w:r/>
            <w:r>
              <w:rPr>
                <w:color w:val="1A1D21"/>
                <w:sz w:val="17"/>
              </w:rPr>
              <w:t>-44.2%</w:t>
            </w:r>
          </w:p>
        </w:tc>
      </w:tr>
      <w:tr>
        <w:trPr>
          <w:cantSplit/>
        </w:trPr>
        <w:tc>
          <w:tcPr>
            <w:tcW w:type="dxa" w:w="964"/>
          </w:tcPr>
          <w:p>
            <w:r/>
            <w:r>
              <w:rPr>
                <w:color w:val="1A1D21"/>
                <w:sz w:val="17"/>
              </w:rPr>
              <w:t>PHDC</w:t>
            </w:r>
          </w:p>
        </w:tc>
        <w:tc>
          <w:tcPr>
            <w:tcW w:type="dxa" w:w="2494"/>
          </w:tcPr>
          <w:p>
            <w:r/>
            <w:r>
              <w:rPr>
                <w:color w:val="1A1D21"/>
                <w:sz w:val="17"/>
              </w:rPr>
              <w:t>Palm Hills Developments</w:t>
            </w:r>
          </w:p>
        </w:tc>
        <w:tc>
          <w:tcPr>
            <w:tcW w:type="dxa" w:w="1134"/>
          </w:tcPr>
          <w:p>
            <w:pPr>
              <w:jc w:val="right"/>
            </w:pPr>
            <w:r/>
            <w:r>
              <w:rPr>
                <w:color w:val="1A1D21"/>
                <w:sz w:val="17"/>
              </w:rPr>
              <w:t>1.0493</w:t>
            </w:r>
          </w:p>
        </w:tc>
        <w:tc>
          <w:tcPr>
            <w:tcW w:type="dxa" w:w="1247"/>
          </w:tcPr>
          <w:p>
            <w:pPr>
              <w:jc w:val="right"/>
            </w:pPr>
            <w:r/>
            <w:r>
              <w:rPr>
                <w:color w:val="1A1D21"/>
                <w:sz w:val="17"/>
              </w:rPr>
              <w:t>29.9%</w:t>
            </w:r>
          </w:p>
        </w:tc>
        <w:tc>
          <w:tcPr>
            <w:tcW w:type="dxa" w:w="1134"/>
          </w:tcPr>
          <w:p>
            <w:pPr>
              <w:jc w:val="right"/>
            </w:pPr>
            <w:r/>
            <w:r>
              <w:rPr>
                <w:color w:val="1A1D21"/>
                <w:sz w:val="17"/>
              </w:rPr>
              <w:t>0.182</w:t>
            </w:r>
          </w:p>
        </w:tc>
        <w:tc>
          <w:tcPr>
            <w:tcW w:type="dxa" w:w="1134"/>
          </w:tcPr>
          <w:p>
            <w:pPr>
              <w:jc w:val="right"/>
            </w:pPr>
            <w:r/>
            <w:r>
              <w:rPr>
                <w:color w:val="1A1D21"/>
                <w:sz w:val="17"/>
              </w:rPr>
              <w:t>43.9%</w:t>
            </w:r>
          </w:p>
        </w:tc>
        <w:tc>
          <w:tcPr>
            <w:tcW w:type="dxa" w:w="1134"/>
          </w:tcPr>
          <w:p>
            <w:pPr>
              <w:jc w:val="right"/>
            </w:pPr>
            <w:r/>
            <w:r>
              <w:rPr>
                <w:color w:val="1A1D21"/>
                <w:sz w:val="17"/>
              </w:rPr>
              <w:t>-48.7%</w:t>
            </w:r>
          </w:p>
        </w:tc>
      </w:tr>
      <w:tr>
        <w:trPr>
          <w:cantSplit/>
        </w:trPr>
        <w:tc>
          <w:tcPr>
            <w:tcW w:type="dxa" w:w="964"/>
          </w:tcPr>
          <w:p>
            <w:r/>
            <w:r>
              <w:rPr>
                <w:color w:val="1A1D21"/>
                <w:sz w:val="17"/>
              </w:rPr>
              <w:t>ORHD</w:t>
            </w:r>
          </w:p>
        </w:tc>
        <w:tc>
          <w:tcPr>
            <w:tcW w:type="dxa" w:w="2494"/>
          </w:tcPr>
          <w:p>
            <w:r/>
            <w:r>
              <w:rPr>
                <w:color w:val="1A1D21"/>
                <w:sz w:val="17"/>
              </w:rPr>
              <w:t>Orascom Development Egypt</w:t>
            </w:r>
          </w:p>
        </w:tc>
        <w:tc>
          <w:tcPr>
            <w:tcW w:type="dxa" w:w="1134"/>
          </w:tcPr>
          <w:p>
            <w:pPr>
              <w:jc w:val="right"/>
            </w:pPr>
            <w:r/>
            <w:r>
              <w:rPr>
                <w:color w:val="1A1D21"/>
                <w:sz w:val="17"/>
              </w:rPr>
              <w:t>0.8837</w:t>
            </w:r>
          </w:p>
        </w:tc>
        <w:tc>
          <w:tcPr>
            <w:tcW w:type="dxa" w:w="1247"/>
          </w:tcPr>
          <w:p>
            <w:pPr>
              <w:jc w:val="right"/>
            </w:pPr>
            <w:r/>
            <w:r>
              <w:rPr>
                <w:color w:val="1A1D21"/>
                <w:sz w:val="17"/>
              </w:rPr>
              <w:t>32.1%</w:t>
            </w:r>
          </w:p>
        </w:tc>
        <w:tc>
          <w:tcPr>
            <w:tcW w:type="dxa" w:w="1134"/>
          </w:tcPr>
          <w:p>
            <w:pPr>
              <w:jc w:val="right"/>
            </w:pPr>
            <w:r/>
            <w:r>
              <w:rPr>
                <w:color w:val="1A1D21"/>
                <w:sz w:val="17"/>
              </w:rPr>
              <w:t>0.173</w:t>
            </w:r>
          </w:p>
        </w:tc>
        <w:tc>
          <w:tcPr>
            <w:tcW w:type="dxa" w:w="1134"/>
          </w:tcPr>
          <w:p>
            <w:pPr>
              <w:jc w:val="right"/>
            </w:pPr>
            <w:r/>
            <w:r>
              <w:rPr>
                <w:color w:val="1A1D21"/>
                <w:sz w:val="17"/>
              </w:rPr>
              <w:t>46.4%</w:t>
            </w:r>
          </w:p>
        </w:tc>
        <w:tc>
          <w:tcPr>
            <w:tcW w:type="dxa" w:w="1134"/>
          </w:tcPr>
          <w:p>
            <w:pPr>
              <w:jc w:val="right"/>
            </w:pPr>
            <w:r/>
            <w:r>
              <w:rPr>
                <w:color w:val="1A1D21"/>
                <w:sz w:val="17"/>
              </w:rPr>
              <w:t>-42.9%</w:t>
            </w:r>
          </w:p>
        </w:tc>
      </w:tr>
      <w:tr>
        <w:trPr>
          <w:cantSplit/>
        </w:trPr>
        <w:tc>
          <w:tcPr>
            <w:tcW w:type="dxa" w:w="964"/>
          </w:tcPr>
          <w:p>
            <w:r/>
            <w:r>
              <w:rPr>
                <w:color w:val="1A1D21"/>
                <w:sz w:val="17"/>
              </w:rPr>
              <w:t>HELI</w:t>
            </w:r>
          </w:p>
        </w:tc>
        <w:tc>
          <w:tcPr>
            <w:tcW w:type="dxa" w:w="2494"/>
          </w:tcPr>
          <w:p>
            <w:r/>
            <w:r>
              <w:rPr>
                <w:color w:val="1A1D21"/>
                <w:sz w:val="17"/>
              </w:rPr>
              <w:t>Heliopolis Housing and Develop</w:t>
            </w:r>
          </w:p>
        </w:tc>
        <w:tc>
          <w:tcPr>
            <w:tcW w:type="dxa" w:w="1134"/>
          </w:tcPr>
          <w:p>
            <w:pPr>
              <w:jc w:val="right"/>
            </w:pPr>
            <w:r/>
            <w:r>
              <w:rPr>
                <w:color w:val="1A1D21"/>
                <w:sz w:val="17"/>
              </w:rPr>
              <w:t>0.7653</w:t>
            </w:r>
          </w:p>
        </w:tc>
        <w:tc>
          <w:tcPr>
            <w:tcW w:type="dxa" w:w="1247"/>
          </w:tcPr>
          <w:p>
            <w:pPr>
              <w:jc w:val="right"/>
            </w:pPr>
            <w:r/>
            <w:r>
              <w:rPr>
                <w:color w:val="1A1D21"/>
                <w:sz w:val="17"/>
              </w:rPr>
              <w:t>28.8%</w:t>
            </w:r>
          </w:p>
        </w:tc>
        <w:tc>
          <w:tcPr>
            <w:tcW w:type="dxa" w:w="1134"/>
          </w:tcPr>
          <w:p>
            <w:pPr>
              <w:jc w:val="right"/>
            </w:pPr>
            <w:r/>
            <w:r>
              <w:rPr>
                <w:color w:val="1A1D21"/>
                <w:sz w:val="17"/>
              </w:rPr>
              <w:t>0.181</w:t>
            </w:r>
          </w:p>
        </w:tc>
        <w:tc>
          <w:tcPr>
            <w:tcW w:type="dxa" w:w="1134"/>
          </w:tcPr>
          <w:p>
            <w:pPr>
              <w:jc w:val="right"/>
            </w:pPr>
            <w:r/>
            <w:r>
              <w:rPr>
                <w:color w:val="1A1D21"/>
                <w:sz w:val="17"/>
              </w:rPr>
              <w:t>44.4%</w:t>
            </w:r>
          </w:p>
        </w:tc>
        <w:tc>
          <w:tcPr>
            <w:tcW w:type="dxa" w:w="1134"/>
          </w:tcPr>
          <w:p>
            <w:pPr>
              <w:jc w:val="right"/>
            </w:pPr>
            <w:r/>
            <w:r>
              <w:rPr>
                <w:color w:val="1A1D21"/>
                <w:sz w:val="17"/>
              </w:rPr>
              <w:t>-39.6%</w:t>
            </w:r>
          </w:p>
        </w:tc>
      </w:tr>
      <w:tr>
        <w:trPr>
          <w:cantSplit/>
        </w:trPr>
        <w:tc>
          <w:tcPr>
            <w:tcW w:type="dxa" w:w="964"/>
          </w:tcPr>
          <w:p>
            <w:r/>
            <w:r>
              <w:rPr>
                <w:color w:val="1A1D21"/>
                <w:sz w:val="17"/>
              </w:rPr>
              <w:t>EMFD</w:t>
            </w:r>
          </w:p>
        </w:tc>
        <w:tc>
          <w:tcPr>
            <w:tcW w:type="dxa" w:w="2494"/>
          </w:tcPr>
          <w:p>
            <w:r/>
            <w:r>
              <w:rPr>
                <w:color w:val="1A1D21"/>
                <w:sz w:val="17"/>
              </w:rPr>
              <w:t>Emaar Misr for Development</w:t>
            </w:r>
          </w:p>
        </w:tc>
        <w:tc>
          <w:tcPr>
            <w:tcW w:type="dxa" w:w="1134"/>
          </w:tcPr>
          <w:p>
            <w:pPr>
              <w:jc w:val="right"/>
            </w:pPr>
            <w:r/>
            <w:r>
              <w:rPr>
                <w:color w:val="1A1D21"/>
                <w:sz w:val="17"/>
              </w:rPr>
              <w:t>0.7388</w:t>
            </w:r>
          </w:p>
        </w:tc>
        <w:tc>
          <w:tcPr>
            <w:tcW w:type="dxa" w:w="1247"/>
          </w:tcPr>
          <w:p>
            <w:pPr>
              <w:jc w:val="right"/>
            </w:pPr>
            <w:r/>
            <w:r>
              <w:rPr>
                <w:color w:val="1A1D21"/>
                <w:sz w:val="17"/>
              </w:rPr>
              <w:t>24.4%</w:t>
            </w:r>
          </w:p>
        </w:tc>
        <w:tc>
          <w:tcPr>
            <w:tcW w:type="dxa" w:w="1134"/>
          </w:tcPr>
          <w:p>
            <w:pPr>
              <w:jc w:val="right"/>
            </w:pPr>
            <w:r/>
            <w:r>
              <w:rPr>
                <w:color w:val="1A1D21"/>
                <w:sz w:val="17"/>
              </w:rPr>
              <w:t>0.169</w:t>
            </w:r>
          </w:p>
        </w:tc>
        <w:tc>
          <w:tcPr>
            <w:tcW w:type="dxa" w:w="1134"/>
          </w:tcPr>
          <w:p>
            <w:pPr>
              <w:jc w:val="right"/>
            </w:pPr>
            <w:r/>
            <w:r>
              <w:rPr>
                <w:color w:val="1A1D21"/>
                <w:sz w:val="17"/>
              </w:rPr>
              <w:t>41.1%</w:t>
            </w:r>
          </w:p>
        </w:tc>
        <w:tc>
          <w:tcPr>
            <w:tcW w:type="dxa" w:w="1134"/>
          </w:tcPr>
          <w:p>
            <w:pPr>
              <w:jc w:val="right"/>
            </w:pPr>
            <w:r/>
            <w:r>
              <w:rPr>
                <w:color w:val="1A1D21"/>
                <w:sz w:val="17"/>
              </w:rPr>
              <w:t>-47.1%</w:t>
            </w:r>
          </w:p>
        </w:tc>
      </w:tr>
      <w:tr>
        <w:trPr>
          <w:cantSplit/>
        </w:trPr>
        <w:tc>
          <w:tcPr>
            <w:tcW w:type="dxa" w:w="964"/>
          </w:tcPr>
          <w:p>
            <w:r/>
            <w:r>
              <w:rPr>
                <w:color w:val="1A1D21"/>
                <w:sz w:val="17"/>
              </w:rPr>
              <w:t>PRDC</w:t>
            </w:r>
          </w:p>
        </w:tc>
        <w:tc>
          <w:tcPr>
            <w:tcW w:type="dxa" w:w="2494"/>
          </w:tcPr>
          <w:p>
            <w:r/>
            <w:r>
              <w:rPr>
                <w:color w:val="1A1D21"/>
                <w:sz w:val="17"/>
              </w:rPr>
              <w:t xml:space="preserve">Pioneers Properties for Urban </w:t>
            </w:r>
          </w:p>
        </w:tc>
        <w:tc>
          <w:tcPr>
            <w:tcW w:type="dxa" w:w="1134"/>
          </w:tcPr>
          <w:p>
            <w:pPr>
              <w:jc w:val="right"/>
            </w:pPr>
            <w:r/>
            <w:r>
              <w:rPr>
                <w:color w:val="1A1D21"/>
                <w:sz w:val="17"/>
              </w:rPr>
              <w:t>0.7067</w:t>
            </w:r>
          </w:p>
        </w:tc>
        <w:tc>
          <w:tcPr>
            <w:tcW w:type="dxa" w:w="1247"/>
          </w:tcPr>
          <w:p>
            <w:pPr>
              <w:jc w:val="right"/>
            </w:pPr>
            <w:r/>
            <w:r>
              <w:rPr>
                <w:color w:val="1A1D21"/>
                <w:sz w:val="17"/>
              </w:rPr>
              <w:t>25.8%</w:t>
            </w:r>
          </w:p>
        </w:tc>
        <w:tc>
          <w:tcPr>
            <w:tcW w:type="dxa" w:w="1134"/>
          </w:tcPr>
          <w:p>
            <w:pPr>
              <w:jc w:val="right"/>
            </w:pPr>
            <w:r/>
            <w:r>
              <w:rPr>
                <w:color w:val="1A1D21"/>
                <w:sz w:val="17"/>
              </w:rPr>
              <w:t>0.186</w:t>
            </w:r>
          </w:p>
        </w:tc>
        <w:tc>
          <w:tcPr>
            <w:tcW w:type="dxa" w:w="1134"/>
          </w:tcPr>
          <w:p>
            <w:pPr>
              <w:jc w:val="right"/>
            </w:pPr>
            <w:r/>
            <w:r>
              <w:rPr>
                <w:color w:val="1A1D21"/>
                <w:sz w:val="17"/>
              </w:rPr>
              <w:t>42.2%</w:t>
            </w:r>
          </w:p>
        </w:tc>
        <w:tc>
          <w:tcPr>
            <w:tcW w:type="dxa" w:w="1134"/>
          </w:tcPr>
          <w:p>
            <w:pPr>
              <w:jc w:val="right"/>
            </w:pPr>
            <w:r/>
            <w:r>
              <w:rPr>
                <w:color w:val="1A1D21"/>
                <w:sz w:val="17"/>
              </w:rPr>
              <w:t>-52.0%</w:t>
            </w:r>
          </w:p>
        </w:tc>
      </w:tr>
      <w:tr>
        <w:trPr>
          <w:cantSplit/>
        </w:trPr>
        <w:tc>
          <w:tcPr>
            <w:tcW w:type="dxa" w:w="964"/>
          </w:tcPr>
          <w:p>
            <w:r/>
            <w:r>
              <w:rPr>
                <w:color w:val="1A1D21"/>
                <w:sz w:val="17"/>
              </w:rPr>
              <w:t>OCDI</w:t>
            </w:r>
          </w:p>
        </w:tc>
        <w:tc>
          <w:tcPr>
            <w:tcW w:type="dxa" w:w="2494"/>
          </w:tcPr>
          <w:p>
            <w:r/>
            <w:r>
              <w:rPr>
                <w:color w:val="1A1D21"/>
                <w:sz w:val="17"/>
              </w:rPr>
              <w:t>Sixth of October Development &amp;</w:t>
            </w:r>
          </w:p>
        </w:tc>
        <w:tc>
          <w:tcPr>
            <w:tcW w:type="dxa" w:w="1134"/>
          </w:tcPr>
          <w:p>
            <w:pPr>
              <w:jc w:val="right"/>
            </w:pPr>
            <w:r/>
            <w:r>
              <w:rPr>
                <w:color w:val="1A1D21"/>
                <w:sz w:val="17"/>
              </w:rPr>
              <w:t>0.4938</w:t>
            </w:r>
          </w:p>
        </w:tc>
        <w:tc>
          <w:tcPr>
            <w:tcW w:type="dxa" w:w="1247"/>
          </w:tcPr>
          <w:p>
            <w:pPr>
              <w:jc w:val="right"/>
            </w:pPr>
            <w:r/>
            <w:r>
              <w:rPr>
                <w:color w:val="1A1D21"/>
                <w:sz w:val="17"/>
              </w:rPr>
              <w:t>10.3%</w:t>
            </w:r>
          </w:p>
        </w:tc>
        <w:tc>
          <w:tcPr>
            <w:tcW w:type="dxa" w:w="1134"/>
          </w:tcPr>
          <w:p>
            <w:pPr>
              <w:jc w:val="right"/>
            </w:pPr>
            <w:r/>
            <w:r>
              <w:rPr>
                <w:color w:val="1A1D21"/>
                <w:sz w:val="17"/>
              </w:rPr>
              <w:t>0.224</w:t>
            </w:r>
          </w:p>
        </w:tc>
        <w:tc>
          <w:tcPr>
            <w:tcW w:type="dxa" w:w="1134"/>
          </w:tcPr>
          <w:p>
            <w:pPr>
              <w:jc w:val="right"/>
            </w:pPr>
            <w:r/>
            <w:r>
              <w:rPr>
                <w:color w:val="1A1D21"/>
                <w:sz w:val="17"/>
              </w:rPr>
              <w:t>47.1%</w:t>
            </w:r>
          </w:p>
        </w:tc>
        <w:tc>
          <w:tcPr>
            <w:tcW w:type="dxa" w:w="1134"/>
          </w:tcPr>
          <w:p>
            <w:pPr>
              <w:jc w:val="right"/>
            </w:pPr>
            <w:r/>
            <w:r>
              <w:rPr>
                <w:color w:val="1A1D21"/>
                <w:sz w:val="17"/>
              </w:rPr>
              <w:t>-46.6%</w:t>
            </w:r>
          </w:p>
        </w:tc>
      </w:tr>
    </w:tbl>
    <w:p>
      <w:pPr>
        <w:spacing w:after="200"/>
      </w:pPr>
      <w:r>
        <w:rPr>
          <w:b w:val="0"/>
          <w:i/>
          <w:color w:val="5B6570"/>
          <w:sz w:val="16"/>
        </w:rPr>
        <w:t>Every measure computed on the same five-year window, through the same cleaning, against the same index. Volatility is annualised from weekly returns; worst fall is the deepest peak-to-trough decline over five years.</w:t>
      </w:r>
    </w:p>
    <w:p>
      <w:pPr>
        <w:jc w:val="center"/>
      </w:pPr>
      <w:r>
        <w:drawing>
          <wp:inline xmlns:a="http://schemas.openxmlformats.org/drawingml/2006/main" xmlns:pic="http://schemas.openxmlformats.org/drawingml/2006/picture">
            <wp:extent cx="5832000" cy="2468495"/>
            <wp:docPr id="4" name="Picture 4"/>
            <wp:cNvGraphicFramePr>
              <a:graphicFrameLocks noChangeAspect="1"/>
            </wp:cNvGraphicFramePr>
            <a:graphic>
              <a:graphicData uri="http://schemas.openxmlformats.org/drawingml/2006/picture">
                <pic:pic>
                  <pic:nvPicPr>
                    <pic:cNvPr id="0" name="fig4_peers.png"/>
                    <pic:cNvPicPr/>
                  </pic:nvPicPr>
                  <pic:blipFill>
                    <a:blip r:embed="rId12"/>
                    <a:stretch>
                      <a:fillRect/>
                    </a:stretch>
                  </pic:blipFill>
                  <pic:spPr>
                    <a:xfrm>
                      <a:off x="0" y="0"/>
                      <a:ext cx="5832000" cy="2468495"/>
                    </a:xfrm>
                    <a:prstGeom prst="rect"/>
                  </pic:spPr>
                </pic:pic>
              </a:graphicData>
            </a:graphic>
          </wp:inline>
        </w:drawing>
      </w:r>
    </w:p>
    <w:p>
      <w:pPr>
        <w:spacing w:after="240"/>
        <w:jc w:val="center"/>
      </w:pPr>
      <w:r>
        <w:rPr>
          <w:b w:val="0"/>
          <w:i/>
          <w:color w:val="5B6570"/>
          <w:sz w:val="16"/>
        </w:rPr>
        <w:t>Figure 4 — the same betas with their standard errors. Palm Hills sits mid-sector: more market-sensitive than most of its peers, materially less so than the largest.</w:t>
      </w:r>
    </w:p>
    <w:p>
      <w:pPr>
        <w:spacing w:after="140"/>
      </w:pPr>
      <w:r>
        <w:rPr>
          <w:b w:val="0"/>
          <w:i w:val="0"/>
          <w:color w:val="1A1D21"/>
          <w:sz w:val="20"/>
        </w:rPr>
        <w:t>Earnings and book multiples for the peer group are not published in this study. No peer discloses financial statements this study can obtain on a consistent basis, and a multiple built from inconsistent inputs would carry more authority than it deserves. What is measured here is measured the same way for every name.</w:t>
      </w:r>
    </w:p>
    <w:p>
      <w:pPr>
        <w:pStyle w:val="Heading2"/>
      </w:pPr>
      <w:r>
        <w:t>B.2  Risk register</w:t>
      </w:r>
    </w:p>
    <w:tbl>
      <w:tblPr>
        <w:tblStyle w:val="TableGrid"/>
        <w:tblW w:type="auto" w:w="0"/>
        <w:jc w:val="center"/>
        <w:tblLayout w:type="fixed"/>
        <w:tblLook w:firstColumn="1" w:firstRow="1" w:lastColumn="0" w:lastRow="0" w:noHBand="0" w:noVBand="1" w:val="04A0"/>
        <w:tblLayout w:type="fixed"/>
      </w:tblPr>
      <w:tblGrid>
        <w:gridCol w:w="2608"/>
        <w:gridCol w:w="3175"/>
        <w:gridCol w:w="3402"/>
      </w:tblGrid>
      <w:tr>
        <w:trPr>
          <w:tblHeader w:val="true"/>
        </w:trPr>
        <w:tc>
          <w:tcPr>
            <w:tcW w:type="dxa" w:w="2608"/>
          </w:tcPr>
          <w:p>
            <w:r/>
            <w:r>
              <w:rPr>
                <w:b/>
                <w:color w:val="5B6570"/>
                <w:sz w:val="17"/>
              </w:rPr>
              <w:t>Risk</w:t>
            </w:r>
          </w:p>
        </w:tc>
        <w:tc>
          <w:tcPr>
            <w:tcW w:type="dxa" w:w="3175"/>
          </w:tcPr>
          <w:p>
            <w:r/>
            <w:r>
              <w:rPr>
                <w:b/>
                <w:color w:val="5B6570"/>
                <w:sz w:val="17"/>
              </w:rPr>
              <w:t>How it would show up</w:t>
            </w:r>
          </w:p>
        </w:tc>
        <w:tc>
          <w:tcPr>
            <w:tcW w:type="dxa" w:w="3402"/>
          </w:tcPr>
          <w:p>
            <w:r/>
            <w:r>
              <w:rPr>
                <w:b/>
                <w:color w:val="5B6570"/>
                <w:sz w:val="17"/>
              </w:rPr>
              <w:t>Where it is priced</w:t>
            </w:r>
          </w:p>
        </w:tc>
      </w:tr>
      <w:tr>
        <w:trPr>
          <w:cantSplit/>
        </w:trPr>
        <w:tc>
          <w:tcPr>
            <w:tcW w:type="dxa" w:w="2608"/>
          </w:tcPr>
          <w:p>
            <w:r/>
            <w:r>
              <w:rPr>
                <w:color w:val="1A1D21"/>
                <w:sz w:val="17"/>
              </w:rPr>
              <w:t>Cash conversion stays at the 2023 and 2025 rate</w:t>
            </w:r>
          </w:p>
        </w:tc>
        <w:tc>
          <w:tcPr>
            <w:tcW w:type="dxa" w:w="3175"/>
          </w:tcPr>
          <w:p>
            <w:r/>
            <w:r>
              <w:rPr>
                <w:color w:val="1A1D21"/>
                <w:sz w:val="17"/>
              </w:rPr>
              <w:t>operating cash near 3.9% of revenue</w:t>
            </w:r>
          </w:p>
        </w:tc>
        <w:tc>
          <w:tcPr>
            <w:tcW w:type="dxa" w:w="3402"/>
          </w:tcPr>
          <w:p>
            <w:r/>
            <w:r>
              <w:rPr>
                <w:color w:val="1A1D21"/>
                <w:sz w:val="17"/>
              </w:rPr>
              <w:t>bottom row of the table in section 1.9</w:t>
            </w:r>
          </w:p>
        </w:tc>
      </w:tr>
      <w:tr>
        <w:trPr>
          <w:cantSplit/>
        </w:trPr>
        <w:tc>
          <w:tcPr>
            <w:tcW w:type="dxa" w:w="2608"/>
          </w:tcPr>
          <w:p>
            <w:r/>
            <w:r>
              <w:rPr>
                <w:color w:val="1A1D21"/>
                <w:sz w:val="17"/>
              </w:rPr>
              <w:t>Egyptian rates stay high or rise</w:t>
            </w:r>
          </w:p>
        </w:tc>
        <w:tc>
          <w:tcPr>
            <w:tcW w:type="dxa" w:w="3175"/>
          </w:tcPr>
          <w:p>
            <w:r/>
            <w:r>
              <w:rPr>
                <w:color w:val="1A1D21"/>
                <w:sz w:val="17"/>
              </w:rPr>
              <w:t>cost of capital above 25.10%</w:t>
            </w:r>
          </w:p>
        </w:tc>
        <w:tc>
          <w:tcPr>
            <w:tcW w:type="dxa" w:w="3402"/>
          </w:tcPr>
          <w:p>
            <w:r/>
            <w:r>
              <w:rPr>
                <w:color w:val="1A1D21"/>
                <w:sz w:val="17"/>
              </w:rPr>
              <w:t>right-hand columns of the same table</w:t>
            </w:r>
          </w:p>
        </w:tc>
      </w:tr>
      <w:tr>
        <w:trPr>
          <w:cantSplit/>
        </w:trPr>
        <w:tc>
          <w:tcPr>
            <w:tcW w:type="dxa" w:w="2608"/>
          </w:tcPr>
          <w:p>
            <w:r/>
            <w:r>
              <w:rPr>
                <w:color w:val="1A1D21"/>
                <w:sz w:val="17"/>
              </w:rPr>
              <w:t>Order book converts more slowly than delivery history implies</w:t>
            </w:r>
          </w:p>
        </w:tc>
        <w:tc>
          <w:tcPr>
            <w:tcW w:type="dxa" w:w="3175"/>
          </w:tcPr>
          <w:p>
            <w:r/>
            <w:r>
              <w:rPr>
                <w:color w:val="1A1D21"/>
                <w:sz w:val="17"/>
              </w:rPr>
              <w:t>the order book keeps rising as a multiple of revenue</w:t>
            </w:r>
          </w:p>
        </w:tc>
        <w:tc>
          <w:tcPr>
            <w:tcW w:type="dxa" w:w="3402"/>
          </w:tcPr>
          <w:p>
            <w:r/>
            <w:r>
              <w:rPr>
                <w:color w:val="1A1D21"/>
                <w:sz w:val="17"/>
              </w:rPr>
              <w:t>section 7, fourth bullet</w:t>
            </w:r>
          </w:p>
        </w:tc>
      </w:tr>
      <w:tr>
        <w:trPr>
          <w:cantSplit/>
        </w:trPr>
        <w:tc>
          <w:tcPr>
            <w:tcW w:type="dxa" w:w="2608"/>
          </w:tcPr>
          <w:p>
            <w:r/>
            <w:r>
              <w:rPr>
                <w:color w:val="1A1D21"/>
                <w:sz w:val="17"/>
              </w:rPr>
              <w:t>Currency devaluation</w:t>
            </w:r>
          </w:p>
        </w:tc>
        <w:tc>
          <w:tcPr>
            <w:tcW w:type="dxa" w:w="3175"/>
          </w:tcPr>
          <w:p>
            <w:r/>
            <w:r>
              <w:rPr>
                <w:color w:val="1A1D21"/>
                <w:sz w:val="17"/>
              </w:rPr>
              <w:t>nominal figures rise, real value does not</w:t>
            </w:r>
          </w:p>
        </w:tc>
        <w:tc>
          <w:tcPr>
            <w:tcW w:type="dxa" w:w="3402"/>
          </w:tcPr>
          <w:p>
            <w:r/>
            <w:r>
              <w:rPr>
                <w:color w:val="1A1D21"/>
                <w:sz w:val="17"/>
              </w:rPr>
              <w:t>the whole study is in nominal pounds; a devaluation moves the denominator too</w:t>
            </w:r>
          </w:p>
        </w:tc>
      </w:tr>
      <w:tr>
        <w:trPr>
          <w:cantSplit/>
        </w:trPr>
        <w:tc>
          <w:tcPr>
            <w:tcW w:type="dxa" w:w="2608"/>
          </w:tcPr>
          <w:p>
            <w:r/>
            <w:r>
              <w:rPr>
                <w:color w:val="1A1D21"/>
                <w:sz w:val="17"/>
              </w:rPr>
              <w:t>Cost of debt above the assumed spread</w:t>
            </w:r>
          </w:p>
        </w:tc>
        <w:tc>
          <w:tcPr>
            <w:tcW w:type="dxa" w:w="3175"/>
          </w:tcPr>
          <w:p>
            <w:r/>
            <w:r>
              <w:rPr>
                <w:color w:val="1A1D21"/>
                <w:sz w:val="17"/>
              </w:rPr>
              <w:t>finance cost above the modelled level</w:t>
            </w:r>
          </w:p>
        </w:tc>
        <w:tc>
          <w:tcPr>
            <w:tcW w:type="dxa" w:w="3402"/>
          </w:tcPr>
          <w:p>
            <w:r/>
            <w:r>
              <w:rPr>
                <w:color w:val="1A1D21"/>
                <w:sz w:val="17"/>
              </w:rPr>
              <w:t>section 1.8; the spread is the one unsourced input</w:t>
            </w:r>
          </w:p>
        </w:tc>
      </w:tr>
    </w:tbl>
    <w:p>
      <w:pPr>
        <w:spacing w:after="80"/>
      </w:pPr>
      <w:r>
        <w:rPr>
          <w:b w:val="0"/>
          <w:i w:val="0"/>
          <w:color w:val="1A1D21"/>
          <w:sz w:val="8"/>
        </w:rPr>
      </w:r>
    </w:p>
    <w:p>
      <w:pPr>
        <w:pStyle w:val="Heading2"/>
      </w:pPr>
      <w:r>
        <w:t>B.3  Research register</w:t>
      </w:r>
    </w:p>
    <w:p>
      <w:pPr>
        <w:spacing w:after="140"/>
      </w:pPr>
      <w:r>
        <w:rPr>
          <w:b w:val="0"/>
          <w:i w:val="0"/>
          <w:color w:val="1A1D21"/>
          <w:sz w:val="20"/>
        </w:rPr>
        <w:t>This study is built on 123 sourced inputs. Every reported historical comes from the company's own audited statements or its own results releases. The only third-party inputs are the exogenous macroeconomic series and the market price. A full register, with the value, source, date and provenance of each input, is published in the accompanying bibliography.</w:t>
      </w:r>
    </w:p>
    <w:p>
      <w:r>
        <w:br w:type="page"/>
      </w:r>
    </w:p>
    <w:p>
      <w:pPr>
        <w:pStyle w:val="Heading1"/>
      </w:pPr>
      <w:r>
        <w:t>Appendix C  Expert panel</w:t>
      </w:r>
    </w:p>
    <w:p>
      <w:pPr>
        <w:spacing w:after="140"/>
      </w:pPr>
      <w:r>
        <w:rPr>
          <w:b w:val="0"/>
          <w:i/>
          <w:color w:val="5B6570"/>
          <w:sz w:val="20"/>
        </w:rPr>
        <w:t>Three readings of the same company by three different methods. The experts are identified by method, not by name.</w:t>
      </w:r>
    </w:p>
    <w:p>
      <w:pPr>
        <w:pStyle w:val="Heading2"/>
      </w:pPr>
      <w:r>
        <w:t>C.1  Expert 1 — the discounted cash-flow analyst</w:t>
      </w:r>
    </w:p>
    <w:p>
      <w:pPr>
        <w:spacing w:after="140"/>
      </w:pPr>
      <w:r>
        <w:rPr>
          <w:b w:val="0"/>
          <w:i w:val="0"/>
          <w:color w:val="1A1D21"/>
          <w:sz w:val="20"/>
        </w:rPr>
        <w:t>Worldview: a company is worth the cash it will hand its owners, discounted at what that cash costs. When it works: businesses with stable conversion of profit to cash. When it fails: businesses where that conversion is the unknown — which is exactly this one.</w:t>
      </w:r>
    </w:p>
    <w:tbl>
      <w:tblPr>
        <w:tblStyle w:val="TableGrid"/>
        <w:tblW w:type="auto" w:w="0"/>
        <w:jc w:val="center"/>
        <w:tblLayout w:type="fixed"/>
        <w:tblLook w:firstColumn="1" w:firstRow="1" w:lastColumn="0" w:lastRow="0" w:noHBand="0" w:noVBand="1" w:val="04A0"/>
        <w:tblLayout w:type="fixed"/>
      </w:tblPr>
      <w:tblGrid>
        <w:gridCol w:w="5103"/>
        <w:gridCol w:w="2835"/>
      </w:tblGrid>
      <w:tr>
        <w:trPr>
          <w:tblHeader w:val="true"/>
        </w:trPr>
        <w:tc>
          <w:tcPr>
            <w:tcW w:type="dxa" w:w="5102"/>
          </w:tcPr>
          <w:p>
            <w:r/>
            <w:r>
              <w:rPr>
                <w:b/>
                <w:color w:val="5B6570"/>
                <w:sz w:val="17"/>
              </w:rPr>
              <w:t>Working</w:t>
            </w:r>
          </w:p>
        </w:tc>
        <w:tc>
          <w:tcPr>
            <w:tcW w:type="dxa" w:w="2835"/>
          </w:tcPr>
          <w:p>
            <w:r/>
            <w:r>
              <w:rPr>
                <w:b/>
                <w:color w:val="5B6570"/>
                <w:sz w:val="17"/>
              </w:rPr>
              <w:t>EGP mn</w:t>
            </w:r>
          </w:p>
        </w:tc>
      </w:tr>
      <w:tr>
        <w:trPr>
          <w:cantSplit/>
        </w:trPr>
        <w:tc>
          <w:tcPr>
            <w:tcW w:type="dxa" w:w="5102"/>
          </w:tcPr>
          <w:p>
            <w:r/>
            <w:r>
              <w:rPr>
                <w:color w:val="1A1D21"/>
                <w:sz w:val="17"/>
              </w:rPr>
              <w:t>Present value of five explicit years</w:t>
            </w:r>
          </w:p>
        </w:tc>
        <w:tc>
          <w:tcPr>
            <w:tcW w:type="dxa" w:w="2835"/>
          </w:tcPr>
          <w:p>
            <w:pPr>
              <w:jc w:val="right"/>
            </w:pPr>
            <w:r/>
            <w:r>
              <w:rPr>
                <w:color w:val="1A1D21"/>
                <w:sz w:val="17"/>
              </w:rPr>
              <w:t>49,478</w:t>
            </w:r>
          </w:p>
        </w:tc>
      </w:tr>
      <w:tr>
        <w:trPr>
          <w:cantSplit/>
        </w:trPr>
        <w:tc>
          <w:tcPr>
            <w:tcW w:type="dxa" w:w="5102"/>
          </w:tcPr>
          <w:p>
            <w:r/>
            <w:r>
              <w:rPr>
                <w:color w:val="1A1D21"/>
                <w:sz w:val="17"/>
              </w:rPr>
              <w:t>Present value beyond year five</w:t>
            </w:r>
          </w:p>
        </w:tc>
        <w:tc>
          <w:tcPr>
            <w:tcW w:type="dxa" w:w="2835"/>
          </w:tcPr>
          <w:p>
            <w:pPr>
              <w:jc w:val="right"/>
            </w:pPr>
            <w:r/>
            <w:r>
              <w:rPr>
                <w:color w:val="1A1D21"/>
                <w:sz w:val="17"/>
              </w:rPr>
              <w:t>22,501</w:t>
            </w:r>
          </w:p>
        </w:tc>
      </w:tr>
      <w:tr>
        <w:trPr>
          <w:cantSplit/>
        </w:trPr>
        <w:tc>
          <w:tcPr>
            <w:tcW w:type="dxa" w:w="5102"/>
          </w:tcPr>
          <w:p>
            <w:r/>
            <w:r>
              <w:rPr>
                <w:color w:val="1A1D21"/>
                <w:sz w:val="17"/>
              </w:rPr>
              <w:t>Enterprise value</w:t>
            </w:r>
          </w:p>
        </w:tc>
        <w:tc>
          <w:tcPr>
            <w:tcW w:type="dxa" w:w="2835"/>
          </w:tcPr>
          <w:p>
            <w:pPr>
              <w:jc w:val="right"/>
            </w:pPr>
            <w:r/>
            <w:r>
              <w:rPr>
                <w:color w:val="1A1D21"/>
                <w:sz w:val="17"/>
              </w:rPr>
              <w:t>71,979</w:t>
            </w:r>
          </w:p>
        </w:tc>
      </w:tr>
      <w:tr>
        <w:trPr>
          <w:cantSplit/>
        </w:trPr>
        <w:tc>
          <w:tcPr>
            <w:tcW w:type="dxa" w:w="5102"/>
          </w:tcPr>
          <w:p>
            <w:r/>
            <w:r>
              <w:rPr>
                <w:color w:val="1A1D21"/>
                <w:sz w:val="17"/>
              </w:rPr>
              <w:t>less net debt, 31 March 2026</w:t>
            </w:r>
          </w:p>
        </w:tc>
        <w:tc>
          <w:tcPr>
            <w:tcW w:type="dxa" w:w="2835"/>
          </w:tcPr>
          <w:p>
            <w:pPr>
              <w:jc w:val="right"/>
            </w:pPr>
            <w:r/>
            <w:r>
              <w:rPr>
                <w:color w:val="1A1D21"/>
                <w:sz w:val="17"/>
              </w:rPr>
              <w:t>(23,245)</w:t>
            </w:r>
          </w:p>
        </w:tc>
      </w:tr>
      <w:tr>
        <w:trPr>
          <w:cantSplit/>
        </w:trPr>
        <w:tc>
          <w:tcPr>
            <w:tcW w:type="dxa" w:w="5102"/>
          </w:tcPr>
          <w:p>
            <w:r/>
            <w:r>
              <w:rPr>
                <w:color w:val="1A1D21"/>
                <w:sz w:val="17"/>
              </w:rPr>
              <w:t>plus associates and investment property, 31 March 2026</w:t>
            </w:r>
          </w:p>
        </w:tc>
        <w:tc>
          <w:tcPr>
            <w:tcW w:type="dxa" w:w="2835"/>
          </w:tcPr>
          <w:p>
            <w:pPr>
              <w:jc w:val="right"/>
            </w:pPr>
            <w:r/>
            <w:r>
              <w:rPr>
                <w:color w:val="1A1D21"/>
                <w:sz w:val="17"/>
              </w:rPr>
              <w:t>4,859</w:t>
            </w:r>
          </w:p>
        </w:tc>
      </w:tr>
      <w:tr>
        <w:trPr>
          <w:cantSplit/>
        </w:trPr>
        <w:tc>
          <w:tcPr>
            <w:tcW w:type="dxa" w:w="5102"/>
          </w:tcPr>
          <w:p>
            <w:r/>
            <w:r>
              <w:rPr>
                <w:color w:val="1A1D21"/>
                <w:sz w:val="17"/>
              </w:rPr>
              <w:t>Equity before minority interests</w:t>
            </w:r>
          </w:p>
        </w:tc>
        <w:tc>
          <w:tcPr>
            <w:tcW w:type="dxa" w:w="2835"/>
          </w:tcPr>
          <w:p>
            <w:pPr>
              <w:jc w:val="right"/>
            </w:pPr>
            <w:r/>
            <w:r>
              <w:rPr>
                <w:color w:val="1A1D21"/>
                <w:sz w:val="17"/>
              </w:rPr>
              <w:t>53,593</w:t>
            </w:r>
          </w:p>
        </w:tc>
      </w:tr>
      <w:tr>
        <w:trPr>
          <w:cantSplit/>
        </w:trPr>
        <w:tc>
          <w:tcPr>
            <w:tcW w:type="dxa" w:w="5102"/>
          </w:tcPr>
          <w:p>
            <w:r/>
            <w:r>
              <w:rPr>
                <w:color w:val="1A1D21"/>
                <w:sz w:val="17"/>
              </w:rPr>
              <w:t>less minority interests at their share of value</w:t>
            </w:r>
          </w:p>
        </w:tc>
        <w:tc>
          <w:tcPr>
            <w:tcW w:type="dxa" w:w="2835"/>
          </w:tcPr>
          <w:p>
            <w:pPr>
              <w:jc w:val="right"/>
            </w:pPr>
            <w:r/>
            <w:r>
              <w:rPr>
                <w:color w:val="1A1D21"/>
                <w:sz w:val="17"/>
              </w:rPr>
              <w:t>(2,510)</w:t>
            </w:r>
          </w:p>
        </w:tc>
      </w:tr>
      <w:tr>
        <w:trPr>
          <w:cantSplit/>
        </w:trPr>
        <w:tc>
          <w:tcPr>
            <w:tcW w:type="dxa" w:w="5102"/>
          </w:tcPr>
          <w:p>
            <w:r/>
            <w:r>
              <w:rPr>
                <w:color w:val="1A1D21"/>
                <w:sz w:val="17"/>
              </w:rPr>
              <w:t>Equity attributable to shareholders</w:t>
            </w:r>
          </w:p>
        </w:tc>
        <w:tc>
          <w:tcPr>
            <w:tcW w:type="dxa" w:w="2835"/>
          </w:tcPr>
          <w:p>
            <w:pPr>
              <w:jc w:val="right"/>
            </w:pPr>
            <w:r/>
            <w:r>
              <w:rPr>
                <w:color w:val="1A1D21"/>
                <w:sz w:val="17"/>
              </w:rPr>
              <w:t>51,083</w:t>
            </w:r>
          </w:p>
        </w:tc>
      </w:tr>
      <w:tr>
        <w:trPr>
          <w:cantSplit/>
        </w:trPr>
        <w:tc>
          <w:tcPr>
            <w:tcW w:type="dxa" w:w="5102"/>
          </w:tcPr>
          <w:p>
            <w:r/>
            <w:r>
              <w:rPr>
                <w:color w:val="1A1D21"/>
                <w:sz w:val="17"/>
              </w:rPr>
              <w:t>Per share (EGP)</w:t>
            </w:r>
          </w:p>
        </w:tc>
        <w:tc>
          <w:tcPr>
            <w:tcW w:type="dxa" w:w="2835"/>
          </w:tcPr>
          <w:p>
            <w:pPr>
              <w:jc w:val="right"/>
            </w:pPr>
            <w:r/>
            <w:r>
              <w:rPr>
                <w:color w:val="1A1D21"/>
                <w:sz w:val="17"/>
              </w:rPr>
              <w:t>17.86</w:t>
            </w:r>
          </w:p>
        </w:tc>
      </w:tr>
    </w:tbl>
    <w:p>
      <w:pPr>
        <w:spacing w:after="80"/>
      </w:pPr>
      <w:r>
        <w:rPr>
          <w:b w:val="0"/>
          <w:i w:val="0"/>
          <w:color w:val="1A1D21"/>
          <w:sz w:val="8"/>
        </w:rPr>
      </w:r>
    </w:p>
    <w:p>
      <w:pPr>
        <w:spacing w:after="140"/>
      </w:pPr>
      <w:r>
        <w:rPr>
          <w:b w:val="0"/>
          <w:i w:val="0"/>
          <w:color w:val="1A1D21"/>
          <w:sz w:val="20"/>
        </w:rPr>
        <w:t>Named sensitivity: a move in cash conversion from 3.9% to 17.9% takes the answer from EGP 6.15 to EGP 40.32. Falsifier stated in advance: if the 2026 and 2027 cash-flow statements show conversion inside two percentage points of 8.7%, this reading is right and the range should collapse toward its centre; if they straddle the full observed spread again, the method should be abandoned for this company.</w:t>
      </w:r>
    </w:p>
    <w:p>
      <w:pPr>
        <w:pStyle w:val="Heading2"/>
      </w:pPr>
      <w:r>
        <w:t>C.2  Expert 2 — the asset-based analyst</w:t>
      </w:r>
    </w:p>
    <w:p>
      <w:pPr>
        <w:spacing w:after="140"/>
      </w:pPr>
      <w:r>
        <w:rPr>
          <w:b w:val="0"/>
          <w:i w:val="0"/>
          <w:color w:val="1A1D21"/>
          <w:sz w:val="20"/>
        </w:rPr>
        <w:t>Worldview: a developer is a pile of land, work in progress and receivables, less what it owes. Earnings are an accident of timing. When it works: asset-heavy businesses in distress or in wind-down. When it fails: going concerns whose value is in execution.</w:t>
      </w:r>
    </w:p>
    <w:tbl>
      <w:tblPr>
        <w:tblStyle w:val="TableGrid"/>
        <w:tblW w:type="auto" w:w="0"/>
        <w:jc w:val="center"/>
        <w:tblLayout w:type="fixed"/>
        <w:tblLook w:firstColumn="1" w:firstRow="1" w:lastColumn="0" w:lastRow="0" w:noHBand="0" w:noVBand="1" w:val="04A0"/>
        <w:tblLayout w:type="fixed"/>
      </w:tblPr>
      <w:tblGrid>
        <w:gridCol w:w="5103"/>
        <w:gridCol w:w="2835"/>
      </w:tblGrid>
      <w:tr>
        <w:trPr>
          <w:tblHeader w:val="true"/>
        </w:trPr>
        <w:tc>
          <w:tcPr>
            <w:tcW w:type="dxa" w:w="5102"/>
          </w:tcPr>
          <w:p>
            <w:r/>
            <w:r>
              <w:rPr>
                <w:b/>
                <w:color w:val="5B6570"/>
                <w:sz w:val="17"/>
              </w:rPr>
              <w:t>Working, on the reviewed balance sheet of 31 March 2026</w:t>
            </w:r>
          </w:p>
        </w:tc>
        <w:tc>
          <w:tcPr>
            <w:tcW w:type="dxa" w:w="2835"/>
          </w:tcPr>
          <w:p>
            <w:r/>
            <w:r>
              <w:rPr>
                <w:b/>
                <w:color w:val="5B6570"/>
                <w:sz w:val="17"/>
              </w:rPr>
              <w:t>EGP mn</w:t>
            </w:r>
          </w:p>
        </w:tc>
      </w:tr>
      <w:tr>
        <w:trPr>
          <w:cantSplit/>
        </w:trPr>
        <w:tc>
          <w:tcPr>
            <w:tcW w:type="dxa" w:w="5102"/>
          </w:tcPr>
          <w:p>
            <w:r/>
            <w:r>
              <w:rPr>
                <w:color w:val="1A1D21"/>
                <w:sz w:val="17"/>
              </w:rPr>
              <w:t>Work in progress</w:t>
            </w:r>
          </w:p>
        </w:tc>
        <w:tc>
          <w:tcPr>
            <w:tcW w:type="dxa" w:w="2835"/>
          </w:tcPr>
          <w:p>
            <w:pPr>
              <w:jc w:val="right"/>
            </w:pPr>
            <w:r/>
            <w:r>
              <w:rPr>
                <w:color w:val="1A1D21"/>
                <w:sz w:val="17"/>
              </w:rPr>
              <w:t>21,338</w:t>
            </w:r>
          </w:p>
        </w:tc>
      </w:tr>
      <w:tr>
        <w:trPr>
          <w:cantSplit/>
        </w:trPr>
        <w:tc>
          <w:tcPr>
            <w:tcW w:type="dxa" w:w="5102"/>
          </w:tcPr>
          <w:p>
            <w:r/>
            <w:r>
              <w:rPr>
                <w:color w:val="1A1D21"/>
                <w:sz w:val="17"/>
              </w:rPr>
              <w:t>Receivables, trade and instalment</w:t>
            </w:r>
          </w:p>
        </w:tc>
        <w:tc>
          <w:tcPr>
            <w:tcW w:type="dxa" w:w="2835"/>
          </w:tcPr>
          <w:p>
            <w:pPr>
              <w:jc w:val="right"/>
            </w:pPr>
            <w:r/>
            <w:r>
              <w:rPr>
                <w:color w:val="1A1D21"/>
                <w:sz w:val="17"/>
              </w:rPr>
              <w:t>101,457</w:t>
            </w:r>
          </w:p>
        </w:tc>
      </w:tr>
      <w:tr>
        <w:trPr>
          <w:cantSplit/>
        </w:trPr>
        <w:tc>
          <w:tcPr>
            <w:tcW w:type="dxa" w:w="5102"/>
          </w:tcPr>
          <w:p>
            <w:r/>
            <w:r>
              <w:rPr>
                <w:color w:val="1A1D21"/>
                <w:sz w:val="17"/>
              </w:rPr>
              <w:t>Cash</w:t>
            </w:r>
          </w:p>
        </w:tc>
        <w:tc>
          <w:tcPr>
            <w:tcW w:type="dxa" w:w="2835"/>
          </w:tcPr>
          <w:p>
            <w:pPr>
              <w:jc w:val="right"/>
            </w:pPr>
            <w:r/>
            <w:r>
              <w:rPr>
                <w:color w:val="1A1D21"/>
                <w:sz w:val="17"/>
              </w:rPr>
              <w:t>9,125</w:t>
            </w:r>
          </w:p>
        </w:tc>
      </w:tr>
      <w:tr>
        <w:trPr>
          <w:cantSplit/>
        </w:trPr>
        <w:tc>
          <w:tcPr>
            <w:tcW w:type="dxa" w:w="5102"/>
          </w:tcPr>
          <w:p>
            <w:r/>
            <w:r>
              <w:rPr>
                <w:color w:val="1A1D21"/>
                <w:sz w:val="17"/>
              </w:rPr>
              <w:t>Investments and investment property</w:t>
            </w:r>
          </w:p>
        </w:tc>
        <w:tc>
          <w:tcPr>
            <w:tcW w:type="dxa" w:w="2835"/>
          </w:tcPr>
          <w:p>
            <w:pPr>
              <w:jc w:val="right"/>
            </w:pPr>
            <w:r/>
            <w:r>
              <w:rPr>
                <w:color w:val="1A1D21"/>
                <w:sz w:val="17"/>
              </w:rPr>
              <w:t>4,859</w:t>
            </w:r>
          </w:p>
        </w:tc>
      </w:tr>
      <w:tr>
        <w:trPr>
          <w:cantSplit/>
        </w:trPr>
        <w:tc>
          <w:tcPr>
            <w:tcW w:type="dxa" w:w="5102"/>
          </w:tcPr>
          <w:p>
            <w:r/>
            <w:r>
              <w:rPr>
                <w:color w:val="1A1D21"/>
                <w:sz w:val="17"/>
              </w:rPr>
              <w:t>less advances from customers</w:t>
            </w:r>
          </w:p>
        </w:tc>
        <w:tc>
          <w:tcPr>
            <w:tcW w:type="dxa" w:w="2835"/>
          </w:tcPr>
          <w:p>
            <w:pPr>
              <w:jc w:val="right"/>
            </w:pPr>
            <w:r/>
            <w:r>
              <w:rPr>
                <w:color w:val="1A1D21"/>
                <w:sz w:val="17"/>
              </w:rPr>
              <w:t>(72,868)</w:t>
            </w:r>
          </w:p>
        </w:tc>
      </w:tr>
      <w:tr>
        <w:trPr>
          <w:cantSplit/>
        </w:trPr>
        <w:tc>
          <w:tcPr>
            <w:tcW w:type="dxa" w:w="5102"/>
          </w:tcPr>
          <w:p>
            <w:r/>
            <w:r>
              <w:rPr>
                <w:color w:val="1A1D21"/>
                <w:sz w:val="17"/>
              </w:rPr>
              <w:t>less gross borrowings</w:t>
            </w:r>
          </w:p>
        </w:tc>
        <w:tc>
          <w:tcPr>
            <w:tcW w:type="dxa" w:w="2835"/>
          </w:tcPr>
          <w:p>
            <w:pPr>
              <w:jc w:val="right"/>
            </w:pPr>
            <w:r/>
            <w:r>
              <w:rPr>
                <w:color w:val="1A1D21"/>
                <w:sz w:val="17"/>
              </w:rPr>
              <w:t>(32,369.8)</w:t>
            </w:r>
          </w:p>
        </w:tc>
      </w:tr>
      <w:tr>
        <w:trPr>
          <w:cantSplit/>
        </w:trPr>
        <w:tc>
          <w:tcPr>
            <w:tcW w:type="dxa" w:w="5102"/>
          </w:tcPr>
          <w:p>
            <w:r/>
            <w:r>
              <w:rPr>
                <w:color w:val="1A1D21"/>
                <w:sz w:val="17"/>
              </w:rPr>
              <w:t>less other liabilities, balancing</w:t>
            </w:r>
          </w:p>
        </w:tc>
        <w:tc>
          <w:tcPr>
            <w:tcW w:type="dxa" w:w="2835"/>
          </w:tcPr>
          <w:p>
            <w:pPr>
              <w:jc w:val="right"/>
            </w:pPr>
            <w:r/>
            <w:r>
              <w:rPr>
                <w:color w:val="1A1D21"/>
                <w:sz w:val="17"/>
              </w:rPr>
              <w:t>(52,352.9)</w:t>
            </w:r>
          </w:p>
        </w:tc>
      </w:tr>
      <w:tr>
        <w:trPr>
          <w:cantSplit/>
        </w:trPr>
        <w:tc>
          <w:tcPr>
            <w:tcW w:type="dxa" w:w="5102"/>
          </w:tcPr>
          <w:p>
            <w:r/>
            <w:r>
              <w:rPr>
                <w:color w:val="1A1D21"/>
                <w:sz w:val="17"/>
              </w:rPr>
              <w:t>Shareholders' funds as reported</w:t>
            </w:r>
          </w:p>
        </w:tc>
        <w:tc>
          <w:tcPr>
            <w:tcW w:type="dxa" w:w="2835"/>
          </w:tcPr>
          <w:p>
            <w:pPr>
              <w:jc w:val="right"/>
            </w:pPr>
            <w:r/>
            <w:r>
              <w:rPr>
                <w:color w:val="1A1D21"/>
                <w:sz w:val="17"/>
              </w:rPr>
              <w:t>20,388</w:t>
            </w:r>
          </w:p>
        </w:tc>
      </w:tr>
      <w:tr>
        <w:trPr>
          <w:cantSplit/>
        </w:trPr>
        <w:tc>
          <w:tcPr>
            <w:tcW w:type="dxa" w:w="5102"/>
          </w:tcPr>
          <w:p>
            <w:r/>
            <w:r>
              <w:rPr>
                <w:color w:val="1A1D21"/>
                <w:sz w:val="17"/>
              </w:rPr>
              <w:t xml:space="preserve">  of which attributable to the parent</w:t>
            </w:r>
          </w:p>
        </w:tc>
        <w:tc>
          <w:tcPr>
            <w:tcW w:type="dxa" w:w="2835"/>
          </w:tcPr>
          <w:p>
            <w:pPr>
              <w:jc w:val="right"/>
            </w:pPr>
            <w:r/>
            <w:r>
              <w:rPr>
                <w:color w:val="1A1D21"/>
                <w:sz w:val="17"/>
              </w:rPr>
              <w:t>18,956</w:t>
            </w:r>
          </w:p>
        </w:tc>
      </w:tr>
      <w:tr>
        <w:trPr>
          <w:cantSplit/>
        </w:trPr>
        <w:tc>
          <w:tcPr>
            <w:tcW w:type="dxa" w:w="5102"/>
          </w:tcPr>
          <w:p>
            <w:r/>
            <w:r>
              <w:rPr>
                <w:color w:val="1A1D21"/>
                <w:sz w:val="17"/>
              </w:rPr>
              <w:t>Per share, parent (EGP)</w:t>
            </w:r>
          </w:p>
        </w:tc>
        <w:tc>
          <w:tcPr>
            <w:tcW w:type="dxa" w:w="2835"/>
          </w:tcPr>
          <w:p>
            <w:pPr>
              <w:jc w:val="right"/>
            </w:pPr>
            <w:r/>
            <w:r>
              <w:rPr>
                <w:color w:val="1A1D21"/>
                <w:sz w:val="17"/>
              </w:rPr>
              <w:t>6.63</w:t>
            </w:r>
          </w:p>
        </w:tc>
      </w:tr>
    </w:tbl>
    <w:p>
      <w:pPr>
        <w:spacing w:after="80"/>
      </w:pPr>
      <w:r>
        <w:rPr>
          <w:b w:val="0"/>
          <w:i w:val="0"/>
          <w:color w:val="1A1D21"/>
          <w:sz w:val="8"/>
        </w:rPr>
      </w:r>
    </w:p>
    <w:p>
      <w:pPr>
        <w:spacing w:after="140"/>
      </w:pPr>
      <w:r>
        <w:rPr>
          <w:b w:val="0"/>
          <w:i w:val="0"/>
          <w:color w:val="1A1D21"/>
          <w:sz w:val="20"/>
        </w:rPr>
        <w:t>Named sensitivity: the instalment receivable book is carried at face value less unwinding discount. A 10 per cent write-down of that book would remove roughly EGP 9,923 million, about EGP 3.47 a share. Falsifier: evidence of material cancellations or receivable impairment would confirm this reading and invalidate the cash-flow one.</w:t>
      </w:r>
    </w:p>
    <w:p>
      <w:pPr>
        <w:pStyle w:val="Heading2"/>
      </w:pPr>
      <w:r>
        <w:t>C.3  Expert 3 — the market-implied analyst</w:t>
      </w:r>
    </w:p>
    <w:p>
      <w:pPr>
        <w:spacing w:after="140"/>
      </w:pPr>
      <w:r>
        <w:rPr>
          <w:b w:val="0"/>
          <w:i w:val="0"/>
          <w:color w:val="1A1D21"/>
          <w:sz w:val="20"/>
        </w:rPr>
        <w:t>Worldview: do not value the company; ask what the price already assumes, then judge whether that assumption is reasonable. When it works: where a single variable dominates. When it fails: where the market is wrong about many things at once.</w:t>
      </w:r>
    </w:p>
    <w:p>
      <w:pPr>
        <w:spacing w:after="140"/>
      </w:pPr>
      <w:r>
        <w:rPr>
          <w:b w:val="0"/>
          <w:i w:val="0"/>
          <w:color w:val="1A1D21"/>
          <w:sz w:val="20"/>
        </w:rPr>
        <w:t>Working: holding the cost of capital at 25.10% and every other input at the audited 2025 base, the closing price of EGP 14.40 implies cash conversion of 7.3%. The company achieved 4.3% in 2023, 17.9% in 2024 and 3.9% in 2025. Named sensitivity: at a 26.09% cost of capital the implied rate would be lower still. Falsifier: if 2026 conversion prints above 7.3%, the price was too low.</w:t>
      </w:r>
    </w:p>
    <w:p>
      <w:pPr>
        <w:pStyle w:val="Heading2"/>
      </w:pPr>
      <w:r>
        <w:t>C.4  Cross-examination</w:t>
      </w:r>
    </w:p>
    <w:p>
      <w:pPr>
        <w:pStyle w:val="ListBullet"/>
        <w:spacing w:after="60"/>
      </w:pPr>
      <w:r>
        <w:rPr>
          <w:color w:val="1A1D21"/>
          <w:sz w:val="20"/>
        </w:rPr>
        <w:t>Expert 2 to Expert 1: your terminal value is 31% of your answer, so you are mostly valuing years you cannot see. CONCEDED — it is why no single figure is published.</w:t>
      </w:r>
    </w:p>
    <w:p>
      <w:pPr>
        <w:pStyle w:val="ListBullet"/>
        <w:spacing w:after="60"/>
      </w:pPr>
      <w:r>
        <w:rPr>
          <w:color w:val="1A1D21"/>
          <w:sz w:val="20"/>
        </w:rPr>
        <w:t>Expert 1 to Expert 2: book value ignores that the company sells at roughly 41.2% gross margin, so its inventory is worth more than cost. CONCEDED — book is a floor, not a value.</w:t>
      </w:r>
    </w:p>
    <w:p>
      <w:pPr>
        <w:pStyle w:val="ListBullet"/>
        <w:spacing w:after="60"/>
      </w:pPr>
      <w:r>
        <w:rPr>
          <w:color w:val="1A1D21"/>
          <w:sz w:val="20"/>
        </w:rPr>
        <w:t>Expert 3 to both: you disagree by a factor of four and the market sits between you, so neither of you is adding information. REJECTED — the range is the information; a false point estimate would not be.</w:t>
      </w:r>
    </w:p>
    <w:p>
      <w:pPr>
        <w:pStyle w:val="ListBullet"/>
        <w:spacing w:after="60"/>
      </w:pPr>
      <w:r>
        <w:rPr>
          <w:color w:val="1A1D21"/>
          <w:sz w:val="20"/>
        </w:rPr>
        <w:t>Expert 2 to Expert 3: the price also reflects Egyptian equity risk appetite, not just this company's conversion rate. CONCEDED — the implied figure is a single-variable solve and is labelled as one.</w:t>
      </w:r>
    </w:p>
    <w:p>
      <w:pPr>
        <w:pStyle w:val="Heading2"/>
      </w:pPr>
      <w:r>
        <w:t>C.5  The three in one room</w:t>
      </w:r>
    </w:p>
    <w:p>
      <w:pPr>
        <w:spacing w:after="140"/>
      </w:pPr>
      <w:r>
        <w:rPr>
          <w:b w:val="0"/>
          <w:i w:val="0"/>
          <w:color w:val="1A1D21"/>
          <w:sz w:val="20"/>
        </w:rPr>
        <w:t>They agree on the facts and disagree on one number. All three accept the audited 2025 base, the 25.10% cost of capital and the order book. Expert 1 needs a conversion rate to produce an answer; Expert 2 refuses to forecast one and prices the assets instead; Expert 3 asks what rate is already in the price. The room's joint position is that Palm Hills is worth between EGP 6.15 and EGP 40.32, that the price of EGP 14.40 sits in the lower half of that range, and that the width is a property of the disclosure rather than of the analysis.</w:t>
      </w:r>
    </w:p>
    <w:p>
      <w:pPr>
        <w:pStyle w:val="Heading2"/>
      </w:pPr>
      <w:r>
        <w:t>C.6  Reading the divergence</w:t>
      </w:r>
    </w:p>
    <w:tbl>
      <w:tblPr>
        <w:tblStyle w:val="TableGrid"/>
        <w:tblW w:type="auto" w:w="0"/>
        <w:jc w:val="center"/>
        <w:tblLayout w:type="fixed"/>
        <w:tblLook w:firstColumn="1" w:firstRow="1" w:lastColumn="0" w:lastRow="0" w:noHBand="0" w:noVBand="1" w:val="04A0"/>
        <w:tblLayout w:type="fixed"/>
      </w:tblPr>
      <w:tblGrid>
        <w:gridCol w:w="1928"/>
        <w:gridCol w:w="1928"/>
        <w:gridCol w:w="1701"/>
        <w:gridCol w:w="1814"/>
        <w:gridCol w:w="1928"/>
      </w:tblGrid>
      <w:tr>
        <w:trPr>
          <w:tblHeader w:val="true"/>
        </w:trPr>
        <w:tc>
          <w:tcPr>
            <w:tcW w:type="dxa" w:w="1928"/>
          </w:tcPr>
          <w:p>
            <w:r/>
            <w:r>
              <w:rPr>
                <w:b/>
                <w:color w:val="5B6570"/>
                <w:sz w:val="17"/>
              </w:rPr>
              <w:t>Assumption</w:t>
            </w:r>
          </w:p>
        </w:tc>
        <w:tc>
          <w:tcPr>
            <w:tcW w:type="dxa" w:w="1928"/>
          </w:tcPr>
          <w:p>
            <w:r/>
            <w:r>
              <w:rPr>
                <w:b/>
                <w:color w:val="5B6570"/>
                <w:sz w:val="17"/>
              </w:rPr>
              <w:t>Expert 1</w:t>
            </w:r>
          </w:p>
        </w:tc>
        <w:tc>
          <w:tcPr>
            <w:tcW w:type="dxa" w:w="1701"/>
          </w:tcPr>
          <w:p>
            <w:r/>
            <w:r>
              <w:rPr>
                <w:b/>
                <w:color w:val="5B6570"/>
                <w:sz w:val="17"/>
              </w:rPr>
              <w:t>Expert 2</w:t>
            </w:r>
          </w:p>
        </w:tc>
        <w:tc>
          <w:tcPr>
            <w:tcW w:type="dxa" w:w="1814"/>
          </w:tcPr>
          <w:p>
            <w:r/>
            <w:r>
              <w:rPr>
                <w:b/>
                <w:color w:val="5B6570"/>
                <w:sz w:val="17"/>
              </w:rPr>
              <w:t>Expert 3</w:t>
            </w:r>
          </w:p>
        </w:tc>
        <w:tc>
          <w:tcPr>
            <w:tcW w:type="dxa" w:w="1928"/>
          </w:tcPr>
          <w:p>
            <w:r/>
            <w:r>
              <w:rPr>
                <w:b/>
                <w:color w:val="5B6570"/>
                <w:sz w:val="17"/>
              </w:rPr>
              <w:t>Drives the gap?</w:t>
            </w:r>
          </w:p>
        </w:tc>
      </w:tr>
      <w:tr>
        <w:trPr>
          <w:cantSplit/>
        </w:trPr>
        <w:tc>
          <w:tcPr>
            <w:tcW w:type="dxa" w:w="1928"/>
          </w:tcPr>
          <w:p>
            <w:r/>
            <w:r>
              <w:rPr>
                <w:color w:val="1A1D21"/>
                <w:sz w:val="17"/>
              </w:rPr>
              <w:t>Cash conversion</w:t>
            </w:r>
          </w:p>
        </w:tc>
        <w:tc>
          <w:tcPr>
            <w:tcW w:type="dxa" w:w="1928"/>
          </w:tcPr>
          <w:p>
            <w:r/>
            <w:r>
              <w:rPr>
                <w:color w:val="1A1D21"/>
                <w:sz w:val="17"/>
              </w:rPr>
              <w:t>3.9% to 17.9%</w:t>
            </w:r>
          </w:p>
        </w:tc>
        <w:tc>
          <w:tcPr>
            <w:tcW w:type="dxa" w:w="1701"/>
          </w:tcPr>
          <w:p>
            <w:r/>
            <w:r>
              <w:rPr>
                <w:color w:val="1A1D21"/>
                <w:sz w:val="17"/>
              </w:rPr>
              <w:t>not forecast</w:t>
            </w:r>
          </w:p>
        </w:tc>
        <w:tc>
          <w:tcPr>
            <w:tcW w:type="dxa" w:w="1814"/>
          </w:tcPr>
          <w:p>
            <w:r/>
            <w:r>
              <w:rPr>
                <w:color w:val="1A1D21"/>
                <w:sz w:val="17"/>
              </w:rPr>
              <w:t>7.3% implied</w:t>
            </w:r>
          </w:p>
        </w:tc>
        <w:tc>
          <w:tcPr>
            <w:tcW w:type="dxa" w:w="1928"/>
          </w:tcPr>
          <w:p>
            <w:r/>
            <w:r>
              <w:rPr>
                <w:color w:val="1A1D21"/>
                <w:sz w:val="17"/>
              </w:rPr>
              <w:t>YES — this is the whole gap</w:t>
            </w:r>
          </w:p>
        </w:tc>
      </w:tr>
      <w:tr>
        <w:trPr>
          <w:cantSplit/>
        </w:trPr>
        <w:tc>
          <w:tcPr>
            <w:tcW w:type="dxa" w:w="1928"/>
          </w:tcPr>
          <w:p>
            <w:r/>
            <w:r>
              <w:rPr>
                <w:color w:val="1A1D21"/>
                <w:sz w:val="17"/>
              </w:rPr>
              <w:t>Cost of capital</w:t>
            </w:r>
          </w:p>
        </w:tc>
        <w:tc>
          <w:tcPr>
            <w:tcW w:type="dxa" w:w="1928"/>
          </w:tcPr>
          <w:p>
            <w:pPr>
              <w:jc w:val="right"/>
            </w:pPr>
            <w:r/>
            <w:r>
              <w:rPr>
                <w:color w:val="1A1D21"/>
                <w:sz w:val="17"/>
              </w:rPr>
              <w:t>25.10%</w:t>
            </w:r>
          </w:p>
        </w:tc>
        <w:tc>
          <w:tcPr>
            <w:tcW w:type="dxa" w:w="1701"/>
          </w:tcPr>
          <w:p>
            <w:r/>
            <w:r>
              <w:rPr>
                <w:color w:val="1A1D21"/>
                <w:sz w:val="17"/>
              </w:rPr>
              <w:t>not used</w:t>
            </w:r>
          </w:p>
        </w:tc>
        <w:tc>
          <w:tcPr>
            <w:tcW w:type="dxa" w:w="1814"/>
          </w:tcPr>
          <w:p>
            <w:pPr>
              <w:jc w:val="right"/>
            </w:pPr>
            <w:r/>
            <w:r>
              <w:rPr>
                <w:color w:val="1A1D21"/>
                <w:sz w:val="17"/>
              </w:rPr>
              <w:t>25.10%</w:t>
            </w:r>
          </w:p>
        </w:tc>
        <w:tc>
          <w:tcPr>
            <w:tcW w:type="dxa" w:w="1928"/>
          </w:tcPr>
          <w:p>
            <w:r/>
            <w:r>
              <w:rPr>
                <w:color w:val="1A1D21"/>
                <w:sz w:val="17"/>
              </w:rPr>
              <w:t>no — shared</w:t>
            </w:r>
          </w:p>
        </w:tc>
      </w:tr>
      <w:tr>
        <w:trPr>
          <w:cantSplit/>
        </w:trPr>
        <w:tc>
          <w:tcPr>
            <w:tcW w:type="dxa" w:w="1928"/>
          </w:tcPr>
          <w:p>
            <w:r/>
            <w:r>
              <w:rPr>
                <w:color w:val="1A1D21"/>
                <w:sz w:val="17"/>
              </w:rPr>
              <w:t>Receivable book</w:t>
            </w:r>
          </w:p>
        </w:tc>
        <w:tc>
          <w:tcPr>
            <w:tcW w:type="dxa" w:w="1928"/>
          </w:tcPr>
          <w:p>
            <w:r/>
            <w:r>
              <w:rPr>
                <w:color w:val="1A1D21"/>
                <w:sz w:val="17"/>
              </w:rPr>
              <w:t>collected on schedule</w:t>
            </w:r>
          </w:p>
        </w:tc>
        <w:tc>
          <w:tcPr>
            <w:tcW w:type="dxa" w:w="1701"/>
          </w:tcPr>
          <w:p>
            <w:r/>
            <w:r>
              <w:rPr>
                <w:color w:val="1A1D21"/>
                <w:sz w:val="17"/>
              </w:rPr>
              <w:t>at carrying value</w:t>
            </w:r>
          </w:p>
        </w:tc>
        <w:tc>
          <w:tcPr>
            <w:tcW w:type="dxa" w:w="1814"/>
          </w:tcPr>
          <w:p>
            <w:r/>
            <w:r>
              <w:rPr>
                <w:color w:val="1A1D21"/>
                <w:sz w:val="17"/>
              </w:rPr>
              <w:t>as the market judges</w:t>
            </w:r>
          </w:p>
        </w:tc>
        <w:tc>
          <w:tcPr>
            <w:tcW w:type="dxa" w:w="1928"/>
          </w:tcPr>
          <w:p>
            <w:r/>
            <w:r>
              <w:rPr>
                <w:color w:val="1A1D21"/>
                <w:sz w:val="17"/>
              </w:rPr>
              <w:t>partly</w:t>
            </w:r>
          </w:p>
        </w:tc>
      </w:tr>
      <w:tr>
        <w:trPr>
          <w:cantSplit/>
        </w:trPr>
        <w:tc>
          <w:tcPr>
            <w:tcW w:type="dxa" w:w="1928"/>
          </w:tcPr>
          <w:p>
            <w:r/>
            <w:r>
              <w:rPr>
                <w:color w:val="1A1D21"/>
                <w:sz w:val="17"/>
              </w:rPr>
              <w:t>Terminal value</w:t>
            </w:r>
          </w:p>
        </w:tc>
        <w:tc>
          <w:tcPr>
            <w:tcW w:type="dxa" w:w="1928"/>
          </w:tcPr>
          <w:p>
            <w:r/>
            <w:r>
              <w:rPr>
                <w:color w:val="1A1D21"/>
                <w:sz w:val="17"/>
              </w:rPr>
              <w:t>31% of the answer</w:t>
            </w:r>
          </w:p>
        </w:tc>
        <w:tc>
          <w:tcPr>
            <w:tcW w:type="dxa" w:w="1701"/>
          </w:tcPr>
          <w:p>
            <w:r/>
            <w:r>
              <w:rPr>
                <w:color w:val="1A1D21"/>
                <w:sz w:val="17"/>
              </w:rPr>
              <w:t>none</w:t>
            </w:r>
          </w:p>
        </w:tc>
        <w:tc>
          <w:tcPr>
            <w:tcW w:type="dxa" w:w="1814"/>
          </w:tcPr>
          <w:p>
            <w:r/>
            <w:r>
              <w:rPr>
                <w:color w:val="1A1D21"/>
                <w:sz w:val="17"/>
              </w:rPr>
              <w:t>none</w:t>
            </w:r>
          </w:p>
        </w:tc>
        <w:tc>
          <w:tcPr>
            <w:tcW w:type="dxa" w:w="1928"/>
          </w:tcPr>
          <w:p>
            <w:r/>
            <w:r>
              <w:rPr>
                <w:color w:val="1A1D21"/>
                <w:sz w:val="17"/>
              </w:rPr>
              <w:t>yes for Expert 1 alone</w:t>
            </w:r>
          </w:p>
        </w:tc>
      </w:tr>
    </w:tbl>
    <w:p>
      <w:pPr>
        <w:spacing w:after="200"/>
      </w:pPr>
      <w:r>
        <w:rPr>
          <w:b w:val="0"/>
          <w:i/>
          <w:color w:val="5B6570"/>
          <w:sz w:val="16"/>
        </w:rPr>
        <w:t>One assumption explains almost all of the divergence, which is the clearest evidence that section 1.7 has identified the right crux.</w:t>
      </w:r>
    </w:p>
    <w:p>
      <w:r>
        <w:br w:type="page"/>
      </w:r>
    </w:p>
    <w:p>
      <w:pPr>
        <w:pStyle w:val="Heading1"/>
      </w:pPr>
      <w:r>
        <w:t>About this series</w:t>
      </w:r>
    </w:p>
    <w:p>
      <w:pPr>
        <w:spacing w:after="140"/>
      </w:pPr>
      <w:r>
        <w:rPr>
          <w:b w:val="0"/>
          <w:i w:val="0"/>
          <w:color w:val="1A1D21"/>
          <w:sz w:val="20"/>
        </w:rPr>
        <w:t>These studies value a company from its own disclosures, publish the reasoning alongside the answer, and record what the method has historically got right and wrong on that company. They carry no rating and no price target. Where a company does not disclose something the valuation needs, the study says so and prices the consequence rather than filling the gap.</w:t>
      </w:r>
    </w:p>
    <w:p>
      <w:pPr>
        <w:pStyle w:val="Heading1"/>
      </w:pPr>
      <w:r>
        <w:t>Disclosure and disclaimer</w:t>
      </w:r>
    </w:p>
    <w:p>
      <w:pPr>
        <w:spacing w:after="140"/>
      </w:pPr>
      <w:r>
        <w:rPr>
          <w:b w:val="0"/>
          <w:i w:val="0"/>
          <w:color w:val="5B6570"/>
          <w:sz w:val="17"/>
        </w:rPr>
        <w:t>This document is for information and education. It is not investment advice, not a recommendation, and not an offer or solicitation to buy or sell any security. It contains no rating and no price target. Figures are drawn from the company's published financial statements and results releases and from the named third-party sources; they may contain errors and are not warranted. Valuations are estimates that depend on assumptions stated in the text, and small changes in those assumptions produce large changes in the result, as section 1.9 shows directly. Past price behaviour does not predict future returns. Readers must reach their own conclusions and should take professional advice before acting. Edition of 3 September 2026; information set ends at the company's first-quarter 2026 results.</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D6FA3"/>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