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C3A36"/>
          <w:sz w:val="28"/>
        </w:rPr>
        <w:t>Testahil · Source register</w:t>
      </w:r>
      <w:r>
        <w:rPr>
          <w:color w:val="6E7B77"/>
          <w:sz w:val="20"/>
        </w:rPr>
        <w:t xml:space="preserve">    Saudi Telecom Company (Tadawul: 7010) · edition 05-09-2026</w:t>
      </w:r>
    </w:p>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180"/>
      </w:pPr>
      <w:r>
        <w:rPr>
          <w:b/>
          <w:i w:val="0"/>
          <w:color w:val="1C3A36"/>
          <w:sz w:val="22"/>
        </w:rPr>
        <w:t>What this study is built on</w:t>
      </w:r>
    </w:p>
    <w:p>
      <w:pPr>
        <w:spacing w:after="100" w:before="0"/>
      </w:pPr>
      <w:r>
        <w:rPr>
          <w:b w:val="0"/>
          <w:i w:val="0"/>
          <w:color w:val="1C3A36"/>
          <w:sz w:val="19"/>
        </w:rPr>
        <w:t>The company’s own audited and reviewed financial statements, and its own earnings presentations. Nothing historical in this study comes from a data vendor, a broker or a press report, and the register below is what makes that checkable rather than asserted: every dated historical names the company document it was read from, with its note.</w:t>
      </w:r>
    </w:p>
    <w:p>
      <w:pPr>
        <w:spacing w:after="100" w:before="0"/>
      </w:pPr>
      <w:r>
        <w:rPr>
          <w:b w:val="0"/>
          <w:i w:val="0"/>
          <w:color w:val="1C3A36"/>
          <w:sz w:val="19"/>
        </w:rPr>
        <w:t>The company’s own investor-relations channel was attempted first, before any aggregator, and the attempt is logged whether or not it succeeded. Reached through www.stc.com.sa/sitemap.xml after four direct URL guesses had each returned the site's own 404 page under an HTTP 200. Carries every earnings presentation and call transcript back to 2017. The financial statements come from the same group site at www.stc.com/content/dam/groupsites/en/pdf/.</w:t>
      </w:r>
    </w:p>
    <w:p>
      <w:pPr>
        <w:spacing w:after="100" w:before="0"/>
      </w:pPr>
      <w:r>
        <w:rPr>
          <w:b w:val="0"/>
          <w:i w:val="0"/>
          <w:color w:val="1C3A36"/>
          <w:sz w:val="19"/>
        </w:rPr>
        <w:t>Three figures about this register, all computed from it: it carries 176 inputs, of which 175 come from this company’s own documents and 9 of those from the investor-relations channel specifically — which is the split a reviewer needs, because it says how much of what is known about the company rests on material no financial statement carries. The three most recent fiscal years and every disclosed period of the study year come from the statements themselves.</w:t>
      </w:r>
    </w:p>
    <w:p>
      <w:r>
        <w:br w:type="page"/>
      </w:r>
    </w:p>
    <w:p>
      <w:pPr>
        <w:spacing w:after="120" w:before="240"/>
      </w:pPr>
      <w:r>
        <w:rPr>
          <w:b/>
          <w:i w:val="0"/>
          <w:color w:val="1C3A36"/>
          <w:sz w:val="28"/>
        </w:rPr>
        <w:t>1  Input register — every figure the model consumes</w:t>
      </w:r>
    </w:p>
    <w:p>
      <w:pPr>
        <w:spacing w:after="100" w:before="0"/>
      </w:pPr>
      <w:r>
        <w:rPr>
          <w:b w:val="0"/>
          <w:i w:val="0"/>
          <w:color w:val="1C3A36"/>
          <w:sz w:val="18"/>
        </w:rPr>
        <w:t>Grouped by research layer, then by name. Four fields on every row, with no orphan numbers: what it is, what it is worth, where it came from, and the date that source carries.</w:t>
      </w:r>
    </w:p>
    <w:tbl>
      <w:tblPr>
        <w:tblW w:type="auto" w:w="0"/>
        <w:jc w:val="center"/>
        <w:tblLook w:firstColumn="1" w:firstRow="1" w:lastColumn="0" w:lastRow="0" w:noHBand="0" w:noVBand="1" w:val="04A0"/>
        <w:tblLayout w:type="fixed"/>
        <w:tblCellMar>
          <w:top w:w="34" w:type="dxa"/>
          <w:left w:w="74" w:type="dxa"/>
          <w:bottom w:w="34" w:type="dxa"/>
          <w:right w:w="74"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4110" w:type="dxa"/>
      </w:tblPr>
      <w:tblGrid>
        <w:gridCol w:w="504"/>
        <w:gridCol w:w="1235"/>
        <w:gridCol w:w="1162"/>
        <w:gridCol w:w="1700"/>
        <w:gridCol w:w="8441"/>
        <w:gridCol w:w="1065"/>
      </w:tblGrid>
      <w:tr>
        <w:tc>
          <w:tcPr>
            <w:tcW w:type="dxa" w:w="505"/>
            <w:shd w:val="clear" w:color="auto" w:fill="EAF0EE"/>
          </w:tcPr>
          <w:p>
            <w:pPr>
              <w:spacing w:after="20"/>
            </w:pPr>
            <w:r>
              <w:rPr>
                <w:b/>
                <w:color w:val="1C3A36"/>
                <w:sz w:val="14"/>
              </w:rPr>
              <w:t>#</w:t>
            </w:r>
          </w:p>
        </w:tc>
        <w:tc>
          <w:tcPr>
            <w:tcW w:type="dxa" w:w="1236"/>
            <w:shd w:val="clear" w:color="auto" w:fill="EAF0EE"/>
          </w:tcPr>
          <w:p>
            <w:pPr>
              <w:spacing w:after="20"/>
            </w:pPr>
            <w:r>
              <w:rPr>
                <w:b/>
                <w:color w:val="1C3A36"/>
                <w:sz w:val="14"/>
              </w:rPr>
              <w:t>Input</w:t>
            </w:r>
          </w:p>
        </w:tc>
        <w:tc>
          <w:tcPr>
            <w:tcW w:type="dxa" w:w="1162"/>
            <w:shd w:val="clear" w:color="auto" w:fill="EAF0EE"/>
          </w:tcPr>
          <w:p>
            <w:pPr>
              <w:spacing w:after="20"/>
            </w:pPr>
            <w:r>
              <w:rPr>
                <w:b/>
                <w:color w:val="1C3A36"/>
                <w:sz w:val="14"/>
              </w:rPr>
              <w:t>Value</w:t>
            </w:r>
          </w:p>
        </w:tc>
        <w:tc>
          <w:tcPr>
            <w:tcW w:type="dxa" w:w="1701"/>
            <w:shd w:val="clear" w:color="auto" w:fill="EAF0EE"/>
          </w:tcPr>
          <w:p>
            <w:pPr>
              <w:spacing w:after="20"/>
            </w:pPr>
            <w:r>
              <w:rPr>
                <w:b/>
                <w:color w:val="1C3A36"/>
                <w:sz w:val="14"/>
              </w:rPr>
              <w:t>Layer</w:t>
            </w:r>
          </w:p>
        </w:tc>
        <w:tc>
          <w:tcPr>
            <w:tcW w:type="dxa" w:w="8442"/>
            <w:shd w:val="clear" w:color="auto" w:fill="EAF0EE"/>
          </w:tcPr>
          <w:p>
            <w:pPr>
              <w:spacing w:after="20"/>
            </w:pPr>
            <w:r>
              <w:rPr>
                <w:b/>
                <w:color w:val="1C3A36"/>
                <w:sz w:val="14"/>
              </w:rPr>
              <w:t>Source — the document and its note</w:t>
            </w:r>
          </w:p>
        </w:tc>
        <w:tc>
          <w:tcPr>
            <w:tcW w:type="dxa" w:w="1066"/>
            <w:shd w:val="clear" w:color="auto" w:fill="EAF0EE"/>
          </w:tcPr>
          <w:p>
            <w:pPr>
              <w:spacing w:after="20"/>
            </w:pPr>
            <w:r>
              <w:rPr>
                <w:b/>
                <w:color w:val="1C3A36"/>
                <w:sz w:val="14"/>
              </w:rPr>
              <w:t>Source date</w:t>
            </w:r>
          </w:p>
        </w:tc>
      </w:tr>
      <w:tr>
        <w:tc>
          <w:tcPr>
            <w:tcW w:type="dxa" w:w="505"/>
          </w:tcPr>
          <w:p>
            <w:pPr>
              <w:spacing w:after="20"/>
            </w:pPr>
            <w:r>
              <w:rPr>
                <w:color w:val="1C3A36"/>
                <w:sz w:val="14"/>
              </w:rPr>
              <w:t>1</w:t>
            </w:r>
          </w:p>
        </w:tc>
        <w:tc>
          <w:tcPr>
            <w:tcW w:type="dxa" w:w="1236"/>
          </w:tcPr>
          <w:p>
            <w:pPr>
              <w:spacing w:after="20"/>
            </w:pPr>
            <w:r>
              <w:rPr>
                <w:color w:val="1C3A36"/>
                <w:sz w:val="14"/>
              </w:rPr>
              <w:t>spot</w:t>
            </w:r>
          </w:p>
        </w:tc>
        <w:tc>
          <w:tcPr>
            <w:tcW w:type="dxa" w:w="1162"/>
          </w:tcPr>
          <w:p>
            <w:pPr>
              <w:spacing w:after="20"/>
            </w:pPr>
            <w:r>
              <w:rPr>
                <w:color w:val="1C3A36"/>
                <w:sz w:val="14"/>
              </w:rPr>
              <w:t>43.86</w:t>
            </w:r>
          </w:p>
        </w:tc>
        <w:tc>
          <w:tcPr>
            <w:tcW w:type="dxa" w:w="1701"/>
          </w:tcPr>
          <w:p>
            <w:pPr>
              <w:spacing w:after="20"/>
            </w:pPr>
            <w:r>
              <w:rPr>
                <w:color w:val="1C3A36"/>
                <w:sz w:val="14"/>
              </w:rPr>
              <w:t>Market</w:t>
            </w:r>
          </w:p>
        </w:tc>
        <w:tc>
          <w:tcPr>
            <w:tcW w:type="dxa" w:w="8442"/>
          </w:tcPr>
          <w:p>
            <w:pPr>
              <w:spacing w:after="20"/>
            </w:pPr>
            <w:r>
              <w:rPr>
                <w:color w:val="1C3A36"/>
                <w:sz w:val="14"/>
              </w:rPr>
              <w:t>Tadawul closing price for STC, supplied for this study and committed under the house price register</w:t>
            </w:r>
          </w:p>
        </w:tc>
        <w:tc>
          <w:tcPr>
            <w:tcW w:type="dxa" w:w="1066"/>
          </w:tcPr>
          <w:p>
            <w:pPr>
              <w:spacing w:after="20"/>
            </w:pPr>
            <w:r>
              <w:rPr>
                <w:color w:val="1C3A36"/>
                <w:sz w:val="14"/>
              </w:rPr>
              <w:t>2026-09-03</w:t>
            </w:r>
          </w:p>
        </w:tc>
      </w:tr>
      <w:tr>
        <w:tc>
          <w:tcPr>
            <w:tcW w:type="dxa" w:w="505"/>
          </w:tcPr>
          <w:p>
            <w:pPr>
              <w:spacing w:after="20"/>
            </w:pPr>
            <w:r>
              <w:rPr>
                <w:color w:val="1C3A36"/>
                <w:sz w:val="14"/>
              </w:rPr>
              <w:t>2</w:t>
            </w:r>
          </w:p>
        </w:tc>
        <w:tc>
          <w:tcPr>
            <w:tcW w:type="dxa" w:w="1236"/>
          </w:tcPr>
          <w:p>
            <w:pPr>
              <w:spacing w:after="20"/>
            </w:pPr>
            <w:r>
              <w:rPr>
                <w:color w:val="1C3A36"/>
                <w:sz w:val="14"/>
              </w:rPr>
              <w:t>assets additions noncash fy2025</w:t>
            </w:r>
          </w:p>
        </w:tc>
        <w:tc>
          <w:tcPr>
            <w:tcW w:type="dxa" w:w="1162"/>
          </w:tcPr>
          <w:p>
            <w:pPr>
              <w:spacing w:after="20"/>
            </w:pPr>
            <w:r>
              <w:rPr>
                <w:color w:val="1C3A36"/>
                <w:sz w:val="14"/>
              </w:rPr>
              <w:t>2,122,000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12(2), additions include non-cash additions</w:t>
            </w:r>
          </w:p>
        </w:tc>
        <w:tc>
          <w:tcPr>
            <w:tcW w:type="dxa" w:w="1066"/>
          </w:tcPr>
          <w:p>
            <w:pPr>
              <w:spacing w:after="20"/>
            </w:pPr>
            <w:r>
              <w:rPr>
                <w:color w:val="1C3A36"/>
                <w:sz w:val="14"/>
              </w:rPr>
              <w:t>2025-12-31</w:t>
            </w:r>
          </w:p>
        </w:tc>
      </w:tr>
      <w:tr>
        <w:tc>
          <w:tcPr>
            <w:tcW w:type="dxa" w:w="505"/>
          </w:tcPr>
          <w:p>
            <w:pPr>
              <w:spacing w:after="20"/>
            </w:pPr>
            <w:r>
              <w:rPr>
                <w:color w:val="1C3A36"/>
                <w:sz w:val="14"/>
              </w:rPr>
              <w:t>3</w:t>
            </w:r>
          </w:p>
        </w:tc>
        <w:tc>
          <w:tcPr>
            <w:tcW w:type="dxa" w:w="1236"/>
          </w:tcPr>
          <w:p>
            <w:pPr>
              <w:spacing w:after="20"/>
            </w:pPr>
            <w:r>
              <w:rPr>
                <w:color w:val="1C3A36"/>
                <w:sz w:val="14"/>
              </w:rPr>
              <w:t>assets additions total fy2025</w:t>
            </w:r>
          </w:p>
        </w:tc>
        <w:tc>
          <w:tcPr>
            <w:tcW w:type="dxa" w:w="1162"/>
          </w:tcPr>
          <w:p>
            <w:pPr>
              <w:spacing w:after="20"/>
            </w:pPr>
            <w:r>
              <w:rPr>
                <w:color w:val="1C3A36"/>
                <w:sz w:val="14"/>
              </w:rPr>
              <w:t>13,815,240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additions to property and equipment, intangible assets and goodwill by segment</w:t>
            </w:r>
          </w:p>
        </w:tc>
        <w:tc>
          <w:tcPr>
            <w:tcW w:type="dxa" w:w="1066"/>
          </w:tcPr>
          <w:p>
            <w:pPr>
              <w:spacing w:after="20"/>
            </w:pPr>
            <w:r>
              <w:rPr>
                <w:color w:val="1C3A36"/>
                <w:sz w:val="14"/>
              </w:rPr>
              <w:t>2025-12-31</w:t>
            </w:r>
          </w:p>
        </w:tc>
      </w:tr>
      <w:tr>
        <w:tc>
          <w:tcPr>
            <w:tcW w:type="dxa" w:w="505"/>
          </w:tcPr>
          <w:p>
            <w:pPr>
              <w:spacing w:after="20"/>
            </w:pPr>
            <w:r>
              <w:rPr>
                <w:color w:val="1C3A36"/>
                <w:sz w:val="14"/>
              </w:rPr>
              <w:t>4</w:t>
            </w:r>
          </w:p>
        </w:tc>
        <w:tc>
          <w:tcPr>
            <w:tcW w:type="dxa" w:w="1236"/>
          </w:tcPr>
          <w:p>
            <w:pPr>
              <w:spacing w:after="20"/>
            </w:pPr>
            <w:r>
              <w:rPr>
                <w:color w:val="1C3A36"/>
                <w:sz w:val="14"/>
              </w:rPr>
              <w:t>assets depreciable gross fy2025</w:t>
            </w:r>
          </w:p>
        </w:tc>
        <w:tc>
          <w:tcPr>
            <w:tcW w:type="dxa" w:w="1162"/>
          </w:tcPr>
          <w:p>
            <w:pPr>
              <w:spacing w:after="20"/>
            </w:pPr>
            <w:r>
              <w:rPr>
                <w:color w:val="1C3A36"/>
                <w:sz w:val="14"/>
              </w:rPr>
              <w:t>134,634,729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10, property and equipment, depreciable gross cost</w:t>
            </w:r>
          </w:p>
        </w:tc>
        <w:tc>
          <w:tcPr>
            <w:tcW w:type="dxa" w:w="1066"/>
          </w:tcPr>
          <w:p>
            <w:pPr>
              <w:spacing w:after="20"/>
            </w:pPr>
            <w:r>
              <w:rPr>
                <w:color w:val="1C3A36"/>
                <w:sz w:val="14"/>
              </w:rPr>
              <w:t>2025-12-31</w:t>
            </w:r>
          </w:p>
        </w:tc>
      </w:tr>
      <w:tr>
        <w:tc>
          <w:tcPr>
            <w:tcW w:type="dxa" w:w="505"/>
          </w:tcPr>
          <w:p>
            <w:pPr>
              <w:spacing w:after="20"/>
            </w:pPr>
            <w:r>
              <w:rPr>
                <w:color w:val="1C3A36"/>
                <w:sz w:val="14"/>
              </w:rPr>
              <w:t>5</w:t>
            </w:r>
          </w:p>
        </w:tc>
        <w:tc>
          <w:tcPr>
            <w:tcW w:type="dxa" w:w="1236"/>
          </w:tcPr>
          <w:p>
            <w:pPr>
              <w:spacing w:after="20"/>
            </w:pPr>
            <w:r>
              <w:rPr>
                <w:color w:val="1C3A36"/>
                <w:sz w:val="14"/>
              </w:rPr>
              <w:t>cash non bank jun2026</w:t>
            </w:r>
          </w:p>
        </w:tc>
        <w:tc>
          <w:tcPr>
            <w:tcW w:type="dxa" w:w="1162"/>
          </w:tcPr>
          <w:p>
            <w:pPr>
              <w:spacing w:after="20"/>
            </w:pPr>
            <w:r>
              <w:rPr>
                <w:color w:val="1C3A36"/>
                <w:sz w:val="14"/>
              </w:rPr>
              <w:t>12,940,389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cash and cash equivalents, excluding the digital-banking subsidiary</w:t>
            </w:r>
          </w:p>
        </w:tc>
        <w:tc>
          <w:tcPr>
            <w:tcW w:type="dxa" w:w="1066"/>
          </w:tcPr>
          <w:p>
            <w:pPr>
              <w:spacing w:after="20"/>
            </w:pPr>
            <w:r>
              <w:rPr>
                <w:color w:val="1C3A36"/>
                <w:sz w:val="14"/>
              </w:rPr>
              <w:t>2026-06-30</w:t>
            </w:r>
          </w:p>
        </w:tc>
      </w:tr>
      <w:tr>
        <w:tc>
          <w:tcPr>
            <w:tcW w:type="dxa" w:w="505"/>
          </w:tcPr>
          <w:p>
            <w:pPr>
              <w:spacing w:after="20"/>
            </w:pPr>
            <w:r>
              <w:rPr>
                <w:color w:val="1C3A36"/>
                <w:sz w:val="14"/>
              </w:rPr>
              <w:t>6</w:t>
            </w:r>
          </w:p>
        </w:tc>
        <w:tc>
          <w:tcPr>
            <w:tcW w:type="dxa" w:w="1236"/>
          </w:tcPr>
          <w:p>
            <w:pPr>
              <w:spacing w:after="20"/>
            </w:pPr>
            <w:r>
              <w:rPr>
                <w:color w:val="1C3A36"/>
                <w:sz w:val="14"/>
              </w:rPr>
              <w:t>cogs amortisation and impairment of contract cost fy2023</w:t>
            </w:r>
          </w:p>
        </w:tc>
        <w:tc>
          <w:tcPr>
            <w:tcW w:type="dxa" w:w="1162"/>
          </w:tcPr>
          <w:p>
            <w:pPr>
              <w:spacing w:after="20"/>
            </w:pPr>
            <w:r>
              <w:rPr>
                <w:color w:val="1C3A36"/>
                <w:sz w:val="14"/>
              </w:rPr>
              <w:t>150,725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amortisation and impairment of contract costs</w:t>
            </w:r>
          </w:p>
        </w:tc>
        <w:tc>
          <w:tcPr>
            <w:tcW w:type="dxa" w:w="1066"/>
          </w:tcPr>
          <w:p>
            <w:pPr>
              <w:spacing w:after="20"/>
            </w:pPr>
            <w:r>
              <w:rPr>
                <w:color w:val="1C3A36"/>
                <w:sz w:val="14"/>
              </w:rPr>
              <w:t>2024-12-31</w:t>
            </w:r>
          </w:p>
        </w:tc>
      </w:tr>
      <w:tr>
        <w:tc>
          <w:tcPr>
            <w:tcW w:type="dxa" w:w="505"/>
          </w:tcPr>
          <w:p>
            <w:pPr>
              <w:spacing w:after="20"/>
            </w:pPr>
            <w:r>
              <w:rPr>
                <w:color w:val="1C3A36"/>
                <w:sz w:val="14"/>
              </w:rPr>
              <w:t>7</w:t>
            </w:r>
          </w:p>
        </w:tc>
        <w:tc>
          <w:tcPr>
            <w:tcW w:type="dxa" w:w="1236"/>
          </w:tcPr>
          <w:p>
            <w:pPr>
              <w:spacing w:after="20"/>
            </w:pPr>
            <w:r>
              <w:rPr>
                <w:color w:val="1C3A36"/>
                <w:sz w:val="14"/>
              </w:rPr>
              <w:t>cogs amortisation and impairment of contract cost fy2024</w:t>
            </w:r>
          </w:p>
        </w:tc>
        <w:tc>
          <w:tcPr>
            <w:tcW w:type="dxa" w:w="1162"/>
          </w:tcPr>
          <w:p>
            <w:pPr>
              <w:spacing w:after="20"/>
            </w:pPr>
            <w:r>
              <w:rPr>
                <w:color w:val="1C3A36"/>
                <w:sz w:val="14"/>
              </w:rPr>
              <w:t>190,054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amortisation and impairment of contract costs</w:t>
            </w:r>
          </w:p>
        </w:tc>
        <w:tc>
          <w:tcPr>
            <w:tcW w:type="dxa" w:w="1066"/>
          </w:tcPr>
          <w:p>
            <w:pPr>
              <w:spacing w:after="20"/>
            </w:pPr>
            <w:r>
              <w:rPr>
                <w:color w:val="1C3A36"/>
                <w:sz w:val="14"/>
              </w:rPr>
              <w:t>2025-12-31</w:t>
            </w:r>
          </w:p>
        </w:tc>
      </w:tr>
      <w:tr>
        <w:tc>
          <w:tcPr>
            <w:tcW w:type="dxa" w:w="505"/>
          </w:tcPr>
          <w:p>
            <w:pPr>
              <w:spacing w:after="20"/>
            </w:pPr>
            <w:r>
              <w:rPr>
                <w:color w:val="1C3A36"/>
                <w:sz w:val="14"/>
              </w:rPr>
              <w:t>8</w:t>
            </w:r>
          </w:p>
        </w:tc>
        <w:tc>
          <w:tcPr>
            <w:tcW w:type="dxa" w:w="1236"/>
          </w:tcPr>
          <w:p>
            <w:pPr>
              <w:spacing w:after="20"/>
            </w:pPr>
            <w:r>
              <w:rPr>
                <w:color w:val="1C3A36"/>
                <w:sz w:val="14"/>
              </w:rPr>
              <w:t>cogs amortisation and impairment of contract cost fy2025</w:t>
            </w:r>
          </w:p>
        </w:tc>
        <w:tc>
          <w:tcPr>
            <w:tcW w:type="dxa" w:w="1162"/>
          </w:tcPr>
          <w:p>
            <w:pPr>
              <w:spacing w:after="20"/>
            </w:pPr>
            <w:r>
              <w:rPr>
                <w:color w:val="1C3A36"/>
                <w:sz w:val="14"/>
              </w:rPr>
              <w:t>189,743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amortisation and impairment of contract costs</w:t>
            </w:r>
          </w:p>
        </w:tc>
        <w:tc>
          <w:tcPr>
            <w:tcW w:type="dxa" w:w="1066"/>
          </w:tcPr>
          <w:p>
            <w:pPr>
              <w:spacing w:after="20"/>
            </w:pPr>
            <w:r>
              <w:rPr>
                <w:color w:val="1C3A36"/>
                <w:sz w:val="14"/>
              </w:rPr>
              <w:t>2025-12-31</w:t>
            </w:r>
          </w:p>
        </w:tc>
      </w:tr>
      <w:tr>
        <w:tc>
          <w:tcPr>
            <w:tcW w:type="dxa" w:w="505"/>
          </w:tcPr>
          <w:p>
            <w:pPr>
              <w:spacing w:after="20"/>
            </w:pPr>
            <w:r>
              <w:rPr>
                <w:color w:val="1C3A36"/>
                <w:sz w:val="14"/>
              </w:rPr>
              <w:t>9</w:t>
            </w:r>
          </w:p>
        </w:tc>
        <w:tc>
          <w:tcPr>
            <w:tcW w:type="dxa" w:w="1236"/>
          </w:tcPr>
          <w:p>
            <w:pPr>
              <w:spacing w:after="20"/>
            </w:pPr>
            <w:r>
              <w:rPr>
                <w:color w:val="1C3A36"/>
                <w:sz w:val="14"/>
              </w:rPr>
              <w:t>cogs cost of devices equipment and software fy2023</w:t>
            </w:r>
          </w:p>
        </w:tc>
        <w:tc>
          <w:tcPr>
            <w:tcW w:type="dxa" w:w="1162"/>
          </w:tcPr>
          <w:p>
            <w:pPr>
              <w:spacing w:after="20"/>
            </w:pPr>
            <w:r>
              <w:rPr>
                <w:color w:val="1C3A36"/>
                <w:sz w:val="14"/>
              </w:rPr>
              <w:t>13,360,079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cost of devices, equipment and software</w:t>
            </w:r>
          </w:p>
        </w:tc>
        <w:tc>
          <w:tcPr>
            <w:tcW w:type="dxa" w:w="1066"/>
          </w:tcPr>
          <w:p>
            <w:pPr>
              <w:spacing w:after="20"/>
            </w:pPr>
            <w:r>
              <w:rPr>
                <w:color w:val="1C3A36"/>
                <w:sz w:val="14"/>
              </w:rPr>
              <w:t>2024-12-31</w:t>
            </w:r>
          </w:p>
        </w:tc>
      </w:tr>
      <w:tr>
        <w:tc>
          <w:tcPr>
            <w:tcW w:type="dxa" w:w="505"/>
          </w:tcPr>
          <w:p>
            <w:pPr>
              <w:spacing w:after="20"/>
            </w:pPr>
            <w:r>
              <w:rPr>
                <w:color w:val="1C3A36"/>
                <w:sz w:val="14"/>
              </w:rPr>
              <w:t>10</w:t>
            </w:r>
          </w:p>
        </w:tc>
        <w:tc>
          <w:tcPr>
            <w:tcW w:type="dxa" w:w="1236"/>
          </w:tcPr>
          <w:p>
            <w:pPr>
              <w:spacing w:after="20"/>
            </w:pPr>
            <w:r>
              <w:rPr>
                <w:color w:val="1C3A36"/>
                <w:sz w:val="14"/>
              </w:rPr>
              <w:t>cogs cost of devices equipment and software fy2024</w:t>
            </w:r>
          </w:p>
        </w:tc>
        <w:tc>
          <w:tcPr>
            <w:tcW w:type="dxa" w:w="1162"/>
          </w:tcPr>
          <w:p>
            <w:pPr>
              <w:spacing w:after="20"/>
            </w:pPr>
            <w:r>
              <w:rPr>
                <w:color w:val="1C3A36"/>
                <w:sz w:val="14"/>
              </w:rPr>
              <w:t>14,644,906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cost of devices, equipment and software</w:t>
            </w:r>
          </w:p>
        </w:tc>
        <w:tc>
          <w:tcPr>
            <w:tcW w:type="dxa" w:w="1066"/>
          </w:tcPr>
          <w:p>
            <w:pPr>
              <w:spacing w:after="20"/>
            </w:pPr>
            <w:r>
              <w:rPr>
                <w:color w:val="1C3A36"/>
                <w:sz w:val="14"/>
              </w:rPr>
              <w:t>2025-12-31</w:t>
            </w:r>
          </w:p>
        </w:tc>
      </w:tr>
      <w:tr>
        <w:tc>
          <w:tcPr>
            <w:tcW w:type="dxa" w:w="505"/>
          </w:tcPr>
          <w:p>
            <w:pPr>
              <w:spacing w:after="20"/>
            </w:pPr>
            <w:r>
              <w:rPr>
                <w:color w:val="1C3A36"/>
                <w:sz w:val="14"/>
              </w:rPr>
              <w:t>11</w:t>
            </w:r>
          </w:p>
        </w:tc>
        <w:tc>
          <w:tcPr>
            <w:tcW w:type="dxa" w:w="1236"/>
          </w:tcPr>
          <w:p>
            <w:pPr>
              <w:spacing w:after="20"/>
            </w:pPr>
            <w:r>
              <w:rPr>
                <w:color w:val="1C3A36"/>
                <w:sz w:val="14"/>
              </w:rPr>
              <w:t>cogs cost of devices equipment and software fy2025</w:t>
            </w:r>
          </w:p>
        </w:tc>
        <w:tc>
          <w:tcPr>
            <w:tcW w:type="dxa" w:w="1162"/>
          </w:tcPr>
          <w:p>
            <w:pPr>
              <w:spacing w:after="20"/>
            </w:pPr>
            <w:r>
              <w:rPr>
                <w:color w:val="1C3A36"/>
                <w:sz w:val="14"/>
              </w:rPr>
              <w:t>14,195,531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cost of devices, equipment and software</w:t>
            </w:r>
          </w:p>
        </w:tc>
        <w:tc>
          <w:tcPr>
            <w:tcW w:type="dxa" w:w="1066"/>
          </w:tcPr>
          <w:p>
            <w:pPr>
              <w:spacing w:after="20"/>
            </w:pPr>
            <w:r>
              <w:rPr>
                <w:color w:val="1C3A36"/>
                <w:sz w:val="14"/>
              </w:rPr>
              <w:t>2025-12-31</w:t>
            </w:r>
          </w:p>
        </w:tc>
      </w:tr>
      <w:tr>
        <w:tc>
          <w:tcPr>
            <w:tcW w:type="dxa" w:w="505"/>
          </w:tcPr>
          <w:p>
            <w:pPr>
              <w:spacing w:after="20"/>
            </w:pPr>
            <w:r>
              <w:rPr>
                <w:color w:val="1C3A36"/>
                <w:sz w:val="14"/>
              </w:rPr>
              <w:t>12</w:t>
            </w:r>
          </w:p>
        </w:tc>
        <w:tc>
          <w:tcPr>
            <w:tcW w:type="dxa" w:w="1236"/>
          </w:tcPr>
          <w:p>
            <w:pPr>
              <w:spacing w:after="20"/>
            </w:pPr>
            <w:r>
              <w:rPr>
                <w:color w:val="1C3A36"/>
                <w:sz w:val="14"/>
              </w:rPr>
              <w:t>cogs employees costs fy2023</w:t>
            </w:r>
          </w:p>
        </w:tc>
        <w:tc>
          <w:tcPr>
            <w:tcW w:type="dxa" w:w="1162"/>
          </w:tcPr>
          <w:p>
            <w:pPr>
              <w:spacing w:after="20"/>
            </w:pPr>
            <w:r>
              <w:rPr>
                <w:color w:val="1C3A36"/>
                <w:sz w:val="14"/>
              </w:rPr>
              <w:t>5,051,339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employees costs</w:t>
            </w:r>
          </w:p>
        </w:tc>
        <w:tc>
          <w:tcPr>
            <w:tcW w:type="dxa" w:w="1066"/>
          </w:tcPr>
          <w:p>
            <w:pPr>
              <w:spacing w:after="20"/>
            </w:pPr>
            <w:r>
              <w:rPr>
                <w:color w:val="1C3A36"/>
                <w:sz w:val="14"/>
              </w:rPr>
              <w:t>2024-12-31</w:t>
            </w:r>
          </w:p>
        </w:tc>
      </w:tr>
      <w:tr>
        <w:tc>
          <w:tcPr>
            <w:tcW w:type="dxa" w:w="505"/>
          </w:tcPr>
          <w:p>
            <w:pPr>
              <w:spacing w:after="20"/>
            </w:pPr>
            <w:r>
              <w:rPr>
                <w:color w:val="1C3A36"/>
                <w:sz w:val="14"/>
              </w:rPr>
              <w:t>13</w:t>
            </w:r>
          </w:p>
        </w:tc>
        <w:tc>
          <w:tcPr>
            <w:tcW w:type="dxa" w:w="1236"/>
          </w:tcPr>
          <w:p>
            <w:pPr>
              <w:spacing w:after="20"/>
            </w:pPr>
            <w:r>
              <w:rPr>
                <w:color w:val="1C3A36"/>
                <w:sz w:val="14"/>
              </w:rPr>
              <w:t>cogs employees costs fy2024</w:t>
            </w:r>
          </w:p>
        </w:tc>
        <w:tc>
          <w:tcPr>
            <w:tcW w:type="dxa" w:w="1162"/>
          </w:tcPr>
          <w:p>
            <w:pPr>
              <w:spacing w:after="20"/>
            </w:pPr>
            <w:r>
              <w:rPr>
                <w:color w:val="1C3A36"/>
                <w:sz w:val="14"/>
              </w:rPr>
              <w:t>5,534,674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employees costs</w:t>
            </w:r>
          </w:p>
        </w:tc>
        <w:tc>
          <w:tcPr>
            <w:tcW w:type="dxa" w:w="1066"/>
          </w:tcPr>
          <w:p>
            <w:pPr>
              <w:spacing w:after="20"/>
            </w:pPr>
            <w:r>
              <w:rPr>
                <w:color w:val="1C3A36"/>
                <w:sz w:val="14"/>
              </w:rPr>
              <w:t>2025-12-31</w:t>
            </w:r>
          </w:p>
        </w:tc>
      </w:tr>
      <w:tr>
        <w:tc>
          <w:tcPr>
            <w:tcW w:type="dxa" w:w="505"/>
          </w:tcPr>
          <w:p>
            <w:pPr>
              <w:spacing w:after="20"/>
            </w:pPr>
            <w:r>
              <w:rPr>
                <w:color w:val="1C3A36"/>
                <w:sz w:val="14"/>
              </w:rPr>
              <w:t>14</w:t>
            </w:r>
          </w:p>
        </w:tc>
        <w:tc>
          <w:tcPr>
            <w:tcW w:type="dxa" w:w="1236"/>
          </w:tcPr>
          <w:p>
            <w:pPr>
              <w:spacing w:after="20"/>
            </w:pPr>
            <w:r>
              <w:rPr>
                <w:color w:val="1C3A36"/>
                <w:sz w:val="14"/>
              </w:rPr>
              <w:t>cogs employees costs fy2025</w:t>
            </w:r>
          </w:p>
        </w:tc>
        <w:tc>
          <w:tcPr>
            <w:tcW w:type="dxa" w:w="1162"/>
          </w:tcPr>
          <w:p>
            <w:pPr>
              <w:spacing w:after="20"/>
            </w:pPr>
            <w:r>
              <w:rPr>
                <w:color w:val="1C3A36"/>
                <w:sz w:val="14"/>
              </w:rPr>
              <w:t>5,543,832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employees costs</w:t>
            </w:r>
          </w:p>
        </w:tc>
        <w:tc>
          <w:tcPr>
            <w:tcW w:type="dxa" w:w="1066"/>
          </w:tcPr>
          <w:p>
            <w:pPr>
              <w:spacing w:after="20"/>
            </w:pPr>
            <w:r>
              <w:rPr>
                <w:color w:val="1C3A36"/>
                <w:sz w:val="14"/>
              </w:rPr>
              <w:t>2025-12-31</w:t>
            </w:r>
          </w:p>
        </w:tc>
      </w:tr>
      <w:tr>
        <w:tc>
          <w:tcPr>
            <w:tcW w:type="dxa" w:w="505"/>
          </w:tcPr>
          <w:p>
            <w:pPr>
              <w:spacing w:after="20"/>
            </w:pPr>
            <w:r>
              <w:rPr>
                <w:color w:val="1C3A36"/>
                <w:sz w:val="14"/>
              </w:rPr>
              <w:t>15</w:t>
            </w:r>
          </w:p>
        </w:tc>
        <w:tc>
          <w:tcPr>
            <w:tcW w:type="dxa" w:w="1236"/>
          </w:tcPr>
          <w:p>
            <w:pPr>
              <w:spacing w:after="20"/>
            </w:pPr>
            <w:r>
              <w:rPr>
                <w:color w:val="1C3A36"/>
                <w:sz w:val="14"/>
              </w:rPr>
              <w:t>cogs fy2023</w:t>
            </w:r>
          </w:p>
        </w:tc>
        <w:tc>
          <w:tcPr>
            <w:tcW w:type="dxa" w:w="1162"/>
          </w:tcPr>
          <w:p>
            <w:pPr>
              <w:spacing w:after="20"/>
            </w:pPr>
            <w:r>
              <w:rPr>
                <w:color w:val="1C3A36"/>
                <w:sz w:val="14"/>
              </w:rPr>
              <w:t>37,037,095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cost of revenues</w:t>
            </w:r>
          </w:p>
        </w:tc>
        <w:tc>
          <w:tcPr>
            <w:tcW w:type="dxa" w:w="1066"/>
          </w:tcPr>
          <w:p>
            <w:pPr>
              <w:spacing w:after="20"/>
            </w:pPr>
            <w:r>
              <w:rPr>
                <w:color w:val="1C3A36"/>
                <w:sz w:val="14"/>
              </w:rPr>
              <w:t>2024-12-31</w:t>
            </w:r>
          </w:p>
        </w:tc>
      </w:tr>
      <w:tr>
        <w:tc>
          <w:tcPr>
            <w:tcW w:type="dxa" w:w="505"/>
          </w:tcPr>
          <w:p>
            <w:pPr>
              <w:spacing w:after="20"/>
            </w:pPr>
            <w:r>
              <w:rPr>
                <w:color w:val="1C3A36"/>
                <w:sz w:val="14"/>
              </w:rPr>
              <w:t>16</w:t>
            </w:r>
          </w:p>
        </w:tc>
        <w:tc>
          <w:tcPr>
            <w:tcW w:type="dxa" w:w="1236"/>
          </w:tcPr>
          <w:p>
            <w:pPr>
              <w:spacing w:after="20"/>
            </w:pPr>
            <w:r>
              <w:rPr>
                <w:color w:val="1C3A36"/>
                <w:sz w:val="14"/>
              </w:rPr>
              <w:t>cogs fy2024</w:t>
            </w:r>
          </w:p>
        </w:tc>
        <w:tc>
          <w:tcPr>
            <w:tcW w:type="dxa" w:w="1162"/>
          </w:tcPr>
          <w:p>
            <w:pPr>
              <w:spacing w:after="20"/>
            </w:pPr>
            <w:r>
              <w:rPr>
                <w:color w:val="1C3A36"/>
                <w:sz w:val="14"/>
              </w:rPr>
              <w:t>38,567,489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cost of revenues</w:t>
            </w:r>
          </w:p>
        </w:tc>
        <w:tc>
          <w:tcPr>
            <w:tcW w:type="dxa" w:w="1066"/>
          </w:tcPr>
          <w:p>
            <w:pPr>
              <w:spacing w:after="20"/>
            </w:pPr>
            <w:r>
              <w:rPr>
                <w:color w:val="1C3A36"/>
                <w:sz w:val="14"/>
              </w:rPr>
              <w:t>2025-12-31</w:t>
            </w:r>
          </w:p>
        </w:tc>
      </w:tr>
      <w:tr>
        <w:tc>
          <w:tcPr>
            <w:tcW w:type="dxa" w:w="505"/>
          </w:tcPr>
          <w:p>
            <w:pPr>
              <w:spacing w:after="20"/>
            </w:pPr>
            <w:r>
              <w:rPr>
                <w:color w:val="1C3A36"/>
                <w:sz w:val="14"/>
              </w:rPr>
              <w:t>17</w:t>
            </w:r>
          </w:p>
        </w:tc>
        <w:tc>
          <w:tcPr>
            <w:tcW w:type="dxa" w:w="1236"/>
          </w:tcPr>
          <w:p>
            <w:pPr>
              <w:spacing w:after="20"/>
            </w:pPr>
            <w:r>
              <w:rPr>
                <w:color w:val="1C3A36"/>
                <w:sz w:val="14"/>
              </w:rPr>
              <w:t>cogs fy2025</w:t>
            </w:r>
          </w:p>
        </w:tc>
        <w:tc>
          <w:tcPr>
            <w:tcW w:type="dxa" w:w="1162"/>
          </w:tcPr>
          <w:p>
            <w:pPr>
              <w:spacing w:after="20"/>
            </w:pPr>
            <w:r>
              <w:rPr>
                <w:color w:val="1C3A36"/>
                <w:sz w:val="14"/>
              </w:rPr>
              <w:t>40,118,986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cost of revenues</w:t>
            </w:r>
          </w:p>
        </w:tc>
        <w:tc>
          <w:tcPr>
            <w:tcW w:type="dxa" w:w="1066"/>
          </w:tcPr>
          <w:p>
            <w:pPr>
              <w:spacing w:after="20"/>
            </w:pPr>
            <w:r>
              <w:rPr>
                <w:color w:val="1C3A36"/>
                <w:sz w:val="14"/>
              </w:rPr>
              <w:t>2025-12-31</w:t>
            </w:r>
          </w:p>
        </w:tc>
      </w:tr>
      <w:tr>
        <w:tc>
          <w:tcPr>
            <w:tcW w:type="dxa" w:w="505"/>
          </w:tcPr>
          <w:p>
            <w:pPr>
              <w:spacing w:after="20"/>
            </w:pPr>
            <w:r>
              <w:rPr>
                <w:color w:val="1C3A36"/>
                <w:sz w:val="14"/>
              </w:rPr>
              <w:t>18</w:t>
            </w:r>
          </w:p>
        </w:tc>
        <w:tc>
          <w:tcPr>
            <w:tcW w:type="dxa" w:w="1236"/>
          </w:tcPr>
          <w:p>
            <w:pPr>
              <w:spacing w:after="20"/>
            </w:pPr>
            <w:r>
              <w:rPr>
                <w:color w:val="1C3A36"/>
                <w:sz w:val="14"/>
              </w:rPr>
              <w:t>cogs gov commercial service provisioning fees fy2023</w:t>
            </w:r>
          </w:p>
        </w:tc>
        <w:tc>
          <w:tcPr>
            <w:tcW w:type="dxa" w:w="1162"/>
          </w:tcPr>
          <w:p>
            <w:pPr>
              <w:spacing w:after="20"/>
            </w:pPr>
            <w:r>
              <w:rPr>
                <w:color w:val="1C3A36"/>
                <w:sz w:val="14"/>
              </w:rPr>
              <w:t>3,687,775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details of government charges, commercial service provisioning fees</w:t>
            </w:r>
          </w:p>
        </w:tc>
        <w:tc>
          <w:tcPr>
            <w:tcW w:type="dxa" w:w="1066"/>
          </w:tcPr>
          <w:p>
            <w:pPr>
              <w:spacing w:after="20"/>
            </w:pPr>
            <w:r>
              <w:rPr>
                <w:color w:val="1C3A36"/>
                <w:sz w:val="14"/>
              </w:rPr>
              <w:t>2024-12-31</w:t>
            </w:r>
          </w:p>
        </w:tc>
      </w:tr>
      <w:tr>
        <w:tc>
          <w:tcPr>
            <w:tcW w:type="dxa" w:w="505"/>
          </w:tcPr>
          <w:p>
            <w:pPr>
              <w:spacing w:after="20"/>
            </w:pPr>
            <w:r>
              <w:rPr>
                <w:color w:val="1C3A36"/>
                <w:sz w:val="14"/>
              </w:rPr>
              <w:t>19</w:t>
            </w:r>
          </w:p>
        </w:tc>
        <w:tc>
          <w:tcPr>
            <w:tcW w:type="dxa" w:w="1236"/>
          </w:tcPr>
          <w:p>
            <w:pPr>
              <w:spacing w:after="20"/>
            </w:pPr>
            <w:r>
              <w:rPr>
                <w:color w:val="1C3A36"/>
                <w:sz w:val="14"/>
              </w:rPr>
              <w:t>cogs gov commercial service provisioning fees fy2024</w:t>
            </w:r>
          </w:p>
        </w:tc>
        <w:tc>
          <w:tcPr>
            <w:tcW w:type="dxa" w:w="1162"/>
          </w:tcPr>
          <w:p>
            <w:pPr>
              <w:spacing w:after="20"/>
            </w:pPr>
            <w:r>
              <w:rPr>
                <w:color w:val="1C3A36"/>
                <w:sz w:val="14"/>
              </w:rPr>
              <w:t>4,702,782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commercial service provisioning fees</w:t>
            </w:r>
          </w:p>
        </w:tc>
        <w:tc>
          <w:tcPr>
            <w:tcW w:type="dxa" w:w="1066"/>
          </w:tcPr>
          <w:p>
            <w:pPr>
              <w:spacing w:after="20"/>
            </w:pPr>
            <w:r>
              <w:rPr>
                <w:color w:val="1C3A36"/>
                <w:sz w:val="14"/>
              </w:rPr>
              <w:t>2025-12-31</w:t>
            </w:r>
          </w:p>
        </w:tc>
      </w:tr>
      <w:tr>
        <w:tc>
          <w:tcPr>
            <w:tcW w:type="dxa" w:w="505"/>
          </w:tcPr>
          <w:p>
            <w:pPr>
              <w:spacing w:after="20"/>
            </w:pPr>
            <w:r>
              <w:rPr>
                <w:color w:val="1C3A36"/>
                <w:sz w:val="14"/>
              </w:rPr>
              <w:t>20</w:t>
            </w:r>
          </w:p>
        </w:tc>
        <w:tc>
          <w:tcPr>
            <w:tcW w:type="dxa" w:w="1236"/>
          </w:tcPr>
          <w:p>
            <w:pPr>
              <w:spacing w:after="20"/>
            </w:pPr>
            <w:r>
              <w:rPr>
                <w:color w:val="1C3A36"/>
                <w:sz w:val="14"/>
              </w:rPr>
              <w:t>cogs gov commercial service provisioning fees fy2025</w:t>
            </w:r>
          </w:p>
        </w:tc>
        <w:tc>
          <w:tcPr>
            <w:tcW w:type="dxa" w:w="1162"/>
          </w:tcPr>
          <w:p>
            <w:pPr>
              <w:spacing w:after="20"/>
            </w:pPr>
            <w:r>
              <w:rPr>
                <w:color w:val="1C3A36"/>
                <w:sz w:val="14"/>
              </w:rPr>
              <w:t>4,608,632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commercial service provisioning fees</w:t>
            </w:r>
          </w:p>
        </w:tc>
        <w:tc>
          <w:tcPr>
            <w:tcW w:type="dxa" w:w="1066"/>
          </w:tcPr>
          <w:p>
            <w:pPr>
              <w:spacing w:after="20"/>
            </w:pPr>
            <w:r>
              <w:rPr>
                <w:color w:val="1C3A36"/>
                <w:sz w:val="14"/>
              </w:rPr>
              <w:t>2025-12-31</w:t>
            </w:r>
          </w:p>
        </w:tc>
      </w:tr>
      <w:tr>
        <w:tc>
          <w:tcPr>
            <w:tcW w:type="dxa" w:w="505"/>
          </w:tcPr>
          <w:p>
            <w:pPr>
              <w:spacing w:after="20"/>
            </w:pPr>
            <w:r>
              <w:rPr>
                <w:color w:val="1C3A36"/>
                <w:sz w:val="14"/>
              </w:rPr>
              <w:t>21</w:t>
            </w:r>
          </w:p>
        </w:tc>
        <w:tc>
          <w:tcPr>
            <w:tcW w:type="dxa" w:w="1236"/>
          </w:tcPr>
          <w:p>
            <w:pPr>
              <w:spacing w:after="20"/>
            </w:pPr>
            <w:r>
              <w:rPr>
                <w:color w:val="1C3A36"/>
                <w:sz w:val="14"/>
              </w:rPr>
              <w:t>cogs gov frequency spectrum fees fy2023</w:t>
            </w:r>
          </w:p>
        </w:tc>
        <w:tc>
          <w:tcPr>
            <w:tcW w:type="dxa" w:w="1162"/>
          </w:tcPr>
          <w:p>
            <w:pPr>
              <w:spacing w:after="20"/>
            </w:pPr>
            <w:r>
              <w:rPr>
                <w:color w:val="1C3A36"/>
                <w:sz w:val="14"/>
              </w:rPr>
              <w:t>361,932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details of government charges, frequency spectrum fees</w:t>
            </w:r>
          </w:p>
        </w:tc>
        <w:tc>
          <w:tcPr>
            <w:tcW w:type="dxa" w:w="1066"/>
          </w:tcPr>
          <w:p>
            <w:pPr>
              <w:spacing w:after="20"/>
            </w:pPr>
            <w:r>
              <w:rPr>
                <w:color w:val="1C3A36"/>
                <w:sz w:val="14"/>
              </w:rPr>
              <w:t>2024-12-31</w:t>
            </w:r>
          </w:p>
        </w:tc>
      </w:tr>
      <w:tr>
        <w:tc>
          <w:tcPr>
            <w:tcW w:type="dxa" w:w="505"/>
          </w:tcPr>
          <w:p>
            <w:pPr>
              <w:spacing w:after="20"/>
            </w:pPr>
            <w:r>
              <w:rPr>
                <w:color w:val="1C3A36"/>
                <w:sz w:val="14"/>
              </w:rPr>
              <w:t>22</w:t>
            </w:r>
          </w:p>
        </w:tc>
        <w:tc>
          <w:tcPr>
            <w:tcW w:type="dxa" w:w="1236"/>
          </w:tcPr>
          <w:p>
            <w:pPr>
              <w:spacing w:after="20"/>
            </w:pPr>
            <w:r>
              <w:rPr>
                <w:color w:val="1C3A36"/>
                <w:sz w:val="14"/>
              </w:rPr>
              <w:t>cogs gov frequency spectrum fees fy2024</w:t>
            </w:r>
          </w:p>
        </w:tc>
        <w:tc>
          <w:tcPr>
            <w:tcW w:type="dxa" w:w="1162"/>
          </w:tcPr>
          <w:p>
            <w:pPr>
              <w:spacing w:after="20"/>
            </w:pPr>
            <w:r>
              <w:rPr>
                <w:color w:val="1C3A36"/>
                <w:sz w:val="14"/>
              </w:rPr>
              <w:t>137,427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frequency spectrum fees</w:t>
            </w:r>
          </w:p>
        </w:tc>
        <w:tc>
          <w:tcPr>
            <w:tcW w:type="dxa" w:w="1066"/>
          </w:tcPr>
          <w:p>
            <w:pPr>
              <w:spacing w:after="20"/>
            </w:pPr>
            <w:r>
              <w:rPr>
                <w:color w:val="1C3A36"/>
                <w:sz w:val="14"/>
              </w:rPr>
              <w:t>2025-12-31</w:t>
            </w:r>
          </w:p>
        </w:tc>
      </w:tr>
      <w:tr>
        <w:tc>
          <w:tcPr>
            <w:tcW w:type="dxa" w:w="505"/>
          </w:tcPr>
          <w:p>
            <w:pPr>
              <w:spacing w:after="20"/>
            </w:pPr>
            <w:r>
              <w:rPr>
                <w:color w:val="1C3A36"/>
                <w:sz w:val="14"/>
              </w:rPr>
              <w:t>23</w:t>
            </w:r>
          </w:p>
        </w:tc>
        <w:tc>
          <w:tcPr>
            <w:tcW w:type="dxa" w:w="1236"/>
          </w:tcPr>
          <w:p>
            <w:pPr>
              <w:spacing w:after="20"/>
            </w:pPr>
            <w:r>
              <w:rPr>
                <w:color w:val="1C3A36"/>
                <w:sz w:val="14"/>
              </w:rPr>
              <w:t>cogs gov frequency spectrum fees fy2025</w:t>
            </w:r>
          </w:p>
        </w:tc>
        <w:tc>
          <w:tcPr>
            <w:tcW w:type="dxa" w:w="1162"/>
          </w:tcPr>
          <w:p>
            <w:pPr>
              <w:spacing w:after="20"/>
            </w:pPr>
            <w:r>
              <w:rPr>
                <w:color w:val="1C3A36"/>
                <w:sz w:val="14"/>
              </w:rPr>
              <w:t>265,470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frequency spectrum fees</w:t>
            </w:r>
          </w:p>
        </w:tc>
        <w:tc>
          <w:tcPr>
            <w:tcW w:type="dxa" w:w="1066"/>
          </w:tcPr>
          <w:p>
            <w:pPr>
              <w:spacing w:after="20"/>
            </w:pPr>
            <w:r>
              <w:rPr>
                <w:color w:val="1C3A36"/>
                <w:sz w:val="14"/>
              </w:rPr>
              <w:t>2025-12-31</w:t>
            </w:r>
          </w:p>
        </w:tc>
      </w:tr>
      <w:tr>
        <w:tc>
          <w:tcPr>
            <w:tcW w:type="dxa" w:w="505"/>
          </w:tcPr>
          <w:p>
            <w:pPr>
              <w:spacing w:after="20"/>
            </w:pPr>
            <w:r>
              <w:rPr>
                <w:color w:val="1C3A36"/>
                <w:sz w:val="14"/>
              </w:rPr>
              <w:t>24</w:t>
            </w:r>
          </w:p>
        </w:tc>
        <w:tc>
          <w:tcPr>
            <w:tcW w:type="dxa" w:w="1236"/>
          </w:tcPr>
          <w:p>
            <w:pPr>
              <w:spacing w:after="20"/>
            </w:pPr>
            <w:r>
              <w:rPr>
                <w:color w:val="1C3A36"/>
                <w:sz w:val="14"/>
              </w:rPr>
              <w:t>cogs gov license fees fy2023</w:t>
            </w:r>
          </w:p>
        </w:tc>
        <w:tc>
          <w:tcPr>
            <w:tcW w:type="dxa" w:w="1162"/>
          </w:tcPr>
          <w:p>
            <w:pPr>
              <w:spacing w:after="20"/>
            </w:pPr>
            <w:r>
              <w:rPr>
                <w:color w:val="1C3A36"/>
                <w:sz w:val="14"/>
              </w:rPr>
              <w:t>444,266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details of government charges, license fees</w:t>
            </w:r>
          </w:p>
        </w:tc>
        <w:tc>
          <w:tcPr>
            <w:tcW w:type="dxa" w:w="1066"/>
          </w:tcPr>
          <w:p>
            <w:pPr>
              <w:spacing w:after="20"/>
            </w:pPr>
            <w:r>
              <w:rPr>
                <w:color w:val="1C3A36"/>
                <w:sz w:val="14"/>
              </w:rPr>
              <w:t>2024-12-31</w:t>
            </w:r>
          </w:p>
        </w:tc>
      </w:tr>
      <w:tr>
        <w:tc>
          <w:tcPr>
            <w:tcW w:type="dxa" w:w="505"/>
          </w:tcPr>
          <w:p>
            <w:pPr>
              <w:spacing w:after="20"/>
            </w:pPr>
            <w:r>
              <w:rPr>
                <w:color w:val="1C3A36"/>
                <w:sz w:val="14"/>
              </w:rPr>
              <w:t>25</w:t>
            </w:r>
          </w:p>
        </w:tc>
        <w:tc>
          <w:tcPr>
            <w:tcW w:type="dxa" w:w="1236"/>
          </w:tcPr>
          <w:p>
            <w:pPr>
              <w:spacing w:after="20"/>
            </w:pPr>
            <w:r>
              <w:rPr>
                <w:color w:val="1C3A36"/>
                <w:sz w:val="14"/>
              </w:rPr>
              <w:t>cogs gov license fees fy2024</w:t>
            </w:r>
          </w:p>
        </w:tc>
        <w:tc>
          <w:tcPr>
            <w:tcW w:type="dxa" w:w="1162"/>
          </w:tcPr>
          <w:p>
            <w:pPr>
              <w:spacing w:after="20"/>
            </w:pPr>
            <w:r>
              <w:rPr>
                <w:color w:val="1C3A36"/>
                <w:sz w:val="14"/>
              </w:rPr>
              <w:t>463,948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license fees</w:t>
            </w:r>
          </w:p>
        </w:tc>
        <w:tc>
          <w:tcPr>
            <w:tcW w:type="dxa" w:w="1066"/>
          </w:tcPr>
          <w:p>
            <w:pPr>
              <w:spacing w:after="20"/>
            </w:pPr>
            <w:r>
              <w:rPr>
                <w:color w:val="1C3A36"/>
                <w:sz w:val="14"/>
              </w:rPr>
              <w:t>2025-12-31</w:t>
            </w:r>
          </w:p>
        </w:tc>
      </w:tr>
      <w:tr>
        <w:tc>
          <w:tcPr>
            <w:tcW w:type="dxa" w:w="505"/>
          </w:tcPr>
          <w:p>
            <w:pPr>
              <w:spacing w:after="20"/>
            </w:pPr>
            <w:r>
              <w:rPr>
                <w:color w:val="1C3A36"/>
                <w:sz w:val="14"/>
              </w:rPr>
              <w:t>26</w:t>
            </w:r>
          </w:p>
        </w:tc>
        <w:tc>
          <w:tcPr>
            <w:tcW w:type="dxa" w:w="1236"/>
          </w:tcPr>
          <w:p>
            <w:pPr>
              <w:spacing w:after="20"/>
            </w:pPr>
            <w:r>
              <w:rPr>
                <w:color w:val="1C3A36"/>
                <w:sz w:val="14"/>
              </w:rPr>
              <w:t>cogs gov license fees fy2025</w:t>
            </w:r>
          </w:p>
        </w:tc>
        <w:tc>
          <w:tcPr>
            <w:tcW w:type="dxa" w:w="1162"/>
          </w:tcPr>
          <w:p>
            <w:pPr>
              <w:spacing w:after="20"/>
            </w:pPr>
            <w:r>
              <w:rPr>
                <w:color w:val="1C3A36"/>
                <w:sz w:val="14"/>
              </w:rPr>
              <w:t>468,768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license fees</w:t>
            </w:r>
          </w:p>
        </w:tc>
        <w:tc>
          <w:tcPr>
            <w:tcW w:type="dxa" w:w="1066"/>
          </w:tcPr>
          <w:p>
            <w:pPr>
              <w:spacing w:after="20"/>
            </w:pPr>
            <w:r>
              <w:rPr>
                <w:color w:val="1C3A36"/>
                <w:sz w:val="14"/>
              </w:rPr>
              <w:t>2025-12-31</w:t>
            </w:r>
          </w:p>
        </w:tc>
      </w:tr>
      <w:tr>
        <w:tc>
          <w:tcPr>
            <w:tcW w:type="dxa" w:w="505"/>
          </w:tcPr>
          <w:p>
            <w:pPr>
              <w:spacing w:after="20"/>
            </w:pPr>
            <w:r>
              <w:rPr>
                <w:color w:val="1C3A36"/>
                <w:sz w:val="14"/>
              </w:rPr>
              <w:t>27</w:t>
            </w:r>
          </w:p>
        </w:tc>
        <w:tc>
          <w:tcPr>
            <w:tcW w:type="dxa" w:w="1236"/>
          </w:tcPr>
          <w:p>
            <w:pPr>
              <w:spacing w:after="20"/>
            </w:pPr>
            <w:r>
              <w:rPr>
                <w:color w:val="1C3A36"/>
                <w:sz w:val="14"/>
              </w:rPr>
              <w:t>cogs gov others fy2023</w:t>
            </w:r>
          </w:p>
        </w:tc>
        <w:tc>
          <w:tcPr>
            <w:tcW w:type="dxa" w:w="1162"/>
          </w:tcPr>
          <w:p>
            <w:pPr>
              <w:spacing w:after="20"/>
            </w:pPr>
            <w:r>
              <w:rPr>
                <w:color w:val="1C3A36"/>
                <w:sz w:val="14"/>
              </w:rPr>
              <w:t>77,329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details of government charges, others</w:t>
            </w:r>
          </w:p>
        </w:tc>
        <w:tc>
          <w:tcPr>
            <w:tcW w:type="dxa" w:w="1066"/>
          </w:tcPr>
          <w:p>
            <w:pPr>
              <w:spacing w:after="20"/>
            </w:pPr>
            <w:r>
              <w:rPr>
                <w:color w:val="1C3A36"/>
                <w:sz w:val="14"/>
              </w:rPr>
              <w:t>2024-12-31</w:t>
            </w:r>
          </w:p>
        </w:tc>
      </w:tr>
      <w:tr>
        <w:tc>
          <w:tcPr>
            <w:tcW w:type="dxa" w:w="505"/>
          </w:tcPr>
          <w:p>
            <w:pPr>
              <w:spacing w:after="20"/>
            </w:pPr>
            <w:r>
              <w:rPr>
                <w:color w:val="1C3A36"/>
                <w:sz w:val="14"/>
              </w:rPr>
              <w:t>28</w:t>
            </w:r>
          </w:p>
        </w:tc>
        <w:tc>
          <w:tcPr>
            <w:tcW w:type="dxa" w:w="1236"/>
          </w:tcPr>
          <w:p>
            <w:pPr>
              <w:spacing w:after="20"/>
            </w:pPr>
            <w:r>
              <w:rPr>
                <w:color w:val="1C3A36"/>
                <w:sz w:val="14"/>
              </w:rPr>
              <w:t>cogs gov others fy2024</w:t>
            </w:r>
          </w:p>
        </w:tc>
        <w:tc>
          <w:tcPr>
            <w:tcW w:type="dxa" w:w="1162"/>
          </w:tcPr>
          <w:p>
            <w:pPr>
              <w:spacing w:after="20"/>
            </w:pPr>
            <w:r>
              <w:rPr>
                <w:color w:val="1C3A36"/>
                <w:sz w:val="14"/>
              </w:rPr>
              <w:t>74,046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others</w:t>
            </w:r>
          </w:p>
        </w:tc>
        <w:tc>
          <w:tcPr>
            <w:tcW w:type="dxa" w:w="1066"/>
          </w:tcPr>
          <w:p>
            <w:pPr>
              <w:spacing w:after="20"/>
            </w:pPr>
            <w:r>
              <w:rPr>
                <w:color w:val="1C3A36"/>
                <w:sz w:val="14"/>
              </w:rPr>
              <w:t>2025-12-31</w:t>
            </w:r>
          </w:p>
        </w:tc>
      </w:tr>
      <w:tr>
        <w:tc>
          <w:tcPr>
            <w:tcW w:type="dxa" w:w="505"/>
          </w:tcPr>
          <w:p>
            <w:pPr>
              <w:spacing w:after="20"/>
            </w:pPr>
            <w:r>
              <w:rPr>
                <w:color w:val="1C3A36"/>
                <w:sz w:val="14"/>
              </w:rPr>
              <w:t>29</w:t>
            </w:r>
          </w:p>
        </w:tc>
        <w:tc>
          <w:tcPr>
            <w:tcW w:type="dxa" w:w="1236"/>
          </w:tcPr>
          <w:p>
            <w:pPr>
              <w:spacing w:after="20"/>
            </w:pPr>
            <w:r>
              <w:rPr>
                <w:color w:val="1C3A36"/>
                <w:sz w:val="14"/>
              </w:rPr>
              <w:t>cogs gov others fy2025</w:t>
            </w:r>
          </w:p>
        </w:tc>
        <w:tc>
          <w:tcPr>
            <w:tcW w:type="dxa" w:w="1162"/>
          </w:tcPr>
          <w:p>
            <w:pPr>
              <w:spacing w:after="20"/>
            </w:pPr>
            <w:r>
              <w:rPr>
                <w:color w:val="1C3A36"/>
                <w:sz w:val="14"/>
              </w:rPr>
              <w:t>74,706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details of government charges, others</w:t>
            </w:r>
          </w:p>
        </w:tc>
        <w:tc>
          <w:tcPr>
            <w:tcW w:type="dxa" w:w="1066"/>
          </w:tcPr>
          <w:p>
            <w:pPr>
              <w:spacing w:after="20"/>
            </w:pPr>
            <w:r>
              <w:rPr>
                <w:color w:val="1C3A36"/>
                <w:sz w:val="14"/>
              </w:rPr>
              <w:t>2025-12-31</w:t>
            </w:r>
          </w:p>
        </w:tc>
      </w:tr>
      <w:tr>
        <w:tc>
          <w:tcPr>
            <w:tcW w:type="dxa" w:w="505"/>
          </w:tcPr>
          <w:p>
            <w:pPr>
              <w:spacing w:after="20"/>
            </w:pPr>
            <w:r>
              <w:rPr>
                <w:color w:val="1C3A36"/>
                <w:sz w:val="14"/>
              </w:rPr>
              <w:t>30</w:t>
            </w:r>
          </w:p>
        </w:tc>
        <w:tc>
          <w:tcPr>
            <w:tcW w:type="dxa" w:w="1236"/>
          </w:tcPr>
          <w:p>
            <w:pPr>
              <w:spacing w:after="20"/>
            </w:pPr>
            <w:r>
              <w:rPr>
                <w:color w:val="1C3A36"/>
                <w:sz w:val="14"/>
              </w:rPr>
              <w:t>cogs government charges fy2023</w:t>
            </w:r>
          </w:p>
        </w:tc>
        <w:tc>
          <w:tcPr>
            <w:tcW w:type="dxa" w:w="1162"/>
          </w:tcPr>
          <w:p>
            <w:pPr>
              <w:spacing w:after="20"/>
            </w:pPr>
            <w:r>
              <w:rPr>
                <w:color w:val="1C3A36"/>
                <w:sz w:val="14"/>
              </w:rPr>
              <w:t>4,571,302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government charges</w:t>
            </w:r>
          </w:p>
        </w:tc>
        <w:tc>
          <w:tcPr>
            <w:tcW w:type="dxa" w:w="1066"/>
          </w:tcPr>
          <w:p>
            <w:pPr>
              <w:spacing w:after="20"/>
            </w:pPr>
            <w:r>
              <w:rPr>
                <w:color w:val="1C3A36"/>
                <w:sz w:val="14"/>
              </w:rPr>
              <w:t>2024-12-31</w:t>
            </w:r>
          </w:p>
        </w:tc>
      </w:tr>
      <w:tr>
        <w:tc>
          <w:tcPr>
            <w:tcW w:type="dxa" w:w="505"/>
          </w:tcPr>
          <w:p>
            <w:pPr>
              <w:spacing w:after="20"/>
            </w:pPr>
            <w:r>
              <w:rPr>
                <w:color w:val="1C3A36"/>
                <w:sz w:val="14"/>
              </w:rPr>
              <w:t>31</w:t>
            </w:r>
          </w:p>
        </w:tc>
        <w:tc>
          <w:tcPr>
            <w:tcW w:type="dxa" w:w="1236"/>
          </w:tcPr>
          <w:p>
            <w:pPr>
              <w:spacing w:after="20"/>
            </w:pPr>
            <w:r>
              <w:rPr>
                <w:color w:val="1C3A36"/>
                <w:sz w:val="14"/>
              </w:rPr>
              <w:t>cogs government charges fy2024</w:t>
            </w:r>
          </w:p>
        </w:tc>
        <w:tc>
          <w:tcPr>
            <w:tcW w:type="dxa" w:w="1162"/>
          </w:tcPr>
          <w:p>
            <w:pPr>
              <w:spacing w:after="20"/>
            </w:pPr>
            <w:r>
              <w:rPr>
                <w:color w:val="1C3A36"/>
                <w:sz w:val="14"/>
              </w:rPr>
              <w:t>5,378,203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government charges</w:t>
            </w:r>
          </w:p>
        </w:tc>
        <w:tc>
          <w:tcPr>
            <w:tcW w:type="dxa" w:w="1066"/>
          </w:tcPr>
          <w:p>
            <w:pPr>
              <w:spacing w:after="20"/>
            </w:pPr>
            <w:r>
              <w:rPr>
                <w:color w:val="1C3A36"/>
                <w:sz w:val="14"/>
              </w:rPr>
              <w:t>2025-12-31</w:t>
            </w:r>
          </w:p>
        </w:tc>
      </w:tr>
      <w:tr>
        <w:tc>
          <w:tcPr>
            <w:tcW w:type="dxa" w:w="505"/>
          </w:tcPr>
          <w:p>
            <w:pPr>
              <w:spacing w:after="20"/>
            </w:pPr>
            <w:r>
              <w:rPr>
                <w:color w:val="1C3A36"/>
                <w:sz w:val="14"/>
              </w:rPr>
              <w:t>32</w:t>
            </w:r>
          </w:p>
        </w:tc>
        <w:tc>
          <w:tcPr>
            <w:tcW w:type="dxa" w:w="1236"/>
          </w:tcPr>
          <w:p>
            <w:pPr>
              <w:spacing w:after="20"/>
            </w:pPr>
            <w:r>
              <w:rPr>
                <w:color w:val="1C3A36"/>
                <w:sz w:val="14"/>
              </w:rPr>
              <w:t>cogs government charges fy2025</w:t>
            </w:r>
          </w:p>
        </w:tc>
        <w:tc>
          <w:tcPr>
            <w:tcW w:type="dxa" w:w="1162"/>
          </w:tcPr>
          <w:p>
            <w:pPr>
              <w:spacing w:after="20"/>
            </w:pPr>
            <w:r>
              <w:rPr>
                <w:color w:val="1C3A36"/>
                <w:sz w:val="14"/>
              </w:rPr>
              <w:t>5,417,576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government charges</w:t>
            </w:r>
          </w:p>
        </w:tc>
        <w:tc>
          <w:tcPr>
            <w:tcW w:type="dxa" w:w="1066"/>
          </w:tcPr>
          <w:p>
            <w:pPr>
              <w:spacing w:after="20"/>
            </w:pPr>
            <w:r>
              <w:rPr>
                <w:color w:val="1C3A36"/>
                <w:sz w:val="14"/>
              </w:rPr>
              <w:t>2025-12-31</w:t>
            </w:r>
          </w:p>
        </w:tc>
      </w:tr>
      <w:tr>
        <w:tc>
          <w:tcPr>
            <w:tcW w:type="dxa" w:w="505"/>
          </w:tcPr>
          <w:p>
            <w:pPr>
              <w:spacing w:after="20"/>
            </w:pPr>
            <w:r>
              <w:rPr>
                <w:color w:val="1C3A36"/>
                <w:sz w:val="14"/>
              </w:rPr>
              <w:t>33</w:t>
            </w:r>
          </w:p>
        </w:tc>
        <w:tc>
          <w:tcPr>
            <w:tcW w:type="dxa" w:w="1236"/>
          </w:tcPr>
          <w:p>
            <w:pPr>
              <w:spacing w:after="20"/>
            </w:pPr>
            <w:r>
              <w:rPr>
                <w:color w:val="1C3A36"/>
                <w:sz w:val="14"/>
              </w:rPr>
              <w:t>cogs network access charges fy2023</w:t>
            </w:r>
          </w:p>
        </w:tc>
        <w:tc>
          <w:tcPr>
            <w:tcW w:type="dxa" w:w="1162"/>
          </w:tcPr>
          <w:p>
            <w:pPr>
              <w:spacing w:after="20"/>
            </w:pPr>
            <w:r>
              <w:rPr>
                <w:color w:val="1C3A36"/>
                <w:sz w:val="14"/>
              </w:rPr>
              <w:t>9,149,535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network access charges</w:t>
            </w:r>
          </w:p>
        </w:tc>
        <w:tc>
          <w:tcPr>
            <w:tcW w:type="dxa" w:w="1066"/>
          </w:tcPr>
          <w:p>
            <w:pPr>
              <w:spacing w:after="20"/>
            </w:pPr>
            <w:r>
              <w:rPr>
                <w:color w:val="1C3A36"/>
                <w:sz w:val="14"/>
              </w:rPr>
              <w:t>2024-12-31</w:t>
            </w:r>
          </w:p>
        </w:tc>
      </w:tr>
      <w:tr>
        <w:tc>
          <w:tcPr>
            <w:tcW w:type="dxa" w:w="505"/>
          </w:tcPr>
          <w:p>
            <w:pPr>
              <w:spacing w:after="20"/>
            </w:pPr>
            <w:r>
              <w:rPr>
                <w:color w:val="1C3A36"/>
                <w:sz w:val="14"/>
              </w:rPr>
              <w:t>34</w:t>
            </w:r>
          </w:p>
        </w:tc>
        <w:tc>
          <w:tcPr>
            <w:tcW w:type="dxa" w:w="1236"/>
          </w:tcPr>
          <w:p>
            <w:pPr>
              <w:spacing w:after="20"/>
            </w:pPr>
            <w:r>
              <w:rPr>
                <w:color w:val="1C3A36"/>
                <w:sz w:val="14"/>
              </w:rPr>
              <w:t>cogs network access charges fy2024</w:t>
            </w:r>
          </w:p>
        </w:tc>
        <w:tc>
          <w:tcPr>
            <w:tcW w:type="dxa" w:w="1162"/>
          </w:tcPr>
          <w:p>
            <w:pPr>
              <w:spacing w:after="20"/>
            </w:pPr>
            <w:r>
              <w:rPr>
                <w:color w:val="1C3A36"/>
                <w:sz w:val="14"/>
              </w:rPr>
              <w:t>8,100,803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network access charges</w:t>
            </w:r>
          </w:p>
        </w:tc>
        <w:tc>
          <w:tcPr>
            <w:tcW w:type="dxa" w:w="1066"/>
          </w:tcPr>
          <w:p>
            <w:pPr>
              <w:spacing w:after="20"/>
            </w:pPr>
            <w:r>
              <w:rPr>
                <w:color w:val="1C3A36"/>
                <w:sz w:val="14"/>
              </w:rPr>
              <w:t>2025-12-31</w:t>
            </w:r>
          </w:p>
        </w:tc>
      </w:tr>
      <w:tr>
        <w:tc>
          <w:tcPr>
            <w:tcW w:type="dxa" w:w="505"/>
          </w:tcPr>
          <w:p>
            <w:pPr>
              <w:spacing w:after="20"/>
            </w:pPr>
            <w:r>
              <w:rPr>
                <w:color w:val="1C3A36"/>
                <w:sz w:val="14"/>
              </w:rPr>
              <w:t>35</w:t>
            </w:r>
          </w:p>
        </w:tc>
        <w:tc>
          <w:tcPr>
            <w:tcW w:type="dxa" w:w="1236"/>
          </w:tcPr>
          <w:p>
            <w:pPr>
              <w:spacing w:after="20"/>
            </w:pPr>
            <w:r>
              <w:rPr>
                <w:color w:val="1C3A36"/>
                <w:sz w:val="14"/>
              </w:rPr>
              <w:t>cogs network access charges fy2025</w:t>
            </w:r>
          </w:p>
        </w:tc>
        <w:tc>
          <w:tcPr>
            <w:tcW w:type="dxa" w:w="1162"/>
          </w:tcPr>
          <w:p>
            <w:pPr>
              <w:spacing w:after="20"/>
            </w:pPr>
            <w:r>
              <w:rPr>
                <w:color w:val="1C3A36"/>
                <w:sz w:val="14"/>
              </w:rPr>
              <w:t>10,094,182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network access charges</w:t>
            </w:r>
          </w:p>
        </w:tc>
        <w:tc>
          <w:tcPr>
            <w:tcW w:type="dxa" w:w="1066"/>
          </w:tcPr>
          <w:p>
            <w:pPr>
              <w:spacing w:after="20"/>
            </w:pPr>
            <w:r>
              <w:rPr>
                <w:color w:val="1C3A36"/>
                <w:sz w:val="14"/>
              </w:rPr>
              <w:t>2025-12-31</w:t>
            </w:r>
          </w:p>
        </w:tc>
      </w:tr>
      <w:tr>
        <w:tc>
          <w:tcPr>
            <w:tcW w:type="dxa" w:w="505"/>
          </w:tcPr>
          <w:p>
            <w:pPr>
              <w:spacing w:after="20"/>
            </w:pPr>
            <w:r>
              <w:rPr>
                <w:color w:val="1C3A36"/>
                <w:sz w:val="14"/>
              </w:rPr>
              <w:t>36</w:t>
            </w:r>
          </w:p>
        </w:tc>
        <w:tc>
          <w:tcPr>
            <w:tcW w:type="dxa" w:w="1236"/>
          </w:tcPr>
          <w:p>
            <w:pPr>
              <w:spacing w:after="20"/>
            </w:pPr>
            <w:r>
              <w:rPr>
                <w:color w:val="1C3A36"/>
                <w:sz w:val="14"/>
              </w:rPr>
              <w:t>cogs others fy2023</w:t>
            </w:r>
          </w:p>
        </w:tc>
        <w:tc>
          <w:tcPr>
            <w:tcW w:type="dxa" w:w="1162"/>
          </w:tcPr>
          <w:p>
            <w:pPr>
              <w:spacing w:after="20"/>
            </w:pPr>
            <w:r>
              <w:rPr>
                <w:color w:val="1C3A36"/>
                <w:sz w:val="14"/>
              </w:rPr>
              <w:t>2,801,204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others</w:t>
            </w:r>
          </w:p>
        </w:tc>
        <w:tc>
          <w:tcPr>
            <w:tcW w:type="dxa" w:w="1066"/>
          </w:tcPr>
          <w:p>
            <w:pPr>
              <w:spacing w:after="20"/>
            </w:pPr>
            <w:r>
              <w:rPr>
                <w:color w:val="1C3A36"/>
                <w:sz w:val="14"/>
              </w:rPr>
              <w:t>2024-12-31</w:t>
            </w:r>
          </w:p>
        </w:tc>
      </w:tr>
      <w:tr>
        <w:tc>
          <w:tcPr>
            <w:tcW w:type="dxa" w:w="505"/>
          </w:tcPr>
          <w:p>
            <w:pPr>
              <w:spacing w:after="20"/>
            </w:pPr>
            <w:r>
              <w:rPr>
                <w:color w:val="1C3A36"/>
                <w:sz w:val="14"/>
              </w:rPr>
              <w:t>37</w:t>
            </w:r>
          </w:p>
        </w:tc>
        <w:tc>
          <w:tcPr>
            <w:tcW w:type="dxa" w:w="1236"/>
          </w:tcPr>
          <w:p>
            <w:pPr>
              <w:spacing w:after="20"/>
            </w:pPr>
            <w:r>
              <w:rPr>
                <w:color w:val="1C3A36"/>
                <w:sz w:val="14"/>
              </w:rPr>
              <w:t>cogs others fy2024</w:t>
            </w:r>
          </w:p>
        </w:tc>
        <w:tc>
          <w:tcPr>
            <w:tcW w:type="dxa" w:w="1162"/>
          </w:tcPr>
          <w:p>
            <w:pPr>
              <w:spacing w:after="20"/>
            </w:pPr>
            <w:r>
              <w:rPr>
                <w:color w:val="1C3A36"/>
                <w:sz w:val="14"/>
              </w:rPr>
              <w:t>2,823,277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others</w:t>
            </w:r>
          </w:p>
        </w:tc>
        <w:tc>
          <w:tcPr>
            <w:tcW w:type="dxa" w:w="1066"/>
          </w:tcPr>
          <w:p>
            <w:pPr>
              <w:spacing w:after="20"/>
            </w:pPr>
            <w:r>
              <w:rPr>
                <w:color w:val="1C3A36"/>
                <w:sz w:val="14"/>
              </w:rPr>
              <w:t>2025-12-31</w:t>
            </w:r>
          </w:p>
        </w:tc>
      </w:tr>
      <w:tr>
        <w:tc>
          <w:tcPr>
            <w:tcW w:type="dxa" w:w="505"/>
          </w:tcPr>
          <w:p>
            <w:pPr>
              <w:spacing w:after="20"/>
            </w:pPr>
            <w:r>
              <w:rPr>
                <w:color w:val="1C3A36"/>
                <w:sz w:val="14"/>
              </w:rPr>
              <w:t>38</w:t>
            </w:r>
          </w:p>
        </w:tc>
        <w:tc>
          <w:tcPr>
            <w:tcW w:type="dxa" w:w="1236"/>
          </w:tcPr>
          <w:p>
            <w:pPr>
              <w:spacing w:after="20"/>
            </w:pPr>
            <w:r>
              <w:rPr>
                <w:color w:val="1C3A36"/>
                <w:sz w:val="14"/>
              </w:rPr>
              <w:t>cogs others fy2025</w:t>
            </w:r>
          </w:p>
        </w:tc>
        <w:tc>
          <w:tcPr>
            <w:tcW w:type="dxa" w:w="1162"/>
          </w:tcPr>
          <w:p>
            <w:pPr>
              <w:spacing w:after="20"/>
            </w:pPr>
            <w:r>
              <w:rPr>
                <w:color w:val="1C3A36"/>
                <w:sz w:val="14"/>
              </w:rPr>
              <w:t>2,710,350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others</w:t>
            </w:r>
          </w:p>
        </w:tc>
        <w:tc>
          <w:tcPr>
            <w:tcW w:type="dxa" w:w="1066"/>
          </w:tcPr>
          <w:p>
            <w:pPr>
              <w:spacing w:after="20"/>
            </w:pPr>
            <w:r>
              <w:rPr>
                <w:color w:val="1C3A36"/>
                <w:sz w:val="14"/>
              </w:rPr>
              <w:t>2025-12-31</w:t>
            </w:r>
          </w:p>
        </w:tc>
      </w:tr>
      <w:tr>
        <w:tc>
          <w:tcPr>
            <w:tcW w:type="dxa" w:w="505"/>
          </w:tcPr>
          <w:p>
            <w:pPr>
              <w:spacing w:after="20"/>
            </w:pPr>
            <w:r>
              <w:rPr>
                <w:color w:val="1C3A36"/>
                <w:sz w:val="14"/>
              </w:rPr>
              <w:t>39</w:t>
            </w:r>
          </w:p>
        </w:tc>
        <w:tc>
          <w:tcPr>
            <w:tcW w:type="dxa" w:w="1236"/>
          </w:tcPr>
          <w:p>
            <w:pPr>
              <w:spacing w:after="20"/>
            </w:pPr>
            <w:r>
              <w:rPr>
                <w:color w:val="1C3A36"/>
                <w:sz w:val="14"/>
              </w:rPr>
              <w:t>cogs repairs and maintenance fy2023</w:t>
            </w:r>
          </w:p>
        </w:tc>
        <w:tc>
          <w:tcPr>
            <w:tcW w:type="dxa" w:w="1162"/>
          </w:tcPr>
          <w:p>
            <w:pPr>
              <w:spacing w:after="20"/>
            </w:pPr>
            <w:r>
              <w:rPr>
                <w:color w:val="1C3A36"/>
                <w:sz w:val="14"/>
              </w:rPr>
              <w:t>1,952,911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35, repairs and maintenance</w:t>
            </w:r>
          </w:p>
        </w:tc>
        <w:tc>
          <w:tcPr>
            <w:tcW w:type="dxa" w:w="1066"/>
          </w:tcPr>
          <w:p>
            <w:pPr>
              <w:spacing w:after="20"/>
            </w:pPr>
            <w:r>
              <w:rPr>
                <w:color w:val="1C3A36"/>
                <w:sz w:val="14"/>
              </w:rPr>
              <w:t>2024-12-31</w:t>
            </w:r>
          </w:p>
        </w:tc>
      </w:tr>
      <w:tr>
        <w:tc>
          <w:tcPr>
            <w:tcW w:type="dxa" w:w="505"/>
          </w:tcPr>
          <w:p>
            <w:pPr>
              <w:spacing w:after="20"/>
            </w:pPr>
            <w:r>
              <w:rPr>
                <w:color w:val="1C3A36"/>
                <w:sz w:val="14"/>
              </w:rPr>
              <w:t>40</w:t>
            </w:r>
          </w:p>
        </w:tc>
        <w:tc>
          <w:tcPr>
            <w:tcW w:type="dxa" w:w="1236"/>
          </w:tcPr>
          <w:p>
            <w:pPr>
              <w:spacing w:after="20"/>
            </w:pPr>
            <w:r>
              <w:rPr>
                <w:color w:val="1C3A36"/>
                <w:sz w:val="14"/>
              </w:rPr>
              <w:t>cogs repairs and maintenance fy2024</w:t>
            </w:r>
          </w:p>
        </w:tc>
        <w:tc>
          <w:tcPr>
            <w:tcW w:type="dxa" w:w="1162"/>
          </w:tcPr>
          <w:p>
            <w:pPr>
              <w:spacing w:after="20"/>
            </w:pPr>
            <w:r>
              <w:rPr>
                <w:color w:val="1C3A36"/>
                <w:sz w:val="14"/>
              </w:rPr>
              <w:t>1,895,572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repairs and maintenance</w:t>
            </w:r>
          </w:p>
        </w:tc>
        <w:tc>
          <w:tcPr>
            <w:tcW w:type="dxa" w:w="1066"/>
          </w:tcPr>
          <w:p>
            <w:pPr>
              <w:spacing w:after="20"/>
            </w:pPr>
            <w:r>
              <w:rPr>
                <w:color w:val="1C3A36"/>
                <w:sz w:val="14"/>
              </w:rPr>
              <w:t>2025-12-31</w:t>
            </w:r>
          </w:p>
        </w:tc>
      </w:tr>
      <w:tr>
        <w:tc>
          <w:tcPr>
            <w:tcW w:type="dxa" w:w="505"/>
          </w:tcPr>
          <w:p>
            <w:pPr>
              <w:spacing w:after="20"/>
            </w:pPr>
            <w:r>
              <w:rPr>
                <w:color w:val="1C3A36"/>
                <w:sz w:val="14"/>
              </w:rPr>
              <w:t>41</w:t>
            </w:r>
          </w:p>
        </w:tc>
        <w:tc>
          <w:tcPr>
            <w:tcW w:type="dxa" w:w="1236"/>
          </w:tcPr>
          <w:p>
            <w:pPr>
              <w:spacing w:after="20"/>
            </w:pPr>
            <w:r>
              <w:rPr>
                <w:color w:val="1C3A36"/>
                <w:sz w:val="14"/>
              </w:rPr>
              <w:t>cogs repairs and maintenance fy2025</w:t>
            </w:r>
          </w:p>
        </w:tc>
        <w:tc>
          <w:tcPr>
            <w:tcW w:type="dxa" w:w="1162"/>
          </w:tcPr>
          <w:p>
            <w:pPr>
              <w:spacing w:after="20"/>
            </w:pPr>
            <w:r>
              <w:rPr>
                <w:color w:val="1C3A36"/>
                <w:sz w:val="14"/>
              </w:rPr>
              <w:t>1,967,772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35, repairs and maintenance</w:t>
            </w:r>
          </w:p>
        </w:tc>
        <w:tc>
          <w:tcPr>
            <w:tcW w:type="dxa" w:w="1066"/>
          </w:tcPr>
          <w:p>
            <w:pPr>
              <w:spacing w:after="20"/>
            </w:pPr>
            <w:r>
              <w:rPr>
                <w:color w:val="1C3A36"/>
                <w:sz w:val="14"/>
              </w:rPr>
              <w:t>2025-12-31</w:t>
            </w:r>
          </w:p>
        </w:tc>
      </w:tr>
      <w:tr>
        <w:tc>
          <w:tcPr>
            <w:tcW w:type="dxa" w:w="505"/>
          </w:tcPr>
          <w:p>
            <w:pPr>
              <w:spacing w:after="20"/>
            </w:pPr>
            <w:r>
              <w:rPr>
                <w:color w:val="1C3A36"/>
                <w:sz w:val="14"/>
              </w:rPr>
              <w:t>42</w:t>
            </w:r>
          </w:p>
        </w:tc>
        <w:tc>
          <w:tcPr>
            <w:tcW w:type="dxa" w:w="1236"/>
          </w:tcPr>
          <w:p>
            <w:pPr>
              <w:spacing w:after="20"/>
            </w:pPr>
            <w:r>
              <w:rPr>
                <w:color w:val="1C3A36"/>
                <w:sz w:val="14"/>
              </w:rPr>
              <w:t>debt borrowings jun2026</w:t>
            </w:r>
          </w:p>
        </w:tc>
        <w:tc>
          <w:tcPr>
            <w:tcW w:type="dxa" w:w="1162"/>
          </w:tcPr>
          <w:p>
            <w:pPr>
              <w:spacing w:after="20"/>
            </w:pPr>
            <w:r>
              <w:rPr>
                <w:color w:val="1C3A36"/>
                <w:sz w:val="14"/>
              </w:rPr>
              <w:t>23,536,554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long-term borrowings 22,094,126 plus short-term borrowings 1,442,428</w:t>
            </w:r>
          </w:p>
        </w:tc>
        <w:tc>
          <w:tcPr>
            <w:tcW w:type="dxa" w:w="1066"/>
          </w:tcPr>
          <w:p>
            <w:pPr>
              <w:spacing w:after="20"/>
            </w:pPr>
            <w:r>
              <w:rPr>
                <w:color w:val="1C3A36"/>
                <w:sz w:val="14"/>
              </w:rPr>
              <w:t>2026-06-30</w:t>
            </w:r>
          </w:p>
        </w:tc>
      </w:tr>
      <w:tr>
        <w:tc>
          <w:tcPr>
            <w:tcW w:type="dxa" w:w="505"/>
          </w:tcPr>
          <w:p>
            <w:pPr>
              <w:spacing w:after="20"/>
            </w:pPr>
            <w:r>
              <w:rPr>
                <w:color w:val="1C3A36"/>
                <w:sz w:val="14"/>
              </w:rPr>
              <w:t>43</w:t>
            </w:r>
          </w:p>
        </w:tc>
        <w:tc>
          <w:tcPr>
            <w:tcW w:type="dxa" w:w="1236"/>
          </w:tcPr>
          <w:p>
            <w:pPr>
              <w:spacing w:after="20"/>
            </w:pPr>
            <w:r>
              <w:rPr>
                <w:color w:val="1C3A36"/>
                <w:sz w:val="14"/>
              </w:rPr>
              <w:t>debt leases jun2026</w:t>
            </w:r>
          </w:p>
        </w:tc>
        <w:tc>
          <w:tcPr>
            <w:tcW w:type="dxa" w:w="1162"/>
          </w:tcPr>
          <w:p>
            <w:pPr>
              <w:spacing w:after="20"/>
            </w:pPr>
            <w:r>
              <w:rPr>
                <w:color w:val="1C3A36"/>
                <w:sz w:val="14"/>
              </w:rPr>
              <w:t>2,258,902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note 13, lease liabilities, non-current 1,642,836 plus current 616,066</w:t>
            </w:r>
          </w:p>
        </w:tc>
        <w:tc>
          <w:tcPr>
            <w:tcW w:type="dxa" w:w="1066"/>
          </w:tcPr>
          <w:p>
            <w:pPr>
              <w:spacing w:after="20"/>
            </w:pPr>
            <w:r>
              <w:rPr>
                <w:color w:val="1C3A36"/>
                <w:sz w:val="14"/>
              </w:rPr>
              <w:t>2026-06-30</w:t>
            </w:r>
          </w:p>
        </w:tc>
      </w:tr>
      <w:tr>
        <w:tc>
          <w:tcPr>
            <w:tcW w:type="dxa" w:w="505"/>
          </w:tcPr>
          <w:p>
            <w:pPr>
              <w:spacing w:after="20"/>
            </w:pPr>
            <w:r>
              <w:rPr>
                <w:color w:val="1C3A36"/>
                <w:sz w:val="14"/>
              </w:rPr>
              <w:t>44</w:t>
            </w:r>
          </w:p>
        </w:tc>
        <w:tc>
          <w:tcPr>
            <w:tcW w:type="dxa" w:w="1236"/>
          </w:tcPr>
          <w:p>
            <w:pPr>
              <w:spacing w:after="20"/>
            </w:pPr>
            <w:r>
              <w:rPr>
                <w:color w:val="1C3A36"/>
                <w:sz w:val="14"/>
              </w:rPr>
              <w:t>debt mudarabah dec 2018 final may 2026 fy2025</w:t>
            </w:r>
          </w:p>
        </w:tc>
        <w:tc>
          <w:tcPr>
            <w:tcW w:type="dxa" w:w="1162"/>
          </w:tcPr>
          <w:p>
            <w:pPr>
              <w:spacing w:after="20"/>
            </w:pPr>
            <w:r>
              <w:rPr>
                <w:color w:val="1C3A36"/>
                <w:sz w:val="14"/>
              </w:rPr>
              <w:t>1,837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Mudarabah, Dec 2018, final May 2026 (BHD)</w:t>
            </w:r>
          </w:p>
        </w:tc>
        <w:tc>
          <w:tcPr>
            <w:tcW w:type="dxa" w:w="1066"/>
          </w:tcPr>
          <w:p>
            <w:pPr>
              <w:spacing w:after="20"/>
            </w:pPr>
            <w:r>
              <w:rPr>
                <w:color w:val="1C3A36"/>
                <w:sz w:val="14"/>
              </w:rPr>
              <w:t>2025-12-31</w:t>
            </w:r>
          </w:p>
        </w:tc>
      </w:tr>
      <w:tr>
        <w:tc>
          <w:tcPr>
            <w:tcW w:type="dxa" w:w="505"/>
          </w:tcPr>
          <w:p>
            <w:pPr>
              <w:spacing w:after="20"/>
            </w:pPr>
            <w:r>
              <w:rPr>
                <w:color w:val="1C3A36"/>
                <w:sz w:val="14"/>
              </w:rPr>
              <w:t>45</w:t>
            </w:r>
          </w:p>
        </w:tc>
        <w:tc>
          <w:tcPr>
            <w:tcW w:type="dxa" w:w="1236"/>
          </w:tcPr>
          <w:p>
            <w:pPr>
              <w:spacing w:after="20"/>
            </w:pPr>
            <w:r>
              <w:rPr>
                <w:color w:val="1C3A36"/>
                <w:sz w:val="14"/>
              </w:rPr>
              <w:t>debt murabaha aug 2022 final aug 2036 fy2025</w:t>
            </w:r>
          </w:p>
        </w:tc>
        <w:tc>
          <w:tcPr>
            <w:tcW w:type="dxa" w:w="1162"/>
          </w:tcPr>
          <w:p>
            <w:pPr>
              <w:spacing w:after="20"/>
            </w:pPr>
            <w:r>
              <w:rPr>
                <w:color w:val="1C3A36"/>
                <w:sz w:val="14"/>
              </w:rPr>
              <w:t>605,394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Aug 2022, final Aug 2036 (SAR)</w:t>
            </w:r>
          </w:p>
        </w:tc>
        <w:tc>
          <w:tcPr>
            <w:tcW w:type="dxa" w:w="1066"/>
          </w:tcPr>
          <w:p>
            <w:pPr>
              <w:spacing w:after="20"/>
            </w:pPr>
            <w:r>
              <w:rPr>
                <w:color w:val="1C3A36"/>
                <w:sz w:val="14"/>
              </w:rPr>
              <w:t>2025-12-31</w:t>
            </w:r>
          </w:p>
        </w:tc>
      </w:tr>
      <w:tr>
        <w:tc>
          <w:tcPr>
            <w:tcW w:type="dxa" w:w="505"/>
          </w:tcPr>
          <w:p>
            <w:pPr>
              <w:spacing w:after="20"/>
            </w:pPr>
            <w:r>
              <w:rPr>
                <w:color w:val="1C3A36"/>
                <w:sz w:val="14"/>
              </w:rPr>
              <w:t>46</w:t>
            </w:r>
          </w:p>
        </w:tc>
        <w:tc>
          <w:tcPr>
            <w:tcW w:type="dxa" w:w="1236"/>
          </w:tcPr>
          <w:p>
            <w:pPr>
              <w:spacing w:after="20"/>
            </w:pPr>
            <w:r>
              <w:rPr>
                <w:color w:val="1C3A36"/>
                <w:sz w:val="14"/>
              </w:rPr>
              <w:t>debt murabaha dec 2017 final dec 2027 fy2025</w:t>
            </w:r>
          </w:p>
        </w:tc>
        <w:tc>
          <w:tcPr>
            <w:tcW w:type="dxa" w:w="1162"/>
          </w:tcPr>
          <w:p>
            <w:pPr>
              <w:spacing w:after="20"/>
            </w:pPr>
            <w:r>
              <w:rPr>
                <w:color w:val="1C3A36"/>
                <w:sz w:val="14"/>
              </w:rPr>
              <w:t>1,310,218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Dec 2017, final Dec 2027 (MYR)</w:t>
            </w:r>
          </w:p>
        </w:tc>
        <w:tc>
          <w:tcPr>
            <w:tcW w:type="dxa" w:w="1066"/>
          </w:tcPr>
          <w:p>
            <w:pPr>
              <w:spacing w:after="20"/>
            </w:pPr>
            <w:r>
              <w:rPr>
                <w:color w:val="1C3A36"/>
                <w:sz w:val="14"/>
              </w:rPr>
              <w:t>2025-12-31</w:t>
            </w:r>
          </w:p>
        </w:tc>
      </w:tr>
      <w:tr>
        <w:tc>
          <w:tcPr>
            <w:tcW w:type="dxa" w:w="505"/>
          </w:tcPr>
          <w:p>
            <w:pPr>
              <w:spacing w:after="20"/>
            </w:pPr>
            <w:r>
              <w:rPr>
                <w:color w:val="1C3A36"/>
                <w:sz w:val="14"/>
              </w:rPr>
              <w:t>47</w:t>
            </w:r>
          </w:p>
        </w:tc>
        <w:tc>
          <w:tcPr>
            <w:tcW w:type="dxa" w:w="1236"/>
          </w:tcPr>
          <w:p>
            <w:pPr>
              <w:spacing w:after="20"/>
            </w:pPr>
            <w:r>
              <w:rPr>
                <w:color w:val="1C3A36"/>
                <w:sz w:val="14"/>
              </w:rPr>
              <w:t>debt murabaha feb 2022 final mar 2028 fy2025</w:t>
            </w:r>
          </w:p>
        </w:tc>
        <w:tc>
          <w:tcPr>
            <w:tcW w:type="dxa" w:w="1162"/>
          </w:tcPr>
          <w:p>
            <w:pPr>
              <w:spacing w:after="20"/>
            </w:pPr>
            <w:r>
              <w:rPr>
                <w:color w:val="1C3A36"/>
                <w:sz w:val="14"/>
              </w:rPr>
              <w:t>140,038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Feb 2022, final Mar 2028 (KWD)</w:t>
            </w:r>
          </w:p>
        </w:tc>
        <w:tc>
          <w:tcPr>
            <w:tcW w:type="dxa" w:w="1066"/>
          </w:tcPr>
          <w:p>
            <w:pPr>
              <w:spacing w:after="20"/>
            </w:pPr>
            <w:r>
              <w:rPr>
                <w:color w:val="1C3A36"/>
                <w:sz w:val="14"/>
              </w:rPr>
              <w:t>2025-12-31</w:t>
            </w:r>
          </w:p>
        </w:tc>
      </w:tr>
      <w:tr>
        <w:tc>
          <w:tcPr>
            <w:tcW w:type="dxa" w:w="505"/>
          </w:tcPr>
          <w:p>
            <w:pPr>
              <w:spacing w:after="20"/>
            </w:pPr>
            <w:r>
              <w:rPr>
                <w:color w:val="1C3A36"/>
                <w:sz w:val="14"/>
              </w:rPr>
              <w:t>48</w:t>
            </w:r>
          </w:p>
        </w:tc>
        <w:tc>
          <w:tcPr>
            <w:tcW w:type="dxa" w:w="1236"/>
          </w:tcPr>
          <w:p>
            <w:pPr>
              <w:spacing w:after="20"/>
            </w:pPr>
            <w:r>
              <w:rPr>
                <w:color w:val="1C3A36"/>
                <w:sz w:val="14"/>
              </w:rPr>
              <w:t>debt murabaha jan 2023 final jan 2029 fy2025</w:t>
            </w:r>
          </w:p>
        </w:tc>
        <w:tc>
          <w:tcPr>
            <w:tcW w:type="dxa" w:w="1162"/>
          </w:tcPr>
          <w:p>
            <w:pPr>
              <w:spacing w:after="20"/>
            </w:pPr>
            <w:r>
              <w:rPr>
                <w:color w:val="1C3A36"/>
                <w:sz w:val="14"/>
              </w:rPr>
              <w:t>450,059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Jan 2023, final Jan 2029 (USD)</w:t>
            </w:r>
          </w:p>
        </w:tc>
        <w:tc>
          <w:tcPr>
            <w:tcW w:type="dxa" w:w="1066"/>
          </w:tcPr>
          <w:p>
            <w:pPr>
              <w:spacing w:after="20"/>
            </w:pPr>
            <w:r>
              <w:rPr>
                <w:color w:val="1C3A36"/>
                <w:sz w:val="14"/>
              </w:rPr>
              <w:t>2025-12-31</w:t>
            </w:r>
          </w:p>
        </w:tc>
      </w:tr>
      <w:tr>
        <w:tc>
          <w:tcPr>
            <w:tcW w:type="dxa" w:w="505"/>
          </w:tcPr>
          <w:p>
            <w:pPr>
              <w:spacing w:after="20"/>
            </w:pPr>
            <w:r>
              <w:rPr>
                <w:color w:val="1C3A36"/>
                <w:sz w:val="14"/>
              </w:rPr>
              <w:t>49</w:t>
            </w:r>
          </w:p>
        </w:tc>
        <w:tc>
          <w:tcPr>
            <w:tcW w:type="dxa" w:w="1236"/>
          </w:tcPr>
          <w:p>
            <w:pPr>
              <w:spacing w:after="20"/>
            </w:pPr>
            <w:r>
              <w:rPr>
                <w:color w:val="1C3A36"/>
                <w:sz w:val="14"/>
              </w:rPr>
              <w:t>debt murabaha jun 2022 final jun 2027 fy2025</w:t>
            </w:r>
          </w:p>
        </w:tc>
        <w:tc>
          <w:tcPr>
            <w:tcW w:type="dxa" w:w="1162"/>
          </w:tcPr>
          <w:p>
            <w:pPr>
              <w:spacing w:after="20"/>
            </w:pPr>
            <w:r>
              <w:rPr>
                <w:color w:val="1C3A36"/>
                <w:sz w:val="14"/>
              </w:rPr>
              <w:t>499,626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Jun 2022, final Jun 2027 (SAR)</w:t>
            </w:r>
          </w:p>
        </w:tc>
        <w:tc>
          <w:tcPr>
            <w:tcW w:type="dxa" w:w="1066"/>
          </w:tcPr>
          <w:p>
            <w:pPr>
              <w:spacing w:after="20"/>
            </w:pPr>
            <w:r>
              <w:rPr>
                <w:color w:val="1C3A36"/>
                <w:sz w:val="14"/>
              </w:rPr>
              <w:t>2025-12-31</w:t>
            </w:r>
          </w:p>
        </w:tc>
      </w:tr>
      <w:tr>
        <w:tc>
          <w:tcPr>
            <w:tcW w:type="dxa" w:w="505"/>
          </w:tcPr>
          <w:p>
            <w:pPr>
              <w:spacing w:after="20"/>
            </w:pPr>
            <w:r>
              <w:rPr>
                <w:color w:val="1C3A36"/>
                <w:sz w:val="14"/>
              </w:rPr>
              <w:t>50</w:t>
            </w:r>
          </w:p>
        </w:tc>
        <w:tc>
          <w:tcPr>
            <w:tcW w:type="dxa" w:w="1236"/>
          </w:tcPr>
          <w:p>
            <w:pPr>
              <w:spacing w:after="20"/>
            </w:pPr>
            <w:r>
              <w:rPr>
                <w:color w:val="1C3A36"/>
                <w:sz w:val="14"/>
              </w:rPr>
              <w:t>debt murabaha mar 2021 final nov 2029 fy2025</w:t>
            </w:r>
          </w:p>
        </w:tc>
        <w:tc>
          <w:tcPr>
            <w:tcW w:type="dxa" w:w="1162"/>
          </w:tcPr>
          <w:p>
            <w:pPr>
              <w:spacing w:after="20"/>
            </w:pPr>
            <w:r>
              <w:rPr>
                <w:color w:val="1C3A36"/>
                <w:sz w:val="14"/>
              </w:rPr>
              <w:t>275,469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Mar 2021, final Nov 2029 (USD)</w:t>
            </w:r>
          </w:p>
        </w:tc>
        <w:tc>
          <w:tcPr>
            <w:tcW w:type="dxa" w:w="1066"/>
          </w:tcPr>
          <w:p>
            <w:pPr>
              <w:spacing w:after="20"/>
            </w:pPr>
            <w:r>
              <w:rPr>
                <w:color w:val="1C3A36"/>
                <w:sz w:val="14"/>
              </w:rPr>
              <w:t>2025-12-31</w:t>
            </w:r>
          </w:p>
        </w:tc>
      </w:tr>
      <w:tr>
        <w:tc>
          <w:tcPr>
            <w:tcW w:type="dxa" w:w="505"/>
          </w:tcPr>
          <w:p>
            <w:pPr>
              <w:spacing w:after="20"/>
            </w:pPr>
            <w:r>
              <w:rPr>
                <w:color w:val="1C3A36"/>
                <w:sz w:val="14"/>
              </w:rPr>
              <w:t>51</w:t>
            </w:r>
          </w:p>
        </w:tc>
        <w:tc>
          <w:tcPr>
            <w:tcW w:type="dxa" w:w="1236"/>
          </w:tcPr>
          <w:p>
            <w:pPr>
              <w:spacing w:after="20"/>
            </w:pPr>
            <w:r>
              <w:rPr>
                <w:color w:val="1C3A36"/>
                <w:sz w:val="14"/>
              </w:rPr>
              <w:t>debt murabaha sep 2021 final aug 2026 fy2025</w:t>
            </w:r>
          </w:p>
        </w:tc>
        <w:tc>
          <w:tcPr>
            <w:tcW w:type="dxa" w:w="1162"/>
          </w:tcPr>
          <w:p>
            <w:pPr>
              <w:spacing w:after="20"/>
            </w:pPr>
            <w:r>
              <w:rPr>
                <w:color w:val="1C3A36"/>
                <w:sz w:val="14"/>
              </w:rPr>
              <w:t>494,831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Sep 2021, final Aug 2026 (USD)</w:t>
            </w:r>
          </w:p>
        </w:tc>
        <w:tc>
          <w:tcPr>
            <w:tcW w:type="dxa" w:w="1066"/>
          </w:tcPr>
          <w:p>
            <w:pPr>
              <w:spacing w:after="20"/>
            </w:pPr>
            <w:r>
              <w:rPr>
                <w:color w:val="1C3A36"/>
                <w:sz w:val="14"/>
              </w:rPr>
              <w:t>2025-12-31</w:t>
            </w:r>
          </w:p>
        </w:tc>
      </w:tr>
      <w:tr>
        <w:tc>
          <w:tcPr>
            <w:tcW w:type="dxa" w:w="505"/>
          </w:tcPr>
          <w:p>
            <w:pPr>
              <w:spacing w:after="20"/>
            </w:pPr>
            <w:r>
              <w:rPr>
                <w:color w:val="1C3A36"/>
                <w:sz w:val="14"/>
              </w:rPr>
              <w:t>52</w:t>
            </w:r>
          </w:p>
        </w:tc>
        <w:tc>
          <w:tcPr>
            <w:tcW w:type="dxa" w:w="1236"/>
          </w:tcPr>
          <w:p>
            <w:pPr>
              <w:spacing w:after="20"/>
            </w:pPr>
            <w:r>
              <w:rPr>
                <w:color w:val="1C3A36"/>
                <w:sz w:val="14"/>
              </w:rPr>
              <w:t>debt murabaha sep 2023 final mar 2029 fy2025</w:t>
            </w:r>
          </w:p>
        </w:tc>
        <w:tc>
          <w:tcPr>
            <w:tcW w:type="dxa" w:w="1162"/>
          </w:tcPr>
          <w:p>
            <w:pPr>
              <w:spacing w:after="20"/>
            </w:pPr>
            <w:r>
              <w:rPr>
                <w:color w:val="1C3A36"/>
                <w:sz w:val="14"/>
              </w:rPr>
              <w:t>6,000,726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Murabaha, Sep 2023, final Mar 2029 (USD)</w:t>
            </w:r>
          </w:p>
        </w:tc>
        <w:tc>
          <w:tcPr>
            <w:tcW w:type="dxa" w:w="1066"/>
          </w:tcPr>
          <w:p>
            <w:pPr>
              <w:spacing w:after="20"/>
            </w:pPr>
            <w:r>
              <w:rPr>
                <w:color w:val="1C3A36"/>
                <w:sz w:val="14"/>
              </w:rPr>
              <w:t>2025-12-31</w:t>
            </w:r>
          </w:p>
        </w:tc>
      </w:tr>
      <w:tr>
        <w:tc>
          <w:tcPr>
            <w:tcW w:type="dxa" w:w="505"/>
          </w:tcPr>
          <w:p>
            <w:pPr>
              <w:spacing w:after="20"/>
            </w:pPr>
            <w:r>
              <w:rPr>
                <w:color w:val="1C3A36"/>
                <w:sz w:val="14"/>
              </w:rPr>
              <w:t>53</w:t>
            </w:r>
          </w:p>
        </w:tc>
        <w:tc>
          <w:tcPr>
            <w:tcW w:type="dxa" w:w="1236"/>
          </w:tcPr>
          <w:p>
            <w:pPr>
              <w:spacing w:after="20"/>
            </w:pPr>
            <w:r>
              <w:rPr>
                <w:color w:val="1C3A36"/>
                <w:sz w:val="14"/>
              </w:rPr>
              <w:t>debt others subsidiaries fy2025</w:t>
            </w:r>
          </w:p>
        </w:tc>
        <w:tc>
          <w:tcPr>
            <w:tcW w:type="dxa" w:w="1162"/>
          </w:tcPr>
          <w:p>
            <w:pPr>
              <w:spacing w:after="20"/>
            </w:pPr>
            <w:r>
              <w:rPr>
                <w:color w:val="1C3A36"/>
                <w:sz w:val="14"/>
              </w:rPr>
              <w:t>732,737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Others, subsidiaries (n/d)</w:t>
            </w:r>
          </w:p>
        </w:tc>
        <w:tc>
          <w:tcPr>
            <w:tcW w:type="dxa" w:w="1066"/>
          </w:tcPr>
          <w:p>
            <w:pPr>
              <w:spacing w:after="20"/>
            </w:pPr>
            <w:r>
              <w:rPr>
                <w:color w:val="1C3A36"/>
                <w:sz w:val="14"/>
              </w:rPr>
              <w:t>2025-12-31</w:t>
            </w:r>
          </w:p>
        </w:tc>
      </w:tr>
      <w:tr>
        <w:tc>
          <w:tcPr>
            <w:tcW w:type="dxa" w:w="505"/>
          </w:tcPr>
          <w:p>
            <w:pPr>
              <w:spacing w:after="20"/>
            </w:pPr>
            <w:r>
              <w:rPr>
                <w:color w:val="1C3A36"/>
                <w:sz w:val="14"/>
              </w:rPr>
              <w:t>54</w:t>
            </w:r>
          </w:p>
        </w:tc>
        <w:tc>
          <w:tcPr>
            <w:tcW w:type="dxa" w:w="1236"/>
          </w:tcPr>
          <w:p>
            <w:pPr>
              <w:spacing w:after="20"/>
            </w:pPr>
            <w:r>
              <w:rPr>
                <w:color w:val="1C3A36"/>
                <w:sz w:val="14"/>
              </w:rPr>
              <w:t>debt spectrum jun2026</w:t>
            </w:r>
          </w:p>
        </w:tc>
        <w:tc>
          <w:tcPr>
            <w:tcW w:type="dxa" w:w="1162"/>
          </w:tcPr>
          <w:p>
            <w:pPr>
              <w:spacing w:after="20"/>
            </w:pPr>
            <w:r>
              <w:rPr>
                <w:color w:val="1C3A36"/>
                <w:sz w:val="14"/>
              </w:rPr>
              <w:t>3,443,044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note 14.1, financial liabilities related to frequency spectrum licences</w:t>
            </w:r>
          </w:p>
        </w:tc>
        <w:tc>
          <w:tcPr>
            <w:tcW w:type="dxa" w:w="1066"/>
          </w:tcPr>
          <w:p>
            <w:pPr>
              <w:spacing w:after="20"/>
            </w:pPr>
            <w:r>
              <w:rPr>
                <w:color w:val="1C3A36"/>
                <w:sz w:val="14"/>
              </w:rPr>
              <w:t>2026-06-30</w:t>
            </w:r>
          </w:p>
        </w:tc>
      </w:tr>
      <w:tr>
        <w:tc>
          <w:tcPr>
            <w:tcW w:type="dxa" w:w="505"/>
          </w:tcPr>
          <w:p>
            <w:pPr>
              <w:spacing w:after="20"/>
            </w:pPr>
            <w:r>
              <w:rPr>
                <w:color w:val="1C3A36"/>
                <w:sz w:val="14"/>
              </w:rPr>
              <w:t>55</w:t>
            </w:r>
          </w:p>
        </w:tc>
        <w:tc>
          <w:tcPr>
            <w:tcW w:type="dxa" w:w="1236"/>
          </w:tcPr>
          <w:p>
            <w:pPr>
              <w:spacing w:after="20"/>
            </w:pPr>
            <w:r>
              <w:rPr>
                <w:color w:val="1C3A36"/>
                <w:sz w:val="14"/>
              </w:rPr>
              <w:t>debt sukuk may 2019 final may 2029 fy2025</w:t>
            </w:r>
          </w:p>
        </w:tc>
        <w:tc>
          <w:tcPr>
            <w:tcW w:type="dxa" w:w="1162"/>
          </w:tcPr>
          <w:p>
            <w:pPr>
              <w:spacing w:after="20"/>
            </w:pPr>
            <w:r>
              <w:rPr>
                <w:color w:val="1C3A36"/>
                <w:sz w:val="14"/>
              </w:rPr>
              <w:t>4,680,493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26, borrowings, Sukuk, May 2019, final May 2029 (USD)</w:t>
            </w:r>
          </w:p>
        </w:tc>
        <w:tc>
          <w:tcPr>
            <w:tcW w:type="dxa" w:w="1066"/>
          </w:tcPr>
          <w:p>
            <w:pPr>
              <w:spacing w:after="20"/>
            </w:pPr>
            <w:r>
              <w:rPr>
                <w:color w:val="1C3A36"/>
                <w:sz w:val="14"/>
              </w:rPr>
              <w:t>2025-12-31</w:t>
            </w:r>
          </w:p>
        </w:tc>
      </w:tr>
      <w:tr>
        <w:tc>
          <w:tcPr>
            <w:tcW w:type="dxa" w:w="505"/>
          </w:tcPr>
          <w:p>
            <w:pPr>
              <w:spacing w:after="20"/>
            </w:pPr>
            <w:r>
              <w:rPr>
                <w:color w:val="1C3A36"/>
                <w:sz w:val="14"/>
              </w:rPr>
              <w:t>56</w:t>
            </w:r>
          </w:p>
        </w:tc>
        <w:tc>
          <w:tcPr>
            <w:tcW w:type="dxa" w:w="1236"/>
          </w:tcPr>
          <w:p>
            <w:pPr>
              <w:spacing w:after="20"/>
            </w:pPr>
            <w:r>
              <w:rPr>
                <w:color w:val="1C3A36"/>
                <w:sz w:val="14"/>
              </w:rPr>
              <w:t>dep charge fy2025</w:t>
            </w:r>
          </w:p>
        </w:tc>
        <w:tc>
          <w:tcPr>
            <w:tcW w:type="dxa" w:w="1162"/>
          </w:tcPr>
          <w:p>
            <w:pPr>
              <w:spacing w:after="20"/>
            </w:pPr>
            <w:r>
              <w:rPr>
                <w:color w:val="1C3A36"/>
                <w:sz w:val="14"/>
              </w:rPr>
              <w:t>6,453,343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10, the year's depreciation on that base</w:t>
            </w:r>
          </w:p>
        </w:tc>
        <w:tc>
          <w:tcPr>
            <w:tcW w:type="dxa" w:w="1066"/>
          </w:tcPr>
          <w:p>
            <w:pPr>
              <w:spacing w:after="20"/>
            </w:pPr>
            <w:r>
              <w:rPr>
                <w:color w:val="1C3A36"/>
                <w:sz w:val="14"/>
              </w:rPr>
              <w:t>2025-12-31</w:t>
            </w:r>
          </w:p>
        </w:tc>
      </w:tr>
      <w:tr>
        <w:tc>
          <w:tcPr>
            <w:tcW w:type="dxa" w:w="505"/>
          </w:tcPr>
          <w:p>
            <w:pPr>
              <w:spacing w:after="20"/>
            </w:pPr>
            <w:r>
              <w:rPr>
                <w:color w:val="1C3A36"/>
                <w:sz w:val="14"/>
              </w:rPr>
              <w:t>57</w:t>
            </w:r>
          </w:p>
        </w:tc>
        <w:tc>
          <w:tcPr>
            <w:tcW w:type="dxa" w:w="1236"/>
          </w:tcPr>
          <w:p>
            <w:pPr>
              <w:spacing w:after="20"/>
            </w:pPr>
            <w:r>
              <w:rPr>
                <w:color w:val="1C3A36"/>
                <w:sz w:val="14"/>
              </w:rPr>
              <w:t>ebitda fy2023</w:t>
            </w:r>
          </w:p>
        </w:tc>
        <w:tc>
          <w:tcPr>
            <w:tcW w:type="dxa" w:w="1162"/>
          </w:tcPr>
          <w:p>
            <w:pPr>
              <w:spacing w:after="20"/>
            </w:pPr>
            <w:r>
              <w:rPr>
                <w:color w:val="1C3A36"/>
                <w:sz w:val="14"/>
              </w:rPr>
              <w:t>22,445,389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gross profit less both operating-expense notes, each as stated; the three foot to the riyal</w:t>
            </w:r>
          </w:p>
        </w:tc>
        <w:tc>
          <w:tcPr>
            <w:tcW w:type="dxa" w:w="1066"/>
          </w:tcPr>
          <w:p>
            <w:pPr>
              <w:spacing w:after="20"/>
            </w:pPr>
            <w:r>
              <w:rPr>
                <w:color w:val="1C3A36"/>
                <w:sz w:val="14"/>
              </w:rPr>
              <w:t>2024-12-31</w:t>
            </w:r>
          </w:p>
        </w:tc>
      </w:tr>
      <w:tr>
        <w:tc>
          <w:tcPr>
            <w:tcW w:type="dxa" w:w="505"/>
          </w:tcPr>
          <w:p>
            <w:pPr>
              <w:spacing w:after="20"/>
            </w:pPr>
            <w:r>
              <w:rPr>
                <w:color w:val="1C3A36"/>
                <w:sz w:val="14"/>
              </w:rPr>
              <w:t>58</w:t>
            </w:r>
          </w:p>
        </w:tc>
        <w:tc>
          <w:tcPr>
            <w:tcW w:type="dxa" w:w="1236"/>
          </w:tcPr>
          <w:p>
            <w:pPr>
              <w:spacing w:after="20"/>
            </w:pPr>
            <w:r>
              <w:rPr>
                <w:color w:val="1C3A36"/>
                <w:sz w:val="14"/>
              </w:rPr>
              <w:t>ebitda fy2024</w:t>
            </w:r>
          </w:p>
        </w:tc>
        <w:tc>
          <w:tcPr>
            <w:tcW w:type="dxa" w:w="1162"/>
          </w:tcPr>
          <w:p>
            <w:pPr>
              <w:spacing w:after="20"/>
            </w:pPr>
            <w:r>
              <w:rPr>
                <w:color w:val="1C3A36"/>
                <w:sz w:val="14"/>
              </w:rPr>
              <w:t>23,951,115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gross profit less both operating-expense notes, each as stated; the three foot to the riyal</w:t>
            </w:r>
          </w:p>
        </w:tc>
        <w:tc>
          <w:tcPr>
            <w:tcW w:type="dxa" w:w="1066"/>
          </w:tcPr>
          <w:p>
            <w:pPr>
              <w:spacing w:after="20"/>
            </w:pPr>
            <w:r>
              <w:rPr>
                <w:color w:val="1C3A36"/>
                <w:sz w:val="14"/>
              </w:rPr>
              <w:t>2025-12-31</w:t>
            </w:r>
          </w:p>
        </w:tc>
      </w:tr>
      <w:tr>
        <w:tc>
          <w:tcPr>
            <w:tcW w:type="dxa" w:w="505"/>
          </w:tcPr>
          <w:p>
            <w:pPr>
              <w:spacing w:after="20"/>
            </w:pPr>
            <w:r>
              <w:rPr>
                <w:color w:val="1C3A36"/>
                <w:sz w:val="14"/>
              </w:rPr>
              <w:t>59</w:t>
            </w:r>
          </w:p>
        </w:tc>
        <w:tc>
          <w:tcPr>
            <w:tcW w:type="dxa" w:w="1236"/>
          </w:tcPr>
          <w:p>
            <w:pPr>
              <w:spacing w:after="20"/>
            </w:pPr>
            <w:r>
              <w:rPr>
                <w:color w:val="1C3A36"/>
                <w:sz w:val="14"/>
              </w:rPr>
              <w:t>ebitda fy2025</w:t>
            </w:r>
          </w:p>
        </w:tc>
        <w:tc>
          <w:tcPr>
            <w:tcW w:type="dxa" w:w="1162"/>
          </w:tcPr>
          <w:p>
            <w:pPr>
              <w:spacing w:after="20"/>
            </w:pPr>
            <w:r>
              <w:rPr>
                <w:color w:val="1C3A36"/>
                <w:sz w:val="14"/>
              </w:rPr>
              <w:t>24,469,435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gross profit less both operating-expense notes, each as stated; the three foot to the riyal</w:t>
            </w:r>
          </w:p>
        </w:tc>
        <w:tc>
          <w:tcPr>
            <w:tcW w:type="dxa" w:w="1066"/>
          </w:tcPr>
          <w:p>
            <w:pPr>
              <w:spacing w:after="20"/>
            </w:pPr>
            <w:r>
              <w:rPr>
                <w:color w:val="1C3A36"/>
                <w:sz w:val="14"/>
              </w:rPr>
              <w:t>2025-12-31</w:t>
            </w:r>
          </w:p>
        </w:tc>
      </w:tr>
      <w:tr>
        <w:tc>
          <w:tcPr>
            <w:tcW w:type="dxa" w:w="505"/>
          </w:tcPr>
          <w:p>
            <w:pPr>
              <w:spacing w:after="20"/>
            </w:pPr>
            <w:r>
              <w:rPr>
                <w:color w:val="1C3A36"/>
                <w:sz w:val="14"/>
              </w:rPr>
              <w:t>60</w:t>
            </w:r>
          </w:p>
        </w:tc>
        <w:tc>
          <w:tcPr>
            <w:tcW w:type="dxa" w:w="1236"/>
          </w:tcPr>
          <w:p>
            <w:pPr>
              <w:spacing w:after="20"/>
            </w:pPr>
            <w:r>
              <w:rPr>
                <w:color w:val="1C3A36"/>
                <w:sz w:val="14"/>
              </w:rPr>
              <w:t>eq nci jun2026</w:t>
            </w:r>
          </w:p>
        </w:tc>
        <w:tc>
          <w:tcPr>
            <w:tcW w:type="dxa" w:w="1162"/>
          </w:tcPr>
          <w:p>
            <w:pPr>
              <w:spacing w:after="20"/>
            </w:pPr>
            <w:r>
              <w:rPr>
                <w:color w:val="1C3A36"/>
                <w:sz w:val="14"/>
              </w:rPr>
              <w:t>2,726,349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consolidated statement of financial position, non-controlling interests</w:t>
            </w:r>
          </w:p>
        </w:tc>
        <w:tc>
          <w:tcPr>
            <w:tcW w:type="dxa" w:w="1066"/>
          </w:tcPr>
          <w:p>
            <w:pPr>
              <w:spacing w:after="20"/>
            </w:pPr>
            <w:r>
              <w:rPr>
                <w:color w:val="1C3A36"/>
                <w:sz w:val="14"/>
              </w:rPr>
              <w:t>2026-06-30</w:t>
            </w:r>
          </w:p>
        </w:tc>
      </w:tr>
      <w:tr>
        <w:tc>
          <w:tcPr>
            <w:tcW w:type="dxa" w:w="505"/>
          </w:tcPr>
          <w:p>
            <w:pPr>
              <w:spacing w:after="20"/>
            </w:pPr>
            <w:r>
              <w:rPr>
                <w:color w:val="1C3A36"/>
                <w:sz w:val="14"/>
              </w:rPr>
              <w:t>61</w:t>
            </w:r>
          </w:p>
        </w:tc>
        <w:tc>
          <w:tcPr>
            <w:tcW w:type="dxa" w:w="1236"/>
          </w:tcPr>
          <w:p>
            <w:pPr>
              <w:spacing w:after="20"/>
            </w:pPr>
            <w:r>
              <w:rPr>
                <w:color w:val="1C3A36"/>
                <w:sz w:val="14"/>
              </w:rPr>
              <w:t>gp fy2023</w:t>
            </w:r>
          </w:p>
        </w:tc>
        <w:tc>
          <w:tcPr>
            <w:tcW w:type="dxa" w:w="1162"/>
          </w:tcPr>
          <w:p>
            <w:pPr>
              <w:spacing w:after="20"/>
            </w:pPr>
            <w:r>
              <w:rPr>
                <w:color w:val="1C3A36"/>
                <w:sz w:val="14"/>
              </w:rPr>
              <w:t>34,740,066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revenue less cost of revenues, both as stated</w:t>
            </w:r>
          </w:p>
        </w:tc>
        <w:tc>
          <w:tcPr>
            <w:tcW w:type="dxa" w:w="1066"/>
          </w:tcPr>
          <w:p>
            <w:pPr>
              <w:spacing w:after="20"/>
            </w:pPr>
            <w:r>
              <w:rPr>
                <w:color w:val="1C3A36"/>
                <w:sz w:val="14"/>
              </w:rPr>
              <w:t>2024-12-31</w:t>
            </w:r>
          </w:p>
        </w:tc>
      </w:tr>
      <w:tr>
        <w:tc>
          <w:tcPr>
            <w:tcW w:type="dxa" w:w="505"/>
          </w:tcPr>
          <w:p>
            <w:pPr>
              <w:spacing w:after="20"/>
            </w:pPr>
            <w:r>
              <w:rPr>
                <w:color w:val="1C3A36"/>
                <w:sz w:val="14"/>
              </w:rPr>
              <w:t>62</w:t>
            </w:r>
          </w:p>
        </w:tc>
        <w:tc>
          <w:tcPr>
            <w:tcW w:type="dxa" w:w="1236"/>
          </w:tcPr>
          <w:p>
            <w:pPr>
              <w:spacing w:after="20"/>
            </w:pPr>
            <w:r>
              <w:rPr>
                <w:color w:val="1C3A36"/>
                <w:sz w:val="14"/>
              </w:rPr>
              <w:t>gp fy2024</w:t>
            </w:r>
          </w:p>
        </w:tc>
        <w:tc>
          <w:tcPr>
            <w:tcW w:type="dxa" w:w="1162"/>
          </w:tcPr>
          <w:p>
            <w:pPr>
              <w:spacing w:after="20"/>
            </w:pPr>
            <w:r>
              <w:rPr>
                <w:color w:val="1C3A36"/>
                <w:sz w:val="14"/>
              </w:rPr>
              <w:t>37,325,924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revenue less cost of revenues, both as stated</w:t>
            </w:r>
          </w:p>
        </w:tc>
        <w:tc>
          <w:tcPr>
            <w:tcW w:type="dxa" w:w="1066"/>
          </w:tcPr>
          <w:p>
            <w:pPr>
              <w:spacing w:after="20"/>
            </w:pPr>
            <w:r>
              <w:rPr>
                <w:color w:val="1C3A36"/>
                <w:sz w:val="14"/>
              </w:rPr>
              <w:t>2025-12-31</w:t>
            </w:r>
          </w:p>
        </w:tc>
      </w:tr>
      <w:tr>
        <w:tc>
          <w:tcPr>
            <w:tcW w:type="dxa" w:w="505"/>
          </w:tcPr>
          <w:p>
            <w:pPr>
              <w:spacing w:after="20"/>
            </w:pPr>
            <w:r>
              <w:rPr>
                <w:color w:val="1C3A36"/>
                <w:sz w:val="14"/>
              </w:rPr>
              <w:t>63</w:t>
            </w:r>
          </w:p>
        </w:tc>
        <w:tc>
          <w:tcPr>
            <w:tcW w:type="dxa" w:w="1236"/>
          </w:tcPr>
          <w:p>
            <w:pPr>
              <w:spacing w:after="20"/>
            </w:pPr>
            <w:r>
              <w:rPr>
                <w:color w:val="1C3A36"/>
                <w:sz w:val="14"/>
              </w:rPr>
              <w:t>gp fy2025</w:t>
            </w:r>
          </w:p>
        </w:tc>
        <w:tc>
          <w:tcPr>
            <w:tcW w:type="dxa" w:w="1162"/>
          </w:tcPr>
          <w:p>
            <w:pPr>
              <w:spacing w:after="20"/>
            </w:pPr>
            <w:r>
              <w:rPr>
                <w:color w:val="1C3A36"/>
                <w:sz w:val="14"/>
              </w:rPr>
              <w:t>37,699,689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revenue less cost of revenues, both as stated</w:t>
            </w:r>
          </w:p>
        </w:tc>
        <w:tc>
          <w:tcPr>
            <w:tcW w:type="dxa" w:w="1066"/>
          </w:tcPr>
          <w:p>
            <w:pPr>
              <w:spacing w:after="20"/>
            </w:pPr>
            <w:r>
              <w:rPr>
                <w:color w:val="1C3A36"/>
                <w:sz w:val="14"/>
              </w:rPr>
              <w:t>2025-12-31</w:t>
            </w:r>
          </w:p>
        </w:tc>
      </w:tr>
      <w:tr>
        <w:tc>
          <w:tcPr>
            <w:tcW w:type="dxa" w:w="505"/>
          </w:tcPr>
          <w:p>
            <w:pPr>
              <w:spacing w:after="20"/>
            </w:pPr>
            <w:r>
              <w:rPr>
                <w:color w:val="1C3A36"/>
                <w:sz w:val="14"/>
              </w:rPr>
              <w:t>64</w:t>
            </w:r>
          </w:p>
        </w:tc>
        <w:tc>
          <w:tcPr>
            <w:tcW w:type="dxa" w:w="1236"/>
          </w:tcPr>
          <w:p>
            <w:pPr>
              <w:spacing w:after="20"/>
            </w:pPr>
            <w:r>
              <w:rPr>
                <w:color w:val="1C3A36"/>
                <w:sz w:val="14"/>
              </w:rPr>
              <w:t>gp h1 2025</w:t>
            </w:r>
          </w:p>
        </w:tc>
        <w:tc>
          <w:tcPr>
            <w:tcW w:type="dxa" w:w="1162"/>
          </w:tcPr>
          <w:p>
            <w:pPr>
              <w:spacing w:after="20"/>
            </w:pPr>
            <w:r>
              <w:rPr>
                <w:color w:val="1C3A36"/>
                <w:sz w:val="14"/>
              </w:rPr>
              <w:t>18,657,904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note 4, comparative period</w:t>
            </w:r>
          </w:p>
        </w:tc>
        <w:tc>
          <w:tcPr>
            <w:tcW w:type="dxa" w:w="1066"/>
          </w:tcPr>
          <w:p>
            <w:pPr>
              <w:spacing w:after="20"/>
            </w:pPr>
            <w:r>
              <w:rPr>
                <w:color w:val="1C3A36"/>
                <w:sz w:val="14"/>
              </w:rPr>
              <w:t>2026-06-30</w:t>
            </w:r>
          </w:p>
        </w:tc>
      </w:tr>
      <w:tr>
        <w:tc>
          <w:tcPr>
            <w:tcW w:type="dxa" w:w="505"/>
          </w:tcPr>
          <w:p>
            <w:pPr>
              <w:spacing w:after="20"/>
            </w:pPr>
            <w:r>
              <w:rPr>
                <w:color w:val="1C3A36"/>
                <w:sz w:val="14"/>
              </w:rPr>
              <w:t>65</w:t>
            </w:r>
          </w:p>
        </w:tc>
        <w:tc>
          <w:tcPr>
            <w:tcW w:type="dxa" w:w="1236"/>
          </w:tcPr>
          <w:p>
            <w:pPr>
              <w:spacing w:after="20"/>
            </w:pPr>
            <w:r>
              <w:rPr>
                <w:color w:val="1C3A36"/>
                <w:sz w:val="14"/>
              </w:rPr>
              <w:t>gp h1 2026</w:t>
            </w:r>
          </w:p>
        </w:tc>
        <w:tc>
          <w:tcPr>
            <w:tcW w:type="dxa" w:w="1162"/>
          </w:tcPr>
          <w:p>
            <w:pPr>
              <w:spacing w:after="20"/>
            </w:pPr>
            <w:r>
              <w:rPr>
                <w:color w:val="1C3A36"/>
                <w:sz w:val="14"/>
              </w:rPr>
              <w:t>19,637,121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note 4, revenue less cost of operations</w:t>
            </w:r>
          </w:p>
        </w:tc>
        <w:tc>
          <w:tcPr>
            <w:tcW w:type="dxa" w:w="1066"/>
          </w:tcPr>
          <w:p>
            <w:pPr>
              <w:spacing w:after="20"/>
            </w:pPr>
            <w:r>
              <w:rPr>
                <w:color w:val="1C3A36"/>
                <w:sz w:val="14"/>
              </w:rPr>
              <w:t>2026-06-30</w:t>
            </w:r>
          </w:p>
        </w:tc>
      </w:tr>
      <w:tr>
        <w:tc>
          <w:tcPr>
            <w:tcW w:type="dxa" w:w="505"/>
          </w:tcPr>
          <w:p>
            <w:pPr>
              <w:spacing w:after="20"/>
            </w:pPr>
            <w:r>
              <w:rPr>
                <w:color w:val="1C3A36"/>
                <w:sz w:val="14"/>
              </w:rPr>
              <w:t>66</w:t>
            </w:r>
          </w:p>
        </w:tc>
        <w:tc>
          <w:tcPr>
            <w:tcW w:type="dxa" w:w="1236"/>
          </w:tcPr>
          <w:p>
            <w:pPr>
              <w:spacing w:after="20"/>
            </w:pPr>
            <w:r>
              <w:rPr>
                <w:color w:val="1C3A36"/>
                <w:sz w:val="14"/>
              </w:rPr>
              <w:t>gp seg center 3 fy2023</w:t>
            </w:r>
          </w:p>
        </w:tc>
        <w:tc>
          <w:tcPr>
            <w:tcW w:type="dxa" w:w="1162"/>
          </w:tcPr>
          <w:p>
            <w:pPr>
              <w:spacing w:after="20"/>
            </w:pPr>
            <w:r>
              <w:rPr>
                <w:color w:val="1C3A36"/>
                <w:sz w:val="14"/>
              </w:rPr>
              <w:t>483,553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Center 3</w:t>
            </w:r>
          </w:p>
        </w:tc>
        <w:tc>
          <w:tcPr>
            <w:tcW w:type="dxa" w:w="1066"/>
          </w:tcPr>
          <w:p>
            <w:pPr>
              <w:spacing w:after="20"/>
            </w:pPr>
            <w:r>
              <w:rPr>
                <w:color w:val="1C3A36"/>
                <w:sz w:val="14"/>
              </w:rPr>
              <w:t>2024-12-31</w:t>
            </w:r>
          </w:p>
        </w:tc>
      </w:tr>
      <w:tr>
        <w:tc>
          <w:tcPr>
            <w:tcW w:type="dxa" w:w="505"/>
          </w:tcPr>
          <w:p>
            <w:pPr>
              <w:spacing w:after="20"/>
            </w:pPr>
            <w:r>
              <w:rPr>
                <w:color w:val="1C3A36"/>
                <w:sz w:val="14"/>
              </w:rPr>
              <w:t>67</w:t>
            </w:r>
          </w:p>
        </w:tc>
        <w:tc>
          <w:tcPr>
            <w:tcW w:type="dxa" w:w="1236"/>
          </w:tcPr>
          <w:p>
            <w:pPr>
              <w:spacing w:after="20"/>
            </w:pPr>
            <w:r>
              <w:rPr>
                <w:color w:val="1C3A36"/>
                <w:sz w:val="14"/>
              </w:rPr>
              <w:t>gp seg center 3 fy2024</w:t>
            </w:r>
          </w:p>
        </w:tc>
        <w:tc>
          <w:tcPr>
            <w:tcW w:type="dxa" w:w="1162"/>
          </w:tcPr>
          <w:p>
            <w:pPr>
              <w:spacing w:after="20"/>
            </w:pPr>
            <w:r>
              <w:rPr>
                <w:color w:val="1C3A36"/>
                <w:sz w:val="14"/>
              </w:rPr>
              <w:t>747,048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Center 3</w:t>
            </w:r>
          </w:p>
        </w:tc>
        <w:tc>
          <w:tcPr>
            <w:tcW w:type="dxa" w:w="1066"/>
          </w:tcPr>
          <w:p>
            <w:pPr>
              <w:spacing w:after="20"/>
            </w:pPr>
            <w:r>
              <w:rPr>
                <w:color w:val="1C3A36"/>
                <w:sz w:val="14"/>
              </w:rPr>
              <w:t>2025-12-31</w:t>
            </w:r>
          </w:p>
        </w:tc>
      </w:tr>
      <w:tr>
        <w:tc>
          <w:tcPr>
            <w:tcW w:type="dxa" w:w="505"/>
          </w:tcPr>
          <w:p>
            <w:pPr>
              <w:spacing w:after="20"/>
            </w:pPr>
            <w:r>
              <w:rPr>
                <w:color w:val="1C3A36"/>
                <w:sz w:val="14"/>
              </w:rPr>
              <w:t>68</w:t>
            </w:r>
          </w:p>
        </w:tc>
        <w:tc>
          <w:tcPr>
            <w:tcW w:type="dxa" w:w="1236"/>
          </w:tcPr>
          <w:p>
            <w:pPr>
              <w:spacing w:after="20"/>
            </w:pPr>
            <w:r>
              <w:rPr>
                <w:color w:val="1C3A36"/>
                <w:sz w:val="14"/>
              </w:rPr>
              <w:t>gp seg center 3 fy2025</w:t>
            </w:r>
          </w:p>
        </w:tc>
        <w:tc>
          <w:tcPr>
            <w:tcW w:type="dxa" w:w="1162"/>
          </w:tcPr>
          <w:p>
            <w:pPr>
              <w:spacing w:after="20"/>
            </w:pPr>
            <w:r>
              <w:rPr>
                <w:color w:val="1C3A36"/>
                <w:sz w:val="14"/>
              </w:rPr>
              <w:t>818,319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Center 3</w:t>
            </w:r>
          </w:p>
        </w:tc>
        <w:tc>
          <w:tcPr>
            <w:tcW w:type="dxa" w:w="1066"/>
          </w:tcPr>
          <w:p>
            <w:pPr>
              <w:spacing w:after="20"/>
            </w:pPr>
            <w:r>
              <w:rPr>
                <w:color w:val="1C3A36"/>
                <w:sz w:val="14"/>
              </w:rPr>
              <w:t>2025-12-31</w:t>
            </w:r>
          </w:p>
        </w:tc>
      </w:tr>
      <w:tr>
        <w:tc>
          <w:tcPr>
            <w:tcW w:type="dxa" w:w="505"/>
          </w:tcPr>
          <w:p>
            <w:pPr>
              <w:spacing w:after="20"/>
            </w:pPr>
            <w:r>
              <w:rPr>
                <w:color w:val="1C3A36"/>
                <w:sz w:val="14"/>
              </w:rPr>
              <w:t>69</w:t>
            </w:r>
          </w:p>
        </w:tc>
        <w:tc>
          <w:tcPr>
            <w:tcW w:type="dxa" w:w="1236"/>
          </w:tcPr>
          <w:p>
            <w:pPr>
              <w:spacing w:after="20"/>
            </w:pPr>
            <w:r>
              <w:rPr>
                <w:color w:val="1C3A36"/>
                <w:sz w:val="14"/>
              </w:rPr>
              <w:t>gp seg channels fy2023</w:t>
            </w:r>
          </w:p>
        </w:tc>
        <w:tc>
          <w:tcPr>
            <w:tcW w:type="dxa" w:w="1162"/>
          </w:tcPr>
          <w:p>
            <w:pPr>
              <w:spacing w:after="20"/>
            </w:pPr>
            <w:r>
              <w:rPr>
                <w:color w:val="1C3A36"/>
                <w:sz w:val="14"/>
              </w:rPr>
              <w:t>3,083,568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Channels</w:t>
            </w:r>
          </w:p>
        </w:tc>
        <w:tc>
          <w:tcPr>
            <w:tcW w:type="dxa" w:w="1066"/>
          </w:tcPr>
          <w:p>
            <w:pPr>
              <w:spacing w:after="20"/>
            </w:pPr>
            <w:r>
              <w:rPr>
                <w:color w:val="1C3A36"/>
                <w:sz w:val="14"/>
              </w:rPr>
              <w:t>2024-12-31</w:t>
            </w:r>
          </w:p>
        </w:tc>
      </w:tr>
      <w:tr>
        <w:tc>
          <w:tcPr>
            <w:tcW w:type="dxa" w:w="505"/>
          </w:tcPr>
          <w:p>
            <w:pPr>
              <w:spacing w:after="20"/>
            </w:pPr>
            <w:r>
              <w:rPr>
                <w:color w:val="1C3A36"/>
                <w:sz w:val="14"/>
              </w:rPr>
              <w:t>70</w:t>
            </w:r>
          </w:p>
        </w:tc>
        <w:tc>
          <w:tcPr>
            <w:tcW w:type="dxa" w:w="1236"/>
          </w:tcPr>
          <w:p>
            <w:pPr>
              <w:spacing w:after="20"/>
            </w:pPr>
            <w:r>
              <w:rPr>
                <w:color w:val="1C3A36"/>
                <w:sz w:val="14"/>
              </w:rPr>
              <w:t>gp seg channels fy2024</w:t>
            </w:r>
          </w:p>
        </w:tc>
        <w:tc>
          <w:tcPr>
            <w:tcW w:type="dxa" w:w="1162"/>
          </w:tcPr>
          <w:p>
            <w:pPr>
              <w:spacing w:after="20"/>
            </w:pPr>
            <w:r>
              <w:rPr>
                <w:color w:val="1C3A36"/>
                <w:sz w:val="14"/>
              </w:rPr>
              <w:t>3,365,489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Channels</w:t>
            </w:r>
          </w:p>
        </w:tc>
        <w:tc>
          <w:tcPr>
            <w:tcW w:type="dxa" w:w="1066"/>
          </w:tcPr>
          <w:p>
            <w:pPr>
              <w:spacing w:after="20"/>
            </w:pPr>
            <w:r>
              <w:rPr>
                <w:color w:val="1C3A36"/>
                <w:sz w:val="14"/>
              </w:rPr>
              <w:t>2025-12-31</w:t>
            </w:r>
          </w:p>
        </w:tc>
      </w:tr>
      <w:tr>
        <w:tc>
          <w:tcPr>
            <w:tcW w:type="dxa" w:w="505"/>
          </w:tcPr>
          <w:p>
            <w:pPr>
              <w:spacing w:after="20"/>
            </w:pPr>
            <w:r>
              <w:rPr>
                <w:color w:val="1C3A36"/>
                <w:sz w:val="14"/>
              </w:rPr>
              <w:t>71</w:t>
            </w:r>
          </w:p>
        </w:tc>
        <w:tc>
          <w:tcPr>
            <w:tcW w:type="dxa" w:w="1236"/>
          </w:tcPr>
          <w:p>
            <w:pPr>
              <w:spacing w:after="20"/>
            </w:pPr>
            <w:r>
              <w:rPr>
                <w:color w:val="1C3A36"/>
                <w:sz w:val="14"/>
              </w:rPr>
              <w:t>gp seg channels fy2025</w:t>
            </w:r>
          </w:p>
        </w:tc>
        <w:tc>
          <w:tcPr>
            <w:tcW w:type="dxa" w:w="1162"/>
          </w:tcPr>
          <w:p>
            <w:pPr>
              <w:spacing w:after="20"/>
            </w:pPr>
            <w:r>
              <w:rPr>
                <w:color w:val="1C3A36"/>
                <w:sz w:val="14"/>
              </w:rPr>
              <w:t>3,429,410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Channels</w:t>
            </w:r>
          </w:p>
        </w:tc>
        <w:tc>
          <w:tcPr>
            <w:tcW w:type="dxa" w:w="1066"/>
          </w:tcPr>
          <w:p>
            <w:pPr>
              <w:spacing w:after="20"/>
            </w:pPr>
            <w:r>
              <w:rPr>
                <w:color w:val="1C3A36"/>
                <w:sz w:val="14"/>
              </w:rPr>
              <w:t>2025-12-31</w:t>
            </w:r>
          </w:p>
        </w:tc>
      </w:tr>
      <w:tr>
        <w:tc>
          <w:tcPr>
            <w:tcW w:type="dxa" w:w="505"/>
          </w:tcPr>
          <w:p>
            <w:pPr>
              <w:spacing w:after="20"/>
            </w:pPr>
            <w:r>
              <w:rPr>
                <w:color w:val="1C3A36"/>
                <w:sz w:val="14"/>
              </w:rPr>
              <w:t>72</w:t>
            </w:r>
          </w:p>
        </w:tc>
        <w:tc>
          <w:tcPr>
            <w:tcW w:type="dxa" w:w="1236"/>
          </w:tcPr>
          <w:p>
            <w:pPr>
              <w:spacing w:after="20"/>
            </w:pPr>
            <w:r>
              <w:rPr>
                <w:color w:val="1C3A36"/>
                <w:sz w:val="14"/>
              </w:rPr>
              <w:t>gp seg eliminations adjustments fy2023</w:t>
            </w:r>
          </w:p>
        </w:tc>
        <w:tc>
          <w:tcPr>
            <w:tcW w:type="dxa" w:w="1162"/>
          </w:tcPr>
          <w:p>
            <w:pPr>
              <w:spacing w:after="20"/>
            </w:pPr>
            <w:r>
              <w:rPr>
                <w:color w:val="1C3A36"/>
                <w:sz w:val="14"/>
              </w:rPr>
              <w:t>-5,555,604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Eliminations / adjustments</w:t>
            </w:r>
          </w:p>
        </w:tc>
        <w:tc>
          <w:tcPr>
            <w:tcW w:type="dxa" w:w="1066"/>
          </w:tcPr>
          <w:p>
            <w:pPr>
              <w:spacing w:after="20"/>
            </w:pPr>
            <w:r>
              <w:rPr>
                <w:color w:val="1C3A36"/>
                <w:sz w:val="14"/>
              </w:rPr>
              <w:t>2024-12-31</w:t>
            </w:r>
          </w:p>
        </w:tc>
      </w:tr>
      <w:tr>
        <w:tc>
          <w:tcPr>
            <w:tcW w:type="dxa" w:w="505"/>
          </w:tcPr>
          <w:p>
            <w:pPr>
              <w:spacing w:after="20"/>
            </w:pPr>
            <w:r>
              <w:rPr>
                <w:color w:val="1C3A36"/>
                <w:sz w:val="14"/>
              </w:rPr>
              <w:t>73</w:t>
            </w:r>
          </w:p>
        </w:tc>
        <w:tc>
          <w:tcPr>
            <w:tcW w:type="dxa" w:w="1236"/>
          </w:tcPr>
          <w:p>
            <w:pPr>
              <w:spacing w:after="20"/>
            </w:pPr>
            <w:r>
              <w:rPr>
                <w:color w:val="1C3A36"/>
                <w:sz w:val="14"/>
              </w:rPr>
              <w:t>gp seg eliminations adjustments fy2024</w:t>
            </w:r>
          </w:p>
        </w:tc>
        <w:tc>
          <w:tcPr>
            <w:tcW w:type="dxa" w:w="1162"/>
          </w:tcPr>
          <w:p>
            <w:pPr>
              <w:spacing w:after="20"/>
            </w:pPr>
            <w:r>
              <w:rPr>
                <w:color w:val="1C3A36"/>
                <w:sz w:val="14"/>
              </w:rPr>
              <w:t>-5,290,124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Eliminations / adjustments</w:t>
            </w:r>
          </w:p>
        </w:tc>
        <w:tc>
          <w:tcPr>
            <w:tcW w:type="dxa" w:w="1066"/>
          </w:tcPr>
          <w:p>
            <w:pPr>
              <w:spacing w:after="20"/>
            </w:pPr>
            <w:r>
              <w:rPr>
                <w:color w:val="1C3A36"/>
                <w:sz w:val="14"/>
              </w:rPr>
              <w:t>2025-12-31</w:t>
            </w:r>
          </w:p>
        </w:tc>
      </w:tr>
      <w:tr>
        <w:tc>
          <w:tcPr>
            <w:tcW w:type="dxa" w:w="505"/>
          </w:tcPr>
          <w:p>
            <w:pPr>
              <w:spacing w:after="20"/>
            </w:pPr>
            <w:r>
              <w:rPr>
                <w:color w:val="1C3A36"/>
                <w:sz w:val="14"/>
              </w:rPr>
              <w:t>74</w:t>
            </w:r>
          </w:p>
        </w:tc>
        <w:tc>
          <w:tcPr>
            <w:tcW w:type="dxa" w:w="1236"/>
          </w:tcPr>
          <w:p>
            <w:pPr>
              <w:spacing w:after="20"/>
            </w:pPr>
            <w:r>
              <w:rPr>
                <w:color w:val="1C3A36"/>
                <w:sz w:val="14"/>
              </w:rPr>
              <w:t>gp seg eliminations adjustments fy2025</w:t>
            </w:r>
          </w:p>
        </w:tc>
        <w:tc>
          <w:tcPr>
            <w:tcW w:type="dxa" w:w="1162"/>
          </w:tcPr>
          <w:p>
            <w:pPr>
              <w:spacing w:after="20"/>
            </w:pPr>
            <w:r>
              <w:rPr>
                <w:color w:val="1C3A36"/>
                <w:sz w:val="14"/>
              </w:rPr>
              <w:t>-4,584,783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Eliminations / adjustments</w:t>
            </w:r>
          </w:p>
        </w:tc>
        <w:tc>
          <w:tcPr>
            <w:tcW w:type="dxa" w:w="1066"/>
          </w:tcPr>
          <w:p>
            <w:pPr>
              <w:spacing w:after="20"/>
            </w:pPr>
            <w:r>
              <w:rPr>
                <w:color w:val="1C3A36"/>
                <w:sz w:val="14"/>
              </w:rPr>
              <w:t>2025-12-31</w:t>
            </w:r>
          </w:p>
        </w:tc>
      </w:tr>
      <w:tr>
        <w:tc>
          <w:tcPr>
            <w:tcW w:type="dxa" w:w="505"/>
          </w:tcPr>
          <w:p>
            <w:pPr>
              <w:spacing w:after="20"/>
            </w:pPr>
            <w:r>
              <w:rPr>
                <w:color w:val="1C3A36"/>
                <w:sz w:val="14"/>
              </w:rPr>
              <w:t>75</w:t>
            </w:r>
          </w:p>
        </w:tc>
        <w:tc>
          <w:tcPr>
            <w:tcW w:type="dxa" w:w="1236"/>
          </w:tcPr>
          <w:p>
            <w:pPr>
              <w:spacing w:after="20"/>
            </w:pPr>
            <w:r>
              <w:rPr>
                <w:color w:val="1C3A36"/>
                <w:sz w:val="14"/>
              </w:rPr>
              <w:t>gp seg iot2 fy2023</w:t>
            </w:r>
          </w:p>
        </w:tc>
        <w:tc>
          <w:tcPr>
            <w:tcW w:type="dxa" w:w="1162"/>
          </w:tcPr>
          <w:p>
            <w:pPr>
              <w:spacing w:after="20"/>
            </w:pPr>
            <w:r>
              <w:rPr>
                <w:color w:val="1C3A36"/>
                <w:sz w:val="14"/>
              </w:rPr>
              <w:t>26,948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iot2</w:t>
            </w:r>
          </w:p>
        </w:tc>
        <w:tc>
          <w:tcPr>
            <w:tcW w:type="dxa" w:w="1066"/>
          </w:tcPr>
          <w:p>
            <w:pPr>
              <w:spacing w:after="20"/>
            </w:pPr>
            <w:r>
              <w:rPr>
                <w:color w:val="1C3A36"/>
                <w:sz w:val="14"/>
              </w:rPr>
              <w:t>2024-12-31</w:t>
            </w:r>
          </w:p>
        </w:tc>
      </w:tr>
      <w:tr>
        <w:tc>
          <w:tcPr>
            <w:tcW w:type="dxa" w:w="505"/>
          </w:tcPr>
          <w:p>
            <w:pPr>
              <w:spacing w:after="20"/>
            </w:pPr>
            <w:r>
              <w:rPr>
                <w:color w:val="1C3A36"/>
                <w:sz w:val="14"/>
              </w:rPr>
              <w:t>76</w:t>
            </w:r>
          </w:p>
        </w:tc>
        <w:tc>
          <w:tcPr>
            <w:tcW w:type="dxa" w:w="1236"/>
          </w:tcPr>
          <w:p>
            <w:pPr>
              <w:spacing w:after="20"/>
            </w:pPr>
            <w:r>
              <w:rPr>
                <w:color w:val="1C3A36"/>
                <w:sz w:val="14"/>
              </w:rPr>
              <w:t>gp seg iot2 fy2024</w:t>
            </w:r>
          </w:p>
        </w:tc>
        <w:tc>
          <w:tcPr>
            <w:tcW w:type="dxa" w:w="1162"/>
          </w:tcPr>
          <w:p>
            <w:pPr>
              <w:spacing w:after="20"/>
            </w:pPr>
            <w:r>
              <w:rPr>
                <w:color w:val="1C3A36"/>
                <w:sz w:val="14"/>
              </w:rPr>
              <w:t>88,538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iot2</w:t>
            </w:r>
          </w:p>
        </w:tc>
        <w:tc>
          <w:tcPr>
            <w:tcW w:type="dxa" w:w="1066"/>
          </w:tcPr>
          <w:p>
            <w:pPr>
              <w:spacing w:after="20"/>
            </w:pPr>
            <w:r>
              <w:rPr>
                <w:color w:val="1C3A36"/>
                <w:sz w:val="14"/>
              </w:rPr>
              <w:t>2025-12-31</w:t>
            </w:r>
          </w:p>
        </w:tc>
      </w:tr>
      <w:tr>
        <w:tc>
          <w:tcPr>
            <w:tcW w:type="dxa" w:w="505"/>
          </w:tcPr>
          <w:p>
            <w:pPr>
              <w:spacing w:after="20"/>
            </w:pPr>
            <w:r>
              <w:rPr>
                <w:color w:val="1C3A36"/>
                <w:sz w:val="14"/>
              </w:rPr>
              <w:t>77</w:t>
            </w:r>
          </w:p>
        </w:tc>
        <w:tc>
          <w:tcPr>
            <w:tcW w:type="dxa" w:w="1236"/>
          </w:tcPr>
          <w:p>
            <w:pPr>
              <w:spacing w:after="20"/>
            </w:pPr>
            <w:r>
              <w:rPr>
                <w:color w:val="1C3A36"/>
                <w:sz w:val="14"/>
              </w:rPr>
              <w:t>gp seg iot2 fy2025</w:t>
            </w:r>
          </w:p>
        </w:tc>
        <w:tc>
          <w:tcPr>
            <w:tcW w:type="dxa" w:w="1162"/>
          </w:tcPr>
          <w:p>
            <w:pPr>
              <w:spacing w:after="20"/>
            </w:pPr>
            <w:r>
              <w:rPr>
                <w:color w:val="1C3A36"/>
                <w:sz w:val="14"/>
              </w:rPr>
              <w:t>71,617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iot2</w:t>
            </w:r>
          </w:p>
        </w:tc>
        <w:tc>
          <w:tcPr>
            <w:tcW w:type="dxa" w:w="1066"/>
          </w:tcPr>
          <w:p>
            <w:pPr>
              <w:spacing w:after="20"/>
            </w:pPr>
            <w:r>
              <w:rPr>
                <w:color w:val="1C3A36"/>
                <w:sz w:val="14"/>
              </w:rPr>
              <w:t>2025-12-31</w:t>
            </w:r>
          </w:p>
        </w:tc>
      </w:tr>
      <w:tr>
        <w:tc>
          <w:tcPr>
            <w:tcW w:type="dxa" w:w="505"/>
          </w:tcPr>
          <w:p>
            <w:pPr>
              <w:spacing w:after="20"/>
            </w:pPr>
            <w:r>
              <w:rPr>
                <w:color w:val="1C3A36"/>
                <w:sz w:val="14"/>
              </w:rPr>
              <w:t>78</w:t>
            </w:r>
          </w:p>
        </w:tc>
        <w:tc>
          <w:tcPr>
            <w:tcW w:type="dxa" w:w="1236"/>
          </w:tcPr>
          <w:p>
            <w:pPr>
              <w:spacing w:after="20"/>
            </w:pPr>
            <w:r>
              <w:rPr>
                <w:color w:val="1C3A36"/>
                <w:sz w:val="14"/>
              </w:rPr>
              <w:t>gp seg other operating segments fy2023</w:t>
            </w:r>
          </w:p>
        </w:tc>
        <w:tc>
          <w:tcPr>
            <w:tcW w:type="dxa" w:w="1162"/>
          </w:tcPr>
          <w:p>
            <w:pPr>
              <w:spacing w:after="20"/>
            </w:pPr>
            <w:r>
              <w:rPr>
                <w:color w:val="1C3A36"/>
                <w:sz w:val="14"/>
              </w:rPr>
              <w:t>506,492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Other operating segments</w:t>
            </w:r>
          </w:p>
        </w:tc>
        <w:tc>
          <w:tcPr>
            <w:tcW w:type="dxa" w:w="1066"/>
          </w:tcPr>
          <w:p>
            <w:pPr>
              <w:spacing w:after="20"/>
            </w:pPr>
            <w:r>
              <w:rPr>
                <w:color w:val="1C3A36"/>
                <w:sz w:val="14"/>
              </w:rPr>
              <w:t>2024-12-31</w:t>
            </w:r>
          </w:p>
        </w:tc>
      </w:tr>
      <w:tr>
        <w:tc>
          <w:tcPr>
            <w:tcW w:type="dxa" w:w="505"/>
          </w:tcPr>
          <w:p>
            <w:pPr>
              <w:spacing w:after="20"/>
            </w:pPr>
            <w:r>
              <w:rPr>
                <w:color w:val="1C3A36"/>
                <w:sz w:val="14"/>
              </w:rPr>
              <w:t>79</w:t>
            </w:r>
          </w:p>
        </w:tc>
        <w:tc>
          <w:tcPr>
            <w:tcW w:type="dxa" w:w="1236"/>
          </w:tcPr>
          <w:p>
            <w:pPr>
              <w:spacing w:after="20"/>
            </w:pPr>
            <w:r>
              <w:rPr>
                <w:color w:val="1C3A36"/>
                <w:sz w:val="14"/>
              </w:rPr>
              <w:t>gp seg other operating segments fy2024</w:t>
            </w:r>
          </w:p>
        </w:tc>
        <w:tc>
          <w:tcPr>
            <w:tcW w:type="dxa" w:w="1162"/>
          </w:tcPr>
          <w:p>
            <w:pPr>
              <w:spacing w:after="20"/>
            </w:pPr>
            <w:r>
              <w:rPr>
                <w:color w:val="1C3A36"/>
                <w:sz w:val="14"/>
              </w:rPr>
              <w:t>505,609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Other operating segments</w:t>
            </w:r>
          </w:p>
        </w:tc>
        <w:tc>
          <w:tcPr>
            <w:tcW w:type="dxa" w:w="1066"/>
          </w:tcPr>
          <w:p>
            <w:pPr>
              <w:spacing w:after="20"/>
            </w:pPr>
            <w:r>
              <w:rPr>
                <w:color w:val="1C3A36"/>
                <w:sz w:val="14"/>
              </w:rPr>
              <w:t>2025-12-31</w:t>
            </w:r>
          </w:p>
        </w:tc>
      </w:tr>
      <w:tr>
        <w:tc>
          <w:tcPr>
            <w:tcW w:type="dxa" w:w="505"/>
          </w:tcPr>
          <w:p>
            <w:pPr>
              <w:spacing w:after="20"/>
            </w:pPr>
            <w:r>
              <w:rPr>
                <w:color w:val="1C3A36"/>
                <w:sz w:val="14"/>
              </w:rPr>
              <w:t>80</w:t>
            </w:r>
          </w:p>
        </w:tc>
        <w:tc>
          <w:tcPr>
            <w:tcW w:type="dxa" w:w="1236"/>
          </w:tcPr>
          <w:p>
            <w:pPr>
              <w:spacing w:after="20"/>
            </w:pPr>
            <w:r>
              <w:rPr>
                <w:color w:val="1C3A36"/>
                <w:sz w:val="14"/>
              </w:rPr>
              <w:t>gp seg other operating segments fy2025</w:t>
            </w:r>
          </w:p>
        </w:tc>
        <w:tc>
          <w:tcPr>
            <w:tcW w:type="dxa" w:w="1162"/>
          </w:tcPr>
          <w:p>
            <w:pPr>
              <w:spacing w:after="20"/>
            </w:pPr>
            <w:r>
              <w:rPr>
                <w:color w:val="1C3A36"/>
                <w:sz w:val="14"/>
              </w:rPr>
              <w:t>34,055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Other operating segments</w:t>
            </w:r>
          </w:p>
        </w:tc>
        <w:tc>
          <w:tcPr>
            <w:tcW w:type="dxa" w:w="1066"/>
          </w:tcPr>
          <w:p>
            <w:pPr>
              <w:spacing w:after="20"/>
            </w:pPr>
            <w:r>
              <w:rPr>
                <w:color w:val="1C3A36"/>
                <w:sz w:val="14"/>
              </w:rPr>
              <w:t>2025-12-31</w:t>
            </w:r>
          </w:p>
        </w:tc>
      </w:tr>
      <w:tr>
        <w:tc>
          <w:tcPr>
            <w:tcW w:type="dxa" w:w="505"/>
          </w:tcPr>
          <w:p>
            <w:pPr>
              <w:spacing w:after="20"/>
            </w:pPr>
            <w:r>
              <w:rPr>
                <w:color w:val="1C3A36"/>
                <w:sz w:val="14"/>
              </w:rPr>
              <w:t>81</w:t>
            </w:r>
          </w:p>
        </w:tc>
        <w:tc>
          <w:tcPr>
            <w:tcW w:type="dxa" w:w="1236"/>
          </w:tcPr>
          <w:p>
            <w:pPr>
              <w:spacing w:after="20"/>
            </w:pPr>
            <w:r>
              <w:rPr>
                <w:color w:val="1C3A36"/>
                <w:sz w:val="14"/>
              </w:rPr>
              <w:t>gp seg sccc fy2023</w:t>
            </w:r>
          </w:p>
        </w:tc>
        <w:tc>
          <w:tcPr>
            <w:tcW w:type="dxa" w:w="1162"/>
          </w:tcPr>
          <w:p>
            <w:pPr>
              <w:spacing w:after="20"/>
            </w:pPr>
            <w:r>
              <w:rPr>
                <w:color w:val="1C3A36"/>
                <w:sz w:val="14"/>
              </w:rPr>
              <w:t>-70,021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SCCC</w:t>
            </w:r>
          </w:p>
        </w:tc>
        <w:tc>
          <w:tcPr>
            <w:tcW w:type="dxa" w:w="1066"/>
          </w:tcPr>
          <w:p>
            <w:pPr>
              <w:spacing w:after="20"/>
            </w:pPr>
            <w:r>
              <w:rPr>
                <w:color w:val="1C3A36"/>
                <w:sz w:val="14"/>
              </w:rPr>
              <w:t>2024-12-31</w:t>
            </w:r>
          </w:p>
        </w:tc>
      </w:tr>
      <w:tr>
        <w:tc>
          <w:tcPr>
            <w:tcW w:type="dxa" w:w="505"/>
          </w:tcPr>
          <w:p>
            <w:pPr>
              <w:spacing w:after="20"/>
            </w:pPr>
            <w:r>
              <w:rPr>
                <w:color w:val="1C3A36"/>
                <w:sz w:val="14"/>
              </w:rPr>
              <w:t>82</w:t>
            </w:r>
          </w:p>
        </w:tc>
        <w:tc>
          <w:tcPr>
            <w:tcW w:type="dxa" w:w="1236"/>
          </w:tcPr>
          <w:p>
            <w:pPr>
              <w:spacing w:after="20"/>
            </w:pPr>
            <w:r>
              <w:rPr>
                <w:color w:val="1C3A36"/>
                <w:sz w:val="14"/>
              </w:rPr>
              <w:t>gp seg sccc fy2024</w:t>
            </w:r>
          </w:p>
        </w:tc>
        <w:tc>
          <w:tcPr>
            <w:tcW w:type="dxa" w:w="1162"/>
          </w:tcPr>
          <w:p>
            <w:pPr>
              <w:spacing w:after="20"/>
            </w:pPr>
            <w:r>
              <w:rPr>
                <w:color w:val="1C3A36"/>
                <w:sz w:val="14"/>
              </w:rPr>
              <w:t>-18,539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SCCC</w:t>
            </w:r>
          </w:p>
        </w:tc>
        <w:tc>
          <w:tcPr>
            <w:tcW w:type="dxa" w:w="1066"/>
          </w:tcPr>
          <w:p>
            <w:pPr>
              <w:spacing w:after="20"/>
            </w:pPr>
            <w:r>
              <w:rPr>
                <w:color w:val="1C3A36"/>
                <w:sz w:val="14"/>
              </w:rPr>
              <w:t>2025-12-31</w:t>
            </w:r>
          </w:p>
        </w:tc>
      </w:tr>
      <w:tr>
        <w:tc>
          <w:tcPr>
            <w:tcW w:type="dxa" w:w="505"/>
          </w:tcPr>
          <w:p>
            <w:pPr>
              <w:spacing w:after="20"/>
            </w:pPr>
            <w:r>
              <w:rPr>
                <w:color w:val="1C3A36"/>
                <w:sz w:val="14"/>
              </w:rPr>
              <w:t>83</w:t>
            </w:r>
          </w:p>
        </w:tc>
        <w:tc>
          <w:tcPr>
            <w:tcW w:type="dxa" w:w="1236"/>
          </w:tcPr>
          <w:p>
            <w:pPr>
              <w:spacing w:after="20"/>
            </w:pPr>
            <w:r>
              <w:rPr>
                <w:color w:val="1C3A36"/>
                <w:sz w:val="14"/>
              </w:rPr>
              <w:t>gp seg sccc fy2025</w:t>
            </w:r>
          </w:p>
        </w:tc>
        <w:tc>
          <w:tcPr>
            <w:tcW w:type="dxa" w:w="1162"/>
          </w:tcPr>
          <w:p>
            <w:pPr>
              <w:spacing w:after="20"/>
            </w:pPr>
            <w:r>
              <w:rPr>
                <w:color w:val="1C3A36"/>
                <w:sz w:val="14"/>
              </w:rPr>
              <w:t>78,538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SCCC</w:t>
            </w:r>
          </w:p>
        </w:tc>
        <w:tc>
          <w:tcPr>
            <w:tcW w:type="dxa" w:w="1066"/>
          </w:tcPr>
          <w:p>
            <w:pPr>
              <w:spacing w:after="20"/>
            </w:pPr>
            <w:r>
              <w:rPr>
                <w:color w:val="1C3A36"/>
                <w:sz w:val="14"/>
              </w:rPr>
              <w:t>2025-12-31</w:t>
            </w:r>
          </w:p>
        </w:tc>
      </w:tr>
      <w:tr>
        <w:tc>
          <w:tcPr>
            <w:tcW w:type="dxa" w:w="505"/>
          </w:tcPr>
          <w:p>
            <w:pPr>
              <w:spacing w:after="20"/>
            </w:pPr>
            <w:r>
              <w:rPr>
                <w:color w:val="1C3A36"/>
                <w:sz w:val="14"/>
              </w:rPr>
              <w:t>84</w:t>
            </w:r>
          </w:p>
        </w:tc>
        <w:tc>
          <w:tcPr>
            <w:tcW w:type="dxa" w:w="1236"/>
          </w:tcPr>
          <w:p>
            <w:pPr>
              <w:spacing w:after="20"/>
            </w:pPr>
            <w:r>
              <w:rPr>
                <w:color w:val="1C3A36"/>
                <w:sz w:val="14"/>
              </w:rPr>
              <w:t>gp seg sirar fy2023</w:t>
            </w:r>
          </w:p>
        </w:tc>
        <w:tc>
          <w:tcPr>
            <w:tcW w:type="dxa" w:w="1162"/>
          </w:tcPr>
          <w:p>
            <w:pPr>
              <w:spacing w:after="20"/>
            </w:pPr>
            <w:r>
              <w:rPr>
                <w:color w:val="1C3A36"/>
                <w:sz w:val="14"/>
              </w:rPr>
              <w:t>173,207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Sirar</w:t>
            </w:r>
          </w:p>
        </w:tc>
        <w:tc>
          <w:tcPr>
            <w:tcW w:type="dxa" w:w="1066"/>
          </w:tcPr>
          <w:p>
            <w:pPr>
              <w:spacing w:after="20"/>
            </w:pPr>
            <w:r>
              <w:rPr>
                <w:color w:val="1C3A36"/>
                <w:sz w:val="14"/>
              </w:rPr>
              <w:t>2024-12-31</w:t>
            </w:r>
          </w:p>
        </w:tc>
      </w:tr>
      <w:tr>
        <w:tc>
          <w:tcPr>
            <w:tcW w:type="dxa" w:w="505"/>
          </w:tcPr>
          <w:p>
            <w:pPr>
              <w:spacing w:after="20"/>
            </w:pPr>
            <w:r>
              <w:rPr>
                <w:color w:val="1C3A36"/>
                <w:sz w:val="14"/>
              </w:rPr>
              <w:t>85</w:t>
            </w:r>
          </w:p>
        </w:tc>
        <w:tc>
          <w:tcPr>
            <w:tcW w:type="dxa" w:w="1236"/>
          </w:tcPr>
          <w:p>
            <w:pPr>
              <w:spacing w:after="20"/>
            </w:pPr>
            <w:r>
              <w:rPr>
                <w:color w:val="1C3A36"/>
                <w:sz w:val="14"/>
              </w:rPr>
              <w:t>gp seg sirar fy2024</w:t>
            </w:r>
          </w:p>
        </w:tc>
        <w:tc>
          <w:tcPr>
            <w:tcW w:type="dxa" w:w="1162"/>
          </w:tcPr>
          <w:p>
            <w:pPr>
              <w:spacing w:after="20"/>
            </w:pPr>
            <w:r>
              <w:rPr>
                <w:color w:val="1C3A36"/>
                <w:sz w:val="14"/>
              </w:rPr>
              <w:t>268,317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Sirar</w:t>
            </w:r>
          </w:p>
        </w:tc>
        <w:tc>
          <w:tcPr>
            <w:tcW w:type="dxa" w:w="1066"/>
          </w:tcPr>
          <w:p>
            <w:pPr>
              <w:spacing w:after="20"/>
            </w:pPr>
            <w:r>
              <w:rPr>
                <w:color w:val="1C3A36"/>
                <w:sz w:val="14"/>
              </w:rPr>
              <w:t>2025-12-31</w:t>
            </w:r>
          </w:p>
        </w:tc>
      </w:tr>
      <w:tr>
        <w:tc>
          <w:tcPr>
            <w:tcW w:type="dxa" w:w="505"/>
          </w:tcPr>
          <w:p>
            <w:pPr>
              <w:spacing w:after="20"/>
            </w:pPr>
            <w:r>
              <w:rPr>
                <w:color w:val="1C3A36"/>
                <w:sz w:val="14"/>
              </w:rPr>
              <w:t>86</w:t>
            </w:r>
          </w:p>
        </w:tc>
        <w:tc>
          <w:tcPr>
            <w:tcW w:type="dxa" w:w="1236"/>
          </w:tcPr>
          <w:p>
            <w:pPr>
              <w:spacing w:after="20"/>
            </w:pPr>
            <w:r>
              <w:rPr>
                <w:color w:val="1C3A36"/>
                <w:sz w:val="14"/>
              </w:rPr>
              <w:t>gp seg sirar fy2025</w:t>
            </w:r>
          </w:p>
        </w:tc>
        <w:tc>
          <w:tcPr>
            <w:tcW w:type="dxa" w:w="1162"/>
          </w:tcPr>
          <w:p>
            <w:pPr>
              <w:spacing w:after="20"/>
            </w:pPr>
            <w:r>
              <w:rPr>
                <w:color w:val="1C3A36"/>
                <w:sz w:val="14"/>
              </w:rPr>
              <w:t>283,341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Sirar</w:t>
            </w:r>
          </w:p>
        </w:tc>
        <w:tc>
          <w:tcPr>
            <w:tcW w:type="dxa" w:w="1066"/>
          </w:tcPr>
          <w:p>
            <w:pPr>
              <w:spacing w:after="20"/>
            </w:pPr>
            <w:r>
              <w:rPr>
                <w:color w:val="1C3A36"/>
                <w:sz w:val="14"/>
              </w:rPr>
              <w:t>2025-12-31</w:t>
            </w:r>
          </w:p>
        </w:tc>
      </w:tr>
      <w:tr>
        <w:tc>
          <w:tcPr>
            <w:tcW w:type="dxa" w:w="505"/>
          </w:tcPr>
          <w:p>
            <w:pPr>
              <w:spacing w:after="20"/>
            </w:pPr>
            <w:r>
              <w:rPr>
                <w:color w:val="1C3A36"/>
                <w:sz w:val="14"/>
              </w:rPr>
              <w:t>87</w:t>
            </w:r>
          </w:p>
        </w:tc>
        <w:tc>
          <w:tcPr>
            <w:tcW w:type="dxa" w:w="1236"/>
          </w:tcPr>
          <w:p>
            <w:pPr>
              <w:spacing w:after="20"/>
            </w:pPr>
            <w:r>
              <w:rPr>
                <w:color w:val="1C3A36"/>
                <w:sz w:val="14"/>
              </w:rPr>
              <w:t>gp seg solutions fy2023</w:t>
            </w:r>
          </w:p>
        </w:tc>
        <w:tc>
          <w:tcPr>
            <w:tcW w:type="dxa" w:w="1162"/>
          </w:tcPr>
          <w:p>
            <w:pPr>
              <w:spacing w:after="20"/>
            </w:pPr>
            <w:r>
              <w:rPr>
                <w:color w:val="1C3A36"/>
                <w:sz w:val="14"/>
              </w:rPr>
              <w:t>2,792,163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Solutions</w:t>
            </w:r>
          </w:p>
        </w:tc>
        <w:tc>
          <w:tcPr>
            <w:tcW w:type="dxa" w:w="1066"/>
          </w:tcPr>
          <w:p>
            <w:pPr>
              <w:spacing w:after="20"/>
            </w:pPr>
            <w:r>
              <w:rPr>
                <w:color w:val="1C3A36"/>
                <w:sz w:val="14"/>
              </w:rPr>
              <w:t>2024-12-31</w:t>
            </w:r>
          </w:p>
        </w:tc>
      </w:tr>
      <w:tr>
        <w:tc>
          <w:tcPr>
            <w:tcW w:type="dxa" w:w="505"/>
          </w:tcPr>
          <w:p>
            <w:pPr>
              <w:spacing w:after="20"/>
            </w:pPr>
            <w:r>
              <w:rPr>
                <w:color w:val="1C3A36"/>
                <w:sz w:val="14"/>
              </w:rPr>
              <w:t>88</w:t>
            </w:r>
          </w:p>
        </w:tc>
        <w:tc>
          <w:tcPr>
            <w:tcW w:type="dxa" w:w="1236"/>
          </w:tcPr>
          <w:p>
            <w:pPr>
              <w:spacing w:after="20"/>
            </w:pPr>
            <w:r>
              <w:rPr>
                <w:color w:val="1C3A36"/>
                <w:sz w:val="14"/>
              </w:rPr>
              <w:t>gp seg solutions fy2024</w:t>
            </w:r>
          </w:p>
        </w:tc>
        <w:tc>
          <w:tcPr>
            <w:tcW w:type="dxa" w:w="1162"/>
          </w:tcPr>
          <w:p>
            <w:pPr>
              <w:spacing w:after="20"/>
            </w:pPr>
            <w:r>
              <w:rPr>
                <w:color w:val="1C3A36"/>
                <w:sz w:val="14"/>
              </w:rPr>
              <w:t>2,981,285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Solutions</w:t>
            </w:r>
          </w:p>
        </w:tc>
        <w:tc>
          <w:tcPr>
            <w:tcW w:type="dxa" w:w="1066"/>
          </w:tcPr>
          <w:p>
            <w:pPr>
              <w:spacing w:after="20"/>
            </w:pPr>
            <w:r>
              <w:rPr>
                <w:color w:val="1C3A36"/>
                <w:sz w:val="14"/>
              </w:rPr>
              <w:t>2025-12-31</w:t>
            </w:r>
          </w:p>
        </w:tc>
      </w:tr>
      <w:tr>
        <w:tc>
          <w:tcPr>
            <w:tcW w:type="dxa" w:w="505"/>
          </w:tcPr>
          <w:p>
            <w:pPr>
              <w:spacing w:after="20"/>
            </w:pPr>
            <w:r>
              <w:rPr>
                <w:color w:val="1C3A36"/>
                <w:sz w:val="14"/>
              </w:rPr>
              <w:t>89</w:t>
            </w:r>
          </w:p>
        </w:tc>
        <w:tc>
          <w:tcPr>
            <w:tcW w:type="dxa" w:w="1236"/>
          </w:tcPr>
          <w:p>
            <w:pPr>
              <w:spacing w:after="20"/>
            </w:pPr>
            <w:r>
              <w:rPr>
                <w:color w:val="1C3A36"/>
                <w:sz w:val="14"/>
              </w:rPr>
              <w:t>gp seg solutions fy2025</w:t>
            </w:r>
          </w:p>
        </w:tc>
        <w:tc>
          <w:tcPr>
            <w:tcW w:type="dxa" w:w="1162"/>
          </w:tcPr>
          <w:p>
            <w:pPr>
              <w:spacing w:after="20"/>
            </w:pPr>
            <w:r>
              <w:rPr>
                <w:color w:val="1C3A36"/>
                <w:sz w:val="14"/>
              </w:rPr>
              <w:t>2,932,415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Solutions</w:t>
            </w:r>
          </w:p>
        </w:tc>
        <w:tc>
          <w:tcPr>
            <w:tcW w:type="dxa" w:w="1066"/>
          </w:tcPr>
          <w:p>
            <w:pPr>
              <w:spacing w:after="20"/>
            </w:pPr>
            <w:r>
              <w:rPr>
                <w:color w:val="1C3A36"/>
                <w:sz w:val="14"/>
              </w:rPr>
              <w:t>2025-12-31</w:t>
            </w:r>
          </w:p>
        </w:tc>
      </w:tr>
      <w:tr>
        <w:tc>
          <w:tcPr>
            <w:tcW w:type="dxa" w:w="505"/>
          </w:tcPr>
          <w:p>
            <w:pPr>
              <w:spacing w:after="20"/>
            </w:pPr>
            <w:r>
              <w:rPr>
                <w:color w:val="1C3A36"/>
                <w:sz w:val="14"/>
              </w:rPr>
              <w:t>90</w:t>
            </w:r>
          </w:p>
        </w:tc>
        <w:tc>
          <w:tcPr>
            <w:tcW w:type="dxa" w:w="1236"/>
          </w:tcPr>
          <w:p>
            <w:pPr>
              <w:spacing w:after="20"/>
            </w:pPr>
            <w:r>
              <w:rPr>
                <w:color w:val="1C3A36"/>
                <w:sz w:val="14"/>
              </w:rPr>
              <w:t>gp seg specialized fy2023</w:t>
            </w:r>
          </w:p>
        </w:tc>
        <w:tc>
          <w:tcPr>
            <w:tcW w:type="dxa" w:w="1162"/>
          </w:tcPr>
          <w:p>
            <w:pPr>
              <w:spacing w:after="20"/>
            </w:pPr>
            <w:r>
              <w:rPr>
                <w:color w:val="1C3A36"/>
                <w:sz w:val="14"/>
              </w:rPr>
              <w:t>178,078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Specialized</w:t>
            </w:r>
          </w:p>
        </w:tc>
        <w:tc>
          <w:tcPr>
            <w:tcW w:type="dxa" w:w="1066"/>
          </w:tcPr>
          <w:p>
            <w:pPr>
              <w:spacing w:after="20"/>
            </w:pPr>
            <w:r>
              <w:rPr>
                <w:color w:val="1C3A36"/>
                <w:sz w:val="14"/>
              </w:rPr>
              <w:t>2024-12-31</w:t>
            </w:r>
          </w:p>
        </w:tc>
      </w:tr>
      <w:tr>
        <w:tc>
          <w:tcPr>
            <w:tcW w:type="dxa" w:w="505"/>
          </w:tcPr>
          <w:p>
            <w:pPr>
              <w:spacing w:after="20"/>
            </w:pPr>
            <w:r>
              <w:rPr>
                <w:color w:val="1C3A36"/>
                <w:sz w:val="14"/>
              </w:rPr>
              <w:t>91</w:t>
            </w:r>
          </w:p>
        </w:tc>
        <w:tc>
          <w:tcPr>
            <w:tcW w:type="dxa" w:w="1236"/>
          </w:tcPr>
          <w:p>
            <w:pPr>
              <w:spacing w:after="20"/>
            </w:pPr>
            <w:r>
              <w:rPr>
                <w:color w:val="1C3A36"/>
                <w:sz w:val="14"/>
              </w:rPr>
              <w:t>gp seg specialized fy2024</w:t>
            </w:r>
          </w:p>
        </w:tc>
        <w:tc>
          <w:tcPr>
            <w:tcW w:type="dxa" w:w="1162"/>
          </w:tcPr>
          <w:p>
            <w:pPr>
              <w:spacing w:after="20"/>
            </w:pPr>
            <w:r>
              <w:rPr>
                <w:color w:val="1C3A36"/>
                <w:sz w:val="14"/>
              </w:rPr>
              <w:t>185,327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Specialized</w:t>
            </w:r>
          </w:p>
        </w:tc>
        <w:tc>
          <w:tcPr>
            <w:tcW w:type="dxa" w:w="1066"/>
          </w:tcPr>
          <w:p>
            <w:pPr>
              <w:spacing w:after="20"/>
            </w:pPr>
            <w:r>
              <w:rPr>
                <w:color w:val="1C3A36"/>
                <w:sz w:val="14"/>
              </w:rPr>
              <w:t>2025-12-31</w:t>
            </w:r>
          </w:p>
        </w:tc>
      </w:tr>
      <w:tr>
        <w:tc>
          <w:tcPr>
            <w:tcW w:type="dxa" w:w="505"/>
          </w:tcPr>
          <w:p>
            <w:pPr>
              <w:spacing w:after="20"/>
            </w:pPr>
            <w:r>
              <w:rPr>
                <w:color w:val="1C3A36"/>
                <w:sz w:val="14"/>
              </w:rPr>
              <w:t>92</w:t>
            </w:r>
          </w:p>
        </w:tc>
        <w:tc>
          <w:tcPr>
            <w:tcW w:type="dxa" w:w="1236"/>
          </w:tcPr>
          <w:p>
            <w:pPr>
              <w:spacing w:after="20"/>
            </w:pPr>
            <w:r>
              <w:rPr>
                <w:color w:val="1C3A36"/>
                <w:sz w:val="14"/>
              </w:rPr>
              <w:t>gp seg specialized fy2025</w:t>
            </w:r>
          </w:p>
        </w:tc>
        <w:tc>
          <w:tcPr>
            <w:tcW w:type="dxa" w:w="1162"/>
          </w:tcPr>
          <w:p>
            <w:pPr>
              <w:spacing w:after="20"/>
            </w:pPr>
            <w:r>
              <w:rPr>
                <w:color w:val="1C3A36"/>
                <w:sz w:val="14"/>
              </w:rPr>
              <w:t>135,410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Specialized</w:t>
            </w:r>
          </w:p>
        </w:tc>
        <w:tc>
          <w:tcPr>
            <w:tcW w:type="dxa" w:w="1066"/>
          </w:tcPr>
          <w:p>
            <w:pPr>
              <w:spacing w:after="20"/>
            </w:pPr>
            <w:r>
              <w:rPr>
                <w:color w:val="1C3A36"/>
                <w:sz w:val="14"/>
              </w:rPr>
              <w:t>2025-12-31</w:t>
            </w:r>
          </w:p>
        </w:tc>
      </w:tr>
      <w:tr>
        <w:tc>
          <w:tcPr>
            <w:tcW w:type="dxa" w:w="505"/>
          </w:tcPr>
          <w:p>
            <w:pPr>
              <w:spacing w:after="20"/>
            </w:pPr>
            <w:r>
              <w:rPr>
                <w:color w:val="1C3A36"/>
                <w:sz w:val="14"/>
              </w:rPr>
              <w:t>93</w:t>
            </w:r>
          </w:p>
        </w:tc>
        <w:tc>
          <w:tcPr>
            <w:tcW w:type="dxa" w:w="1236"/>
          </w:tcPr>
          <w:p>
            <w:pPr>
              <w:spacing w:after="20"/>
            </w:pPr>
            <w:r>
              <w:rPr>
                <w:color w:val="1C3A36"/>
                <w:sz w:val="14"/>
              </w:rPr>
              <w:t>gp seg stc bahrain fy2023</w:t>
            </w:r>
          </w:p>
        </w:tc>
        <w:tc>
          <w:tcPr>
            <w:tcW w:type="dxa" w:w="1162"/>
          </w:tcPr>
          <w:p>
            <w:pPr>
              <w:spacing w:after="20"/>
            </w:pPr>
            <w:r>
              <w:rPr>
                <w:color w:val="1C3A36"/>
                <w:sz w:val="14"/>
              </w:rPr>
              <w:t>878,634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 Bahrain</w:t>
            </w:r>
          </w:p>
        </w:tc>
        <w:tc>
          <w:tcPr>
            <w:tcW w:type="dxa" w:w="1066"/>
          </w:tcPr>
          <w:p>
            <w:pPr>
              <w:spacing w:after="20"/>
            </w:pPr>
            <w:r>
              <w:rPr>
                <w:color w:val="1C3A36"/>
                <w:sz w:val="14"/>
              </w:rPr>
              <w:t>2024-12-31</w:t>
            </w:r>
          </w:p>
        </w:tc>
      </w:tr>
      <w:tr>
        <w:tc>
          <w:tcPr>
            <w:tcW w:type="dxa" w:w="505"/>
          </w:tcPr>
          <w:p>
            <w:pPr>
              <w:spacing w:after="20"/>
            </w:pPr>
            <w:r>
              <w:rPr>
                <w:color w:val="1C3A36"/>
                <w:sz w:val="14"/>
              </w:rPr>
              <w:t>94</w:t>
            </w:r>
          </w:p>
        </w:tc>
        <w:tc>
          <w:tcPr>
            <w:tcW w:type="dxa" w:w="1236"/>
          </w:tcPr>
          <w:p>
            <w:pPr>
              <w:spacing w:after="20"/>
            </w:pPr>
            <w:r>
              <w:rPr>
                <w:color w:val="1C3A36"/>
                <w:sz w:val="14"/>
              </w:rPr>
              <w:t>gp seg stc bahrain fy2024</w:t>
            </w:r>
          </w:p>
        </w:tc>
        <w:tc>
          <w:tcPr>
            <w:tcW w:type="dxa" w:w="1162"/>
          </w:tcPr>
          <w:p>
            <w:pPr>
              <w:spacing w:after="20"/>
            </w:pPr>
            <w:r>
              <w:rPr>
                <w:color w:val="1C3A36"/>
                <w:sz w:val="14"/>
              </w:rPr>
              <w:t>949,684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Bahrain</w:t>
            </w:r>
          </w:p>
        </w:tc>
        <w:tc>
          <w:tcPr>
            <w:tcW w:type="dxa" w:w="1066"/>
          </w:tcPr>
          <w:p>
            <w:pPr>
              <w:spacing w:after="20"/>
            </w:pPr>
            <w:r>
              <w:rPr>
                <w:color w:val="1C3A36"/>
                <w:sz w:val="14"/>
              </w:rPr>
              <w:t>2025-12-31</w:t>
            </w:r>
          </w:p>
        </w:tc>
      </w:tr>
      <w:tr>
        <w:tc>
          <w:tcPr>
            <w:tcW w:type="dxa" w:w="505"/>
          </w:tcPr>
          <w:p>
            <w:pPr>
              <w:spacing w:after="20"/>
            </w:pPr>
            <w:r>
              <w:rPr>
                <w:color w:val="1C3A36"/>
                <w:sz w:val="14"/>
              </w:rPr>
              <w:t>95</w:t>
            </w:r>
          </w:p>
        </w:tc>
        <w:tc>
          <w:tcPr>
            <w:tcW w:type="dxa" w:w="1236"/>
          </w:tcPr>
          <w:p>
            <w:pPr>
              <w:spacing w:after="20"/>
            </w:pPr>
            <w:r>
              <w:rPr>
                <w:color w:val="1C3A36"/>
                <w:sz w:val="14"/>
              </w:rPr>
              <w:t>gp seg stc bahrain fy2025</w:t>
            </w:r>
          </w:p>
        </w:tc>
        <w:tc>
          <w:tcPr>
            <w:tcW w:type="dxa" w:w="1162"/>
          </w:tcPr>
          <w:p>
            <w:pPr>
              <w:spacing w:after="20"/>
            </w:pPr>
            <w:r>
              <w:rPr>
                <w:color w:val="1C3A36"/>
                <w:sz w:val="14"/>
              </w:rPr>
              <w:t>1,008,601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Bahrain</w:t>
            </w:r>
          </w:p>
        </w:tc>
        <w:tc>
          <w:tcPr>
            <w:tcW w:type="dxa" w:w="1066"/>
          </w:tcPr>
          <w:p>
            <w:pPr>
              <w:spacing w:after="20"/>
            </w:pPr>
            <w:r>
              <w:rPr>
                <w:color w:val="1C3A36"/>
                <w:sz w:val="14"/>
              </w:rPr>
              <w:t>2025-12-31</w:t>
            </w:r>
          </w:p>
        </w:tc>
      </w:tr>
      <w:tr>
        <w:tc>
          <w:tcPr>
            <w:tcW w:type="dxa" w:w="505"/>
          </w:tcPr>
          <w:p>
            <w:pPr>
              <w:spacing w:after="20"/>
            </w:pPr>
            <w:r>
              <w:rPr>
                <w:color w:val="1C3A36"/>
                <w:sz w:val="14"/>
              </w:rPr>
              <w:t>96</w:t>
            </w:r>
          </w:p>
        </w:tc>
        <w:tc>
          <w:tcPr>
            <w:tcW w:type="dxa" w:w="1236"/>
          </w:tcPr>
          <w:p>
            <w:pPr>
              <w:spacing w:after="20"/>
            </w:pPr>
            <w:r>
              <w:rPr>
                <w:color w:val="1C3A36"/>
                <w:sz w:val="14"/>
              </w:rPr>
              <w:t>gp seg stc bank fy2023</w:t>
            </w:r>
          </w:p>
        </w:tc>
        <w:tc>
          <w:tcPr>
            <w:tcW w:type="dxa" w:w="1162"/>
          </w:tcPr>
          <w:p>
            <w:pPr>
              <w:spacing w:after="20"/>
            </w:pPr>
            <w:r>
              <w:rPr>
                <w:color w:val="1C3A36"/>
                <w:sz w:val="14"/>
              </w:rPr>
              <w:t>207,653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 Bank</w:t>
            </w:r>
          </w:p>
        </w:tc>
        <w:tc>
          <w:tcPr>
            <w:tcW w:type="dxa" w:w="1066"/>
          </w:tcPr>
          <w:p>
            <w:pPr>
              <w:spacing w:after="20"/>
            </w:pPr>
            <w:r>
              <w:rPr>
                <w:color w:val="1C3A36"/>
                <w:sz w:val="14"/>
              </w:rPr>
              <w:t>2024-12-31</w:t>
            </w:r>
          </w:p>
        </w:tc>
      </w:tr>
      <w:tr>
        <w:tc>
          <w:tcPr>
            <w:tcW w:type="dxa" w:w="505"/>
          </w:tcPr>
          <w:p>
            <w:pPr>
              <w:spacing w:after="20"/>
            </w:pPr>
            <w:r>
              <w:rPr>
                <w:color w:val="1C3A36"/>
                <w:sz w:val="14"/>
              </w:rPr>
              <w:t>97</w:t>
            </w:r>
          </w:p>
        </w:tc>
        <w:tc>
          <w:tcPr>
            <w:tcW w:type="dxa" w:w="1236"/>
          </w:tcPr>
          <w:p>
            <w:pPr>
              <w:spacing w:after="20"/>
            </w:pPr>
            <w:r>
              <w:rPr>
                <w:color w:val="1C3A36"/>
                <w:sz w:val="14"/>
              </w:rPr>
              <w:t>gp seg stc bank fy2024</w:t>
            </w:r>
          </w:p>
        </w:tc>
        <w:tc>
          <w:tcPr>
            <w:tcW w:type="dxa" w:w="1162"/>
          </w:tcPr>
          <w:p>
            <w:pPr>
              <w:spacing w:after="20"/>
            </w:pPr>
            <w:r>
              <w:rPr>
                <w:color w:val="1C3A36"/>
                <w:sz w:val="14"/>
              </w:rPr>
              <w:t>344,985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Bank</w:t>
            </w:r>
          </w:p>
        </w:tc>
        <w:tc>
          <w:tcPr>
            <w:tcW w:type="dxa" w:w="1066"/>
          </w:tcPr>
          <w:p>
            <w:pPr>
              <w:spacing w:after="20"/>
            </w:pPr>
            <w:r>
              <w:rPr>
                <w:color w:val="1C3A36"/>
                <w:sz w:val="14"/>
              </w:rPr>
              <w:t>2025-12-31</w:t>
            </w:r>
          </w:p>
        </w:tc>
      </w:tr>
      <w:tr>
        <w:tc>
          <w:tcPr>
            <w:tcW w:type="dxa" w:w="505"/>
          </w:tcPr>
          <w:p>
            <w:pPr>
              <w:spacing w:after="20"/>
            </w:pPr>
            <w:r>
              <w:rPr>
                <w:color w:val="1C3A36"/>
                <w:sz w:val="14"/>
              </w:rPr>
              <w:t>98</w:t>
            </w:r>
          </w:p>
        </w:tc>
        <w:tc>
          <w:tcPr>
            <w:tcW w:type="dxa" w:w="1236"/>
          </w:tcPr>
          <w:p>
            <w:pPr>
              <w:spacing w:after="20"/>
            </w:pPr>
            <w:r>
              <w:rPr>
                <w:color w:val="1C3A36"/>
                <w:sz w:val="14"/>
              </w:rPr>
              <w:t>gp seg stc bank fy2025</w:t>
            </w:r>
          </w:p>
        </w:tc>
        <w:tc>
          <w:tcPr>
            <w:tcW w:type="dxa" w:w="1162"/>
          </w:tcPr>
          <w:p>
            <w:pPr>
              <w:spacing w:after="20"/>
            </w:pPr>
            <w:r>
              <w:rPr>
                <w:color w:val="1C3A36"/>
                <w:sz w:val="14"/>
              </w:rPr>
              <w:t>724,914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Bank</w:t>
            </w:r>
          </w:p>
        </w:tc>
        <w:tc>
          <w:tcPr>
            <w:tcW w:type="dxa" w:w="1066"/>
          </w:tcPr>
          <w:p>
            <w:pPr>
              <w:spacing w:after="20"/>
            </w:pPr>
            <w:r>
              <w:rPr>
                <w:color w:val="1C3A36"/>
                <w:sz w:val="14"/>
              </w:rPr>
              <w:t>2025-12-31</w:t>
            </w:r>
          </w:p>
        </w:tc>
      </w:tr>
      <w:tr>
        <w:tc>
          <w:tcPr>
            <w:tcW w:type="dxa" w:w="505"/>
          </w:tcPr>
          <w:p>
            <w:pPr>
              <w:spacing w:after="20"/>
            </w:pPr>
            <w:r>
              <w:rPr>
                <w:color w:val="1C3A36"/>
                <w:sz w:val="14"/>
              </w:rPr>
              <w:t>99</w:t>
            </w:r>
          </w:p>
        </w:tc>
        <w:tc>
          <w:tcPr>
            <w:tcW w:type="dxa" w:w="1236"/>
          </w:tcPr>
          <w:p>
            <w:pPr>
              <w:spacing w:after="20"/>
            </w:pPr>
            <w:r>
              <w:rPr>
                <w:color w:val="1C3A36"/>
                <w:sz w:val="14"/>
              </w:rPr>
              <w:t>gp seg stc fy2023</w:t>
            </w:r>
          </w:p>
        </w:tc>
        <w:tc>
          <w:tcPr>
            <w:tcW w:type="dxa" w:w="1162"/>
          </w:tcPr>
          <w:p>
            <w:pPr>
              <w:spacing w:after="20"/>
            </w:pPr>
            <w:r>
              <w:rPr>
                <w:color w:val="1C3A36"/>
                <w:sz w:val="14"/>
              </w:rPr>
              <w:t>29,973,976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w:t>
            </w:r>
          </w:p>
        </w:tc>
        <w:tc>
          <w:tcPr>
            <w:tcW w:type="dxa" w:w="1066"/>
          </w:tcPr>
          <w:p>
            <w:pPr>
              <w:spacing w:after="20"/>
            </w:pPr>
            <w:r>
              <w:rPr>
                <w:color w:val="1C3A36"/>
                <w:sz w:val="14"/>
              </w:rPr>
              <w:t>2024-12-31</w:t>
            </w:r>
          </w:p>
        </w:tc>
      </w:tr>
      <w:tr>
        <w:tc>
          <w:tcPr>
            <w:tcW w:type="dxa" w:w="505"/>
          </w:tcPr>
          <w:p>
            <w:pPr>
              <w:spacing w:after="20"/>
            </w:pPr>
            <w:r>
              <w:rPr>
                <w:color w:val="1C3A36"/>
                <w:sz w:val="14"/>
              </w:rPr>
              <w:t>100</w:t>
            </w:r>
          </w:p>
        </w:tc>
        <w:tc>
          <w:tcPr>
            <w:tcW w:type="dxa" w:w="1236"/>
          </w:tcPr>
          <w:p>
            <w:pPr>
              <w:spacing w:after="20"/>
            </w:pPr>
            <w:r>
              <w:rPr>
                <w:color w:val="1C3A36"/>
                <w:sz w:val="14"/>
              </w:rPr>
              <w:t>gp seg stc fy2024</w:t>
            </w:r>
          </w:p>
        </w:tc>
        <w:tc>
          <w:tcPr>
            <w:tcW w:type="dxa" w:w="1162"/>
          </w:tcPr>
          <w:p>
            <w:pPr>
              <w:spacing w:after="20"/>
            </w:pPr>
            <w:r>
              <w:rPr>
                <w:color w:val="1C3A36"/>
                <w:sz w:val="14"/>
              </w:rPr>
              <w:t>31,178,645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w:t>
            </w:r>
          </w:p>
        </w:tc>
        <w:tc>
          <w:tcPr>
            <w:tcW w:type="dxa" w:w="1066"/>
          </w:tcPr>
          <w:p>
            <w:pPr>
              <w:spacing w:after="20"/>
            </w:pPr>
            <w:r>
              <w:rPr>
                <w:color w:val="1C3A36"/>
                <w:sz w:val="14"/>
              </w:rPr>
              <w:t>2025-12-31</w:t>
            </w:r>
          </w:p>
        </w:tc>
      </w:tr>
      <w:tr>
        <w:tc>
          <w:tcPr>
            <w:tcW w:type="dxa" w:w="505"/>
          </w:tcPr>
          <w:p>
            <w:pPr>
              <w:spacing w:after="20"/>
            </w:pPr>
            <w:r>
              <w:rPr>
                <w:color w:val="1C3A36"/>
                <w:sz w:val="14"/>
              </w:rPr>
              <w:t>101</w:t>
            </w:r>
          </w:p>
        </w:tc>
        <w:tc>
          <w:tcPr>
            <w:tcW w:type="dxa" w:w="1236"/>
          </w:tcPr>
          <w:p>
            <w:pPr>
              <w:spacing w:after="20"/>
            </w:pPr>
            <w:r>
              <w:rPr>
                <w:color w:val="1C3A36"/>
                <w:sz w:val="14"/>
              </w:rPr>
              <w:t>gp seg stc fy2025</w:t>
            </w:r>
          </w:p>
        </w:tc>
        <w:tc>
          <w:tcPr>
            <w:tcW w:type="dxa" w:w="1162"/>
          </w:tcPr>
          <w:p>
            <w:pPr>
              <w:spacing w:after="20"/>
            </w:pPr>
            <w:r>
              <w:rPr>
                <w:color w:val="1C3A36"/>
                <w:sz w:val="14"/>
              </w:rPr>
              <w:t>30,628,607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w:t>
            </w:r>
          </w:p>
        </w:tc>
        <w:tc>
          <w:tcPr>
            <w:tcW w:type="dxa" w:w="1066"/>
          </w:tcPr>
          <w:p>
            <w:pPr>
              <w:spacing w:after="20"/>
            </w:pPr>
            <w:r>
              <w:rPr>
                <w:color w:val="1C3A36"/>
                <w:sz w:val="14"/>
              </w:rPr>
              <w:t>2025-12-31</w:t>
            </w:r>
          </w:p>
        </w:tc>
      </w:tr>
      <w:tr>
        <w:tc>
          <w:tcPr>
            <w:tcW w:type="dxa" w:w="505"/>
          </w:tcPr>
          <w:p>
            <w:pPr>
              <w:spacing w:after="20"/>
            </w:pPr>
            <w:r>
              <w:rPr>
                <w:color w:val="1C3A36"/>
                <w:sz w:val="14"/>
              </w:rPr>
              <w:t>102</w:t>
            </w:r>
          </w:p>
        </w:tc>
        <w:tc>
          <w:tcPr>
            <w:tcW w:type="dxa" w:w="1236"/>
          </w:tcPr>
          <w:p>
            <w:pPr>
              <w:spacing w:after="20"/>
            </w:pPr>
            <w:r>
              <w:rPr>
                <w:color w:val="1C3A36"/>
                <w:sz w:val="14"/>
              </w:rPr>
              <w:t>gp seg stc kuwait fy2023</w:t>
            </w:r>
          </w:p>
        </w:tc>
        <w:tc>
          <w:tcPr>
            <w:tcW w:type="dxa" w:w="1162"/>
          </w:tcPr>
          <w:p>
            <w:pPr>
              <w:spacing w:after="20"/>
            </w:pPr>
            <w:r>
              <w:rPr>
                <w:color w:val="1C3A36"/>
                <w:sz w:val="14"/>
              </w:rPr>
              <w:t>2,061,419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 Kuwait</w:t>
            </w:r>
          </w:p>
        </w:tc>
        <w:tc>
          <w:tcPr>
            <w:tcW w:type="dxa" w:w="1066"/>
          </w:tcPr>
          <w:p>
            <w:pPr>
              <w:spacing w:after="20"/>
            </w:pPr>
            <w:r>
              <w:rPr>
                <w:color w:val="1C3A36"/>
                <w:sz w:val="14"/>
              </w:rPr>
              <w:t>2024-12-31</w:t>
            </w:r>
          </w:p>
        </w:tc>
      </w:tr>
      <w:tr>
        <w:tc>
          <w:tcPr>
            <w:tcW w:type="dxa" w:w="505"/>
          </w:tcPr>
          <w:p>
            <w:pPr>
              <w:spacing w:after="20"/>
            </w:pPr>
            <w:r>
              <w:rPr>
                <w:color w:val="1C3A36"/>
                <w:sz w:val="14"/>
              </w:rPr>
              <w:t>103</w:t>
            </w:r>
          </w:p>
        </w:tc>
        <w:tc>
          <w:tcPr>
            <w:tcW w:type="dxa" w:w="1236"/>
          </w:tcPr>
          <w:p>
            <w:pPr>
              <w:spacing w:after="20"/>
            </w:pPr>
            <w:r>
              <w:rPr>
                <w:color w:val="1C3A36"/>
                <w:sz w:val="14"/>
              </w:rPr>
              <w:t>gp seg stc kuwait fy2024</w:t>
            </w:r>
          </w:p>
        </w:tc>
        <w:tc>
          <w:tcPr>
            <w:tcW w:type="dxa" w:w="1162"/>
          </w:tcPr>
          <w:p>
            <w:pPr>
              <w:spacing w:after="20"/>
            </w:pPr>
            <w:r>
              <w:rPr>
                <w:color w:val="1C3A36"/>
                <w:sz w:val="14"/>
              </w:rPr>
              <w:t>2,019,660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Kuwait</w:t>
            </w:r>
          </w:p>
        </w:tc>
        <w:tc>
          <w:tcPr>
            <w:tcW w:type="dxa" w:w="1066"/>
          </w:tcPr>
          <w:p>
            <w:pPr>
              <w:spacing w:after="20"/>
            </w:pPr>
            <w:r>
              <w:rPr>
                <w:color w:val="1C3A36"/>
                <w:sz w:val="14"/>
              </w:rPr>
              <w:t>2025-12-31</w:t>
            </w:r>
          </w:p>
        </w:tc>
      </w:tr>
      <w:tr>
        <w:tc>
          <w:tcPr>
            <w:tcW w:type="dxa" w:w="505"/>
          </w:tcPr>
          <w:p>
            <w:pPr>
              <w:spacing w:after="20"/>
            </w:pPr>
            <w:r>
              <w:rPr>
                <w:color w:val="1C3A36"/>
                <w:sz w:val="14"/>
              </w:rPr>
              <w:t>104</w:t>
            </w:r>
          </w:p>
        </w:tc>
        <w:tc>
          <w:tcPr>
            <w:tcW w:type="dxa" w:w="1236"/>
          </w:tcPr>
          <w:p>
            <w:pPr>
              <w:spacing w:after="20"/>
            </w:pPr>
            <w:r>
              <w:rPr>
                <w:color w:val="1C3A36"/>
                <w:sz w:val="14"/>
              </w:rPr>
              <w:t>gp seg stc kuwait fy2025</w:t>
            </w:r>
          </w:p>
        </w:tc>
        <w:tc>
          <w:tcPr>
            <w:tcW w:type="dxa" w:w="1162"/>
          </w:tcPr>
          <w:p>
            <w:pPr>
              <w:spacing w:after="20"/>
            </w:pPr>
            <w:r>
              <w:rPr>
                <w:color w:val="1C3A36"/>
                <w:sz w:val="14"/>
              </w:rPr>
              <w:t>2,139,245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Kuwait</w:t>
            </w:r>
          </w:p>
        </w:tc>
        <w:tc>
          <w:tcPr>
            <w:tcW w:type="dxa" w:w="1066"/>
          </w:tcPr>
          <w:p>
            <w:pPr>
              <w:spacing w:after="20"/>
            </w:pPr>
            <w:r>
              <w:rPr>
                <w:color w:val="1C3A36"/>
                <w:sz w:val="14"/>
              </w:rPr>
              <w:t>2025-12-31</w:t>
            </w:r>
          </w:p>
        </w:tc>
      </w:tr>
      <w:tr>
        <w:tc>
          <w:tcPr>
            <w:tcW w:type="dxa" w:w="505"/>
          </w:tcPr>
          <w:p>
            <w:pPr>
              <w:spacing w:after="20"/>
            </w:pPr>
            <w:r>
              <w:rPr>
                <w:color w:val="1C3A36"/>
                <w:sz w:val="14"/>
              </w:rPr>
              <w:t>105</w:t>
            </w:r>
          </w:p>
        </w:tc>
        <w:tc>
          <w:tcPr>
            <w:tcW w:type="dxa" w:w="1236"/>
          </w:tcPr>
          <w:p>
            <w:pPr>
              <w:spacing w:after="20"/>
            </w:pPr>
            <w:r>
              <w:rPr>
                <w:color w:val="1C3A36"/>
                <w:sz w:val="14"/>
              </w:rPr>
              <w:t>inv murabahas jun2026</w:t>
            </w:r>
          </w:p>
        </w:tc>
        <w:tc>
          <w:tcPr>
            <w:tcW w:type="dxa" w:w="1162"/>
          </w:tcPr>
          <w:p>
            <w:pPr>
              <w:spacing w:after="20"/>
            </w:pPr>
            <w:r>
              <w:rPr>
                <w:color w:val="1C3A36"/>
                <w:sz w:val="14"/>
              </w:rPr>
              <w:t>1,062,181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short-term murabahas</w:t>
            </w:r>
          </w:p>
        </w:tc>
        <w:tc>
          <w:tcPr>
            <w:tcW w:type="dxa" w:w="1066"/>
          </w:tcPr>
          <w:p>
            <w:pPr>
              <w:spacing w:after="20"/>
            </w:pPr>
            <w:r>
              <w:rPr>
                <w:color w:val="1C3A36"/>
                <w:sz w:val="14"/>
              </w:rPr>
              <w:t>2026-06-30</w:t>
            </w:r>
          </w:p>
        </w:tc>
      </w:tr>
      <w:tr>
        <w:tc>
          <w:tcPr>
            <w:tcW w:type="dxa" w:w="505"/>
          </w:tcPr>
          <w:p>
            <w:pPr>
              <w:spacing w:after="20"/>
            </w:pPr>
            <w:r>
              <w:rPr>
                <w:color w:val="1C3A36"/>
                <w:sz w:val="14"/>
              </w:rPr>
              <w:t>106</w:t>
            </w:r>
          </w:p>
        </w:tc>
        <w:tc>
          <w:tcPr>
            <w:tcW w:type="dxa" w:w="1236"/>
          </w:tcPr>
          <w:p>
            <w:pPr>
              <w:spacing w:after="20"/>
            </w:pPr>
            <w:r>
              <w:rPr>
                <w:color w:val="1C3A36"/>
                <w:sz w:val="14"/>
              </w:rPr>
              <w:t>inv sukuk jun2026</w:t>
            </w:r>
          </w:p>
        </w:tc>
        <w:tc>
          <w:tcPr>
            <w:tcW w:type="dxa" w:w="1162"/>
          </w:tcPr>
          <w:p>
            <w:pPr>
              <w:spacing w:after="20"/>
            </w:pPr>
            <w:r>
              <w:rPr>
                <w:color w:val="1C3A36"/>
                <w:sz w:val="14"/>
              </w:rPr>
              <w:t>6,368,453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note 9.1, financial assets at amortised cost</w:t>
            </w:r>
          </w:p>
        </w:tc>
        <w:tc>
          <w:tcPr>
            <w:tcW w:type="dxa" w:w="1066"/>
          </w:tcPr>
          <w:p>
            <w:pPr>
              <w:spacing w:after="20"/>
            </w:pPr>
            <w:r>
              <w:rPr>
                <w:color w:val="1C3A36"/>
                <w:sz w:val="14"/>
              </w:rPr>
              <w:t>2026-06-30</w:t>
            </w:r>
          </w:p>
        </w:tc>
      </w:tr>
      <w:tr>
        <w:tc>
          <w:tcPr>
            <w:tcW w:type="dxa" w:w="505"/>
          </w:tcPr>
          <w:p>
            <w:pPr>
              <w:spacing w:after="20"/>
            </w:pPr>
            <w:r>
              <w:rPr>
                <w:color w:val="1C3A36"/>
                <w:sz w:val="14"/>
              </w:rPr>
              <w:t>107</w:t>
            </w:r>
          </w:p>
        </w:tc>
        <w:tc>
          <w:tcPr>
            <w:tcW w:type="dxa" w:w="1236"/>
          </w:tcPr>
          <w:p>
            <w:pPr>
              <w:spacing w:after="20"/>
            </w:pPr>
            <w:r>
              <w:rPr>
                <w:color w:val="1C3A36"/>
                <w:sz w:val="14"/>
              </w:rPr>
              <w:t>inv tbills jun2026</w:t>
            </w:r>
          </w:p>
        </w:tc>
        <w:tc>
          <w:tcPr>
            <w:tcW w:type="dxa" w:w="1162"/>
          </w:tcPr>
          <w:p>
            <w:pPr>
              <w:spacing w:after="20"/>
            </w:pPr>
            <w:r>
              <w:rPr>
                <w:color w:val="1C3A36"/>
                <w:sz w:val="14"/>
              </w:rPr>
              <w:t>492,070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note 9.1, treasury bills</w:t>
            </w:r>
          </w:p>
        </w:tc>
        <w:tc>
          <w:tcPr>
            <w:tcW w:type="dxa" w:w="1066"/>
          </w:tcPr>
          <w:p>
            <w:pPr>
              <w:spacing w:after="20"/>
            </w:pPr>
            <w:r>
              <w:rPr>
                <w:color w:val="1C3A36"/>
                <w:sz w:val="14"/>
              </w:rPr>
              <w:t>2026-06-30</w:t>
            </w:r>
          </w:p>
        </w:tc>
      </w:tr>
      <w:tr>
        <w:tc>
          <w:tcPr>
            <w:tcW w:type="dxa" w:w="505"/>
          </w:tcPr>
          <w:p>
            <w:pPr>
              <w:spacing w:after="20"/>
            </w:pPr>
            <w:r>
              <w:rPr>
                <w:color w:val="1C3A36"/>
                <w:sz w:val="14"/>
              </w:rPr>
              <w:t>108</w:t>
            </w:r>
          </w:p>
        </w:tc>
        <w:tc>
          <w:tcPr>
            <w:tcW w:type="dxa" w:w="1236"/>
          </w:tcPr>
          <w:p>
            <w:pPr>
              <w:spacing w:after="20"/>
            </w:pPr>
            <w:r>
              <w:rPr>
                <w:color w:val="1C3A36"/>
                <w:sz w:val="14"/>
              </w:rPr>
              <w:t>rev fy2023</w:t>
            </w:r>
          </w:p>
        </w:tc>
        <w:tc>
          <w:tcPr>
            <w:tcW w:type="dxa" w:w="1162"/>
          </w:tcPr>
          <w:p>
            <w:pPr>
              <w:spacing w:after="20"/>
            </w:pPr>
            <w:r>
              <w:rPr>
                <w:color w:val="1C3A36"/>
                <w:sz w:val="14"/>
              </w:rPr>
              <w:t>71,777,161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consolidated statement of profit or loss</w:t>
            </w:r>
          </w:p>
        </w:tc>
        <w:tc>
          <w:tcPr>
            <w:tcW w:type="dxa" w:w="1066"/>
          </w:tcPr>
          <w:p>
            <w:pPr>
              <w:spacing w:after="20"/>
            </w:pPr>
            <w:r>
              <w:rPr>
                <w:color w:val="1C3A36"/>
                <w:sz w:val="14"/>
              </w:rPr>
              <w:t>2024-12-31</w:t>
            </w:r>
          </w:p>
        </w:tc>
      </w:tr>
      <w:tr>
        <w:tc>
          <w:tcPr>
            <w:tcW w:type="dxa" w:w="505"/>
          </w:tcPr>
          <w:p>
            <w:pPr>
              <w:spacing w:after="20"/>
            </w:pPr>
            <w:r>
              <w:rPr>
                <w:color w:val="1C3A36"/>
                <w:sz w:val="14"/>
              </w:rPr>
              <w:t>109</w:t>
            </w:r>
          </w:p>
        </w:tc>
        <w:tc>
          <w:tcPr>
            <w:tcW w:type="dxa" w:w="1236"/>
          </w:tcPr>
          <w:p>
            <w:pPr>
              <w:spacing w:after="20"/>
            </w:pPr>
            <w:r>
              <w:rPr>
                <w:color w:val="1C3A36"/>
                <w:sz w:val="14"/>
              </w:rPr>
              <w:t>rev fy2024</w:t>
            </w:r>
          </w:p>
        </w:tc>
        <w:tc>
          <w:tcPr>
            <w:tcW w:type="dxa" w:w="1162"/>
          </w:tcPr>
          <w:p>
            <w:pPr>
              <w:spacing w:after="20"/>
            </w:pPr>
            <w:r>
              <w:rPr>
                <w:color w:val="1C3A36"/>
                <w:sz w:val="14"/>
              </w:rPr>
              <w:t>75,893,413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consolidated statement of profit or loss</w:t>
            </w:r>
          </w:p>
        </w:tc>
        <w:tc>
          <w:tcPr>
            <w:tcW w:type="dxa" w:w="1066"/>
          </w:tcPr>
          <w:p>
            <w:pPr>
              <w:spacing w:after="20"/>
            </w:pPr>
            <w:r>
              <w:rPr>
                <w:color w:val="1C3A36"/>
                <w:sz w:val="14"/>
              </w:rPr>
              <w:t>2025-12-31</w:t>
            </w:r>
          </w:p>
        </w:tc>
      </w:tr>
      <w:tr>
        <w:tc>
          <w:tcPr>
            <w:tcW w:type="dxa" w:w="505"/>
          </w:tcPr>
          <w:p>
            <w:pPr>
              <w:spacing w:after="20"/>
            </w:pPr>
            <w:r>
              <w:rPr>
                <w:color w:val="1C3A36"/>
                <w:sz w:val="14"/>
              </w:rPr>
              <w:t>110</w:t>
            </w:r>
          </w:p>
        </w:tc>
        <w:tc>
          <w:tcPr>
            <w:tcW w:type="dxa" w:w="1236"/>
          </w:tcPr>
          <w:p>
            <w:pPr>
              <w:spacing w:after="20"/>
            </w:pPr>
            <w:r>
              <w:rPr>
                <w:color w:val="1C3A36"/>
                <w:sz w:val="14"/>
              </w:rPr>
              <w:t>rev fy2025</w:t>
            </w:r>
          </w:p>
        </w:tc>
        <w:tc>
          <w:tcPr>
            <w:tcW w:type="dxa" w:w="1162"/>
          </w:tcPr>
          <w:p>
            <w:pPr>
              <w:spacing w:after="20"/>
            </w:pPr>
            <w:r>
              <w:rPr>
                <w:color w:val="1C3A36"/>
                <w:sz w:val="14"/>
              </w:rPr>
              <w:t>77,818,675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consolidated statement of profit or loss</w:t>
            </w:r>
          </w:p>
        </w:tc>
        <w:tc>
          <w:tcPr>
            <w:tcW w:type="dxa" w:w="1066"/>
          </w:tcPr>
          <w:p>
            <w:pPr>
              <w:spacing w:after="20"/>
            </w:pPr>
            <w:r>
              <w:rPr>
                <w:color w:val="1C3A36"/>
                <w:sz w:val="14"/>
              </w:rPr>
              <w:t>2025-12-31</w:t>
            </w:r>
          </w:p>
        </w:tc>
      </w:tr>
      <w:tr>
        <w:tc>
          <w:tcPr>
            <w:tcW w:type="dxa" w:w="505"/>
          </w:tcPr>
          <w:p>
            <w:pPr>
              <w:spacing w:after="20"/>
            </w:pPr>
            <w:r>
              <w:rPr>
                <w:color w:val="1C3A36"/>
                <w:sz w:val="14"/>
              </w:rPr>
              <w:t>111</w:t>
            </w:r>
          </w:p>
        </w:tc>
        <w:tc>
          <w:tcPr>
            <w:tcW w:type="dxa" w:w="1236"/>
          </w:tcPr>
          <w:p>
            <w:pPr>
              <w:spacing w:after="20"/>
            </w:pPr>
            <w:r>
              <w:rPr>
                <w:color w:val="1C3A36"/>
                <w:sz w:val="14"/>
              </w:rPr>
              <w:t>rev h1 2025</w:t>
            </w:r>
          </w:p>
        </w:tc>
        <w:tc>
          <w:tcPr>
            <w:tcW w:type="dxa" w:w="1162"/>
          </w:tcPr>
          <w:p>
            <w:pPr>
              <w:spacing w:after="20"/>
            </w:pPr>
            <w:r>
              <w:rPr>
                <w:color w:val="1C3A36"/>
                <w:sz w:val="14"/>
              </w:rPr>
              <w:t>38,660,477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condensed consolidated statement of profit or loss, comparative period</w:t>
            </w:r>
          </w:p>
        </w:tc>
        <w:tc>
          <w:tcPr>
            <w:tcW w:type="dxa" w:w="1066"/>
          </w:tcPr>
          <w:p>
            <w:pPr>
              <w:spacing w:after="20"/>
            </w:pPr>
            <w:r>
              <w:rPr>
                <w:color w:val="1C3A36"/>
                <w:sz w:val="14"/>
              </w:rPr>
              <w:t>2026-06-30</w:t>
            </w:r>
          </w:p>
        </w:tc>
      </w:tr>
      <w:tr>
        <w:tc>
          <w:tcPr>
            <w:tcW w:type="dxa" w:w="505"/>
          </w:tcPr>
          <w:p>
            <w:pPr>
              <w:spacing w:after="20"/>
            </w:pPr>
            <w:r>
              <w:rPr>
                <w:color w:val="1C3A36"/>
                <w:sz w:val="14"/>
              </w:rPr>
              <w:t>112</w:t>
            </w:r>
          </w:p>
        </w:tc>
        <w:tc>
          <w:tcPr>
            <w:tcW w:type="dxa" w:w="1236"/>
          </w:tcPr>
          <w:p>
            <w:pPr>
              <w:spacing w:after="20"/>
            </w:pPr>
            <w:r>
              <w:rPr>
                <w:color w:val="1C3A36"/>
                <w:sz w:val="14"/>
              </w:rPr>
              <w:t>rev h1 2026</w:t>
            </w:r>
          </w:p>
        </w:tc>
        <w:tc>
          <w:tcPr>
            <w:tcW w:type="dxa" w:w="1162"/>
          </w:tcPr>
          <w:p>
            <w:pPr>
              <w:spacing w:after="20"/>
            </w:pPr>
            <w:r>
              <w:rPr>
                <w:color w:val="1C3A36"/>
                <w:sz w:val="14"/>
              </w:rPr>
              <w:t>40,110,089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condensed consolidated statement of profit or loss</w:t>
            </w:r>
          </w:p>
        </w:tc>
        <w:tc>
          <w:tcPr>
            <w:tcW w:type="dxa" w:w="1066"/>
          </w:tcPr>
          <w:p>
            <w:pPr>
              <w:spacing w:after="20"/>
            </w:pPr>
            <w:r>
              <w:rPr>
                <w:color w:val="1C3A36"/>
                <w:sz w:val="14"/>
              </w:rPr>
              <w:t>2026-06-30</w:t>
            </w:r>
          </w:p>
        </w:tc>
      </w:tr>
      <w:tr>
        <w:tc>
          <w:tcPr>
            <w:tcW w:type="dxa" w:w="505"/>
          </w:tcPr>
          <w:p>
            <w:pPr>
              <w:spacing w:after="20"/>
            </w:pPr>
            <w:r>
              <w:rPr>
                <w:color w:val="1C3A36"/>
                <w:sz w:val="14"/>
              </w:rPr>
              <w:t>113</w:t>
            </w:r>
          </w:p>
        </w:tc>
        <w:tc>
          <w:tcPr>
            <w:tcW w:type="dxa" w:w="1236"/>
          </w:tcPr>
          <w:p>
            <w:pPr>
              <w:spacing w:after="20"/>
            </w:pPr>
            <w:r>
              <w:rPr>
                <w:color w:val="1C3A36"/>
                <w:sz w:val="14"/>
              </w:rPr>
              <w:t>rev others fy2023</w:t>
            </w:r>
          </w:p>
        </w:tc>
        <w:tc>
          <w:tcPr>
            <w:tcW w:type="dxa" w:w="1162"/>
          </w:tcPr>
          <w:p>
            <w:pPr>
              <w:spacing w:after="20"/>
            </w:pPr>
            <w:r>
              <w:rPr>
                <w:color w:val="1C3A36"/>
                <w:sz w:val="14"/>
              </w:rPr>
              <w:t>63,816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34, revenues, others</w:t>
            </w:r>
          </w:p>
        </w:tc>
        <w:tc>
          <w:tcPr>
            <w:tcW w:type="dxa" w:w="1066"/>
          </w:tcPr>
          <w:p>
            <w:pPr>
              <w:spacing w:after="20"/>
            </w:pPr>
            <w:r>
              <w:rPr>
                <w:color w:val="1C3A36"/>
                <w:sz w:val="14"/>
              </w:rPr>
              <w:t>2024-12-31</w:t>
            </w:r>
          </w:p>
        </w:tc>
      </w:tr>
      <w:tr>
        <w:tc>
          <w:tcPr>
            <w:tcW w:type="dxa" w:w="505"/>
          </w:tcPr>
          <w:p>
            <w:pPr>
              <w:spacing w:after="20"/>
            </w:pPr>
            <w:r>
              <w:rPr>
                <w:color w:val="1C3A36"/>
                <w:sz w:val="14"/>
              </w:rPr>
              <w:t>114</w:t>
            </w:r>
          </w:p>
        </w:tc>
        <w:tc>
          <w:tcPr>
            <w:tcW w:type="dxa" w:w="1236"/>
          </w:tcPr>
          <w:p>
            <w:pPr>
              <w:spacing w:after="20"/>
            </w:pPr>
            <w:r>
              <w:rPr>
                <w:color w:val="1C3A36"/>
                <w:sz w:val="14"/>
              </w:rPr>
              <w:t>rev others fy2024</w:t>
            </w:r>
          </w:p>
        </w:tc>
        <w:tc>
          <w:tcPr>
            <w:tcW w:type="dxa" w:w="1162"/>
          </w:tcPr>
          <w:p>
            <w:pPr>
              <w:spacing w:after="20"/>
            </w:pPr>
            <w:r>
              <w:rPr>
                <w:color w:val="1C3A36"/>
                <w:sz w:val="14"/>
              </w:rPr>
              <w:t>152,120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34, revenues, others</w:t>
            </w:r>
          </w:p>
        </w:tc>
        <w:tc>
          <w:tcPr>
            <w:tcW w:type="dxa" w:w="1066"/>
          </w:tcPr>
          <w:p>
            <w:pPr>
              <w:spacing w:after="20"/>
            </w:pPr>
            <w:r>
              <w:rPr>
                <w:color w:val="1C3A36"/>
                <w:sz w:val="14"/>
              </w:rPr>
              <w:t>2025-12-31</w:t>
            </w:r>
          </w:p>
        </w:tc>
      </w:tr>
      <w:tr>
        <w:tc>
          <w:tcPr>
            <w:tcW w:type="dxa" w:w="505"/>
          </w:tcPr>
          <w:p>
            <w:pPr>
              <w:spacing w:after="20"/>
            </w:pPr>
            <w:r>
              <w:rPr>
                <w:color w:val="1C3A36"/>
                <w:sz w:val="14"/>
              </w:rPr>
              <w:t>115</w:t>
            </w:r>
          </w:p>
        </w:tc>
        <w:tc>
          <w:tcPr>
            <w:tcW w:type="dxa" w:w="1236"/>
          </w:tcPr>
          <w:p>
            <w:pPr>
              <w:spacing w:after="20"/>
            </w:pPr>
            <w:r>
              <w:rPr>
                <w:color w:val="1C3A36"/>
                <w:sz w:val="14"/>
              </w:rPr>
              <w:t>rev others fy2025</w:t>
            </w:r>
          </w:p>
        </w:tc>
        <w:tc>
          <w:tcPr>
            <w:tcW w:type="dxa" w:w="1162"/>
          </w:tcPr>
          <w:p>
            <w:pPr>
              <w:spacing w:after="20"/>
            </w:pPr>
            <w:r>
              <w:rPr>
                <w:color w:val="1C3A36"/>
                <w:sz w:val="14"/>
              </w:rPr>
              <w:t>1,872,557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34, revenues, others</w:t>
            </w:r>
          </w:p>
        </w:tc>
        <w:tc>
          <w:tcPr>
            <w:tcW w:type="dxa" w:w="1066"/>
          </w:tcPr>
          <w:p>
            <w:pPr>
              <w:spacing w:after="20"/>
            </w:pPr>
            <w:r>
              <w:rPr>
                <w:color w:val="1C3A36"/>
                <w:sz w:val="14"/>
              </w:rPr>
              <w:t>2025-12-31</w:t>
            </w:r>
          </w:p>
        </w:tc>
      </w:tr>
      <w:tr>
        <w:tc>
          <w:tcPr>
            <w:tcW w:type="dxa" w:w="505"/>
          </w:tcPr>
          <w:p>
            <w:pPr>
              <w:spacing w:after="20"/>
            </w:pPr>
            <w:r>
              <w:rPr>
                <w:color w:val="1C3A36"/>
                <w:sz w:val="14"/>
              </w:rPr>
              <w:t>116</w:t>
            </w:r>
          </w:p>
        </w:tc>
        <w:tc>
          <w:tcPr>
            <w:tcW w:type="dxa" w:w="1236"/>
          </w:tcPr>
          <w:p>
            <w:pPr>
              <w:spacing w:after="20"/>
            </w:pPr>
            <w:r>
              <w:rPr>
                <w:color w:val="1C3A36"/>
                <w:sz w:val="14"/>
              </w:rPr>
              <w:t>rev rendering of services fy2023</w:t>
            </w:r>
          </w:p>
        </w:tc>
        <w:tc>
          <w:tcPr>
            <w:tcW w:type="dxa" w:w="1162"/>
          </w:tcPr>
          <w:p>
            <w:pPr>
              <w:spacing w:after="20"/>
            </w:pPr>
            <w:r>
              <w:rPr>
                <w:color w:val="1C3A36"/>
                <w:sz w:val="14"/>
              </w:rPr>
              <w:t>60,306,720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34, revenues, rendering of services</w:t>
            </w:r>
          </w:p>
        </w:tc>
        <w:tc>
          <w:tcPr>
            <w:tcW w:type="dxa" w:w="1066"/>
          </w:tcPr>
          <w:p>
            <w:pPr>
              <w:spacing w:after="20"/>
            </w:pPr>
            <w:r>
              <w:rPr>
                <w:color w:val="1C3A36"/>
                <w:sz w:val="14"/>
              </w:rPr>
              <w:t>2024-12-31</w:t>
            </w:r>
          </w:p>
        </w:tc>
      </w:tr>
      <w:tr>
        <w:tc>
          <w:tcPr>
            <w:tcW w:type="dxa" w:w="505"/>
          </w:tcPr>
          <w:p>
            <w:pPr>
              <w:spacing w:after="20"/>
            </w:pPr>
            <w:r>
              <w:rPr>
                <w:color w:val="1C3A36"/>
                <w:sz w:val="14"/>
              </w:rPr>
              <w:t>117</w:t>
            </w:r>
          </w:p>
        </w:tc>
        <w:tc>
          <w:tcPr>
            <w:tcW w:type="dxa" w:w="1236"/>
          </w:tcPr>
          <w:p>
            <w:pPr>
              <w:spacing w:after="20"/>
            </w:pPr>
            <w:r>
              <w:rPr>
                <w:color w:val="1C3A36"/>
                <w:sz w:val="14"/>
              </w:rPr>
              <w:t>rev rendering of services fy2024</w:t>
            </w:r>
          </w:p>
        </w:tc>
        <w:tc>
          <w:tcPr>
            <w:tcW w:type="dxa" w:w="1162"/>
          </w:tcPr>
          <w:p>
            <w:pPr>
              <w:spacing w:after="20"/>
            </w:pPr>
            <w:r>
              <w:rPr>
                <w:color w:val="1C3A36"/>
                <w:sz w:val="14"/>
              </w:rPr>
              <w:t>63,283,188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34, revenues, rendering of services</w:t>
            </w:r>
          </w:p>
        </w:tc>
        <w:tc>
          <w:tcPr>
            <w:tcW w:type="dxa" w:w="1066"/>
          </w:tcPr>
          <w:p>
            <w:pPr>
              <w:spacing w:after="20"/>
            </w:pPr>
            <w:r>
              <w:rPr>
                <w:color w:val="1C3A36"/>
                <w:sz w:val="14"/>
              </w:rPr>
              <w:t>2025-12-31</w:t>
            </w:r>
          </w:p>
        </w:tc>
      </w:tr>
      <w:tr>
        <w:tc>
          <w:tcPr>
            <w:tcW w:type="dxa" w:w="505"/>
          </w:tcPr>
          <w:p>
            <w:pPr>
              <w:spacing w:after="20"/>
            </w:pPr>
            <w:r>
              <w:rPr>
                <w:color w:val="1C3A36"/>
                <w:sz w:val="14"/>
              </w:rPr>
              <w:t>118</w:t>
            </w:r>
          </w:p>
        </w:tc>
        <w:tc>
          <w:tcPr>
            <w:tcW w:type="dxa" w:w="1236"/>
          </w:tcPr>
          <w:p>
            <w:pPr>
              <w:spacing w:after="20"/>
            </w:pPr>
            <w:r>
              <w:rPr>
                <w:color w:val="1C3A36"/>
                <w:sz w:val="14"/>
              </w:rPr>
              <w:t>rev rendering of services fy2025</w:t>
            </w:r>
          </w:p>
        </w:tc>
        <w:tc>
          <w:tcPr>
            <w:tcW w:type="dxa" w:w="1162"/>
          </w:tcPr>
          <w:p>
            <w:pPr>
              <w:spacing w:after="20"/>
            </w:pPr>
            <w:r>
              <w:rPr>
                <w:color w:val="1C3A36"/>
                <w:sz w:val="14"/>
              </w:rPr>
              <w:t>63,312,089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34, revenues, rendering of services</w:t>
            </w:r>
          </w:p>
        </w:tc>
        <w:tc>
          <w:tcPr>
            <w:tcW w:type="dxa" w:w="1066"/>
          </w:tcPr>
          <w:p>
            <w:pPr>
              <w:spacing w:after="20"/>
            </w:pPr>
            <w:r>
              <w:rPr>
                <w:color w:val="1C3A36"/>
                <w:sz w:val="14"/>
              </w:rPr>
              <w:t>2025-12-31</w:t>
            </w:r>
          </w:p>
        </w:tc>
      </w:tr>
      <w:tr>
        <w:tc>
          <w:tcPr>
            <w:tcW w:type="dxa" w:w="505"/>
          </w:tcPr>
          <w:p>
            <w:pPr>
              <w:spacing w:after="20"/>
            </w:pPr>
            <w:r>
              <w:rPr>
                <w:color w:val="1C3A36"/>
                <w:sz w:val="14"/>
              </w:rPr>
              <w:t>119</w:t>
            </w:r>
          </w:p>
        </w:tc>
        <w:tc>
          <w:tcPr>
            <w:tcW w:type="dxa" w:w="1236"/>
          </w:tcPr>
          <w:p>
            <w:pPr>
              <w:spacing w:after="20"/>
            </w:pPr>
            <w:r>
              <w:rPr>
                <w:color w:val="1C3A36"/>
                <w:sz w:val="14"/>
              </w:rPr>
              <w:t>rev sale of devices fy2023</w:t>
            </w:r>
          </w:p>
        </w:tc>
        <w:tc>
          <w:tcPr>
            <w:tcW w:type="dxa" w:w="1162"/>
          </w:tcPr>
          <w:p>
            <w:pPr>
              <w:spacing w:after="20"/>
            </w:pPr>
            <w:r>
              <w:rPr>
                <w:color w:val="1C3A36"/>
                <w:sz w:val="14"/>
              </w:rPr>
              <w:t>11,406,625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34, revenues, sale of devices</w:t>
            </w:r>
          </w:p>
        </w:tc>
        <w:tc>
          <w:tcPr>
            <w:tcW w:type="dxa" w:w="1066"/>
          </w:tcPr>
          <w:p>
            <w:pPr>
              <w:spacing w:after="20"/>
            </w:pPr>
            <w:r>
              <w:rPr>
                <w:color w:val="1C3A36"/>
                <w:sz w:val="14"/>
              </w:rPr>
              <w:t>2024-12-31</w:t>
            </w:r>
          </w:p>
        </w:tc>
      </w:tr>
      <w:tr>
        <w:tc>
          <w:tcPr>
            <w:tcW w:type="dxa" w:w="505"/>
          </w:tcPr>
          <w:p>
            <w:pPr>
              <w:spacing w:after="20"/>
            </w:pPr>
            <w:r>
              <w:rPr>
                <w:color w:val="1C3A36"/>
                <w:sz w:val="14"/>
              </w:rPr>
              <w:t>120</w:t>
            </w:r>
          </w:p>
        </w:tc>
        <w:tc>
          <w:tcPr>
            <w:tcW w:type="dxa" w:w="1236"/>
          </w:tcPr>
          <w:p>
            <w:pPr>
              <w:spacing w:after="20"/>
            </w:pPr>
            <w:r>
              <w:rPr>
                <w:color w:val="1C3A36"/>
                <w:sz w:val="14"/>
              </w:rPr>
              <w:t>rev sale of devices fy2024</w:t>
            </w:r>
          </w:p>
        </w:tc>
        <w:tc>
          <w:tcPr>
            <w:tcW w:type="dxa" w:w="1162"/>
          </w:tcPr>
          <w:p>
            <w:pPr>
              <w:spacing w:after="20"/>
            </w:pPr>
            <w:r>
              <w:rPr>
                <w:color w:val="1C3A36"/>
                <w:sz w:val="14"/>
              </w:rPr>
              <w:t>12,458,105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34, revenues, sale of devices</w:t>
            </w:r>
          </w:p>
        </w:tc>
        <w:tc>
          <w:tcPr>
            <w:tcW w:type="dxa" w:w="1066"/>
          </w:tcPr>
          <w:p>
            <w:pPr>
              <w:spacing w:after="20"/>
            </w:pPr>
            <w:r>
              <w:rPr>
                <w:color w:val="1C3A36"/>
                <w:sz w:val="14"/>
              </w:rPr>
              <w:t>2025-12-31</w:t>
            </w:r>
          </w:p>
        </w:tc>
      </w:tr>
      <w:tr>
        <w:tc>
          <w:tcPr>
            <w:tcW w:type="dxa" w:w="505"/>
          </w:tcPr>
          <w:p>
            <w:pPr>
              <w:spacing w:after="20"/>
            </w:pPr>
            <w:r>
              <w:rPr>
                <w:color w:val="1C3A36"/>
                <w:sz w:val="14"/>
              </w:rPr>
              <w:t>121</w:t>
            </w:r>
          </w:p>
        </w:tc>
        <w:tc>
          <w:tcPr>
            <w:tcW w:type="dxa" w:w="1236"/>
          </w:tcPr>
          <w:p>
            <w:pPr>
              <w:spacing w:after="20"/>
            </w:pPr>
            <w:r>
              <w:rPr>
                <w:color w:val="1C3A36"/>
                <w:sz w:val="14"/>
              </w:rPr>
              <w:t>rev sale of devices fy2025</w:t>
            </w:r>
          </w:p>
        </w:tc>
        <w:tc>
          <w:tcPr>
            <w:tcW w:type="dxa" w:w="1162"/>
          </w:tcPr>
          <w:p>
            <w:pPr>
              <w:spacing w:after="20"/>
            </w:pPr>
            <w:r>
              <w:rPr>
                <w:color w:val="1C3A36"/>
                <w:sz w:val="14"/>
              </w:rPr>
              <w:t>12,634,029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34, revenues, sale of devices</w:t>
            </w:r>
          </w:p>
        </w:tc>
        <w:tc>
          <w:tcPr>
            <w:tcW w:type="dxa" w:w="1066"/>
          </w:tcPr>
          <w:p>
            <w:pPr>
              <w:spacing w:after="20"/>
            </w:pPr>
            <w:r>
              <w:rPr>
                <w:color w:val="1C3A36"/>
                <w:sz w:val="14"/>
              </w:rPr>
              <w:t>2025-12-31</w:t>
            </w:r>
          </w:p>
        </w:tc>
      </w:tr>
      <w:tr>
        <w:tc>
          <w:tcPr>
            <w:tcW w:type="dxa" w:w="505"/>
          </w:tcPr>
          <w:p>
            <w:pPr>
              <w:spacing w:after="20"/>
            </w:pPr>
            <w:r>
              <w:rPr>
                <w:color w:val="1C3A36"/>
                <w:sz w:val="14"/>
              </w:rPr>
              <w:t>122</w:t>
            </w:r>
          </w:p>
        </w:tc>
        <w:tc>
          <w:tcPr>
            <w:tcW w:type="dxa" w:w="1236"/>
          </w:tcPr>
          <w:p>
            <w:pPr>
              <w:spacing w:after="20"/>
            </w:pPr>
            <w:r>
              <w:rPr>
                <w:color w:val="1C3A36"/>
                <w:sz w:val="14"/>
              </w:rPr>
              <w:t>rev seg center 3 fy2023</w:t>
            </w:r>
          </w:p>
        </w:tc>
        <w:tc>
          <w:tcPr>
            <w:tcW w:type="dxa" w:w="1162"/>
          </w:tcPr>
          <w:p>
            <w:pPr>
              <w:spacing w:after="20"/>
            </w:pPr>
            <w:r>
              <w:rPr>
                <w:color w:val="1C3A36"/>
                <w:sz w:val="14"/>
              </w:rPr>
              <w:t>1,089,218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Center 3</w:t>
            </w:r>
          </w:p>
        </w:tc>
        <w:tc>
          <w:tcPr>
            <w:tcW w:type="dxa" w:w="1066"/>
          </w:tcPr>
          <w:p>
            <w:pPr>
              <w:spacing w:after="20"/>
            </w:pPr>
            <w:r>
              <w:rPr>
                <w:color w:val="1C3A36"/>
                <w:sz w:val="14"/>
              </w:rPr>
              <w:t>2024-12-31</w:t>
            </w:r>
          </w:p>
        </w:tc>
      </w:tr>
      <w:tr>
        <w:tc>
          <w:tcPr>
            <w:tcW w:type="dxa" w:w="505"/>
          </w:tcPr>
          <w:p>
            <w:pPr>
              <w:spacing w:after="20"/>
            </w:pPr>
            <w:r>
              <w:rPr>
                <w:color w:val="1C3A36"/>
                <w:sz w:val="14"/>
              </w:rPr>
              <w:t>123</w:t>
            </w:r>
          </w:p>
        </w:tc>
        <w:tc>
          <w:tcPr>
            <w:tcW w:type="dxa" w:w="1236"/>
          </w:tcPr>
          <w:p>
            <w:pPr>
              <w:spacing w:after="20"/>
            </w:pPr>
            <w:r>
              <w:rPr>
                <w:color w:val="1C3A36"/>
                <w:sz w:val="14"/>
              </w:rPr>
              <w:t>rev seg center 3 fy2024</w:t>
            </w:r>
          </w:p>
        </w:tc>
        <w:tc>
          <w:tcPr>
            <w:tcW w:type="dxa" w:w="1162"/>
          </w:tcPr>
          <w:p>
            <w:pPr>
              <w:spacing w:after="20"/>
            </w:pPr>
            <w:r>
              <w:rPr>
                <w:color w:val="1C3A36"/>
                <w:sz w:val="14"/>
              </w:rPr>
              <w:t>1,911,716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Center 3</w:t>
            </w:r>
          </w:p>
        </w:tc>
        <w:tc>
          <w:tcPr>
            <w:tcW w:type="dxa" w:w="1066"/>
          </w:tcPr>
          <w:p>
            <w:pPr>
              <w:spacing w:after="20"/>
            </w:pPr>
            <w:r>
              <w:rPr>
                <w:color w:val="1C3A36"/>
                <w:sz w:val="14"/>
              </w:rPr>
              <w:t>2025-12-31</w:t>
            </w:r>
          </w:p>
        </w:tc>
      </w:tr>
      <w:tr>
        <w:tc>
          <w:tcPr>
            <w:tcW w:type="dxa" w:w="505"/>
          </w:tcPr>
          <w:p>
            <w:pPr>
              <w:spacing w:after="20"/>
            </w:pPr>
            <w:r>
              <w:rPr>
                <w:color w:val="1C3A36"/>
                <w:sz w:val="14"/>
              </w:rPr>
              <w:t>124</w:t>
            </w:r>
          </w:p>
        </w:tc>
        <w:tc>
          <w:tcPr>
            <w:tcW w:type="dxa" w:w="1236"/>
          </w:tcPr>
          <w:p>
            <w:pPr>
              <w:spacing w:after="20"/>
            </w:pPr>
            <w:r>
              <w:rPr>
                <w:color w:val="1C3A36"/>
                <w:sz w:val="14"/>
              </w:rPr>
              <w:t>rev seg center 3 fy2025</w:t>
            </w:r>
          </w:p>
        </w:tc>
        <w:tc>
          <w:tcPr>
            <w:tcW w:type="dxa" w:w="1162"/>
          </w:tcPr>
          <w:p>
            <w:pPr>
              <w:spacing w:after="20"/>
            </w:pPr>
            <w:r>
              <w:rPr>
                <w:color w:val="1C3A36"/>
                <w:sz w:val="14"/>
              </w:rPr>
              <w:t>1,961,666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Center 3</w:t>
            </w:r>
          </w:p>
        </w:tc>
        <w:tc>
          <w:tcPr>
            <w:tcW w:type="dxa" w:w="1066"/>
          </w:tcPr>
          <w:p>
            <w:pPr>
              <w:spacing w:after="20"/>
            </w:pPr>
            <w:r>
              <w:rPr>
                <w:color w:val="1C3A36"/>
                <w:sz w:val="14"/>
              </w:rPr>
              <w:t>2025-12-31</w:t>
            </w:r>
          </w:p>
        </w:tc>
      </w:tr>
      <w:tr>
        <w:tc>
          <w:tcPr>
            <w:tcW w:type="dxa" w:w="505"/>
          </w:tcPr>
          <w:p>
            <w:pPr>
              <w:spacing w:after="20"/>
            </w:pPr>
            <w:r>
              <w:rPr>
                <w:color w:val="1C3A36"/>
                <w:sz w:val="14"/>
              </w:rPr>
              <w:t>125</w:t>
            </w:r>
          </w:p>
        </w:tc>
        <w:tc>
          <w:tcPr>
            <w:tcW w:type="dxa" w:w="1236"/>
          </w:tcPr>
          <w:p>
            <w:pPr>
              <w:spacing w:after="20"/>
            </w:pPr>
            <w:r>
              <w:rPr>
                <w:color w:val="1C3A36"/>
                <w:sz w:val="14"/>
              </w:rPr>
              <w:t>rev seg channels fy2023</w:t>
            </w:r>
          </w:p>
        </w:tc>
        <w:tc>
          <w:tcPr>
            <w:tcW w:type="dxa" w:w="1162"/>
          </w:tcPr>
          <w:p>
            <w:pPr>
              <w:spacing w:after="20"/>
            </w:pPr>
            <w:r>
              <w:rPr>
                <w:color w:val="1C3A36"/>
                <w:sz w:val="14"/>
              </w:rPr>
              <w:t>14,194,210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Channels</w:t>
            </w:r>
          </w:p>
        </w:tc>
        <w:tc>
          <w:tcPr>
            <w:tcW w:type="dxa" w:w="1066"/>
          </w:tcPr>
          <w:p>
            <w:pPr>
              <w:spacing w:after="20"/>
            </w:pPr>
            <w:r>
              <w:rPr>
                <w:color w:val="1C3A36"/>
                <w:sz w:val="14"/>
              </w:rPr>
              <w:t>2024-12-31</w:t>
            </w:r>
          </w:p>
        </w:tc>
      </w:tr>
      <w:tr>
        <w:tc>
          <w:tcPr>
            <w:tcW w:type="dxa" w:w="505"/>
          </w:tcPr>
          <w:p>
            <w:pPr>
              <w:spacing w:after="20"/>
            </w:pPr>
            <w:r>
              <w:rPr>
                <w:color w:val="1C3A36"/>
                <w:sz w:val="14"/>
              </w:rPr>
              <w:t>126</w:t>
            </w:r>
          </w:p>
        </w:tc>
        <w:tc>
          <w:tcPr>
            <w:tcW w:type="dxa" w:w="1236"/>
          </w:tcPr>
          <w:p>
            <w:pPr>
              <w:spacing w:after="20"/>
            </w:pPr>
            <w:r>
              <w:rPr>
                <w:color w:val="1C3A36"/>
                <w:sz w:val="14"/>
              </w:rPr>
              <w:t>rev seg channels fy2024</w:t>
            </w:r>
          </w:p>
        </w:tc>
        <w:tc>
          <w:tcPr>
            <w:tcW w:type="dxa" w:w="1162"/>
          </w:tcPr>
          <w:p>
            <w:pPr>
              <w:spacing w:after="20"/>
            </w:pPr>
            <w:r>
              <w:rPr>
                <w:color w:val="1C3A36"/>
                <w:sz w:val="14"/>
              </w:rPr>
              <w:t>15,110,606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Channels</w:t>
            </w:r>
          </w:p>
        </w:tc>
        <w:tc>
          <w:tcPr>
            <w:tcW w:type="dxa" w:w="1066"/>
          </w:tcPr>
          <w:p>
            <w:pPr>
              <w:spacing w:after="20"/>
            </w:pPr>
            <w:r>
              <w:rPr>
                <w:color w:val="1C3A36"/>
                <w:sz w:val="14"/>
              </w:rPr>
              <w:t>2025-12-31</w:t>
            </w:r>
          </w:p>
        </w:tc>
      </w:tr>
      <w:tr>
        <w:tc>
          <w:tcPr>
            <w:tcW w:type="dxa" w:w="505"/>
          </w:tcPr>
          <w:p>
            <w:pPr>
              <w:spacing w:after="20"/>
            </w:pPr>
            <w:r>
              <w:rPr>
                <w:color w:val="1C3A36"/>
                <w:sz w:val="14"/>
              </w:rPr>
              <w:t>127</w:t>
            </w:r>
          </w:p>
        </w:tc>
        <w:tc>
          <w:tcPr>
            <w:tcW w:type="dxa" w:w="1236"/>
          </w:tcPr>
          <w:p>
            <w:pPr>
              <w:spacing w:after="20"/>
            </w:pPr>
            <w:r>
              <w:rPr>
                <w:color w:val="1C3A36"/>
                <w:sz w:val="14"/>
              </w:rPr>
              <w:t>rev seg channels fy2025</w:t>
            </w:r>
          </w:p>
        </w:tc>
        <w:tc>
          <w:tcPr>
            <w:tcW w:type="dxa" w:w="1162"/>
          </w:tcPr>
          <w:p>
            <w:pPr>
              <w:spacing w:after="20"/>
            </w:pPr>
            <w:r>
              <w:rPr>
                <w:color w:val="1C3A36"/>
                <w:sz w:val="14"/>
              </w:rPr>
              <w:t>14,085,195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Channels</w:t>
            </w:r>
          </w:p>
        </w:tc>
        <w:tc>
          <w:tcPr>
            <w:tcW w:type="dxa" w:w="1066"/>
          </w:tcPr>
          <w:p>
            <w:pPr>
              <w:spacing w:after="20"/>
            </w:pPr>
            <w:r>
              <w:rPr>
                <w:color w:val="1C3A36"/>
                <w:sz w:val="14"/>
              </w:rPr>
              <w:t>2025-12-31</w:t>
            </w:r>
          </w:p>
        </w:tc>
      </w:tr>
      <w:tr>
        <w:tc>
          <w:tcPr>
            <w:tcW w:type="dxa" w:w="505"/>
          </w:tcPr>
          <w:p>
            <w:pPr>
              <w:spacing w:after="20"/>
            </w:pPr>
            <w:r>
              <w:rPr>
                <w:color w:val="1C3A36"/>
                <w:sz w:val="14"/>
              </w:rPr>
              <w:t>128</w:t>
            </w:r>
          </w:p>
        </w:tc>
        <w:tc>
          <w:tcPr>
            <w:tcW w:type="dxa" w:w="1236"/>
          </w:tcPr>
          <w:p>
            <w:pPr>
              <w:spacing w:after="20"/>
            </w:pPr>
            <w:r>
              <w:rPr>
                <w:color w:val="1C3A36"/>
                <w:sz w:val="14"/>
              </w:rPr>
              <w:t>rev seg eliminations adjustments fy2023</w:t>
            </w:r>
          </w:p>
        </w:tc>
        <w:tc>
          <w:tcPr>
            <w:tcW w:type="dxa" w:w="1162"/>
          </w:tcPr>
          <w:p>
            <w:pPr>
              <w:spacing w:after="20"/>
            </w:pPr>
            <w:r>
              <w:rPr>
                <w:color w:val="1C3A36"/>
                <w:sz w:val="14"/>
              </w:rPr>
              <w:t>-12,567,896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Eliminations / adjustments</w:t>
            </w:r>
          </w:p>
        </w:tc>
        <w:tc>
          <w:tcPr>
            <w:tcW w:type="dxa" w:w="1066"/>
          </w:tcPr>
          <w:p>
            <w:pPr>
              <w:spacing w:after="20"/>
            </w:pPr>
            <w:r>
              <w:rPr>
                <w:color w:val="1C3A36"/>
                <w:sz w:val="14"/>
              </w:rPr>
              <w:t>2024-12-31</w:t>
            </w:r>
          </w:p>
        </w:tc>
      </w:tr>
      <w:tr>
        <w:tc>
          <w:tcPr>
            <w:tcW w:type="dxa" w:w="505"/>
          </w:tcPr>
          <w:p>
            <w:pPr>
              <w:spacing w:after="20"/>
            </w:pPr>
            <w:r>
              <w:rPr>
                <w:color w:val="1C3A36"/>
                <w:sz w:val="14"/>
              </w:rPr>
              <w:t>129</w:t>
            </w:r>
          </w:p>
        </w:tc>
        <w:tc>
          <w:tcPr>
            <w:tcW w:type="dxa" w:w="1236"/>
          </w:tcPr>
          <w:p>
            <w:pPr>
              <w:spacing w:after="20"/>
            </w:pPr>
            <w:r>
              <w:rPr>
                <w:color w:val="1C3A36"/>
                <w:sz w:val="14"/>
              </w:rPr>
              <w:t>rev seg eliminations adjustments fy2024</w:t>
            </w:r>
          </w:p>
        </w:tc>
        <w:tc>
          <w:tcPr>
            <w:tcW w:type="dxa" w:w="1162"/>
          </w:tcPr>
          <w:p>
            <w:pPr>
              <w:spacing w:after="20"/>
            </w:pPr>
            <w:r>
              <w:rPr>
                <w:color w:val="1C3A36"/>
                <w:sz w:val="14"/>
              </w:rPr>
              <w:t>-12,454,916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Eliminations / adjustments</w:t>
            </w:r>
          </w:p>
        </w:tc>
        <w:tc>
          <w:tcPr>
            <w:tcW w:type="dxa" w:w="1066"/>
          </w:tcPr>
          <w:p>
            <w:pPr>
              <w:spacing w:after="20"/>
            </w:pPr>
            <w:r>
              <w:rPr>
                <w:color w:val="1C3A36"/>
                <w:sz w:val="14"/>
              </w:rPr>
              <w:t>2025-12-31</w:t>
            </w:r>
          </w:p>
        </w:tc>
      </w:tr>
      <w:tr>
        <w:tc>
          <w:tcPr>
            <w:tcW w:type="dxa" w:w="505"/>
          </w:tcPr>
          <w:p>
            <w:pPr>
              <w:spacing w:after="20"/>
            </w:pPr>
            <w:r>
              <w:rPr>
                <w:color w:val="1C3A36"/>
                <w:sz w:val="14"/>
              </w:rPr>
              <w:t>130</w:t>
            </w:r>
          </w:p>
        </w:tc>
        <w:tc>
          <w:tcPr>
            <w:tcW w:type="dxa" w:w="1236"/>
          </w:tcPr>
          <w:p>
            <w:pPr>
              <w:spacing w:after="20"/>
            </w:pPr>
            <w:r>
              <w:rPr>
                <w:color w:val="1C3A36"/>
                <w:sz w:val="14"/>
              </w:rPr>
              <w:t>rev seg eliminations adjustments fy2025</w:t>
            </w:r>
          </w:p>
        </w:tc>
        <w:tc>
          <w:tcPr>
            <w:tcW w:type="dxa" w:w="1162"/>
          </w:tcPr>
          <w:p>
            <w:pPr>
              <w:spacing w:after="20"/>
            </w:pPr>
            <w:r>
              <w:rPr>
                <w:color w:val="1C3A36"/>
                <w:sz w:val="14"/>
              </w:rPr>
              <w:t>-11,498,645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Eliminations / adjustments</w:t>
            </w:r>
          </w:p>
        </w:tc>
        <w:tc>
          <w:tcPr>
            <w:tcW w:type="dxa" w:w="1066"/>
          </w:tcPr>
          <w:p>
            <w:pPr>
              <w:spacing w:after="20"/>
            </w:pPr>
            <w:r>
              <w:rPr>
                <w:color w:val="1C3A36"/>
                <w:sz w:val="14"/>
              </w:rPr>
              <w:t>2025-12-31</w:t>
            </w:r>
          </w:p>
        </w:tc>
      </w:tr>
      <w:tr>
        <w:tc>
          <w:tcPr>
            <w:tcW w:type="dxa" w:w="505"/>
          </w:tcPr>
          <w:p>
            <w:pPr>
              <w:spacing w:after="20"/>
            </w:pPr>
            <w:r>
              <w:rPr>
                <w:color w:val="1C3A36"/>
                <w:sz w:val="14"/>
              </w:rPr>
              <w:t>131</w:t>
            </w:r>
          </w:p>
        </w:tc>
        <w:tc>
          <w:tcPr>
            <w:tcW w:type="dxa" w:w="1236"/>
          </w:tcPr>
          <w:p>
            <w:pPr>
              <w:spacing w:after="20"/>
            </w:pPr>
            <w:r>
              <w:rPr>
                <w:color w:val="1C3A36"/>
                <w:sz w:val="14"/>
              </w:rPr>
              <w:t>rev seg iot2 fy2023</w:t>
            </w:r>
          </w:p>
        </w:tc>
        <w:tc>
          <w:tcPr>
            <w:tcW w:type="dxa" w:w="1162"/>
          </w:tcPr>
          <w:p>
            <w:pPr>
              <w:spacing w:after="20"/>
            </w:pPr>
            <w:r>
              <w:rPr>
                <w:color w:val="1C3A36"/>
                <w:sz w:val="14"/>
              </w:rPr>
              <w:t>72,539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iot2</w:t>
            </w:r>
          </w:p>
        </w:tc>
        <w:tc>
          <w:tcPr>
            <w:tcW w:type="dxa" w:w="1066"/>
          </w:tcPr>
          <w:p>
            <w:pPr>
              <w:spacing w:after="20"/>
            </w:pPr>
            <w:r>
              <w:rPr>
                <w:color w:val="1C3A36"/>
                <w:sz w:val="14"/>
              </w:rPr>
              <w:t>2024-12-31</w:t>
            </w:r>
          </w:p>
        </w:tc>
      </w:tr>
      <w:tr>
        <w:tc>
          <w:tcPr>
            <w:tcW w:type="dxa" w:w="505"/>
          </w:tcPr>
          <w:p>
            <w:pPr>
              <w:spacing w:after="20"/>
            </w:pPr>
            <w:r>
              <w:rPr>
                <w:color w:val="1C3A36"/>
                <w:sz w:val="14"/>
              </w:rPr>
              <w:t>132</w:t>
            </w:r>
          </w:p>
        </w:tc>
        <w:tc>
          <w:tcPr>
            <w:tcW w:type="dxa" w:w="1236"/>
          </w:tcPr>
          <w:p>
            <w:pPr>
              <w:spacing w:after="20"/>
            </w:pPr>
            <w:r>
              <w:rPr>
                <w:color w:val="1C3A36"/>
                <w:sz w:val="14"/>
              </w:rPr>
              <w:t>rev seg iot2 fy2024</w:t>
            </w:r>
          </w:p>
        </w:tc>
        <w:tc>
          <w:tcPr>
            <w:tcW w:type="dxa" w:w="1162"/>
          </w:tcPr>
          <w:p>
            <w:pPr>
              <w:spacing w:after="20"/>
            </w:pPr>
            <w:r>
              <w:rPr>
                <w:color w:val="1C3A36"/>
                <w:sz w:val="14"/>
              </w:rPr>
              <w:t>301,434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iot2</w:t>
            </w:r>
          </w:p>
        </w:tc>
        <w:tc>
          <w:tcPr>
            <w:tcW w:type="dxa" w:w="1066"/>
          </w:tcPr>
          <w:p>
            <w:pPr>
              <w:spacing w:after="20"/>
            </w:pPr>
            <w:r>
              <w:rPr>
                <w:color w:val="1C3A36"/>
                <w:sz w:val="14"/>
              </w:rPr>
              <w:t>2025-12-31</w:t>
            </w:r>
          </w:p>
        </w:tc>
      </w:tr>
      <w:tr>
        <w:tc>
          <w:tcPr>
            <w:tcW w:type="dxa" w:w="505"/>
          </w:tcPr>
          <w:p>
            <w:pPr>
              <w:spacing w:after="20"/>
            </w:pPr>
            <w:r>
              <w:rPr>
                <w:color w:val="1C3A36"/>
                <w:sz w:val="14"/>
              </w:rPr>
              <w:t>133</w:t>
            </w:r>
          </w:p>
        </w:tc>
        <w:tc>
          <w:tcPr>
            <w:tcW w:type="dxa" w:w="1236"/>
          </w:tcPr>
          <w:p>
            <w:pPr>
              <w:spacing w:after="20"/>
            </w:pPr>
            <w:r>
              <w:rPr>
                <w:color w:val="1C3A36"/>
                <w:sz w:val="14"/>
              </w:rPr>
              <w:t>rev seg iot2 fy2025</w:t>
            </w:r>
          </w:p>
        </w:tc>
        <w:tc>
          <w:tcPr>
            <w:tcW w:type="dxa" w:w="1162"/>
          </w:tcPr>
          <w:p>
            <w:pPr>
              <w:spacing w:after="20"/>
            </w:pPr>
            <w:r>
              <w:rPr>
                <w:color w:val="1C3A36"/>
                <w:sz w:val="14"/>
              </w:rPr>
              <w:t>321,668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iot2</w:t>
            </w:r>
          </w:p>
        </w:tc>
        <w:tc>
          <w:tcPr>
            <w:tcW w:type="dxa" w:w="1066"/>
          </w:tcPr>
          <w:p>
            <w:pPr>
              <w:spacing w:after="20"/>
            </w:pPr>
            <w:r>
              <w:rPr>
                <w:color w:val="1C3A36"/>
                <w:sz w:val="14"/>
              </w:rPr>
              <w:t>2025-12-31</w:t>
            </w:r>
          </w:p>
        </w:tc>
      </w:tr>
      <w:tr>
        <w:tc>
          <w:tcPr>
            <w:tcW w:type="dxa" w:w="505"/>
          </w:tcPr>
          <w:p>
            <w:pPr>
              <w:spacing w:after="20"/>
            </w:pPr>
            <w:r>
              <w:rPr>
                <w:color w:val="1C3A36"/>
                <w:sz w:val="14"/>
              </w:rPr>
              <w:t>134</w:t>
            </w:r>
          </w:p>
        </w:tc>
        <w:tc>
          <w:tcPr>
            <w:tcW w:type="dxa" w:w="1236"/>
          </w:tcPr>
          <w:p>
            <w:pPr>
              <w:spacing w:after="20"/>
            </w:pPr>
            <w:r>
              <w:rPr>
                <w:color w:val="1C3A36"/>
                <w:sz w:val="14"/>
              </w:rPr>
              <w:t>rev seg other operating segments fy2023</w:t>
            </w:r>
          </w:p>
        </w:tc>
        <w:tc>
          <w:tcPr>
            <w:tcW w:type="dxa" w:w="1162"/>
          </w:tcPr>
          <w:p>
            <w:pPr>
              <w:spacing w:after="20"/>
            </w:pPr>
            <w:r>
              <w:rPr>
                <w:color w:val="1C3A36"/>
                <w:sz w:val="14"/>
              </w:rPr>
              <w:t>709,843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Other operating segments</w:t>
            </w:r>
          </w:p>
        </w:tc>
        <w:tc>
          <w:tcPr>
            <w:tcW w:type="dxa" w:w="1066"/>
          </w:tcPr>
          <w:p>
            <w:pPr>
              <w:spacing w:after="20"/>
            </w:pPr>
            <w:r>
              <w:rPr>
                <w:color w:val="1C3A36"/>
                <w:sz w:val="14"/>
              </w:rPr>
              <w:t>2024-12-31</w:t>
            </w:r>
          </w:p>
        </w:tc>
      </w:tr>
      <w:tr>
        <w:tc>
          <w:tcPr>
            <w:tcW w:type="dxa" w:w="505"/>
          </w:tcPr>
          <w:p>
            <w:pPr>
              <w:spacing w:after="20"/>
            </w:pPr>
            <w:r>
              <w:rPr>
                <w:color w:val="1C3A36"/>
                <w:sz w:val="14"/>
              </w:rPr>
              <w:t>135</w:t>
            </w:r>
          </w:p>
        </w:tc>
        <w:tc>
          <w:tcPr>
            <w:tcW w:type="dxa" w:w="1236"/>
          </w:tcPr>
          <w:p>
            <w:pPr>
              <w:spacing w:after="20"/>
            </w:pPr>
            <w:r>
              <w:rPr>
                <w:color w:val="1C3A36"/>
                <w:sz w:val="14"/>
              </w:rPr>
              <w:t>rev seg other operating segments fy2024</w:t>
            </w:r>
          </w:p>
        </w:tc>
        <w:tc>
          <w:tcPr>
            <w:tcW w:type="dxa" w:w="1162"/>
          </w:tcPr>
          <w:p>
            <w:pPr>
              <w:spacing w:after="20"/>
            </w:pPr>
            <w:r>
              <w:rPr>
                <w:color w:val="1C3A36"/>
                <w:sz w:val="14"/>
              </w:rPr>
              <w:t>729,345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Other operating segments</w:t>
            </w:r>
          </w:p>
        </w:tc>
        <w:tc>
          <w:tcPr>
            <w:tcW w:type="dxa" w:w="1066"/>
          </w:tcPr>
          <w:p>
            <w:pPr>
              <w:spacing w:after="20"/>
            </w:pPr>
            <w:r>
              <w:rPr>
                <w:color w:val="1C3A36"/>
                <w:sz w:val="14"/>
              </w:rPr>
              <w:t>2025-12-31</w:t>
            </w:r>
          </w:p>
        </w:tc>
      </w:tr>
      <w:tr>
        <w:tc>
          <w:tcPr>
            <w:tcW w:type="dxa" w:w="505"/>
          </w:tcPr>
          <w:p>
            <w:pPr>
              <w:spacing w:after="20"/>
            </w:pPr>
            <w:r>
              <w:rPr>
                <w:color w:val="1C3A36"/>
                <w:sz w:val="14"/>
              </w:rPr>
              <w:t>136</w:t>
            </w:r>
          </w:p>
        </w:tc>
        <w:tc>
          <w:tcPr>
            <w:tcW w:type="dxa" w:w="1236"/>
          </w:tcPr>
          <w:p>
            <w:pPr>
              <w:spacing w:after="20"/>
            </w:pPr>
            <w:r>
              <w:rPr>
                <w:color w:val="1C3A36"/>
                <w:sz w:val="14"/>
              </w:rPr>
              <w:t>rev seg other operating segments fy2025</w:t>
            </w:r>
          </w:p>
        </w:tc>
        <w:tc>
          <w:tcPr>
            <w:tcW w:type="dxa" w:w="1162"/>
          </w:tcPr>
          <w:p>
            <w:pPr>
              <w:spacing w:after="20"/>
            </w:pPr>
            <w:r>
              <w:rPr>
                <w:color w:val="1C3A36"/>
                <w:sz w:val="14"/>
              </w:rPr>
              <w:t>65,059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Other operating segments</w:t>
            </w:r>
          </w:p>
        </w:tc>
        <w:tc>
          <w:tcPr>
            <w:tcW w:type="dxa" w:w="1066"/>
          </w:tcPr>
          <w:p>
            <w:pPr>
              <w:spacing w:after="20"/>
            </w:pPr>
            <w:r>
              <w:rPr>
                <w:color w:val="1C3A36"/>
                <w:sz w:val="14"/>
              </w:rPr>
              <w:t>2025-12-31</w:t>
            </w:r>
          </w:p>
        </w:tc>
      </w:tr>
      <w:tr>
        <w:tc>
          <w:tcPr>
            <w:tcW w:type="dxa" w:w="505"/>
          </w:tcPr>
          <w:p>
            <w:pPr>
              <w:spacing w:after="20"/>
            </w:pPr>
            <w:r>
              <w:rPr>
                <w:color w:val="1C3A36"/>
                <w:sz w:val="14"/>
              </w:rPr>
              <w:t>137</w:t>
            </w:r>
          </w:p>
        </w:tc>
        <w:tc>
          <w:tcPr>
            <w:tcW w:type="dxa" w:w="1236"/>
          </w:tcPr>
          <w:p>
            <w:pPr>
              <w:spacing w:after="20"/>
            </w:pPr>
            <w:r>
              <w:rPr>
                <w:color w:val="1C3A36"/>
                <w:sz w:val="14"/>
              </w:rPr>
              <w:t>rev seg sccc fy2023</w:t>
            </w:r>
          </w:p>
        </w:tc>
        <w:tc>
          <w:tcPr>
            <w:tcW w:type="dxa" w:w="1162"/>
          </w:tcPr>
          <w:p>
            <w:pPr>
              <w:spacing w:after="20"/>
            </w:pPr>
            <w:r>
              <w:rPr>
                <w:color w:val="1C3A36"/>
                <w:sz w:val="14"/>
              </w:rPr>
              <w:t>72,150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SCCC</w:t>
            </w:r>
          </w:p>
        </w:tc>
        <w:tc>
          <w:tcPr>
            <w:tcW w:type="dxa" w:w="1066"/>
          </w:tcPr>
          <w:p>
            <w:pPr>
              <w:spacing w:after="20"/>
            </w:pPr>
            <w:r>
              <w:rPr>
                <w:color w:val="1C3A36"/>
                <w:sz w:val="14"/>
              </w:rPr>
              <w:t>2024-12-31</w:t>
            </w:r>
          </w:p>
        </w:tc>
      </w:tr>
      <w:tr>
        <w:tc>
          <w:tcPr>
            <w:tcW w:type="dxa" w:w="505"/>
          </w:tcPr>
          <w:p>
            <w:pPr>
              <w:spacing w:after="20"/>
            </w:pPr>
            <w:r>
              <w:rPr>
                <w:color w:val="1C3A36"/>
                <w:sz w:val="14"/>
              </w:rPr>
              <w:t>138</w:t>
            </w:r>
          </w:p>
        </w:tc>
        <w:tc>
          <w:tcPr>
            <w:tcW w:type="dxa" w:w="1236"/>
          </w:tcPr>
          <w:p>
            <w:pPr>
              <w:spacing w:after="20"/>
            </w:pPr>
            <w:r>
              <w:rPr>
                <w:color w:val="1C3A36"/>
                <w:sz w:val="14"/>
              </w:rPr>
              <w:t>rev seg sccc fy2024</w:t>
            </w:r>
          </w:p>
        </w:tc>
        <w:tc>
          <w:tcPr>
            <w:tcW w:type="dxa" w:w="1162"/>
          </w:tcPr>
          <w:p>
            <w:pPr>
              <w:spacing w:after="20"/>
            </w:pPr>
            <w:r>
              <w:rPr>
                <w:color w:val="1C3A36"/>
                <w:sz w:val="14"/>
              </w:rPr>
              <w:t>187,904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SCCC</w:t>
            </w:r>
          </w:p>
        </w:tc>
        <w:tc>
          <w:tcPr>
            <w:tcW w:type="dxa" w:w="1066"/>
          </w:tcPr>
          <w:p>
            <w:pPr>
              <w:spacing w:after="20"/>
            </w:pPr>
            <w:r>
              <w:rPr>
                <w:color w:val="1C3A36"/>
                <w:sz w:val="14"/>
              </w:rPr>
              <w:t>2025-12-31</w:t>
            </w:r>
          </w:p>
        </w:tc>
      </w:tr>
      <w:tr>
        <w:tc>
          <w:tcPr>
            <w:tcW w:type="dxa" w:w="505"/>
          </w:tcPr>
          <w:p>
            <w:pPr>
              <w:spacing w:after="20"/>
            </w:pPr>
            <w:r>
              <w:rPr>
                <w:color w:val="1C3A36"/>
                <w:sz w:val="14"/>
              </w:rPr>
              <w:t>139</w:t>
            </w:r>
          </w:p>
        </w:tc>
        <w:tc>
          <w:tcPr>
            <w:tcW w:type="dxa" w:w="1236"/>
          </w:tcPr>
          <w:p>
            <w:pPr>
              <w:spacing w:after="20"/>
            </w:pPr>
            <w:r>
              <w:rPr>
                <w:color w:val="1C3A36"/>
                <w:sz w:val="14"/>
              </w:rPr>
              <w:t>rev seg sccc fy2025</w:t>
            </w:r>
          </w:p>
        </w:tc>
        <w:tc>
          <w:tcPr>
            <w:tcW w:type="dxa" w:w="1162"/>
          </w:tcPr>
          <w:p>
            <w:pPr>
              <w:spacing w:after="20"/>
            </w:pPr>
            <w:r>
              <w:rPr>
                <w:color w:val="1C3A36"/>
                <w:sz w:val="14"/>
              </w:rPr>
              <w:t>303,969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SCCC</w:t>
            </w:r>
          </w:p>
        </w:tc>
        <w:tc>
          <w:tcPr>
            <w:tcW w:type="dxa" w:w="1066"/>
          </w:tcPr>
          <w:p>
            <w:pPr>
              <w:spacing w:after="20"/>
            </w:pPr>
            <w:r>
              <w:rPr>
                <w:color w:val="1C3A36"/>
                <w:sz w:val="14"/>
              </w:rPr>
              <w:t>2025-12-31</w:t>
            </w:r>
          </w:p>
        </w:tc>
      </w:tr>
      <w:tr>
        <w:tc>
          <w:tcPr>
            <w:tcW w:type="dxa" w:w="505"/>
          </w:tcPr>
          <w:p>
            <w:pPr>
              <w:spacing w:after="20"/>
            </w:pPr>
            <w:r>
              <w:rPr>
                <w:color w:val="1C3A36"/>
                <w:sz w:val="14"/>
              </w:rPr>
              <w:t>140</w:t>
            </w:r>
          </w:p>
        </w:tc>
        <w:tc>
          <w:tcPr>
            <w:tcW w:type="dxa" w:w="1236"/>
          </w:tcPr>
          <w:p>
            <w:pPr>
              <w:spacing w:after="20"/>
            </w:pPr>
            <w:r>
              <w:rPr>
                <w:color w:val="1C3A36"/>
                <w:sz w:val="14"/>
              </w:rPr>
              <w:t>rev seg sirar fy2023</w:t>
            </w:r>
          </w:p>
        </w:tc>
        <w:tc>
          <w:tcPr>
            <w:tcW w:type="dxa" w:w="1162"/>
          </w:tcPr>
          <w:p>
            <w:pPr>
              <w:spacing w:after="20"/>
            </w:pPr>
            <w:r>
              <w:rPr>
                <w:color w:val="1C3A36"/>
                <w:sz w:val="14"/>
              </w:rPr>
              <w:t>588,606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Sirar</w:t>
            </w:r>
          </w:p>
        </w:tc>
        <w:tc>
          <w:tcPr>
            <w:tcW w:type="dxa" w:w="1066"/>
          </w:tcPr>
          <w:p>
            <w:pPr>
              <w:spacing w:after="20"/>
            </w:pPr>
            <w:r>
              <w:rPr>
                <w:color w:val="1C3A36"/>
                <w:sz w:val="14"/>
              </w:rPr>
              <w:t>2024-12-31</w:t>
            </w:r>
          </w:p>
        </w:tc>
      </w:tr>
      <w:tr>
        <w:tc>
          <w:tcPr>
            <w:tcW w:type="dxa" w:w="505"/>
          </w:tcPr>
          <w:p>
            <w:pPr>
              <w:spacing w:after="20"/>
            </w:pPr>
            <w:r>
              <w:rPr>
                <w:color w:val="1C3A36"/>
                <w:sz w:val="14"/>
              </w:rPr>
              <w:t>141</w:t>
            </w:r>
          </w:p>
        </w:tc>
        <w:tc>
          <w:tcPr>
            <w:tcW w:type="dxa" w:w="1236"/>
          </w:tcPr>
          <w:p>
            <w:pPr>
              <w:spacing w:after="20"/>
            </w:pPr>
            <w:r>
              <w:rPr>
                <w:color w:val="1C3A36"/>
                <w:sz w:val="14"/>
              </w:rPr>
              <w:t>rev seg sirar fy2024</w:t>
            </w:r>
          </w:p>
        </w:tc>
        <w:tc>
          <w:tcPr>
            <w:tcW w:type="dxa" w:w="1162"/>
          </w:tcPr>
          <w:p>
            <w:pPr>
              <w:spacing w:after="20"/>
            </w:pPr>
            <w:r>
              <w:rPr>
                <w:color w:val="1C3A36"/>
                <w:sz w:val="14"/>
              </w:rPr>
              <w:t>732,675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Sirar</w:t>
            </w:r>
          </w:p>
        </w:tc>
        <w:tc>
          <w:tcPr>
            <w:tcW w:type="dxa" w:w="1066"/>
          </w:tcPr>
          <w:p>
            <w:pPr>
              <w:spacing w:after="20"/>
            </w:pPr>
            <w:r>
              <w:rPr>
                <w:color w:val="1C3A36"/>
                <w:sz w:val="14"/>
              </w:rPr>
              <w:t>2025-12-31</w:t>
            </w:r>
          </w:p>
        </w:tc>
      </w:tr>
      <w:tr>
        <w:tc>
          <w:tcPr>
            <w:tcW w:type="dxa" w:w="505"/>
          </w:tcPr>
          <w:p>
            <w:pPr>
              <w:spacing w:after="20"/>
            </w:pPr>
            <w:r>
              <w:rPr>
                <w:color w:val="1C3A36"/>
                <w:sz w:val="14"/>
              </w:rPr>
              <w:t>142</w:t>
            </w:r>
          </w:p>
        </w:tc>
        <w:tc>
          <w:tcPr>
            <w:tcW w:type="dxa" w:w="1236"/>
          </w:tcPr>
          <w:p>
            <w:pPr>
              <w:spacing w:after="20"/>
            </w:pPr>
            <w:r>
              <w:rPr>
                <w:color w:val="1C3A36"/>
                <w:sz w:val="14"/>
              </w:rPr>
              <w:t>rev seg sirar fy2025</w:t>
            </w:r>
          </w:p>
        </w:tc>
        <w:tc>
          <w:tcPr>
            <w:tcW w:type="dxa" w:w="1162"/>
          </w:tcPr>
          <w:p>
            <w:pPr>
              <w:spacing w:after="20"/>
            </w:pPr>
            <w:r>
              <w:rPr>
                <w:color w:val="1C3A36"/>
                <w:sz w:val="14"/>
              </w:rPr>
              <w:t>826,545</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Sirar</w:t>
            </w:r>
          </w:p>
        </w:tc>
        <w:tc>
          <w:tcPr>
            <w:tcW w:type="dxa" w:w="1066"/>
          </w:tcPr>
          <w:p>
            <w:pPr>
              <w:spacing w:after="20"/>
            </w:pPr>
            <w:r>
              <w:rPr>
                <w:color w:val="1C3A36"/>
                <w:sz w:val="14"/>
              </w:rPr>
              <w:t>2025-12-31</w:t>
            </w:r>
          </w:p>
        </w:tc>
      </w:tr>
      <w:tr>
        <w:tc>
          <w:tcPr>
            <w:tcW w:type="dxa" w:w="505"/>
          </w:tcPr>
          <w:p>
            <w:pPr>
              <w:spacing w:after="20"/>
            </w:pPr>
            <w:r>
              <w:rPr>
                <w:color w:val="1C3A36"/>
                <w:sz w:val="14"/>
              </w:rPr>
              <w:t>143</w:t>
            </w:r>
          </w:p>
        </w:tc>
        <w:tc>
          <w:tcPr>
            <w:tcW w:type="dxa" w:w="1236"/>
          </w:tcPr>
          <w:p>
            <w:pPr>
              <w:spacing w:after="20"/>
            </w:pPr>
            <w:r>
              <w:rPr>
                <w:color w:val="1C3A36"/>
                <w:sz w:val="14"/>
              </w:rPr>
              <w:t>rev seg solutions fy2023</w:t>
            </w:r>
          </w:p>
        </w:tc>
        <w:tc>
          <w:tcPr>
            <w:tcW w:type="dxa" w:w="1162"/>
          </w:tcPr>
          <w:p>
            <w:pPr>
              <w:spacing w:after="20"/>
            </w:pPr>
            <w:r>
              <w:rPr>
                <w:color w:val="1C3A36"/>
                <w:sz w:val="14"/>
              </w:rPr>
              <w:t>11,040,493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Solutions</w:t>
            </w:r>
          </w:p>
        </w:tc>
        <w:tc>
          <w:tcPr>
            <w:tcW w:type="dxa" w:w="1066"/>
          </w:tcPr>
          <w:p>
            <w:pPr>
              <w:spacing w:after="20"/>
            </w:pPr>
            <w:r>
              <w:rPr>
                <w:color w:val="1C3A36"/>
                <w:sz w:val="14"/>
              </w:rPr>
              <w:t>2024-12-31</w:t>
            </w:r>
          </w:p>
        </w:tc>
      </w:tr>
      <w:tr>
        <w:tc>
          <w:tcPr>
            <w:tcW w:type="dxa" w:w="505"/>
          </w:tcPr>
          <w:p>
            <w:pPr>
              <w:spacing w:after="20"/>
            </w:pPr>
            <w:r>
              <w:rPr>
                <w:color w:val="1C3A36"/>
                <w:sz w:val="14"/>
              </w:rPr>
              <w:t>144</w:t>
            </w:r>
          </w:p>
        </w:tc>
        <w:tc>
          <w:tcPr>
            <w:tcW w:type="dxa" w:w="1236"/>
          </w:tcPr>
          <w:p>
            <w:pPr>
              <w:spacing w:after="20"/>
            </w:pPr>
            <w:r>
              <w:rPr>
                <w:color w:val="1C3A36"/>
                <w:sz w:val="14"/>
              </w:rPr>
              <w:t>rev seg solutions fy2024</w:t>
            </w:r>
          </w:p>
        </w:tc>
        <w:tc>
          <w:tcPr>
            <w:tcW w:type="dxa" w:w="1162"/>
          </w:tcPr>
          <w:p>
            <w:pPr>
              <w:spacing w:after="20"/>
            </w:pPr>
            <w:r>
              <w:rPr>
                <w:color w:val="1C3A36"/>
                <w:sz w:val="14"/>
              </w:rPr>
              <w:t>12,063,897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Solutions</w:t>
            </w:r>
          </w:p>
        </w:tc>
        <w:tc>
          <w:tcPr>
            <w:tcW w:type="dxa" w:w="1066"/>
          </w:tcPr>
          <w:p>
            <w:pPr>
              <w:spacing w:after="20"/>
            </w:pPr>
            <w:r>
              <w:rPr>
                <w:color w:val="1C3A36"/>
                <w:sz w:val="14"/>
              </w:rPr>
              <w:t>2025-12-31</w:t>
            </w:r>
          </w:p>
        </w:tc>
      </w:tr>
      <w:tr>
        <w:tc>
          <w:tcPr>
            <w:tcW w:type="dxa" w:w="505"/>
          </w:tcPr>
          <w:p>
            <w:pPr>
              <w:spacing w:after="20"/>
            </w:pPr>
            <w:r>
              <w:rPr>
                <w:color w:val="1C3A36"/>
                <w:sz w:val="14"/>
              </w:rPr>
              <w:t>145</w:t>
            </w:r>
          </w:p>
        </w:tc>
        <w:tc>
          <w:tcPr>
            <w:tcW w:type="dxa" w:w="1236"/>
          </w:tcPr>
          <w:p>
            <w:pPr>
              <w:spacing w:after="20"/>
            </w:pPr>
            <w:r>
              <w:rPr>
                <w:color w:val="1C3A36"/>
                <w:sz w:val="14"/>
              </w:rPr>
              <w:t>rev seg solutions fy2025</w:t>
            </w:r>
          </w:p>
        </w:tc>
        <w:tc>
          <w:tcPr>
            <w:tcW w:type="dxa" w:w="1162"/>
          </w:tcPr>
          <w:p>
            <w:pPr>
              <w:spacing w:after="20"/>
            </w:pPr>
            <w:r>
              <w:rPr>
                <w:color w:val="1C3A36"/>
                <w:sz w:val="14"/>
              </w:rPr>
              <w:t>12,730,189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Solutions</w:t>
            </w:r>
          </w:p>
        </w:tc>
        <w:tc>
          <w:tcPr>
            <w:tcW w:type="dxa" w:w="1066"/>
          </w:tcPr>
          <w:p>
            <w:pPr>
              <w:spacing w:after="20"/>
            </w:pPr>
            <w:r>
              <w:rPr>
                <w:color w:val="1C3A36"/>
                <w:sz w:val="14"/>
              </w:rPr>
              <w:t>2025-12-31</w:t>
            </w:r>
          </w:p>
        </w:tc>
      </w:tr>
      <w:tr>
        <w:tc>
          <w:tcPr>
            <w:tcW w:type="dxa" w:w="505"/>
          </w:tcPr>
          <w:p>
            <w:pPr>
              <w:spacing w:after="20"/>
            </w:pPr>
            <w:r>
              <w:rPr>
                <w:color w:val="1C3A36"/>
                <w:sz w:val="14"/>
              </w:rPr>
              <w:t>146</w:t>
            </w:r>
          </w:p>
        </w:tc>
        <w:tc>
          <w:tcPr>
            <w:tcW w:type="dxa" w:w="1236"/>
          </w:tcPr>
          <w:p>
            <w:pPr>
              <w:spacing w:after="20"/>
            </w:pPr>
            <w:r>
              <w:rPr>
                <w:color w:val="1C3A36"/>
                <w:sz w:val="14"/>
              </w:rPr>
              <w:t>rev seg specialized fy2023</w:t>
            </w:r>
          </w:p>
        </w:tc>
        <w:tc>
          <w:tcPr>
            <w:tcW w:type="dxa" w:w="1162"/>
          </w:tcPr>
          <w:p>
            <w:pPr>
              <w:spacing w:after="20"/>
            </w:pPr>
            <w:r>
              <w:rPr>
                <w:color w:val="1C3A36"/>
                <w:sz w:val="14"/>
              </w:rPr>
              <w:t>397,492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Specialized</w:t>
            </w:r>
          </w:p>
        </w:tc>
        <w:tc>
          <w:tcPr>
            <w:tcW w:type="dxa" w:w="1066"/>
          </w:tcPr>
          <w:p>
            <w:pPr>
              <w:spacing w:after="20"/>
            </w:pPr>
            <w:r>
              <w:rPr>
                <w:color w:val="1C3A36"/>
                <w:sz w:val="14"/>
              </w:rPr>
              <w:t>2024-12-31</w:t>
            </w:r>
          </w:p>
        </w:tc>
      </w:tr>
      <w:tr>
        <w:tc>
          <w:tcPr>
            <w:tcW w:type="dxa" w:w="505"/>
          </w:tcPr>
          <w:p>
            <w:pPr>
              <w:spacing w:after="20"/>
            </w:pPr>
            <w:r>
              <w:rPr>
                <w:color w:val="1C3A36"/>
                <w:sz w:val="14"/>
              </w:rPr>
              <w:t>147</w:t>
            </w:r>
          </w:p>
        </w:tc>
        <w:tc>
          <w:tcPr>
            <w:tcW w:type="dxa" w:w="1236"/>
          </w:tcPr>
          <w:p>
            <w:pPr>
              <w:spacing w:after="20"/>
            </w:pPr>
            <w:r>
              <w:rPr>
                <w:color w:val="1C3A36"/>
                <w:sz w:val="14"/>
              </w:rPr>
              <w:t>rev seg specialized fy2024</w:t>
            </w:r>
          </w:p>
        </w:tc>
        <w:tc>
          <w:tcPr>
            <w:tcW w:type="dxa" w:w="1162"/>
          </w:tcPr>
          <w:p>
            <w:pPr>
              <w:spacing w:after="20"/>
            </w:pPr>
            <w:r>
              <w:rPr>
                <w:color w:val="1C3A36"/>
                <w:sz w:val="14"/>
              </w:rPr>
              <w:t>371,763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Specialized</w:t>
            </w:r>
          </w:p>
        </w:tc>
        <w:tc>
          <w:tcPr>
            <w:tcW w:type="dxa" w:w="1066"/>
          </w:tcPr>
          <w:p>
            <w:pPr>
              <w:spacing w:after="20"/>
            </w:pPr>
            <w:r>
              <w:rPr>
                <w:color w:val="1C3A36"/>
                <w:sz w:val="14"/>
              </w:rPr>
              <w:t>2025-12-31</w:t>
            </w:r>
          </w:p>
        </w:tc>
      </w:tr>
      <w:tr>
        <w:tc>
          <w:tcPr>
            <w:tcW w:type="dxa" w:w="505"/>
          </w:tcPr>
          <w:p>
            <w:pPr>
              <w:spacing w:after="20"/>
            </w:pPr>
            <w:r>
              <w:rPr>
                <w:color w:val="1C3A36"/>
                <w:sz w:val="14"/>
              </w:rPr>
              <w:t>148</w:t>
            </w:r>
          </w:p>
        </w:tc>
        <w:tc>
          <w:tcPr>
            <w:tcW w:type="dxa" w:w="1236"/>
          </w:tcPr>
          <w:p>
            <w:pPr>
              <w:spacing w:after="20"/>
            </w:pPr>
            <w:r>
              <w:rPr>
                <w:color w:val="1C3A36"/>
                <w:sz w:val="14"/>
              </w:rPr>
              <w:t>rev seg specialized fy2025</w:t>
            </w:r>
          </w:p>
        </w:tc>
        <w:tc>
          <w:tcPr>
            <w:tcW w:type="dxa" w:w="1162"/>
          </w:tcPr>
          <w:p>
            <w:pPr>
              <w:spacing w:after="20"/>
            </w:pPr>
            <w:r>
              <w:rPr>
                <w:color w:val="1C3A36"/>
                <w:sz w:val="14"/>
              </w:rPr>
              <w:t>355,306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Specialized</w:t>
            </w:r>
          </w:p>
        </w:tc>
        <w:tc>
          <w:tcPr>
            <w:tcW w:type="dxa" w:w="1066"/>
          </w:tcPr>
          <w:p>
            <w:pPr>
              <w:spacing w:after="20"/>
            </w:pPr>
            <w:r>
              <w:rPr>
                <w:color w:val="1C3A36"/>
                <w:sz w:val="14"/>
              </w:rPr>
              <w:t>2025-12-31</w:t>
            </w:r>
          </w:p>
        </w:tc>
      </w:tr>
      <w:tr>
        <w:tc>
          <w:tcPr>
            <w:tcW w:type="dxa" w:w="505"/>
          </w:tcPr>
          <w:p>
            <w:pPr>
              <w:spacing w:after="20"/>
            </w:pPr>
            <w:r>
              <w:rPr>
                <w:color w:val="1C3A36"/>
                <w:sz w:val="14"/>
              </w:rPr>
              <w:t>149</w:t>
            </w:r>
          </w:p>
        </w:tc>
        <w:tc>
          <w:tcPr>
            <w:tcW w:type="dxa" w:w="1236"/>
          </w:tcPr>
          <w:p>
            <w:pPr>
              <w:spacing w:after="20"/>
            </w:pPr>
            <w:r>
              <w:rPr>
                <w:color w:val="1C3A36"/>
                <w:sz w:val="14"/>
              </w:rPr>
              <w:t>rev seg stc bahrain fy2023</w:t>
            </w:r>
          </w:p>
        </w:tc>
        <w:tc>
          <w:tcPr>
            <w:tcW w:type="dxa" w:w="1162"/>
          </w:tcPr>
          <w:p>
            <w:pPr>
              <w:spacing w:after="20"/>
            </w:pPr>
            <w:r>
              <w:rPr>
                <w:color w:val="1C3A36"/>
                <w:sz w:val="14"/>
              </w:rPr>
              <w:t>1,913,287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 Bahrain</w:t>
            </w:r>
          </w:p>
        </w:tc>
        <w:tc>
          <w:tcPr>
            <w:tcW w:type="dxa" w:w="1066"/>
          </w:tcPr>
          <w:p>
            <w:pPr>
              <w:spacing w:after="20"/>
            </w:pPr>
            <w:r>
              <w:rPr>
                <w:color w:val="1C3A36"/>
                <w:sz w:val="14"/>
              </w:rPr>
              <w:t>2024-12-31</w:t>
            </w:r>
          </w:p>
        </w:tc>
      </w:tr>
      <w:tr>
        <w:tc>
          <w:tcPr>
            <w:tcW w:type="dxa" w:w="505"/>
          </w:tcPr>
          <w:p>
            <w:pPr>
              <w:spacing w:after="20"/>
            </w:pPr>
            <w:r>
              <w:rPr>
                <w:color w:val="1C3A36"/>
                <w:sz w:val="14"/>
              </w:rPr>
              <w:t>150</w:t>
            </w:r>
          </w:p>
        </w:tc>
        <w:tc>
          <w:tcPr>
            <w:tcW w:type="dxa" w:w="1236"/>
          </w:tcPr>
          <w:p>
            <w:pPr>
              <w:spacing w:after="20"/>
            </w:pPr>
            <w:r>
              <w:rPr>
                <w:color w:val="1C3A36"/>
                <w:sz w:val="14"/>
              </w:rPr>
              <w:t>rev seg stc bahrain fy2024</w:t>
            </w:r>
          </w:p>
        </w:tc>
        <w:tc>
          <w:tcPr>
            <w:tcW w:type="dxa" w:w="1162"/>
          </w:tcPr>
          <w:p>
            <w:pPr>
              <w:spacing w:after="20"/>
            </w:pPr>
            <w:r>
              <w:rPr>
                <w:color w:val="1C3A36"/>
                <w:sz w:val="14"/>
              </w:rPr>
              <w:t>1,927,967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Bahrain</w:t>
            </w:r>
          </w:p>
        </w:tc>
        <w:tc>
          <w:tcPr>
            <w:tcW w:type="dxa" w:w="1066"/>
          </w:tcPr>
          <w:p>
            <w:pPr>
              <w:spacing w:after="20"/>
            </w:pPr>
            <w:r>
              <w:rPr>
                <w:color w:val="1C3A36"/>
                <w:sz w:val="14"/>
              </w:rPr>
              <w:t>2025-12-31</w:t>
            </w:r>
          </w:p>
        </w:tc>
      </w:tr>
      <w:tr>
        <w:tc>
          <w:tcPr>
            <w:tcW w:type="dxa" w:w="505"/>
          </w:tcPr>
          <w:p>
            <w:pPr>
              <w:spacing w:after="20"/>
            </w:pPr>
            <w:r>
              <w:rPr>
                <w:color w:val="1C3A36"/>
                <w:sz w:val="14"/>
              </w:rPr>
              <w:t>151</w:t>
            </w:r>
          </w:p>
        </w:tc>
        <w:tc>
          <w:tcPr>
            <w:tcW w:type="dxa" w:w="1236"/>
          </w:tcPr>
          <w:p>
            <w:pPr>
              <w:spacing w:after="20"/>
            </w:pPr>
            <w:r>
              <w:rPr>
                <w:color w:val="1C3A36"/>
                <w:sz w:val="14"/>
              </w:rPr>
              <w:t>rev seg stc bahrain fy2025</w:t>
            </w:r>
          </w:p>
        </w:tc>
        <w:tc>
          <w:tcPr>
            <w:tcW w:type="dxa" w:w="1162"/>
          </w:tcPr>
          <w:p>
            <w:pPr>
              <w:spacing w:after="20"/>
            </w:pPr>
            <w:r>
              <w:rPr>
                <w:color w:val="1C3A36"/>
                <w:sz w:val="14"/>
              </w:rPr>
              <w:t>1,967,830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Bahrain</w:t>
            </w:r>
          </w:p>
        </w:tc>
        <w:tc>
          <w:tcPr>
            <w:tcW w:type="dxa" w:w="1066"/>
          </w:tcPr>
          <w:p>
            <w:pPr>
              <w:spacing w:after="20"/>
            </w:pPr>
            <w:r>
              <w:rPr>
                <w:color w:val="1C3A36"/>
                <w:sz w:val="14"/>
              </w:rPr>
              <w:t>2025-12-31</w:t>
            </w:r>
          </w:p>
        </w:tc>
      </w:tr>
      <w:tr>
        <w:tc>
          <w:tcPr>
            <w:tcW w:type="dxa" w:w="505"/>
          </w:tcPr>
          <w:p>
            <w:pPr>
              <w:spacing w:after="20"/>
            </w:pPr>
            <w:r>
              <w:rPr>
                <w:color w:val="1C3A36"/>
                <w:sz w:val="14"/>
              </w:rPr>
              <w:t>152</w:t>
            </w:r>
          </w:p>
        </w:tc>
        <w:tc>
          <w:tcPr>
            <w:tcW w:type="dxa" w:w="1236"/>
          </w:tcPr>
          <w:p>
            <w:pPr>
              <w:spacing w:after="20"/>
            </w:pPr>
            <w:r>
              <w:rPr>
                <w:color w:val="1C3A36"/>
                <w:sz w:val="14"/>
              </w:rPr>
              <w:t>rev seg stc bank fy2023</w:t>
            </w:r>
          </w:p>
        </w:tc>
        <w:tc>
          <w:tcPr>
            <w:tcW w:type="dxa" w:w="1162"/>
          </w:tcPr>
          <w:p>
            <w:pPr>
              <w:spacing w:after="20"/>
            </w:pPr>
            <w:r>
              <w:rPr>
                <w:color w:val="1C3A36"/>
                <w:sz w:val="14"/>
              </w:rPr>
              <w:t>1,063,006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 Bank</w:t>
            </w:r>
          </w:p>
        </w:tc>
        <w:tc>
          <w:tcPr>
            <w:tcW w:type="dxa" w:w="1066"/>
          </w:tcPr>
          <w:p>
            <w:pPr>
              <w:spacing w:after="20"/>
            </w:pPr>
            <w:r>
              <w:rPr>
                <w:color w:val="1C3A36"/>
                <w:sz w:val="14"/>
              </w:rPr>
              <w:t>2024-12-31</w:t>
            </w:r>
          </w:p>
        </w:tc>
      </w:tr>
      <w:tr>
        <w:tc>
          <w:tcPr>
            <w:tcW w:type="dxa" w:w="505"/>
          </w:tcPr>
          <w:p>
            <w:pPr>
              <w:spacing w:after="20"/>
            </w:pPr>
            <w:r>
              <w:rPr>
                <w:color w:val="1C3A36"/>
                <w:sz w:val="14"/>
              </w:rPr>
              <w:t>153</w:t>
            </w:r>
          </w:p>
        </w:tc>
        <w:tc>
          <w:tcPr>
            <w:tcW w:type="dxa" w:w="1236"/>
          </w:tcPr>
          <w:p>
            <w:pPr>
              <w:spacing w:after="20"/>
            </w:pPr>
            <w:r>
              <w:rPr>
                <w:color w:val="1C3A36"/>
                <w:sz w:val="14"/>
              </w:rPr>
              <w:t>rev seg stc bank fy2024</w:t>
            </w:r>
          </w:p>
        </w:tc>
        <w:tc>
          <w:tcPr>
            <w:tcW w:type="dxa" w:w="1162"/>
          </w:tcPr>
          <w:p>
            <w:pPr>
              <w:spacing w:after="20"/>
            </w:pPr>
            <w:r>
              <w:rPr>
                <w:color w:val="1C3A36"/>
                <w:sz w:val="14"/>
              </w:rPr>
              <w:t>1,261,646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Bank</w:t>
            </w:r>
          </w:p>
        </w:tc>
        <w:tc>
          <w:tcPr>
            <w:tcW w:type="dxa" w:w="1066"/>
          </w:tcPr>
          <w:p>
            <w:pPr>
              <w:spacing w:after="20"/>
            </w:pPr>
            <w:r>
              <w:rPr>
                <w:color w:val="1C3A36"/>
                <w:sz w:val="14"/>
              </w:rPr>
              <w:t>2025-12-31</w:t>
            </w:r>
          </w:p>
        </w:tc>
      </w:tr>
      <w:tr>
        <w:tc>
          <w:tcPr>
            <w:tcW w:type="dxa" w:w="505"/>
          </w:tcPr>
          <w:p>
            <w:pPr>
              <w:spacing w:after="20"/>
            </w:pPr>
            <w:r>
              <w:rPr>
                <w:color w:val="1C3A36"/>
                <w:sz w:val="14"/>
              </w:rPr>
              <w:t>154</w:t>
            </w:r>
          </w:p>
        </w:tc>
        <w:tc>
          <w:tcPr>
            <w:tcW w:type="dxa" w:w="1236"/>
          </w:tcPr>
          <w:p>
            <w:pPr>
              <w:spacing w:after="20"/>
            </w:pPr>
            <w:r>
              <w:rPr>
                <w:color w:val="1C3A36"/>
                <w:sz w:val="14"/>
              </w:rPr>
              <w:t>rev seg stc bank fy2025</w:t>
            </w:r>
          </w:p>
        </w:tc>
        <w:tc>
          <w:tcPr>
            <w:tcW w:type="dxa" w:w="1162"/>
          </w:tcPr>
          <w:p>
            <w:pPr>
              <w:spacing w:after="20"/>
            </w:pPr>
            <w:r>
              <w:rPr>
                <w:color w:val="1C3A36"/>
                <w:sz w:val="14"/>
              </w:rPr>
              <w:t>1,401,027</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Bank</w:t>
            </w:r>
          </w:p>
        </w:tc>
        <w:tc>
          <w:tcPr>
            <w:tcW w:type="dxa" w:w="1066"/>
          </w:tcPr>
          <w:p>
            <w:pPr>
              <w:spacing w:after="20"/>
            </w:pPr>
            <w:r>
              <w:rPr>
                <w:color w:val="1C3A36"/>
                <w:sz w:val="14"/>
              </w:rPr>
              <w:t>2025-12-31</w:t>
            </w:r>
          </w:p>
        </w:tc>
      </w:tr>
      <w:tr>
        <w:tc>
          <w:tcPr>
            <w:tcW w:type="dxa" w:w="505"/>
          </w:tcPr>
          <w:p>
            <w:pPr>
              <w:spacing w:after="20"/>
            </w:pPr>
            <w:r>
              <w:rPr>
                <w:color w:val="1C3A36"/>
                <w:sz w:val="14"/>
              </w:rPr>
              <w:t>155</w:t>
            </w:r>
          </w:p>
        </w:tc>
        <w:tc>
          <w:tcPr>
            <w:tcW w:type="dxa" w:w="1236"/>
          </w:tcPr>
          <w:p>
            <w:pPr>
              <w:spacing w:after="20"/>
            </w:pPr>
            <w:r>
              <w:rPr>
                <w:color w:val="1C3A36"/>
                <w:sz w:val="14"/>
              </w:rPr>
              <w:t>rev seg stc fy2023</w:t>
            </w:r>
          </w:p>
        </w:tc>
        <w:tc>
          <w:tcPr>
            <w:tcW w:type="dxa" w:w="1162"/>
          </w:tcPr>
          <w:p>
            <w:pPr>
              <w:spacing w:after="20"/>
            </w:pPr>
            <w:r>
              <w:rPr>
                <w:color w:val="1C3A36"/>
                <w:sz w:val="14"/>
              </w:rPr>
              <w:t>49,218,179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w:t>
            </w:r>
          </w:p>
        </w:tc>
        <w:tc>
          <w:tcPr>
            <w:tcW w:type="dxa" w:w="1066"/>
          </w:tcPr>
          <w:p>
            <w:pPr>
              <w:spacing w:after="20"/>
            </w:pPr>
            <w:r>
              <w:rPr>
                <w:color w:val="1C3A36"/>
                <w:sz w:val="14"/>
              </w:rPr>
              <w:t>2024-12-31</w:t>
            </w:r>
          </w:p>
        </w:tc>
      </w:tr>
      <w:tr>
        <w:tc>
          <w:tcPr>
            <w:tcW w:type="dxa" w:w="505"/>
          </w:tcPr>
          <w:p>
            <w:pPr>
              <w:spacing w:after="20"/>
            </w:pPr>
            <w:r>
              <w:rPr>
                <w:color w:val="1C3A36"/>
                <w:sz w:val="14"/>
              </w:rPr>
              <w:t>156</w:t>
            </w:r>
          </w:p>
        </w:tc>
        <w:tc>
          <w:tcPr>
            <w:tcW w:type="dxa" w:w="1236"/>
          </w:tcPr>
          <w:p>
            <w:pPr>
              <w:spacing w:after="20"/>
            </w:pPr>
            <w:r>
              <w:rPr>
                <w:color w:val="1C3A36"/>
                <w:sz w:val="14"/>
              </w:rPr>
              <w:t>rev seg stc fy2024</w:t>
            </w:r>
          </w:p>
        </w:tc>
        <w:tc>
          <w:tcPr>
            <w:tcW w:type="dxa" w:w="1162"/>
          </w:tcPr>
          <w:p>
            <w:pPr>
              <w:spacing w:after="20"/>
            </w:pPr>
            <w:r>
              <w:rPr>
                <w:color w:val="1C3A36"/>
                <w:sz w:val="14"/>
              </w:rPr>
              <w:t>49,643,893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w:t>
            </w:r>
          </w:p>
        </w:tc>
        <w:tc>
          <w:tcPr>
            <w:tcW w:type="dxa" w:w="1066"/>
          </w:tcPr>
          <w:p>
            <w:pPr>
              <w:spacing w:after="20"/>
            </w:pPr>
            <w:r>
              <w:rPr>
                <w:color w:val="1C3A36"/>
                <w:sz w:val="14"/>
              </w:rPr>
              <w:t>2025-12-31</w:t>
            </w:r>
          </w:p>
        </w:tc>
      </w:tr>
      <w:tr>
        <w:tc>
          <w:tcPr>
            <w:tcW w:type="dxa" w:w="505"/>
          </w:tcPr>
          <w:p>
            <w:pPr>
              <w:spacing w:after="20"/>
            </w:pPr>
            <w:r>
              <w:rPr>
                <w:color w:val="1C3A36"/>
                <w:sz w:val="14"/>
              </w:rPr>
              <w:t>157</w:t>
            </w:r>
          </w:p>
        </w:tc>
        <w:tc>
          <w:tcPr>
            <w:tcW w:type="dxa" w:w="1236"/>
          </w:tcPr>
          <w:p>
            <w:pPr>
              <w:spacing w:after="20"/>
            </w:pPr>
            <w:r>
              <w:rPr>
                <w:color w:val="1C3A36"/>
                <w:sz w:val="14"/>
              </w:rPr>
              <w:t>rev seg stc fy2025</w:t>
            </w:r>
          </w:p>
        </w:tc>
        <w:tc>
          <w:tcPr>
            <w:tcW w:type="dxa" w:w="1162"/>
          </w:tcPr>
          <w:p>
            <w:pPr>
              <w:spacing w:after="20"/>
            </w:pPr>
            <w:r>
              <w:rPr>
                <w:color w:val="1C3A36"/>
                <w:sz w:val="14"/>
              </w:rPr>
              <w:t>51,119,024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w:t>
            </w:r>
          </w:p>
        </w:tc>
        <w:tc>
          <w:tcPr>
            <w:tcW w:type="dxa" w:w="1066"/>
          </w:tcPr>
          <w:p>
            <w:pPr>
              <w:spacing w:after="20"/>
            </w:pPr>
            <w:r>
              <w:rPr>
                <w:color w:val="1C3A36"/>
                <w:sz w:val="14"/>
              </w:rPr>
              <w:t>2025-12-31</w:t>
            </w:r>
          </w:p>
        </w:tc>
      </w:tr>
      <w:tr>
        <w:tc>
          <w:tcPr>
            <w:tcW w:type="dxa" w:w="505"/>
          </w:tcPr>
          <w:p>
            <w:pPr>
              <w:spacing w:after="20"/>
            </w:pPr>
            <w:r>
              <w:rPr>
                <w:color w:val="1C3A36"/>
                <w:sz w:val="14"/>
              </w:rPr>
              <w:t>158</w:t>
            </w:r>
          </w:p>
        </w:tc>
        <w:tc>
          <w:tcPr>
            <w:tcW w:type="dxa" w:w="1236"/>
          </w:tcPr>
          <w:p>
            <w:pPr>
              <w:spacing w:after="20"/>
            </w:pPr>
            <w:r>
              <w:rPr>
                <w:color w:val="1C3A36"/>
                <w:sz w:val="14"/>
              </w:rPr>
              <w:t>rev seg stc kuwait fy2023</w:t>
            </w:r>
          </w:p>
        </w:tc>
        <w:tc>
          <w:tcPr>
            <w:tcW w:type="dxa" w:w="1162"/>
          </w:tcPr>
          <w:p>
            <w:pPr>
              <w:spacing w:after="20"/>
            </w:pPr>
            <w:r>
              <w:rPr>
                <w:color w:val="1C3A36"/>
                <w:sz w:val="14"/>
              </w:rPr>
              <w:t>3,986,034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9, operating segments, stc Kuwait</w:t>
            </w:r>
          </w:p>
        </w:tc>
        <w:tc>
          <w:tcPr>
            <w:tcW w:type="dxa" w:w="1066"/>
          </w:tcPr>
          <w:p>
            <w:pPr>
              <w:spacing w:after="20"/>
            </w:pPr>
            <w:r>
              <w:rPr>
                <w:color w:val="1C3A36"/>
                <w:sz w:val="14"/>
              </w:rPr>
              <w:t>2024-12-31</w:t>
            </w:r>
          </w:p>
        </w:tc>
      </w:tr>
      <w:tr>
        <w:tc>
          <w:tcPr>
            <w:tcW w:type="dxa" w:w="505"/>
          </w:tcPr>
          <w:p>
            <w:pPr>
              <w:spacing w:after="20"/>
            </w:pPr>
            <w:r>
              <w:rPr>
                <w:color w:val="1C3A36"/>
                <w:sz w:val="14"/>
              </w:rPr>
              <w:t>159</w:t>
            </w:r>
          </w:p>
        </w:tc>
        <w:tc>
          <w:tcPr>
            <w:tcW w:type="dxa" w:w="1236"/>
          </w:tcPr>
          <w:p>
            <w:pPr>
              <w:spacing w:after="20"/>
            </w:pPr>
            <w:r>
              <w:rPr>
                <w:color w:val="1C3A36"/>
                <w:sz w:val="14"/>
              </w:rPr>
              <w:t>rev seg stc kuwait fy2024</w:t>
            </w:r>
          </w:p>
        </w:tc>
        <w:tc>
          <w:tcPr>
            <w:tcW w:type="dxa" w:w="1162"/>
          </w:tcPr>
          <w:p>
            <w:pPr>
              <w:spacing w:after="20"/>
            </w:pPr>
            <w:r>
              <w:rPr>
                <w:color w:val="1C3A36"/>
                <w:sz w:val="14"/>
              </w:rPr>
              <w:t>4,105,483</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Kuwait</w:t>
            </w:r>
          </w:p>
        </w:tc>
        <w:tc>
          <w:tcPr>
            <w:tcW w:type="dxa" w:w="1066"/>
          </w:tcPr>
          <w:p>
            <w:pPr>
              <w:spacing w:after="20"/>
            </w:pPr>
            <w:r>
              <w:rPr>
                <w:color w:val="1C3A36"/>
                <w:sz w:val="14"/>
              </w:rPr>
              <w:t>2025-12-31</w:t>
            </w:r>
          </w:p>
        </w:tc>
      </w:tr>
      <w:tr>
        <w:tc>
          <w:tcPr>
            <w:tcW w:type="dxa" w:w="505"/>
          </w:tcPr>
          <w:p>
            <w:pPr>
              <w:spacing w:after="20"/>
            </w:pPr>
            <w:r>
              <w:rPr>
                <w:color w:val="1C3A36"/>
                <w:sz w:val="14"/>
              </w:rPr>
              <w:t>160</w:t>
            </w:r>
          </w:p>
        </w:tc>
        <w:tc>
          <w:tcPr>
            <w:tcW w:type="dxa" w:w="1236"/>
          </w:tcPr>
          <w:p>
            <w:pPr>
              <w:spacing w:after="20"/>
            </w:pPr>
            <w:r>
              <w:rPr>
                <w:color w:val="1C3A36"/>
                <w:sz w:val="14"/>
              </w:rPr>
              <w:t>rev seg stc kuwait fy2025</w:t>
            </w:r>
          </w:p>
        </w:tc>
        <w:tc>
          <w:tcPr>
            <w:tcW w:type="dxa" w:w="1162"/>
          </w:tcPr>
          <w:p>
            <w:pPr>
              <w:spacing w:after="20"/>
            </w:pPr>
            <w:r>
              <w:rPr>
                <w:color w:val="1C3A36"/>
                <w:sz w:val="14"/>
              </w:rPr>
              <w:t>4,179,842</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9, operating segments, stc Kuwait</w:t>
            </w:r>
          </w:p>
        </w:tc>
        <w:tc>
          <w:tcPr>
            <w:tcW w:type="dxa" w:w="1066"/>
          </w:tcPr>
          <w:p>
            <w:pPr>
              <w:spacing w:after="20"/>
            </w:pPr>
            <w:r>
              <w:rPr>
                <w:color w:val="1C3A36"/>
                <w:sz w:val="14"/>
              </w:rPr>
              <w:t>2025-12-31</w:t>
            </w:r>
          </w:p>
        </w:tc>
      </w:tr>
      <w:tr>
        <w:tc>
          <w:tcPr>
            <w:tcW w:type="dxa" w:w="505"/>
          </w:tcPr>
          <w:p>
            <w:pPr>
              <w:spacing w:after="20"/>
            </w:pPr>
            <w:r>
              <w:rPr>
                <w:color w:val="1C3A36"/>
                <w:sz w:val="14"/>
              </w:rPr>
              <w:t>161</w:t>
            </w:r>
          </w:p>
        </w:tc>
        <w:tc>
          <w:tcPr>
            <w:tcW w:type="dxa" w:w="1236"/>
          </w:tcPr>
          <w:p>
            <w:pPr>
              <w:spacing w:after="20"/>
            </w:pPr>
            <w:r>
              <w:rPr>
                <w:color w:val="1C3A36"/>
                <w:sz w:val="14"/>
              </w:rPr>
              <w:t>sga admin fy2023</w:t>
            </w:r>
          </w:p>
        </w:tc>
        <w:tc>
          <w:tcPr>
            <w:tcW w:type="dxa" w:w="1162"/>
          </w:tcPr>
          <w:p>
            <w:pPr>
              <w:spacing w:after="20"/>
            </w:pPr>
            <w:r>
              <w:rPr>
                <w:color w:val="1C3A36"/>
                <w:sz w:val="14"/>
              </w:rPr>
              <w:t>6,424,856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37, general and administrative expenses</w:t>
            </w:r>
          </w:p>
        </w:tc>
        <w:tc>
          <w:tcPr>
            <w:tcW w:type="dxa" w:w="1066"/>
          </w:tcPr>
          <w:p>
            <w:pPr>
              <w:spacing w:after="20"/>
            </w:pPr>
            <w:r>
              <w:rPr>
                <w:color w:val="1C3A36"/>
                <w:sz w:val="14"/>
              </w:rPr>
              <w:t>2024-12-31</w:t>
            </w:r>
          </w:p>
        </w:tc>
      </w:tr>
      <w:tr>
        <w:tc>
          <w:tcPr>
            <w:tcW w:type="dxa" w:w="505"/>
          </w:tcPr>
          <w:p>
            <w:pPr>
              <w:spacing w:after="20"/>
            </w:pPr>
            <w:r>
              <w:rPr>
                <w:color w:val="1C3A36"/>
                <w:sz w:val="14"/>
              </w:rPr>
              <w:t>162</w:t>
            </w:r>
          </w:p>
        </w:tc>
        <w:tc>
          <w:tcPr>
            <w:tcW w:type="dxa" w:w="1236"/>
          </w:tcPr>
          <w:p>
            <w:pPr>
              <w:spacing w:after="20"/>
            </w:pPr>
            <w:r>
              <w:rPr>
                <w:color w:val="1C3A36"/>
                <w:sz w:val="14"/>
              </w:rPr>
              <w:t>sga admin fy2024</w:t>
            </w:r>
          </w:p>
        </w:tc>
        <w:tc>
          <w:tcPr>
            <w:tcW w:type="dxa" w:w="1162"/>
          </w:tcPr>
          <w:p>
            <w:pPr>
              <w:spacing w:after="20"/>
            </w:pPr>
            <w:r>
              <w:rPr>
                <w:color w:val="1C3A36"/>
                <w:sz w:val="14"/>
              </w:rPr>
              <w:t>6,812,989</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37, general and administrative expenses</w:t>
            </w:r>
          </w:p>
        </w:tc>
        <w:tc>
          <w:tcPr>
            <w:tcW w:type="dxa" w:w="1066"/>
          </w:tcPr>
          <w:p>
            <w:pPr>
              <w:spacing w:after="20"/>
            </w:pPr>
            <w:r>
              <w:rPr>
                <w:color w:val="1C3A36"/>
                <w:sz w:val="14"/>
              </w:rPr>
              <w:t>2025-12-31</w:t>
            </w:r>
          </w:p>
        </w:tc>
      </w:tr>
      <w:tr>
        <w:tc>
          <w:tcPr>
            <w:tcW w:type="dxa" w:w="505"/>
          </w:tcPr>
          <w:p>
            <w:pPr>
              <w:spacing w:after="20"/>
            </w:pPr>
            <w:r>
              <w:rPr>
                <w:color w:val="1C3A36"/>
                <w:sz w:val="14"/>
              </w:rPr>
              <w:t>163</w:t>
            </w:r>
          </w:p>
        </w:tc>
        <w:tc>
          <w:tcPr>
            <w:tcW w:type="dxa" w:w="1236"/>
          </w:tcPr>
          <w:p>
            <w:pPr>
              <w:spacing w:after="20"/>
            </w:pPr>
            <w:r>
              <w:rPr>
                <w:color w:val="1C3A36"/>
                <w:sz w:val="14"/>
              </w:rPr>
              <w:t>sga admin fy2025</w:t>
            </w:r>
          </w:p>
        </w:tc>
        <w:tc>
          <w:tcPr>
            <w:tcW w:type="dxa" w:w="1162"/>
          </w:tcPr>
          <w:p>
            <w:pPr>
              <w:spacing w:after="20"/>
            </w:pPr>
            <w:r>
              <w:rPr>
                <w:color w:val="1C3A36"/>
                <w:sz w:val="14"/>
              </w:rPr>
              <w:t>6,858,678</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37, general and administrative expenses</w:t>
            </w:r>
          </w:p>
        </w:tc>
        <w:tc>
          <w:tcPr>
            <w:tcW w:type="dxa" w:w="1066"/>
          </w:tcPr>
          <w:p>
            <w:pPr>
              <w:spacing w:after="20"/>
            </w:pPr>
            <w:r>
              <w:rPr>
                <w:color w:val="1C3A36"/>
                <w:sz w:val="14"/>
              </w:rPr>
              <w:t>2025-12-31</w:t>
            </w:r>
          </w:p>
        </w:tc>
      </w:tr>
      <w:tr>
        <w:tc>
          <w:tcPr>
            <w:tcW w:type="dxa" w:w="505"/>
          </w:tcPr>
          <w:p>
            <w:pPr>
              <w:spacing w:after="20"/>
            </w:pPr>
            <w:r>
              <w:rPr>
                <w:color w:val="1C3A36"/>
                <w:sz w:val="14"/>
              </w:rPr>
              <w:t>164</w:t>
            </w:r>
          </w:p>
        </w:tc>
        <w:tc>
          <w:tcPr>
            <w:tcW w:type="dxa" w:w="1236"/>
          </w:tcPr>
          <w:p>
            <w:pPr>
              <w:spacing w:after="20"/>
            </w:pPr>
            <w:r>
              <w:rPr>
                <w:color w:val="1C3A36"/>
                <w:sz w:val="14"/>
              </w:rPr>
              <w:t>sga selling fy2023</w:t>
            </w:r>
          </w:p>
        </w:tc>
        <w:tc>
          <w:tcPr>
            <w:tcW w:type="dxa" w:w="1162"/>
          </w:tcPr>
          <w:p>
            <w:pPr>
              <w:spacing w:after="20"/>
            </w:pPr>
            <w:r>
              <w:rPr>
                <w:color w:val="1C3A36"/>
                <w:sz w:val="14"/>
              </w:rPr>
              <w:t>5,869,821</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2024, note 36, selling and marketing expenses</w:t>
            </w:r>
          </w:p>
        </w:tc>
        <w:tc>
          <w:tcPr>
            <w:tcW w:type="dxa" w:w="1066"/>
          </w:tcPr>
          <w:p>
            <w:pPr>
              <w:spacing w:after="20"/>
            </w:pPr>
            <w:r>
              <w:rPr>
                <w:color w:val="1C3A36"/>
                <w:sz w:val="14"/>
              </w:rPr>
              <w:t>2024-12-31</w:t>
            </w:r>
          </w:p>
        </w:tc>
      </w:tr>
      <w:tr>
        <w:tc>
          <w:tcPr>
            <w:tcW w:type="dxa" w:w="505"/>
          </w:tcPr>
          <w:p>
            <w:pPr>
              <w:spacing w:after="20"/>
            </w:pPr>
            <w:r>
              <w:rPr>
                <w:color w:val="1C3A36"/>
                <w:sz w:val="14"/>
              </w:rPr>
              <w:t>165</w:t>
            </w:r>
          </w:p>
        </w:tc>
        <w:tc>
          <w:tcPr>
            <w:tcW w:type="dxa" w:w="1236"/>
          </w:tcPr>
          <w:p>
            <w:pPr>
              <w:spacing w:after="20"/>
            </w:pPr>
            <w:r>
              <w:rPr>
                <w:color w:val="1C3A36"/>
                <w:sz w:val="14"/>
              </w:rPr>
              <w:t>sga selling fy2024</w:t>
            </w:r>
          </w:p>
        </w:tc>
        <w:tc>
          <w:tcPr>
            <w:tcW w:type="dxa" w:w="1162"/>
          </w:tcPr>
          <w:p>
            <w:pPr>
              <w:spacing w:after="20"/>
            </w:pPr>
            <w:r>
              <w:rPr>
                <w:color w:val="1C3A36"/>
                <w:sz w:val="14"/>
              </w:rPr>
              <w:t>6,561,820</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36, selling and marketing expenses</w:t>
            </w:r>
          </w:p>
        </w:tc>
        <w:tc>
          <w:tcPr>
            <w:tcW w:type="dxa" w:w="1066"/>
          </w:tcPr>
          <w:p>
            <w:pPr>
              <w:spacing w:after="20"/>
            </w:pPr>
            <w:r>
              <w:rPr>
                <w:color w:val="1C3A36"/>
                <w:sz w:val="14"/>
              </w:rPr>
              <w:t>2025-12-31</w:t>
            </w:r>
          </w:p>
        </w:tc>
      </w:tr>
      <w:tr>
        <w:tc>
          <w:tcPr>
            <w:tcW w:type="dxa" w:w="505"/>
          </w:tcPr>
          <w:p>
            <w:pPr>
              <w:spacing w:after="20"/>
            </w:pPr>
            <w:r>
              <w:rPr>
                <w:color w:val="1C3A36"/>
                <w:sz w:val="14"/>
              </w:rPr>
              <w:t>166</w:t>
            </w:r>
          </w:p>
        </w:tc>
        <w:tc>
          <w:tcPr>
            <w:tcW w:type="dxa" w:w="1236"/>
          </w:tcPr>
          <w:p>
            <w:pPr>
              <w:spacing w:after="20"/>
            </w:pPr>
            <w:r>
              <w:rPr>
                <w:color w:val="1C3A36"/>
                <w:sz w:val="14"/>
              </w:rPr>
              <w:t>sga selling fy2025</w:t>
            </w:r>
          </w:p>
        </w:tc>
        <w:tc>
          <w:tcPr>
            <w:tcW w:type="dxa" w:w="1162"/>
          </w:tcPr>
          <w:p>
            <w:pPr>
              <w:spacing w:after="20"/>
            </w:pPr>
            <w:r>
              <w:rPr>
                <w:color w:val="1C3A36"/>
                <w:sz w:val="14"/>
              </w:rPr>
              <w:t>6,371,576</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audited consolidated financial statements for the year ended 31 December 2025, note 36, selling and marketing expenses</w:t>
            </w:r>
          </w:p>
        </w:tc>
        <w:tc>
          <w:tcPr>
            <w:tcW w:type="dxa" w:w="1066"/>
          </w:tcPr>
          <w:p>
            <w:pPr>
              <w:spacing w:after="20"/>
            </w:pPr>
            <w:r>
              <w:rPr>
                <w:color w:val="1C3A36"/>
                <w:sz w:val="14"/>
              </w:rPr>
              <w:t>2025-12-31</w:t>
            </w:r>
          </w:p>
        </w:tc>
      </w:tr>
      <w:tr>
        <w:tc>
          <w:tcPr>
            <w:tcW w:type="dxa" w:w="505"/>
          </w:tcPr>
          <w:p>
            <w:pPr>
              <w:spacing w:after="20"/>
            </w:pPr>
            <w:r>
              <w:rPr>
                <w:color w:val="1C3A36"/>
                <w:sz w:val="14"/>
              </w:rPr>
              <w:t>167</w:t>
            </w:r>
          </w:p>
        </w:tc>
        <w:tc>
          <w:tcPr>
            <w:tcW w:type="dxa" w:w="1236"/>
          </w:tcPr>
          <w:p>
            <w:pPr>
              <w:spacing w:after="20"/>
            </w:pPr>
            <w:r>
              <w:rPr>
                <w:color w:val="1C3A36"/>
                <w:sz w:val="14"/>
              </w:rPr>
              <w:t>shares mn</w:t>
            </w:r>
          </w:p>
        </w:tc>
        <w:tc>
          <w:tcPr>
            <w:tcW w:type="dxa" w:w="1162"/>
          </w:tcPr>
          <w:p>
            <w:pPr>
              <w:spacing w:after="20"/>
            </w:pPr>
            <w:r>
              <w:rPr>
                <w:color w:val="1C3A36"/>
                <w:sz w:val="14"/>
              </w:rPr>
              <w:t>4,993.024</w:t>
            </w:r>
          </w:p>
        </w:tc>
        <w:tc>
          <w:tcPr>
            <w:tcW w:type="dxa" w:w="1701"/>
          </w:tcPr>
          <w:p>
            <w:pPr>
              <w:spacing w:after="20"/>
            </w:pPr>
            <w:r>
              <w:rPr>
                <w:color w:val="1C3A36"/>
                <w:sz w:val="14"/>
              </w:rPr>
              <w:t>Company — the audited and reviewed statements</w:t>
            </w:r>
          </w:p>
        </w:tc>
        <w:tc>
          <w:tcPr>
            <w:tcW w:type="dxa" w:w="8442"/>
          </w:tcPr>
          <w:p>
            <w:pPr>
              <w:spacing w:after="20"/>
            </w:pPr>
            <w:r>
              <w:rPr>
                <w:color w:val="1C3A36"/>
                <w:sz w:val="14"/>
              </w:rPr>
              <w:t>Saudi Telecom Company, reviewed condensed consolidated interim financial statements for the six months ended 30 June 2026, note 17, share capital divided by par value, less treasury shares</w:t>
            </w:r>
          </w:p>
        </w:tc>
        <w:tc>
          <w:tcPr>
            <w:tcW w:type="dxa" w:w="1066"/>
          </w:tcPr>
          <w:p>
            <w:pPr>
              <w:spacing w:after="20"/>
            </w:pPr>
            <w:r>
              <w:rPr>
                <w:color w:val="1C3A36"/>
                <w:sz w:val="14"/>
              </w:rPr>
              <w:t>2026-06-30</w:t>
            </w:r>
          </w:p>
        </w:tc>
      </w:tr>
      <w:tr>
        <w:tc>
          <w:tcPr>
            <w:tcW w:type="dxa" w:w="505"/>
          </w:tcPr>
          <w:p>
            <w:pPr>
              <w:spacing w:after="20"/>
            </w:pPr>
            <w:r>
              <w:rPr>
                <w:color w:val="1C3A36"/>
                <w:sz w:val="14"/>
              </w:rPr>
              <w:t>168</w:t>
            </w:r>
          </w:p>
        </w:tc>
        <w:tc>
          <w:tcPr>
            <w:tcW w:type="dxa" w:w="1236"/>
          </w:tcPr>
          <w:p>
            <w:pPr>
              <w:spacing w:after="20"/>
            </w:pPr>
            <w:r>
              <w:rPr>
                <w:color w:val="1C3A36"/>
                <w:sz w:val="14"/>
              </w:rPr>
              <w:t>capex fy2025</w:t>
            </w:r>
          </w:p>
        </w:tc>
        <w:tc>
          <w:tcPr>
            <w:tcW w:type="dxa" w:w="1162"/>
          </w:tcPr>
          <w:p>
            <w:pPr>
              <w:spacing w:after="20"/>
            </w:pPr>
            <w:r>
              <w:rPr>
                <w:color w:val="1C3A36"/>
                <w:sz w:val="14"/>
              </w:rPr>
              <w:t>11,795,000</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fourth-quarter and full-year 2025 earnings presentation, capital expenditure as the company reports it</w:t>
            </w:r>
          </w:p>
        </w:tc>
        <w:tc>
          <w:tcPr>
            <w:tcW w:type="dxa" w:w="1066"/>
          </w:tcPr>
          <w:p>
            <w:pPr>
              <w:spacing w:after="20"/>
            </w:pPr>
            <w:r>
              <w:rPr>
                <w:color w:val="1C3A36"/>
                <w:sz w:val="14"/>
              </w:rPr>
              <w:t>2025-12-31</w:t>
            </w:r>
          </w:p>
        </w:tc>
      </w:tr>
      <w:tr>
        <w:tc>
          <w:tcPr>
            <w:tcW w:type="dxa" w:w="505"/>
          </w:tcPr>
          <w:p>
            <w:pPr>
              <w:spacing w:after="20"/>
            </w:pPr>
            <w:r>
              <w:rPr>
                <w:color w:val="1C3A36"/>
                <w:sz w:val="14"/>
              </w:rPr>
              <w:t>169</w:t>
            </w:r>
          </w:p>
        </w:tc>
        <w:tc>
          <w:tcPr>
            <w:tcW w:type="dxa" w:w="1236"/>
          </w:tcPr>
          <w:p>
            <w:pPr>
              <w:spacing w:after="20"/>
            </w:pPr>
            <w:r>
              <w:rPr>
                <w:color w:val="1C3A36"/>
                <w:sz w:val="14"/>
              </w:rPr>
              <w:t>inv subs fixed fy2023</w:t>
            </w:r>
          </w:p>
        </w:tc>
        <w:tc>
          <w:tcPr>
            <w:tcW w:type="dxa" w:w="1162"/>
          </w:tcPr>
          <w:p>
            <w:pPr>
              <w:spacing w:after="20"/>
            </w:pPr>
            <w:r>
              <w:rPr>
                <w:color w:val="1C3A36"/>
                <w:sz w:val="14"/>
              </w:rPr>
              <w:t>5.57</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fourth-quarter and full-year 2025 earnings presentation, fixed subscribers as at Q4 2023, stated in millions</w:t>
            </w:r>
          </w:p>
        </w:tc>
        <w:tc>
          <w:tcPr>
            <w:tcW w:type="dxa" w:w="1066"/>
          </w:tcPr>
          <w:p>
            <w:pPr>
              <w:spacing w:after="20"/>
            </w:pPr>
            <w:r>
              <w:rPr>
                <w:color w:val="1C3A36"/>
                <w:sz w:val="14"/>
              </w:rPr>
              <w:t>2025-12-31</w:t>
            </w:r>
          </w:p>
        </w:tc>
      </w:tr>
      <w:tr>
        <w:tc>
          <w:tcPr>
            <w:tcW w:type="dxa" w:w="505"/>
          </w:tcPr>
          <w:p>
            <w:pPr>
              <w:spacing w:after="20"/>
            </w:pPr>
            <w:r>
              <w:rPr>
                <w:color w:val="1C3A36"/>
                <w:sz w:val="14"/>
              </w:rPr>
              <w:t>170</w:t>
            </w:r>
          </w:p>
        </w:tc>
        <w:tc>
          <w:tcPr>
            <w:tcW w:type="dxa" w:w="1236"/>
          </w:tcPr>
          <w:p>
            <w:pPr>
              <w:spacing w:after="20"/>
            </w:pPr>
            <w:r>
              <w:rPr>
                <w:color w:val="1C3A36"/>
                <w:sz w:val="14"/>
              </w:rPr>
              <w:t>inv subs fixed fy2024</w:t>
            </w:r>
          </w:p>
        </w:tc>
        <w:tc>
          <w:tcPr>
            <w:tcW w:type="dxa" w:w="1162"/>
          </w:tcPr>
          <w:p>
            <w:pPr>
              <w:spacing w:after="20"/>
            </w:pPr>
            <w:r>
              <w:rPr>
                <w:color w:val="1C3A36"/>
                <w:sz w:val="14"/>
              </w:rPr>
              <w:t>5.72</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fourth-quarter and full-year 2025 earnings presentation, fixed subscribers as at Q4 2024, stated in millions</w:t>
            </w:r>
          </w:p>
        </w:tc>
        <w:tc>
          <w:tcPr>
            <w:tcW w:type="dxa" w:w="1066"/>
          </w:tcPr>
          <w:p>
            <w:pPr>
              <w:spacing w:after="20"/>
            </w:pPr>
            <w:r>
              <w:rPr>
                <w:color w:val="1C3A36"/>
                <w:sz w:val="14"/>
              </w:rPr>
              <w:t>2025-12-31</w:t>
            </w:r>
          </w:p>
        </w:tc>
      </w:tr>
      <w:tr>
        <w:tc>
          <w:tcPr>
            <w:tcW w:type="dxa" w:w="505"/>
          </w:tcPr>
          <w:p>
            <w:pPr>
              <w:spacing w:after="20"/>
            </w:pPr>
            <w:r>
              <w:rPr>
                <w:color w:val="1C3A36"/>
                <w:sz w:val="14"/>
              </w:rPr>
              <w:t>171</w:t>
            </w:r>
          </w:p>
        </w:tc>
        <w:tc>
          <w:tcPr>
            <w:tcW w:type="dxa" w:w="1236"/>
          </w:tcPr>
          <w:p>
            <w:pPr>
              <w:spacing w:after="20"/>
            </w:pPr>
            <w:r>
              <w:rPr>
                <w:color w:val="1C3A36"/>
                <w:sz w:val="14"/>
              </w:rPr>
              <w:t>inv subs fixed fy2025</w:t>
            </w:r>
          </w:p>
        </w:tc>
        <w:tc>
          <w:tcPr>
            <w:tcW w:type="dxa" w:w="1162"/>
          </w:tcPr>
          <w:p>
            <w:pPr>
              <w:spacing w:after="20"/>
            </w:pPr>
            <w:r>
              <w:rPr>
                <w:color w:val="1C3A36"/>
                <w:sz w:val="14"/>
              </w:rPr>
              <w:t>6</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fourth-quarter and full-year 2025 earnings presentation, fixed subscribers as at Q4 2025, stated in millions</w:t>
            </w:r>
          </w:p>
        </w:tc>
        <w:tc>
          <w:tcPr>
            <w:tcW w:type="dxa" w:w="1066"/>
          </w:tcPr>
          <w:p>
            <w:pPr>
              <w:spacing w:after="20"/>
            </w:pPr>
            <w:r>
              <w:rPr>
                <w:color w:val="1C3A36"/>
                <w:sz w:val="14"/>
              </w:rPr>
              <w:t>2025-12-31</w:t>
            </w:r>
          </w:p>
        </w:tc>
      </w:tr>
      <w:tr>
        <w:tc>
          <w:tcPr>
            <w:tcW w:type="dxa" w:w="505"/>
          </w:tcPr>
          <w:p>
            <w:pPr>
              <w:spacing w:after="20"/>
            </w:pPr>
            <w:r>
              <w:rPr>
                <w:color w:val="1C3A36"/>
                <w:sz w:val="14"/>
              </w:rPr>
              <w:t>172</w:t>
            </w:r>
          </w:p>
        </w:tc>
        <w:tc>
          <w:tcPr>
            <w:tcW w:type="dxa" w:w="1236"/>
          </w:tcPr>
          <w:p>
            <w:pPr>
              <w:spacing w:after="20"/>
            </w:pPr>
            <w:r>
              <w:rPr>
                <w:color w:val="1C3A36"/>
                <w:sz w:val="14"/>
              </w:rPr>
              <w:t>inv subs fixed h1 2026</w:t>
            </w:r>
          </w:p>
        </w:tc>
        <w:tc>
          <w:tcPr>
            <w:tcW w:type="dxa" w:w="1162"/>
          </w:tcPr>
          <w:p>
            <w:pPr>
              <w:spacing w:after="20"/>
            </w:pPr>
            <w:r>
              <w:rPr>
                <w:color w:val="1C3A36"/>
                <w:sz w:val="14"/>
              </w:rPr>
              <w:t>6.1</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second-quarter and half-year 2026 earnings presentation, fixed subscribers as at H1 2026, stated in millions</w:t>
            </w:r>
          </w:p>
        </w:tc>
        <w:tc>
          <w:tcPr>
            <w:tcW w:type="dxa" w:w="1066"/>
          </w:tcPr>
          <w:p>
            <w:pPr>
              <w:spacing w:after="20"/>
            </w:pPr>
            <w:r>
              <w:rPr>
                <w:color w:val="1C3A36"/>
                <w:sz w:val="14"/>
              </w:rPr>
              <w:t>2026-06-30</w:t>
            </w:r>
          </w:p>
        </w:tc>
      </w:tr>
      <w:tr>
        <w:tc>
          <w:tcPr>
            <w:tcW w:type="dxa" w:w="505"/>
          </w:tcPr>
          <w:p>
            <w:pPr>
              <w:spacing w:after="20"/>
            </w:pPr>
            <w:r>
              <w:rPr>
                <w:color w:val="1C3A36"/>
                <w:sz w:val="14"/>
              </w:rPr>
              <w:t>173</w:t>
            </w:r>
          </w:p>
        </w:tc>
        <w:tc>
          <w:tcPr>
            <w:tcW w:type="dxa" w:w="1236"/>
          </w:tcPr>
          <w:p>
            <w:pPr>
              <w:spacing w:after="20"/>
            </w:pPr>
            <w:r>
              <w:rPr>
                <w:color w:val="1C3A36"/>
                <w:sz w:val="14"/>
              </w:rPr>
              <w:t>inv subs mobile fy2023</w:t>
            </w:r>
          </w:p>
        </w:tc>
        <w:tc>
          <w:tcPr>
            <w:tcW w:type="dxa" w:w="1162"/>
          </w:tcPr>
          <w:p>
            <w:pPr>
              <w:spacing w:after="20"/>
            </w:pPr>
            <w:r>
              <w:rPr>
                <w:color w:val="1C3A36"/>
                <w:sz w:val="14"/>
              </w:rPr>
              <w:t>26.47</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fourth-quarter and full-year 2025 earnings presentation, mobile subscribers as at Q4 2023, stated in millions</w:t>
            </w:r>
          </w:p>
        </w:tc>
        <w:tc>
          <w:tcPr>
            <w:tcW w:type="dxa" w:w="1066"/>
          </w:tcPr>
          <w:p>
            <w:pPr>
              <w:spacing w:after="20"/>
            </w:pPr>
            <w:r>
              <w:rPr>
                <w:color w:val="1C3A36"/>
                <w:sz w:val="14"/>
              </w:rPr>
              <w:t>2025-12-31</w:t>
            </w:r>
          </w:p>
        </w:tc>
      </w:tr>
      <w:tr>
        <w:tc>
          <w:tcPr>
            <w:tcW w:type="dxa" w:w="505"/>
          </w:tcPr>
          <w:p>
            <w:pPr>
              <w:spacing w:after="20"/>
            </w:pPr>
            <w:r>
              <w:rPr>
                <w:color w:val="1C3A36"/>
                <w:sz w:val="14"/>
              </w:rPr>
              <w:t>174</w:t>
            </w:r>
          </w:p>
        </w:tc>
        <w:tc>
          <w:tcPr>
            <w:tcW w:type="dxa" w:w="1236"/>
          </w:tcPr>
          <w:p>
            <w:pPr>
              <w:spacing w:after="20"/>
            </w:pPr>
            <w:r>
              <w:rPr>
                <w:color w:val="1C3A36"/>
                <w:sz w:val="14"/>
              </w:rPr>
              <w:t>inv subs mobile fy2024</w:t>
            </w:r>
          </w:p>
        </w:tc>
        <w:tc>
          <w:tcPr>
            <w:tcW w:type="dxa" w:w="1162"/>
          </w:tcPr>
          <w:p>
            <w:pPr>
              <w:spacing w:after="20"/>
            </w:pPr>
            <w:r>
              <w:rPr>
                <w:color w:val="1C3A36"/>
                <w:sz w:val="14"/>
              </w:rPr>
              <w:t>28.34</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fourth-quarter and full-year 2025 earnings presentation, mobile subscribers as at Q4 2024, stated in millions</w:t>
            </w:r>
          </w:p>
        </w:tc>
        <w:tc>
          <w:tcPr>
            <w:tcW w:type="dxa" w:w="1066"/>
          </w:tcPr>
          <w:p>
            <w:pPr>
              <w:spacing w:after="20"/>
            </w:pPr>
            <w:r>
              <w:rPr>
                <w:color w:val="1C3A36"/>
                <w:sz w:val="14"/>
              </w:rPr>
              <w:t>2025-12-31</w:t>
            </w:r>
          </w:p>
        </w:tc>
      </w:tr>
      <w:tr>
        <w:tc>
          <w:tcPr>
            <w:tcW w:type="dxa" w:w="505"/>
          </w:tcPr>
          <w:p>
            <w:pPr>
              <w:spacing w:after="20"/>
            </w:pPr>
            <w:r>
              <w:rPr>
                <w:color w:val="1C3A36"/>
                <w:sz w:val="14"/>
              </w:rPr>
              <w:t>175</w:t>
            </w:r>
          </w:p>
        </w:tc>
        <w:tc>
          <w:tcPr>
            <w:tcW w:type="dxa" w:w="1236"/>
          </w:tcPr>
          <w:p>
            <w:pPr>
              <w:spacing w:after="20"/>
            </w:pPr>
            <w:r>
              <w:rPr>
                <w:color w:val="1C3A36"/>
                <w:sz w:val="14"/>
              </w:rPr>
              <w:t>inv subs mobile fy2025</w:t>
            </w:r>
          </w:p>
        </w:tc>
        <w:tc>
          <w:tcPr>
            <w:tcW w:type="dxa" w:w="1162"/>
          </w:tcPr>
          <w:p>
            <w:pPr>
              <w:spacing w:after="20"/>
            </w:pPr>
            <w:r>
              <w:rPr>
                <w:color w:val="1C3A36"/>
                <w:sz w:val="14"/>
              </w:rPr>
              <w:t>30</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fourth-quarter and full-year 2025 earnings presentation, mobile subscribers as at Q4 2025, stated in millions</w:t>
            </w:r>
          </w:p>
        </w:tc>
        <w:tc>
          <w:tcPr>
            <w:tcW w:type="dxa" w:w="1066"/>
          </w:tcPr>
          <w:p>
            <w:pPr>
              <w:spacing w:after="20"/>
            </w:pPr>
            <w:r>
              <w:rPr>
                <w:color w:val="1C3A36"/>
                <w:sz w:val="14"/>
              </w:rPr>
              <w:t>2025-12-31</w:t>
            </w:r>
          </w:p>
        </w:tc>
      </w:tr>
      <w:tr>
        <w:tc>
          <w:tcPr>
            <w:tcW w:type="dxa" w:w="505"/>
          </w:tcPr>
          <w:p>
            <w:pPr>
              <w:spacing w:after="20"/>
            </w:pPr>
            <w:r>
              <w:rPr>
                <w:color w:val="1C3A36"/>
                <w:sz w:val="14"/>
              </w:rPr>
              <w:t>176</w:t>
            </w:r>
          </w:p>
        </w:tc>
        <w:tc>
          <w:tcPr>
            <w:tcW w:type="dxa" w:w="1236"/>
          </w:tcPr>
          <w:p>
            <w:pPr>
              <w:spacing w:after="20"/>
            </w:pPr>
            <w:r>
              <w:rPr>
                <w:color w:val="1C3A36"/>
                <w:sz w:val="14"/>
              </w:rPr>
              <w:t>inv subs mobile h1 2026</w:t>
            </w:r>
          </w:p>
        </w:tc>
        <w:tc>
          <w:tcPr>
            <w:tcW w:type="dxa" w:w="1162"/>
          </w:tcPr>
          <w:p>
            <w:pPr>
              <w:spacing w:after="20"/>
            </w:pPr>
            <w:r>
              <w:rPr>
                <w:color w:val="1C3A36"/>
                <w:sz w:val="14"/>
              </w:rPr>
              <w:t>30.3</w:t>
            </w:r>
          </w:p>
        </w:tc>
        <w:tc>
          <w:tcPr>
            <w:tcW w:type="dxa" w:w="1701"/>
          </w:tcPr>
          <w:p>
            <w:pPr>
              <w:spacing w:after="20"/>
            </w:pPr>
            <w:r>
              <w:rPr>
                <w:color w:val="1C3A36"/>
                <w:sz w:val="14"/>
              </w:rPr>
              <w:t>Company — the investor-relations channel</w:t>
            </w:r>
          </w:p>
        </w:tc>
        <w:tc>
          <w:tcPr>
            <w:tcW w:type="dxa" w:w="8442"/>
          </w:tcPr>
          <w:p>
            <w:pPr>
              <w:spacing w:after="20"/>
            </w:pPr>
            <w:r>
              <w:rPr>
                <w:color w:val="1C3A36"/>
                <w:sz w:val="14"/>
              </w:rPr>
              <w:t>Saudi Telecom Company, second-quarter and half-year 2026 earnings presentation, mobile subscribers as at H1 2026, stated in millions</w:t>
            </w:r>
          </w:p>
        </w:tc>
        <w:tc>
          <w:tcPr>
            <w:tcW w:type="dxa" w:w="1066"/>
          </w:tcPr>
          <w:p>
            <w:pPr>
              <w:spacing w:after="20"/>
            </w:pPr>
            <w:r>
              <w:rPr>
                <w:color w:val="1C3A36"/>
                <w:sz w:val="14"/>
              </w:rPr>
              <w:t>2026-06-30</w:t>
            </w:r>
          </w:p>
        </w:tc>
      </w:tr>
    </w:tbl>
    <w:p>
      <w:pPr>
        <w:spacing w:after="40"/>
      </w:pPr>
    </w:p>
    <w:p>
      <w:r>
        <w:br w:type="page"/>
      </w:r>
    </w:p>
    <w:p>
      <w:pPr>
        <w:spacing w:after="120" w:before="240"/>
      </w:pPr>
      <w:r>
        <w:rPr>
          <w:b/>
          <w:i w:val="0"/>
          <w:color w:val="1C3A36"/>
          <w:sz w:val="28"/>
        </w:rPr>
        <w:t>2  Source catalogue — the documents relied on</w:t>
      </w:r>
    </w:p>
    <w:p>
      <w:pPr>
        <w:spacing w:after="100" w:before="0"/>
      </w:pPr>
      <w:r>
        <w:rPr>
          <w:b w:val="0"/>
          <w:i w:val="0"/>
          <w:color w:val="1C3A36"/>
          <w:sz w:val="18"/>
        </w:rPr>
        <w:t>Every document named in the register above, with what it was used for. The list is closed: a row in the table above citing a document not on this list would have failed the register’s own assertion.</w:t>
      </w:r>
    </w:p>
    <w:tbl>
      <w:tblPr>
        <w:tblW w:type="auto" w:w="0"/>
        <w:jc w:val="center"/>
        <w:tblLook w:firstColumn="1" w:firstRow="1" w:lastColumn="0" w:lastRow="0" w:noHBand="0" w:noVBand="1" w:val="04A0"/>
        <w:tblLayout w:type="fixed"/>
        <w:tblCellMar>
          <w:top w:w="34" w:type="dxa"/>
          <w:left w:w="74" w:type="dxa"/>
          <w:bottom w:w="34" w:type="dxa"/>
          <w:right w:w="74"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3967" w:type="dxa"/>
      </w:tblPr>
      <w:tblGrid>
        <w:gridCol w:w="3384"/>
        <w:gridCol w:w="2088"/>
        <w:gridCol w:w="6263"/>
        <w:gridCol w:w="1224"/>
        <w:gridCol w:w="1007"/>
      </w:tblGrid>
      <w:tr>
        <w:tc>
          <w:tcPr>
            <w:tcW w:type="dxa" w:w="3384"/>
            <w:shd w:val="clear" w:color="auto" w:fill="EAF0EE"/>
          </w:tcPr>
          <w:p>
            <w:pPr>
              <w:spacing w:after="20"/>
            </w:pPr>
            <w:r>
              <w:rPr>
                <w:b/>
                <w:color w:val="1C3A36"/>
                <w:sz w:val="15"/>
              </w:rPr>
              <w:t>Document</w:t>
            </w:r>
          </w:p>
        </w:tc>
        <w:tc>
          <w:tcPr>
            <w:tcW w:type="dxa" w:w="2088"/>
            <w:shd w:val="clear" w:color="auto" w:fill="EAF0EE"/>
          </w:tcPr>
          <w:p>
            <w:pPr>
              <w:spacing w:after="20"/>
            </w:pPr>
            <w:r>
              <w:rPr>
                <w:b/>
                <w:color w:val="1C3A36"/>
                <w:sz w:val="15"/>
              </w:rPr>
              <w:t>Kind</w:t>
            </w:r>
          </w:p>
        </w:tc>
        <w:tc>
          <w:tcPr>
            <w:tcW w:type="dxa" w:w="6264"/>
            <w:shd w:val="clear" w:color="auto" w:fill="EAF0EE"/>
          </w:tcPr>
          <w:p>
            <w:pPr>
              <w:spacing w:after="20"/>
            </w:pPr>
            <w:r>
              <w:rPr>
                <w:b/>
                <w:color w:val="1C3A36"/>
                <w:sz w:val="15"/>
              </w:rPr>
              <w:t>What it carries</w:t>
            </w:r>
          </w:p>
        </w:tc>
        <w:tc>
          <w:tcPr>
            <w:tcW w:type="dxa" w:w="1224"/>
            <w:shd w:val="clear" w:color="auto" w:fill="EAF0EE"/>
          </w:tcPr>
          <w:p>
            <w:pPr>
              <w:spacing w:after="20"/>
            </w:pPr>
            <w:r>
              <w:rPr>
                <w:b/>
                <w:color w:val="1C3A36"/>
                <w:sz w:val="15"/>
              </w:rPr>
              <w:t>Date it bears</w:t>
            </w:r>
          </w:p>
        </w:tc>
        <w:tc>
          <w:tcPr>
            <w:tcW w:type="dxa" w:w="1008"/>
            <w:shd w:val="clear" w:color="auto" w:fill="EAF0EE"/>
          </w:tcPr>
          <w:p>
            <w:pPr>
              <w:spacing w:after="20"/>
            </w:pPr>
            <w:r>
              <w:rPr>
                <w:b/>
                <w:color w:val="1C3A36"/>
                <w:sz w:val="15"/>
              </w:rPr>
              <w:t>Inputs drawn</w:t>
            </w:r>
          </w:p>
        </w:tc>
      </w:tr>
      <w:tr>
        <w:tc>
          <w:tcPr>
            <w:tcW w:type="dxa" w:w="3384"/>
          </w:tcPr>
          <w:p>
            <w:pPr>
              <w:spacing w:after="20"/>
            </w:pPr>
            <w:r>
              <w:rPr>
                <w:color w:val="1C3A36"/>
                <w:sz w:val="15"/>
              </w:rPr>
              <w:t>Saudi Telecom Company, audited consolidated financial statements for the year ended 31 December 2025</w:t>
            </w:r>
          </w:p>
        </w:tc>
        <w:tc>
          <w:tcPr>
            <w:tcW w:type="dxa" w:w="2088"/>
          </w:tcPr>
          <w:p>
            <w:pPr>
              <w:spacing w:after="20"/>
            </w:pPr>
            <w:r>
              <w:rPr>
                <w:color w:val="1C3A36"/>
                <w:sz w:val="15"/>
              </w:rPr>
              <w:t>AUDITED FINANCIAL STATEMENTS</w:t>
            </w:r>
          </w:p>
        </w:tc>
        <w:tc>
          <w:tcPr>
            <w:tcW w:type="dxa" w:w="6264"/>
          </w:tcPr>
          <w:p>
            <w:pPr>
              <w:spacing w:after="20"/>
            </w:pPr>
            <w:r>
              <w:rPr>
                <w:color w:val="1C3A36"/>
                <w:sz w:val="15"/>
              </w:rPr>
              <w:t>The consolidated income statement, balance sheet and cash-flow statement with the FY2024 comparatives; note 9’s reconciliation of segment revenue to net profit, which is the only place those lines appear together; note 26’s borrowings book, facility by facility, in five currencies; note 33(a)’s movement of the zakat provision, which names the prior-year reversal on its own line; and the accounting-policies note carrying the disclosed asset lives the terminal is built on.</w:t>
            </w:r>
          </w:p>
        </w:tc>
        <w:tc>
          <w:tcPr>
            <w:tcW w:type="dxa" w:w="1224"/>
          </w:tcPr>
          <w:p>
            <w:pPr>
              <w:spacing w:after="20"/>
            </w:pPr>
            <w:r>
              <w:rPr>
                <w:color w:val="1C3A36"/>
                <w:sz w:val="15"/>
              </w:rPr>
              <w:t>2025-12-31</w:t>
            </w:r>
          </w:p>
        </w:tc>
        <w:tc>
          <w:tcPr>
            <w:tcW w:type="dxa" w:w="1008"/>
          </w:tcPr>
          <w:p>
            <w:pPr>
              <w:spacing w:after="20"/>
            </w:pPr>
            <w:r>
              <w:rPr>
                <w:color w:val="1C3A36"/>
                <w:sz w:val="15"/>
              </w:rPr>
              <w:t>153</w:t>
            </w:r>
          </w:p>
        </w:tc>
      </w:tr>
      <w:tr>
        <w:tc>
          <w:tcPr>
            <w:tcW w:type="dxa" w:w="3384"/>
          </w:tcPr>
          <w:p>
            <w:pPr>
              <w:spacing w:after="20"/>
            </w:pPr>
            <w:r>
              <w:rPr>
                <w:color w:val="1C3A36"/>
                <w:sz w:val="15"/>
              </w:rPr>
              <w:t>Saudi Telecom Company, audited consolidated financial statements for the year ended 31 December 2024</w:t>
            </w:r>
          </w:p>
        </w:tc>
        <w:tc>
          <w:tcPr>
            <w:tcW w:type="dxa" w:w="2088"/>
          </w:tcPr>
          <w:p>
            <w:pPr>
              <w:spacing w:after="20"/>
            </w:pPr>
            <w:r>
              <w:rPr>
                <w:color w:val="1C3A36"/>
                <w:sz w:val="15"/>
              </w:rPr>
              <w:t>AUDITED FINANCIAL STATEMENTS</w:t>
            </w:r>
          </w:p>
        </w:tc>
        <w:tc>
          <w:tcPr>
            <w:tcW w:type="dxa" w:w="6264"/>
          </w:tcPr>
          <w:p>
            <w:pPr>
              <w:spacing w:after="20"/>
            </w:pPr>
            <w:r>
              <w:rPr>
                <w:color w:val="1C3A36"/>
                <w:sz w:val="15"/>
              </w:rPr>
              <w:t>The FY2023 column wherever a line was regrouped afterwards — the one-filing-per-column discipline this study keeps, so a column is never two groupings in one place — and note 27’s borrowings comparative.</w:t>
            </w:r>
          </w:p>
        </w:tc>
        <w:tc>
          <w:tcPr>
            <w:tcW w:type="dxa" w:w="1224"/>
          </w:tcPr>
          <w:p>
            <w:pPr>
              <w:spacing w:after="20"/>
            </w:pPr>
            <w:r>
              <w:rPr>
                <w:color w:val="1C3A36"/>
                <w:sz w:val="15"/>
              </w:rPr>
              <w:t>2024-12-31</w:t>
            </w:r>
          </w:p>
        </w:tc>
        <w:tc>
          <w:tcPr>
            <w:tcW w:type="dxa" w:w="1008"/>
          </w:tcPr>
          <w:p>
            <w:pPr>
              <w:spacing w:after="20"/>
            </w:pPr>
            <w:r>
              <w:rPr>
                <w:color w:val="1C3A36"/>
                <w:sz w:val="15"/>
              </w:rPr>
              <w:t>153</w:t>
            </w:r>
          </w:p>
        </w:tc>
      </w:tr>
      <w:tr>
        <w:tc>
          <w:tcPr>
            <w:tcW w:type="dxa" w:w="3384"/>
          </w:tcPr>
          <w:p>
            <w:pPr>
              <w:spacing w:after="20"/>
            </w:pPr>
            <w:r>
              <w:rPr>
                <w:color w:val="1C3A36"/>
                <w:sz w:val="15"/>
              </w:rPr>
              <w:t>Saudi Telecom Company, audited consolidated financial statements for the year ended 31 December 2023</w:t>
            </w:r>
          </w:p>
        </w:tc>
        <w:tc>
          <w:tcPr>
            <w:tcW w:type="dxa" w:w="2088"/>
          </w:tcPr>
          <w:p>
            <w:pPr>
              <w:spacing w:after="20"/>
            </w:pPr>
            <w:r>
              <w:rPr>
                <w:color w:val="1C3A36"/>
                <w:sz w:val="15"/>
              </w:rPr>
              <w:t>AUDITED FINANCIAL STATEMENTS</w:t>
            </w:r>
          </w:p>
        </w:tc>
        <w:tc>
          <w:tcPr>
            <w:tcW w:type="dxa" w:w="6264"/>
          </w:tcPr>
          <w:p>
            <w:pPr>
              <w:spacing w:after="20"/>
            </w:pPr>
            <w:r>
              <w:rPr>
                <w:color w:val="1C3A36"/>
                <w:sz w:val="15"/>
              </w:rPr>
              <w:t>The FY2023 position as originally reported, for the point-in-time cross-check.</w:t>
            </w:r>
          </w:p>
        </w:tc>
        <w:tc>
          <w:tcPr>
            <w:tcW w:type="dxa" w:w="1224"/>
          </w:tcPr>
          <w:p>
            <w:pPr>
              <w:spacing w:after="20"/>
            </w:pPr>
            <w:r>
              <w:rPr>
                <w:color w:val="1C3A36"/>
                <w:sz w:val="15"/>
              </w:rPr>
              <w:t>2023-12-31</w:t>
            </w:r>
          </w:p>
        </w:tc>
        <w:tc>
          <w:tcPr>
            <w:tcW w:type="dxa" w:w="1008"/>
          </w:tcPr>
          <w:p>
            <w:pPr>
              <w:spacing w:after="20"/>
            </w:pPr>
            <w:r>
              <w:rPr>
                <w:color w:val="1C3A36"/>
                <w:sz w:val="15"/>
              </w:rPr>
              <w:t>153</w:t>
            </w:r>
          </w:p>
        </w:tc>
      </w:tr>
      <w:tr>
        <w:tc>
          <w:tcPr>
            <w:tcW w:type="dxa" w:w="3384"/>
          </w:tcPr>
          <w:p>
            <w:pPr>
              <w:spacing w:after="20"/>
            </w:pPr>
            <w:r>
              <w:rPr>
                <w:color w:val="1C3A36"/>
                <w:sz w:val="15"/>
              </w:rPr>
              <w:t>Saudi Telecom Company, reviewed condensed consolidated interim financial statements for the six months ended 30 June 2026</w:t>
            </w:r>
          </w:p>
        </w:tc>
        <w:tc>
          <w:tcPr>
            <w:tcW w:type="dxa" w:w="2088"/>
          </w:tcPr>
          <w:p>
            <w:pPr>
              <w:spacing w:after="20"/>
            </w:pPr>
            <w:r>
              <w:rPr>
                <w:color w:val="1C3A36"/>
                <w:sz w:val="15"/>
              </w:rPr>
              <w:t>REVIEWED INTERIM STATEMENTS</w:t>
            </w:r>
          </w:p>
        </w:tc>
        <w:tc>
          <w:tcPr>
            <w:tcW w:type="dxa" w:w="6264"/>
          </w:tcPr>
          <w:p>
            <w:pPr>
              <w:spacing w:after="20"/>
            </w:pPr>
            <w:r>
              <w:rPr>
                <w:color w:val="1C3A36"/>
                <w:sz w:val="15"/>
              </w:rPr>
              <w:t>The reviewed 30 June 2026 balance sheet the enterprise-to-equity bridge stands on, the half’s income statement, its financing cash flows, and the share count footed against its own stated capital and par value.</w:t>
            </w:r>
          </w:p>
        </w:tc>
        <w:tc>
          <w:tcPr>
            <w:tcW w:type="dxa" w:w="1224"/>
          </w:tcPr>
          <w:p>
            <w:pPr>
              <w:spacing w:after="20"/>
            </w:pPr>
            <w:r>
              <w:rPr>
                <w:color w:val="1C3A36"/>
                <w:sz w:val="15"/>
              </w:rPr>
              <w:t>2026-06-30</w:t>
            </w:r>
          </w:p>
        </w:tc>
        <w:tc>
          <w:tcPr>
            <w:tcW w:type="dxa" w:w="1008"/>
          </w:tcPr>
          <w:p>
            <w:pPr>
              <w:spacing w:after="20"/>
            </w:pPr>
            <w:r>
              <w:rPr>
                <w:color w:val="1C3A36"/>
                <w:sz w:val="15"/>
              </w:rPr>
              <w:t>13</w:t>
            </w:r>
          </w:p>
        </w:tc>
      </w:tr>
      <w:tr>
        <w:tc>
          <w:tcPr>
            <w:tcW w:type="dxa" w:w="3384"/>
          </w:tcPr>
          <w:p>
            <w:pPr>
              <w:spacing w:after="20"/>
            </w:pPr>
            <w:r>
              <w:rPr>
                <w:color w:val="1C3A36"/>
                <w:sz w:val="15"/>
              </w:rPr>
              <w:t>Saudi Telecom Company, fourth-quarter and full-year 2025 earnings presentation</w:t>
            </w:r>
          </w:p>
        </w:tc>
        <w:tc>
          <w:tcPr>
            <w:tcW w:type="dxa" w:w="2088"/>
          </w:tcPr>
          <w:p>
            <w:pPr>
              <w:spacing w:after="20"/>
            </w:pPr>
            <w:r>
              <w:rPr>
                <w:color w:val="1C3A36"/>
                <w:sz w:val="15"/>
              </w:rPr>
              <w:t>EARNINGS PRESENTATION (investor-relations channel)</w:t>
            </w:r>
          </w:p>
        </w:tc>
        <w:tc>
          <w:tcPr>
            <w:tcW w:type="dxa" w:w="6264"/>
          </w:tcPr>
          <w:p>
            <w:pPr>
              <w:spacing w:after="20"/>
            </w:pPr>
            <w:r>
              <w:rPr>
                <w:color w:val="1C3A36"/>
                <w:sz w:val="15"/>
              </w:rPr>
              <w:t>Subscribers by category and the operating measures no financial statement carries, for the segments built as volume times price.</w:t>
            </w:r>
          </w:p>
        </w:tc>
        <w:tc>
          <w:tcPr>
            <w:tcW w:type="dxa" w:w="1224"/>
          </w:tcPr>
          <w:p>
            <w:pPr>
              <w:spacing w:after="20"/>
            </w:pPr>
            <w:r>
              <w:rPr>
                <w:color w:val="1C3A36"/>
                <w:sz w:val="15"/>
              </w:rPr>
              <w:t>2025-12-31</w:t>
            </w:r>
          </w:p>
        </w:tc>
        <w:tc>
          <w:tcPr>
            <w:tcW w:type="dxa" w:w="1008"/>
          </w:tcPr>
          <w:p>
            <w:pPr>
              <w:spacing w:after="20"/>
            </w:pPr>
            <w:r>
              <w:rPr>
                <w:color w:val="1C3A36"/>
                <w:sz w:val="15"/>
              </w:rPr>
              <w:t>7</w:t>
            </w:r>
          </w:p>
        </w:tc>
      </w:tr>
      <w:tr>
        <w:tc>
          <w:tcPr>
            <w:tcW w:type="dxa" w:w="3384"/>
          </w:tcPr>
          <w:p>
            <w:pPr>
              <w:spacing w:after="20"/>
            </w:pPr>
            <w:r>
              <w:rPr>
                <w:color w:val="1C3A36"/>
                <w:sz w:val="15"/>
              </w:rPr>
              <w:t>Saudi Telecom Company, second-quarter and half-year 2026 earnings presentation</w:t>
            </w:r>
          </w:p>
        </w:tc>
        <w:tc>
          <w:tcPr>
            <w:tcW w:type="dxa" w:w="2088"/>
          </w:tcPr>
          <w:p>
            <w:pPr>
              <w:spacing w:after="20"/>
            </w:pPr>
            <w:r>
              <w:rPr>
                <w:color w:val="1C3A36"/>
                <w:sz w:val="15"/>
              </w:rPr>
              <w:t>EARNINGS PRESENTATION (investor-relations channel)</w:t>
            </w:r>
          </w:p>
        </w:tc>
        <w:tc>
          <w:tcPr>
            <w:tcW w:type="dxa" w:w="6264"/>
          </w:tcPr>
          <w:p>
            <w:pPr>
              <w:spacing w:after="20"/>
            </w:pPr>
            <w:r>
              <w:rPr>
                <w:color w:val="1C3A36"/>
                <w:sz w:val="15"/>
              </w:rPr>
              <w:t>The same measures for the study year’s disclosed halves, and the capital expenditure guidance this study SCORES rather than consumes.</w:t>
            </w:r>
          </w:p>
        </w:tc>
        <w:tc>
          <w:tcPr>
            <w:tcW w:type="dxa" w:w="1224"/>
          </w:tcPr>
          <w:p>
            <w:pPr>
              <w:spacing w:after="20"/>
            </w:pPr>
            <w:r>
              <w:rPr>
                <w:color w:val="1C3A36"/>
                <w:sz w:val="15"/>
              </w:rPr>
              <w:t>2026-06-30</w:t>
            </w:r>
          </w:p>
        </w:tc>
        <w:tc>
          <w:tcPr>
            <w:tcW w:type="dxa" w:w="1008"/>
          </w:tcPr>
          <w:p>
            <w:pPr>
              <w:spacing w:after="20"/>
            </w:pPr>
            <w:r>
              <w:rPr>
                <w:color w:val="1C3A36"/>
                <w:sz w:val="15"/>
              </w:rPr>
              <w:t>2</w:t>
            </w:r>
          </w:p>
        </w:tc>
      </w:tr>
    </w:tbl>
    <w:p>
      <w:pPr>
        <w:spacing w:after="40"/>
      </w:pPr>
    </w:p>
    <w:p>
      <w:pPr>
        <w:spacing w:after="100" w:before="0"/>
      </w:pPr>
      <w:r>
        <w:rPr>
          <w:b w:val="0"/>
          <w:i w:val="0"/>
          <w:color w:val="1C3A36"/>
          <w:sz w:val="18"/>
        </w:rPr>
        <w:t>A note on the guidance row. Management publishes a capital-expenditure band and an earlier edition of this study took its forecast path straight from it. A forward target leans the same way an optimistic model does, so guidance is SCORED against what happens and never consumed as an input; the path this study uses is measured from the filings instead, and the guidance is recorded here as a document read rather than as a driver.</w:t>
      </w:r>
    </w:p>
    <w:p>
      <w:r>
        <w:br w:type="page"/>
      </w:r>
    </w:p>
    <w:p>
      <w:pPr>
        <w:spacing w:after="120" w:before="240"/>
      </w:pPr>
      <w:r>
        <w:rPr>
          <w:b/>
          <w:i w:val="0"/>
          <w:color w:val="1C3A36"/>
          <w:sz w:val="28"/>
        </w:rPr>
        <w:t>3  Figures that are DERIVED rather than sourced</w:t>
      </w:r>
    </w:p>
    <w:p>
      <w:pPr>
        <w:spacing w:after="100" w:before="0"/>
      </w:pPr>
      <w:r>
        <w:rPr>
          <w:b w:val="0"/>
          <w:i w:val="0"/>
          <w:color w:val="1C3A36"/>
          <w:sz w:val="18"/>
        </w:rPr>
        <w:t>A derived figure is arithmetic on sourced ones, and an identity is not an assumption — but the two must not be allowed to look alike, so each is named here with the identity that produces it.</w:t>
      </w:r>
    </w:p>
    <w:tbl>
      <w:tblPr>
        <w:tblW w:type="auto" w:w="0"/>
        <w:jc w:val="center"/>
        <w:tblLook w:firstColumn="1" w:firstRow="1" w:lastColumn="0" w:lastRow="0" w:noHBand="0" w:noVBand="1" w:val="04A0"/>
        <w:tblLayout w:type="fixed"/>
        <w:tblCellMar>
          <w:top w:w="34" w:type="dxa"/>
          <w:left w:w="74" w:type="dxa"/>
          <w:bottom w:w="34" w:type="dxa"/>
          <w:right w:w="74"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4112" w:type="dxa"/>
      </w:tblPr>
      <w:tblGrid>
        <w:gridCol w:w="3096"/>
        <w:gridCol w:w="1512"/>
        <w:gridCol w:w="9504"/>
      </w:tblGrid>
      <w:tr>
        <w:tc>
          <w:tcPr>
            <w:tcW w:type="dxa" w:w="3096"/>
            <w:shd w:val="clear" w:color="auto" w:fill="EAF0EE"/>
          </w:tcPr>
          <w:p>
            <w:pPr>
              <w:spacing w:after="20"/>
            </w:pPr>
            <w:r>
              <w:rPr>
                <w:b/>
                <w:color w:val="1C3A36"/>
                <w:sz w:val="15"/>
              </w:rPr>
              <w:t>Figure</w:t>
            </w:r>
          </w:p>
        </w:tc>
        <w:tc>
          <w:tcPr>
            <w:tcW w:type="dxa" w:w="1512"/>
            <w:shd w:val="clear" w:color="auto" w:fill="EAF0EE"/>
          </w:tcPr>
          <w:p>
            <w:pPr>
              <w:spacing w:after="20"/>
            </w:pPr>
            <w:r>
              <w:rPr>
                <w:b/>
                <w:color w:val="1C3A36"/>
                <w:sz w:val="15"/>
              </w:rPr>
              <w:t>Value</w:t>
            </w:r>
          </w:p>
        </w:tc>
        <w:tc>
          <w:tcPr>
            <w:tcW w:type="dxa" w:w="9504"/>
            <w:shd w:val="clear" w:color="auto" w:fill="EAF0EE"/>
          </w:tcPr>
          <w:p>
            <w:pPr>
              <w:spacing w:after="20"/>
            </w:pPr>
            <w:r>
              <w:rPr>
                <w:b/>
                <w:color w:val="1C3A36"/>
                <w:sz w:val="15"/>
              </w:rPr>
              <w:t>The identity that produces it, and from what</w:t>
            </w:r>
          </w:p>
        </w:tc>
      </w:tr>
      <w:tr>
        <w:tc>
          <w:tcPr>
            <w:tcW w:type="dxa" w:w="3096"/>
          </w:tcPr>
          <w:p>
            <w:pPr>
              <w:spacing w:after="20"/>
            </w:pPr>
            <w:r>
              <w:rPr>
                <w:color w:val="1C3A36"/>
                <w:sz w:val="15"/>
              </w:rPr>
              <w:t>Normalised risk-free rate</w:t>
            </w:r>
          </w:p>
        </w:tc>
        <w:tc>
          <w:tcPr>
            <w:tcW w:type="dxa" w:w="1512"/>
          </w:tcPr>
          <w:p>
            <w:pPr>
              <w:spacing w:after="20"/>
            </w:pPr>
            <w:r>
              <w:rPr>
                <w:color w:val="1C3A36"/>
                <w:sz w:val="15"/>
              </w:rPr>
              <w:t>4.54%</w:t>
            </w:r>
          </w:p>
        </w:tc>
        <w:tc>
          <w:tcPr>
            <w:tcW w:type="dxa" w:w="9504"/>
          </w:tcPr>
          <w:p>
            <w:pPr>
              <w:spacing w:after="20"/>
            </w:pPr>
            <w:r>
              <w:rPr>
                <w:color w:val="1C3A36"/>
                <w:sz w:val="15"/>
              </w:rPr>
              <w:t>The observed sovereign yield of 5.52% less this sovereign’s own default spread of 0.98%. Country risk is charged exactly once and it is charged inside the equity risk premium, so it is removed here rather than counted twice.</w:t>
            </w:r>
          </w:p>
        </w:tc>
      </w:tr>
      <w:tr>
        <w:tc>
          <w:tcPr>
            <w:tcW w:type="dxa" w:w="3096"/>
          </w:tcPr>
          <w:p>
            <w:pPr>
              <w:spacing w:after="20"/>
            </w:pPr>
            <w:r>
              <w:rPr>
                <w:color w:val="1C3A36"/>
                <w:sz w:val="15"/>
              </w:rPr>
              <w:t>Equity beta</w:t>
            </w:r>
          </w:p>
        </w:tc>
        <w:tc>
          <w:tcPr>
            <w:tcW w:type="dxa" w:w="1512"/>
          </w:tcPr>
          <w:p>
            <w:pPr>
              <w:spacing w:after="20"/>
            </w:pPr>
            <w:r>
              <w:rPr>
                <w:color w:val="1C3A36"/>
                <w:sz w:val="15"/>
              </w:rPr>
              <w:t>0.7093</w:t>
            </w:r>
          </w:p>
        </w:tc>
        <w:tc>
          <w:tcPr>
            <w:tcW w:type="dxa" w:w="9504"/>
          </w:tcPr>
          <w:p>
            <w:pPr>
              <w:spacing w:after="20"/>
            </w:pPr>
            <w:r>
              <w:rPr>
                <w:color w:val="1C3A36"/>
                <w:sz w:val="15"/>
              </w:rPr>
              <w:t>A 4.94-year weekly regression of this stock against the published index of the exchange it is listed on, the Tadawul All Share Index as of 2026-09-08: 254 observations, R-squared 30.3%, standard error 0.1022. Produced by the house regression routine, not by a study-local script.</w:t>
            </w:r>
          </w:p>
        </w:tc>
      </w:tr>
      <w:tr>
        <w:tc>
          <w:tcPr>
            <w:tcW w:type="dxa" w:w="3096"/>
          </w:tcPr>
          <w:p>
            <w:pPr>
              <w:spacing w:after="20"/>
            </w:pPr>
            <w:r>
              <w:rPr>
                <w:color w:val="1C3A36"/>
                <w:sz w:val="15"/>
              </w:rPr>
              <w:t>Cost of equity</w:t>
            </w:r>
          </w:p>
        </w:tc>
        <w:tc>
          <w:tcPr>
            <w:tcW w:type="dxa" w:w="1512"/>
          </w:tcPr>
          <w:p>
            <w:pPr>
              <w:spacing w:after="20"/>
            </w:pPr>
            <w:r>
              <w:rPr>
                <w:color w:val="1C3A36"/>
                <w:sz w:val="15"/>
              </w:rPr>
              <w:t>9.03%</w:t>
            </w:r>
          </w:p>
        </w:tc>
        <w:tc>
          <w:tcPr>
            <w:tcW w:type="dxa" w:w="9504"/>
          </w:tcPr>
          <w:p>
            <w:pPr>
              <w:spacing w:after="20"/>
            </w:pPr>
            <w:r>
              <w:rPr>
                <w:color w:val="1C3A36"/>
                <w:sz w:val="15"/>
              </w:rPr>
              <w:t>The normalised risk-free rate plus beta times the equity risk premium of 5.72%, on the market basis this study names as central.</w:t>
            </w:r>
          </w:p>
        </w:tc>
      </w:tr>
      <w:tr>
        <w:tc>
          <w:tcPr>
            <w:tcW w:type="dxa" w:w="3096"/>
          </w:tcPr>
          <w:p>
            <w:pPr>
              <w:spacing w:after="20"/>
            </w:pPr>
            <w:r>
              <w:rPr>
                <w:color w:val="1C3A36"/>
                <w:sz w:val="15"/>
              </w:rPr>
              <w:t>Marginal cost of debt</w:t>
            </w:r>
          </w:p>
        </w:tc>
        <w:tc>
          <w:tcPr>
            <w:tcW w:type="dxa" w:w="1512"/>
          </w:tcPr>
          <w:p>
            <w:pPr>
              <w:spacing w:after="20"/>
            </w:pPr>
            <w:r>
              <w:rPr>
                <w:color w:val="1C3A36"/>
                <w:sz w:val="15"/>
              </w:rPr>
              <w:t>4.860%</w:t>
            </w:r>
          </w:p>
        </w:tc>
        <w:tc>
          <w:tcPr>
            <w:tcW w:type="dxa" w:w="9504"/>
          </w:tcPr>
          <w:p>
            <w:pPr>
              <w:spacing w:after="20"/>
            </w:pPr>
            <w:r>
              <w:rPr>
                <w:color w:val="1C3A36"/>
                <w:sz w:val="15"/>
              </w:rPr>
              <w:t>The company’s own latest issue, weighted by the tranches’ own sizes: SAR 2,812,000 thousand for 5 years at 4.489%; SAR 4,688,000 thousand for 10 years at 5.083%.</w:t>
            </w:r>
          </w:p>
        </w:tc>
      </w:tr>
      <w:tr>
        <w:tc>
          <w:tcPr>
            <w:tcW w:type="dxa" w:w="3096"/>
          </w:tcPr>
          <w:p>
            <w:pPr>
              <w:spacing w:after="20"/>
            </w:pPr>
            <w:r>
              <w:rPr>
                <w:color w:val="1C3A36"/>
                <w:sz w:val="15"/>
              </w:rPr>
              <w:t>Weighted cost of capital</w:t>
            </w:r>
          </w:p>
        </w:tc>
        <w:tc>
          <w:tcPr>
            <w:tcW w:type="dxa" w:w="1512"/>
          </w:tcPr>
          <w:p>
            <w:pPr>
              <w:spacing w:after="20"/>
            </w:pPr>
            <w:r>
              <w:rPr>
                <w:color w:val="1C3A36"/>
                <w:sz w:val="15"/>
              </w:rPr>
              <w:t>8.53%</w:t>
            </w:r>
          </w:p>
        </w:tc>
        <w:tc>
          <w:tcPr>
            <w:tcW w:type="dxa" w:w="9504"/>
          </w:tcPr>
          <w:p>
            <w:pPr>
              <w:spacing w:after="20"/>
            </w:pPr>
            <w:r>
              <w:rPr>
                <w:color w:val="1C3A36"/>
                <w:sz w:val="15"/>
              </w:rPr>
              <w:t>Market-value equity, never book: the latest known close of SAR 43.86 on 2026-09-03 times 4,993,024 thousand shares outstanding — issued capital of SAR 50,000,000 thousand in shares of SAR 10 each, which divides to the 5,000,000 thousand shares note 17 of the reviewed 30 June 2026 interim itself states, less 6,976 thousand held in treasury. Debt is the borrowings total from the LATEST DISCLOSED balance sheet, 30 June 2026, SAR 23,536,554 thousand, which reproduces from the same interim's own financing cash flows to twelve basis points.</w:t>
            </w:r>
          </w:p>
        </w:tc>
      </w:tr>
      <w:tr>
        <w:tc>
          <w:tcPr>
            <w:tcW w:type="dxa" w:w="3096"/>
          </w:tcPr>
          <w:p>
            <w:pPr>
              <w:spacing w:after="20"/>
            </w:pPr>
            <w:r>
              <w:rPr>
                <w:color w:val="1C3A36"/>
                <w:sz w:val="15"/>
              </w:rPr>
              <w:t>Terminal growth</w:t>
            </w:r>
          </w:p>
        </w:tc>
        <w:tc>
          <w:tcPr>
            <w:tcW w:type="dxa" w:w="1512"/>
          </w:tcPr>
          <w:p>
            <w:pPr>
              <w:spacing w:after="20"/>
            </w:pPr>
            <w:r>
              <w:rPr>
                <w:color w:val="1C3A36"/>
                <w:sz w:val="15"/>
              </w:rPr>
              <w:t>2.00%</w:t>
            </w:r>
          </w:p>
        </w:tc>
        <w:tc>
          <w:tcPr>
            <w:tcW w:type="dxa" w:w="9504"/>
          </w:tcPr>
          <w:p>
            <w:pPr>
              <w:spacing w:after="20"/>
            </w:pPr>
            <w:r>
              <w:rPr>
                <w:color w:val="1C3A36"/>
                <w:sz w:val="15"/>
              </w:rPr>
              <w:t>Terminal inflation of 2.0% from the house macro path plus a STATED real growth of 0.0%. It is derived rather than chosen, and the real component is written down as the number it is rather than buried inside a nominal rate nobody can falsify.</w:t>
            </w:r>
          </w:p>
        </w:tc>
      </w:tr>
      <w:tr>
        <w:tc>
          <w:tcPr>
            <w:tcW w:type="dxa" w:w="3096"/>
          </w:tcPr>
          <w:p>
            <w:pPr>
              <w:spacing w:after="20"/>
            </w:pPr>
            <w:r>
              <w:rPr>
                <w:color w:val="1C3A36"/>
                <w:sz w:val="15"/>
              </w:rPr>
              <w:t>Effective tax rate on operating profit</w:t>
            </w:r>
          </w:p>
        </w:tc>
        <w:tc>
          <w:tcPr>
            <w:tcW w:type="dxa" w:w="1512"/>
          </w:tcPr>
          <w:p>
            <w:pPr>
              <w:spacing w:after="20"/>
            </w:pPr>
            <w:r>
              <w:rPr>
                <w:color w:val="1C3A36"/>
                <w:sz w:val="15"/>
              </w:rPr>
              <w:t>8.03%</w:t>
            </w:r>
          </w:p>
        </w:tc>
        <w:tc>
          <w:tcPr>
            <w:tcW w:type="dxa" w:w="9504"/>
          </w:tcPr>
          <w:p>
            <w:pPr>
              <w:spacing w:after="20"/>
            </w:pPr>
            <w:r>
              <w:rPr>
                <w:color w:val="1C3A36"/>
                <w:sz w:val="15"/>
              </w:rPr>
              <w:t>The three filed years’ zakat and income-tax charge over their operating profit, with the prior-year provision reversal of SAR 1,324,787 thousand that note 33(a) names put BACK — carrying that reversal forward instead would read 5.02% and would assume the company keeps discovering it has over-provided, for ever.</w:t>
            </w:r>
          </w:p>
        </w:tc>
      </w:tr>
      <w:tr>
        <w:tc>
          <w:tcPr>
            <w:tcW w:type="dxa" w:w="3096"/>
          </w:tcPr>
          <w:p>
            <w:pPr>
              <w:spacing w:after="20"/>
            </w:pPr>
            <w:r>
              <w:rPr>
                <w:color w:val="1C3A36"/>
                <w:sz w:val="15"/>
              </w:rPr>
              <w:t>Implied asset life in the terminal</w:t>
            </w:r>
          </w:p>
        </w:tc>
        <w:tc>
          <w:tcPr>
            <w:tcW w:type="dxa" w:w="1512"/>
          </w:tcPr>
          <w:p>
            <w:pPr>
              <w:spacing w:after="20"/>
            </w:pPr>
            <w:r>
              <w:rPr>
                <w:color w:val="1C3A36"/>
                <w:sz w:val="15"/>
              </w:rPr>
              <w:t>20.86 years</w:t>
            </w:r>
          </w:p>
        </w:tc>
        <w:tc>
          <w:tcPr>
            <w:tcW w:type="dxa" w:w="9504"/>
          </w:tcPr>
          <w:p>
            <w:pPr>
              <w:spacing w:after="20"/>
            </w:pPr>
            <w:r>
              <w:rPr>
                <w:color w:val="1C3A36"/>
                <w:sz w:val="15"/>
              </w:rPr>
              <w:t>Derived from the company’s own property, plant and equipment note. It is a DISCLOSED life, not one this desk chose, and it is what the terminal maintenance charge is built on rather than the reciprocal of an inflation rate.</w:t>
            </w:r>
          </w:p>
        </w:tc>
      </w:tr>
      <w:tr>
        <w:tc>
          <w:tcPr>
            <w:tcW w:type="dxa" w:w="3096"/>
          </w:tcPr>
          <w:p>
            <w:pPr>
              <w:spacing w:after="20"/>
            </w:pPr>
            <w:r>
              <w:rPr>
                <w:color w:val="1C3A36"/>
                <w:sz w:val="15"/>
              </w:rPr>
              <w:t>Share count</w:t>
            </w:r>
          </w:p>
        </w:tc>
        <w:tc>
          <w:tcPr>
            <w:tcW w:type="dxa" w:w="1512"/>
          </w:tcPr>
          <w:p>
            <w:pPr>
              <w:spacing w:after="20"/>
            </w:pPr>
            <w:r>
              <w:rPr>
                <w:color w:val="1C3A36"/>
                <w:sz w:val="15"/>
              </w:rPr>
              <w:t>4,993.024 mn</w:t>
            </w:r>
          </w:p>
        </w:tc>
        <w:tc>
          <w:tcPr>
            <w:tcW w:type="dxa" w:w="9504"/>
          </w:tcPr>
          <w:p>
            <w:pPr>
              <w:spacing w:after="20"/>
            </w:pPr>
            <w:r>
              <w:rPr>
                <w:color w:val="1C3A36"/>
                <w:sz w:val="15"/>
              </w:rPr>
              <w:t>Issued capital divided by the par value the same document states, footed against the count that document itself gives, less treasury. Today’s count is never carried back to a past period.</w:t>
            </w:r>
          </w:p>
        </w:tc>
      </w:tr>
    </w:tbl>
    <w:p>
      <w:pPr>
        <w:spacing w:after="40"/>
      </w:pPr>
    </w:p>
    <w:p>
      <w:r>
        <w:br w:type="page"/>
      </w:r>
    </w:p>
    <w:p>
      <w:pPr>
        <w:spacing w:after="120" w:before="240"/>
      </w:pPr>
      <w:r>
        <w:rPr>
          <w:b/>
          <w:i w:val="0"/>
          <w:color w:val="1C3A36"/>
          <w:sz w:val="28"/>
        </w:rPr>
        <w:t>4  Research trail — the four levels, and what came back empty</w:t>
      </w:r>
    </w:p>
    <w:p>
      <w:pPr>
        <w:spacing w:after="100" w:before="0"/>
      </w:pPr>
      <w:r>
        <w:rPr>
          <w:b w:val="0"/>
          <w:i w:val="0"/>
          <w:color w:val="1C3A36"/>
          <w:sz w:val="18"/>
        </w:rPr>
        <w:t>Before any forecast driver was set, the research ran at four levels: the world, the country, the industry and the company. Every finding carries its source and that source’s own date.</w:t>
      </w:r>
    </w:p>
    <w:tbl>
      <w:tblPr>
        <w:tblW w:type="auto" w:w="0"/>
        <w:jc w:val="center"/>
        <w:tblLook w:firstColumn="1" w:firstRow="1" w:lastColumn="0" w:lastRow="0" w:noHBand="0" w:noVBand="1" w:val="04A0"/>
        <w:tblLayout w:type="fixed"/>
        <w:tblCellMar>
          <w:top w:w="34" w:type="dxa"/>
          <w:left w:w="74" w:type="dxa"/>
          <w:bottom w:w="34" w:type="dxa"/>
          <w:right w:w="74"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4544" w:type="dxa"/>
      </w:tblPr>
      <w:tblGrid>
        <w:gridCol w:w="403"/>
        <w:gridCol w:w="1123"/>
        <w:gridCol w:w="6192"/>
        <w:gridCol w:w="4392"/>
        <w:gridCol w:w="1368"/>
        <w:gridCol w:w="1065"/>
      </w:tblGrid>
      <w:tr>
        <w:tc>
          <w:tcPr>
            <w:tcW w:type="dxa" w:w="403"/>
            <w:shd w:val="clear" w:color="auto" w:fill="EAF0EE"/>
          </w:tcPr>
          <w:p>
            <w:pPr>
              <w:spacing w:after="20"/>
            </w:pPr>
            <w:r>
              <w:rPr>
                <w:b/>
                <w:color w:val="1C3A36"/>
                <w:sz w:val="14"/>
              </w:rPr>
              <w:t>#</w:t>
            </w:r>
          </w:p>
        </w:tc>
        <w:tc>
          <w:tcPr>
            <w:tcW w:type="dxa" w:w="1123"/>
            <w:shd w:val="clear" w:color="auto" w:fill="EAF0EE"/>
          </w:tcPr>
          <w:p>
            <w:pPr>
              <w:spacing w:after="20"/>
            </w:pPr>
            <w:r>
              <w:rPr>
                <w:b/>
                <w:color w:val="1C3A36"/>
                <w:sz w:val="14"/>
              </w:rPr>
              <w:t>Level</w:t>
            </w:r>
          </w:p>
        </w:tc>
        <w:tc>
          <w:tcPr>
            <w:tcW w:type="dxa" w:w="6192"/>
            <w:shd w:val="clear" w:color="auto" w:fill="EAF0EE"/>
          </w:tcPr>
          <w:p>
            <w:pPr>
              <w:spacing w:after="20"/>
            </w:pPr>
            <w:r>
              <w:rPr>
                <w:b/>
                <w:color w:val="1C3A36"/>
                <w:sz w:val="14"/>
              </w:rPr>
              <w:t>What was found</w:t>
            </w:r>
          </w:p>
        </w:tc>
        <w:tc>
          <w:tcPr>
            <w:tcW w:type="dxa" w:w="4392"/>
            <w:shd w:val="clear" w:color="auto" w:fill="EAF0EE"/>
          </w:tcPr>
          <w:p>
            <w:pPr>
              <w:spacing w:after="20"/>
            </w:pPr>
            <w:r>
              <w:rPr>
                <w:b/>
                <w:color w:val="1C3A36"/>
                <w:sz w:val="14"/>
              </w:rPr>
              <w:t>Source</w:t>
            </w:r>
          </w:p>
        </w:tc>
        <w:tc>
          <w:tcPr>
            <w:tcW w:type="dxa" w:w="1368"/>
            <w:shd w:val="clear" w:color="auto" w:fill="EAF0EE"/>
          </w:tcPr>
          <w:p>
            <w:pPr>
              <w:spacing w:after="20"/>
            </w:pPr>
            <w:r>
              <w:rPr>
                <w:b/>
                <w:color w:val="1C3A36"/>
                <w:sz w:val="14"/>
              </w:rPr>
              <w:t>Kind</w:t>
            </w:r>
          </w:p>
        </w:tc>
        <w:tc>
          <w:tcPr>
            <w:tcW w:type="dxa" w:w="1066"/>
            <w:shd w:val="clear" w:color="auto" w:fill="EAF0EE"/>
          </w:tcPr>
          <w:p>
            <w:pPr>
              <w:spacing w:after="20"/>
            </w:pPr>
            <w:r>
              <w:rPr>
                <w:b/>
                <w:color w:val="1C3A36"/>
                <w:sz w:val="14"/>
              </w:rPr>
              <w:t>Source date</w:t>
            </w:r>
          </w:p>
        </w:tc>
      </w:tr>
      <w:tr>
        <w:tc>
          <w:tcPr>
            <w:tcW w:type="dxa" w:w="403"/>
          </w:tcPr>
          <w:p>
            <w:pPr>
              <w:spacing w:after="20"/>
            </w:pPr>
            <w:r>
              <w:rPr>
                <w:color w:val="1C3A36"/>
                <w:sz w:val="14"/>
              </w:rPr>
              <w:t>1</w:t>
            </w:r>
          </w:p>
        </w:tc>
        <w:tc>
          <w:tcPr>
            <w:tcW w:type="dxa" w:w="1123"/>
          </w:tcPr>
          <w:p>
            <w:pPr>
              <w:spacing w:after="20"/>
            </w:pPr>
            <w:r>
              <w:rPr>
                <w:color w:val="1C3A36"/>
                <w:sz w:val="14"/>
              </w:rPr>
              <w:t>Global</w:t>
            </w:r>
          </w:p>
        </w:tc>
        <w:tc>
          <w:tcPr>
            <w:tcW w:type="dxa" w:w="6192"/>
          </w:tcPr>
          <w:p>
            <w:pPr>
              <w:spacing w:after="20"/>
            </w:pPr>
            <w:r>
              <w:rPr>
                <w:color w:val="1C3A36"/>
                <w:sz w:val="14"/>
              </w:rPr>
              <w:t>The riyal is pegged to the dollar at 3.75, so Saudi Arabia imports United States monetary policy and TODAY IS ALREADY THE TERMINAL for the cost of capital; the house macro path calls the regime pegged and the schedule is flat by construction</w:t>
            </w:r>
          </w:p>
        </w:tc>
        <w:tc>
          <w:tcPr>
            <w:tcW w:type="dxa" w:w="4392"/>
          </w:tcPr>
          <w:p>
            <w:pPr>
              <w:spacing w:after="20"/>
            </w:pPr>
            <w:r>
              <w:rPr>
                <w:color w:val="1C3A36"/>
                <w:sz w:val="14"/>
              </w:rPr>
              <w:t>The International Monetary Fund's World Economic Outlook database, and the sovereign quote carried on the house macro path for Saudi Arabia at its own as-of date</w:t>
            </w:r>
          </w:p>
        </w:tc>
        <w:tc>
          <w:tcPr>
            <w:tcW w:type="dxa" w:w="1368"/>
          </w:tcPr>
          <w:p>
            <w:pPr>
              <w:spacing w:after="20"/>
            </w:pPr>
            <w:r>
              <w:rPr>
                <w:color w:val="1C3A36"/>
                <w:sz w:val="14"/>
              </w:rPr>
              <w:t>regulator official</w:t>
            </w:r>
          </w:p>
        </w:tc>
        <w:tc>
          <w:tcPr>
            <w:tcW w:type="dxa" w:w="1066"/>
          </w:tcPr>
          <w:p>
            <w:pPr>
              <w:spacing w:after="20"/>
            </w:pPr>
            <w:r>
              <w:rPr>
                <w:color w:val="1C3A36"/>
                <w:sz w:val="14"/>
              </w:rPr>
              <w:t>2026-07-31</w:t>
            </w:r>
          </w:p>
        </w:tc>
      </w:tr>
      <w:tr>
        <w:tc>
          <w:tcPr>
            <w:tcW w:type="dxa" w:w="403"/>
          </w:tcPr>
          <w:p>
            <w:pPr>
              <w:spacing w:after="20"/>
            </w:pPr>
            <w:r>
              <w:rPr>
                <w:color w:val="1C3A36"/>
                <w:sz w:val="14"/>
              </w:rPr>
              <w:t>2</w:t>
            </w:r>
          </w:p>
        </w:tc>
        <w:tc>
          <w:tcPr>
            <w:tcW w:type="dxa" w:w="1123"/>
          </w:tcPr>
          <w:p>
            <w:pPr>
              <w:spacing w:after="20"/>
            </w:pPr>
            <w:r>
              <w:rPr>
                <w:color w:val="1C3A36"/>
                <w:sz w:val="14"/>
              </w:rPr>
              <w:t>Global</w:t>
            </w:r>
          </w:p>
        </w:tc>
        <w:tc>
          <w:tcPr>
            <w:tcW w:type="dxa" w:w="6192"/>
          </w:tcPr>
          <w:p>
            <w:pPr>
              <w:spacing w:after="20"/>
            </w:pPr>
            <w:r>
              <w:rPr>
                <w:color w:val="1C3A36"/>
                <w:sz w:val="14"/>
              </w:rPr>
              <w:t>This business has no commodity input in the sense the category means: its cost of revenues is handsets and equipment, interconnection, wages, a regulated levy and maintenance, and note 35 discloses all seven lines. The nearest thing to a global price input is imported device and network equipment cost, which is the largest single line at SAR 14,195,531 thousand, 18.2% of revenue</w:t>
            </w:r>
          </w:p>
        </w:tc>
        <w:tc>
          <w:tcPr>
            <w:tcW w:type="dxa" w:w="4392"/>
          </w:tcPr>
          <w:p>
            <w:pPr>
              <w:spacing w:after="20"/>
            </w:pPr>
            <w:r>
              <w:rPr>
                <w:color w:val="1C3A36"/>
                <w:sz w:val="14"/>
              </w:rPr>
              <w:t>the FY2025 audited consolidated financial statements, note 35, cost of revenues by nature</w:t>
            </w:r>
          </w:p>
        </w:tc>
        <w:tc>
          <w:tcPr>
            <w:tcW w:type="dxa" w:w="1368"/>
          </w:tcPr>
          <w:p>
            <w:pPr>
              <w:spacing w:after="20"/>
            </w:pPr>
            <w:r>
              <w:rPr>
                <w:color w:val="1C3A36"/>
                <w:sz w:val="14"/>
              </w:rPr>
              <w:t>company official</w:t>
            </w:r>
          </w:p>
        </w:tc>
        <w:tc>
          <w:tcPr>
            <w:tcW w:type="dxa" w:w="1066"/>
          </w:tcPr>
          <w:p>
            <w:pPr>
              <w:spacing w:after="20"/>
            </w:pPr>
            <w:r>
              <w:rPr>
                <w:color w:val="1C3A36"/>
                <w:sz w:val="14"/>
              </w:rPr>
              <w:t>2026-02-25</w:t>
            </w:r>
          </w:p>
        </w:tc>
      </w:tr>
      <w:tr>
        <w:tc>
          <w:tcPr>
            <w:tcW w:type="dxa" w:w="403"/>
          </w:tcPr>
          <w:p>
            <w:pPr>
              <w:spacing w:after="20"/>
            </w:pPr>
            <w:r>
              <w:rPr>
                <w:color w:val="1C3A36"/>
                <w:sz w:val="14"/>
              </w:rPr>
              <w:t>3</w:t>
            </w:r>
          </w:p>
        </w:tc>
        <w:tc>
          <w:tcPr>
            <w:tcW w:type="dxa" w:w="1123"/>
          </w:tcPr>
          <w:p>
            <w:pPr>
              <w:spacing w:after="20"/>
            </w:pPr>
            <w:r>
              <w:rPr>
                <w:color w:val="1C3A36"/>
                <w:sz w:val="14"/>
              </w:rPr>
              <w:t>Global</w:t>
            </w:r>
          </w:p>
        </w:tc>
        <w:tc>
          <w:tcPr>
            <w:tcW w:type="dxa" w:w="6192"/>
          </w:tcPr>
          <w:p>
            <w:pPr>
              <w:spacing w:after="20"/>
            </w:pPr>
            <w:r>
              <w:rPr>
                <w:color w:val="1C3A36"/>
                <w:sz w:val="14"/>
              </w:rPr>
              <w:t>Global telecom demand growth is in data volume rather than in revenue per user, and this company's own record shows the same shape: a subscriber base compounding at 6.00% a year against revenue per subscriber falling 3.86%</w:t>
            </w:r>
          </w:p>
        </w:tc>
        <w:tc>
          <w:tcPr>
            <w:tcW w:type="dxa" w:w="4392"/>
          </w:tcPr>
          <w:p>
            <w:pPr>
              <w:spacing w:after="20"/>
            </w:pPr>
            <w:r>
              <w:rPr>
                <w:color w:val="1C3A36"/>
                <w:sz w:val="14"/>
              </w:rPr>
              <w:t>the fourth-quarter and full-year 2025 earnings presentation and the full-year 2024 earnings presentation, subscriber charts, cross-checked against note 9 segment revenue</w:t>
            </w:r>
          </w:p>
        </w:tc>
        <w:tc>
          <w:tcPr>
            <w:tcW w:type="dxa" w:w="1368"/>
          </w:tcPr>
          <w:p>
            <w:pPr>
              <w:spacing w:after="20"/>
            </w:pPr>
            <w:r>
              <w:rPr>
                <w:color w:val="1C3A36"/>
                <w:sz w:val="14"/>
              </w:rPr>
              <w:t>company ir</w:t>
            </w:r>
          </w:p>
        </w:tc>
        <w:tc>
          <w:tcPr>
            <w:tcW w:type="dxa" w:w="1066"/>
          </w:tcPr>
          <w:p>
            <w:pPr>
              <w:spacing w:after="20"/>
            </w:pPr>
            <w:r>
              <w:rPr>
                <w:color w:val="1C3A36"/>
                <w:sz w:val="14"/>
              </w:rPr>
              <w:t>2026-02-25</w:t>
            </w:r>
          </w:p>
        </w:tc>
      </w:tr>
      <w:tr>
        <w:tc>
          <w:tcPr>
            <w:tcW w:type="dxa" w:w="403"/>
          </w:tcPr>
          <w:p>
            <w:pPr>
              <w:spacing w:after="20"/>
            </w:pPr>
            <w:r>
              <w:rPr>
                <w:color w:val="1C3A36"/>
                <w:sz w:val="14"/>
              </w:rPr>
              <w:t>4</w:t>
            </w:r>
          </w:p>
        </w:tc>
        <w:tc>
          <w:tcPr>
            <w:tcW w:type="dxa" w:w="1123"/>
          </w:tcPr>
          <w:p>
            <w:pPr>
              <w:spacing w:after="20"/>
            </w:pPr>
            <w:r>
              <w:rPr>
                <w:color w:val="1C3A36"/>
                <w:sz w:val="14"/>
              </w:rPr>
              <w:t>Global</w:t>
            </w:r>
          </w:p>
        </w:tc>
        <w:tc>
          <w:tcPr>
            <w:tcW w:type="dxa" w:w="6192"/>
          </w:tcPr>
          <w:p>
            <w:pPr>
              <w:spacing w:after="20"/>
            </w:pPr>
            <w:r>
              <w:rPr>
                <w:color w:val="1C3A36"/>
                <w:sz w:val="14"/>
              </w:rPr>
              <w:t>Negative search — nothing found (Searched the FY2025 audited statements and the FY2025 and H1-2026 earnings presentations for sanctions, export controls, supply-chain disruption or tariffs. Two hits in the statements, neither a risk disclosure: one lists 'supply chain and other related services' among a subsidiary's permitted activities, and one records a 2017 Kuwaiti court ruling on a regulatory tariff decree. No supply-chain or sanctions exposure is disclosed anywhere in the three documents.)</w:t>
            </w:r>
          </w:p>
        </w:tc>
        <w:tc>
          <w:tcPr>
            <w:tcW w:type="dxa" w:w="4392"/>
          </w:tcPr>
          <w:p>
            <w:pPr>
              <w:spacing w:after="20"/>
            </w:pPr>
            <w:r>
              <w:rPr>
                <w:color w:val="1C3A36"/>
                <w:sz w:val="14"/>
              </w:rPr>
              <w:t>negative search</w:t>
            </w:r>
          </w:p>
        </w:tc>
        <w:tc>
          <w:tcPr>
            <w:tcW w:type="dxa" w:w="1368"/>
          </w:tcPr>
          <w:p>
            <w:pPr>
              <w:spacing w:after="20"/>
            </w:pPr>
            <w:r>
              <w:rPr>
                <w:color w:val="1C3A36"/>
                <w:sz w:val="14"/>
              </w:rPr>
              <w:t>search</w:t>
            </w:r>
          </w:p>
        </w:tc>
        <w:tc>
          <w:tcPr>
            <w:tcW w:type="dxa" w:w="1066"/>
          </w:tcPr>
          <w:p>
            <w:pPr>
              <w:spacing w:after="20"/>
            </w:pPr>
            <w:r>
              <w:rPr>
                <w:color w:val="1C3A36"/>
                <w:sz w:val="14"/>
              </w:rPr>
              <w:t>2026-09-05</w:t>
            </w:r>
          </w:p>
        </w:tc>
      </w:tr>
      <w:tr>
        <w:tc>
          <w:tcPr>
            <w:tcW w:type="dxa" w:w="403"/>
          </w:tcPr>
          <w:p>
            <w:pPr>
              <w:spacing w:after="20"/>
            </w:pPr>
            <w:r>
              <w:rPr>
                <w:color w:val="1C3A36"/>
                <w:sz w:val="14"/>
              </w:rPr>
              <w:t>5</w:t>
            </w:r>
          </w:p>
        </w:tc>
        <w:tc>
          <w:tcPr>
            <w:tcW w:type="dxa" w:w="1123"/>
          </w:tcPr>
          <w:p>
            <w:pPr>
              <w:spacing w:after="20"/>
            </w:pPr>
            <w:r>
              <w:rPr>
                <w:color w:val="1C3A36"/>
                <w:sz w:val="14"/>
              </w:rPr>
              <w:t>Country</w:t>
            </w:r>
          </w:p>
        </w:tc>
        <w:tc>
          <w:tcPr>
            <w:tcW w:type="dxa" w:w="6192"/>
          </w:tcPr>
          <w:p>
            <w:pPr>
              <w:spacing w:after="20"/>
            </w:pPr>
            <w:r>
              <w:rPr>
                <w:color w:val="1C3A36"/>
                <w:sz w:val="14"/>
              </w:rPr>
              <w:t>Saudi consumer-price inflation ran 2.5% (2023), 1.5% (2024) and 2.0% (2025) and the published projection ladder is 2.3 / 2.1 / 2.0 / 2.0 / 2.0 to 2030, terminating at 2.0%; the riyal is pegged so devaluation risk is a regime question rather than a rate</w:t>
            </w:r>
          </w:p>
        </w:tc>
        <w:tc>
          <w:tcPr>
            <w:tcW w:type="dxa" w:w="4392"/>
          </w:tcPr>
          <w:p>
            <w:pPr>
              <w:spacing w:after="20"/>
            </w:pPr>
            <w:r>
              <w:rPr>
                <w:color w:val="1C3A36"/>
                <w:sz w:val="14"/>
              </w:rPr>
              <w:t>International Monetary Fund, World Economic Outlook database, series PCPIPCH, Saudi Arabia (SAU), read live from the datamapper API</w:t>
            </w:r>
          </w:p>
        </w:tc>
        <w:tc>
          <w:tcPr>
            <w:tcW w:type="dxa" w:w="1368"/>
          </w:tcPr>
          <w:p>
            <w:pPr>
              <w:spacing w:after="20"/>
            </w:pPr>
            <w:r>
              <w:rPr>
                <w:color w:val="1C3A36"/>
                <w:sz w:val="14"/>
              </w:rPr>
              <w:t>regulator official</w:t>
            </w:r>
          </w:p>
        </w:tc>
        <w:tc>
          <w:tcPr>
            <w:tcW w:type="dxa" w:w="1066"/>
          </w:tcPr>
          <w:p>
            <w:pPr>
              <w:spacing w:after="20"/>
            </w:pPr>
            <w:r>
              <w:rPr>
                <w:color w:val="1C3A36"/>
                <w:sz w:val="14"/>
              </w:rPr>
              <w:t>2026-09-05</w:t>
            </w:r>
          </w:p>
        </w:tc>
      </w:tr>
      <w:tr>
        <w:tc>
          <w:tcPr>
            <w:tcW w:type="dxa" w:w="403"/>
          </w:tcPr>
          <w:p>
            <w:pPr>
              <w:spacing w:after="20"/>
            </w:pPr>
            <w:r>
              <w:rPr>
                <w:color w:val="1C3A36"/>
                <w:sz w:val="14"/>
              </w:rPr>
              <w:t>6</w:t>
            </w:r>
          </w:p>
        </w:tc>
        <w:tc>
          <w:tcPr>
            <w:tcW w:type="dxa" w:w="1123"/>
          </w:tcPr>
          <w:p>
            <w:pPr>
              <w:spacing w:after="20"/>
            </w:pPr>
            <w:r>
              <w:rPr>
                <w:color w:val="1C3A36"/>
                <w:sz w:val="14"/>
              </w:rPr>
              <w:t>Country</w:t>
            </w:r>
          </w:p>
        </w:tc>
        <w:tc>
          <w:tcPr>
            <w:tcW w:type="dxa" w:w="6192"/>
          </w:tcPr>
          <w:p>
            <w:pPr>
              <w:spacing w:after="20"/>
            </w:pPr>
            <w:r>
              <w:rPr>
                <w:color w:val="1C3A36"/>
                <w:sz w:val="14"/>
              </w:rPr>
              <w:t>GOVERNMENT CHARGES ARE A DISCLOSED COST LINE OF SAR 5,417,576 thousand, 7.0% of revenue, and licences and frequency spectrum are carried at SAR 5,941,321 thousand net book value with named expiry dates running 2029, 2032, 2033, 2034, 2037 and 2039 in Saudi Arabia alone. A SAR 1,124,590 thousand 600MHz block expiring 2039 was added in FY2025</w:t>
            </w:r>
          </w:p>
        </w:tc>
        <w:tc>
          <w:tcPr>
            <w:tcW w:type="dxa" w:w="4392"/>
          </w:tcPr>
          <w:p>
            <w:pPr>
              <w:spacing w:after="20"/>
            </w:pPr>
            <w:r>
              <w:rPr>
                <w:color w:val="1C3A36"/>
                <w:sz w:val="14"/>
              </w:rPr>
              <w:t>the FY2025 audited consolidated financial statements, notes 12 and 35</w:t>
            </w:r>
          </w:p>
        </w:tc>
        <w:tc>
          <w:tcPr>
            <w:tcW w:type="dxa" w:w="1368"/>
          </w:tcPr>
          <w:p>
            <w:pPr>
              <w:spacing w:after="20"/>
            </w:pPr>
            <w:r>
              <w:rPr>
                <w:color w:val="1C3A36"/>
                <w:sz w:val="14"/>
              </w:rPr>
              <w:t>company official</w:t>
            </w:r>
          </w:p>
        </w:tc>
        <w:tc>
          <w:tcPr>
            <w:tcW w:type="dxa" w:w="1066"/>
          </w:tcPr>
          <w:p>
            <w:pPr>
              <w:spacing w:after="20"/>
            </w:pPr>
            <w:r>
              <w:rPr>
                <w:color w:val="1C3A36"/>
                <w:sz w:val="14"/>
              </w:rPr>
              <w:t>2026-02-25</w:t>
            </w:r>
          </w:p>
        </w:tc>
      </w:tr>
      <w:tr>
        <w:tc>
          <w:tcPr>
            <w:tcW w:type="dxa" w:w="403"/>
          </w:tcPr>
          <w:p>
            <w:pPr>
              <w:spacing w:after="20"/>
            </w:pPr>
            <w:r>
              <w:rPr>
                <w:color w:val="1C3A36"/>
                <w:sz w:val="14"/>
              </w:rPr>
              <w:t>7</w:t>
            </w:r>
          </w:p>
        </w:tc>
        <w:tc>
          <w:tcPr>
            <w:tcW w:type="dxa" w:w="1123"/>
          </w:tcPr>
          <w:p>
            <w:pPr>
              <w:spacing w:after="20"/>
            </w:pPr>
            <w:r>
              <w:rPr>
                <w:color w:val="1C3A36"/>
                <w:sz w:val="14"/>
              </w:rPr>
              <w:t>Country</w:t>
            </w:r>
          </w:p>
        </w:tc>
        <w:tc>
          <w:tcPr>
            <w:tcW w:type="dxa" w:w="6192"/>
          </w:tcPr>
          <w:p>
            <w:pPr>
              <w:spacing w:after="20"/>
            </w:pPr>
            <w:r>
              <w:rPr>
                <w:color w:val="1C3A36"/>
                <w:sz w:val="14"/>
              </w:rPr>
              <w:t>Negative search — nothing found (Searched the FY2025 audited statements and both 2026 interim sets for any fiscal or political event with a stated effect on this company — a change in the zakat or income-tax basis, a subsidy, a state directive. The tax note records ordinary zakat and income tax and a FY2025 CREDIT of SAR 466,436 thousand against a FY2024 charge of 1,191,564, a swing of 1.66bn that the statements do not attribute to a policy change. Nothing else is disclosed.)</w:t>
            </w:r>
          </w:p>
        </w:tc>
        <w:tc>
          <w:tcPr>
            <w:tcW w:type="dxa" w:w="4392"/>
          </w:tcPr>
          <w:p>
            <w:pPr>
              <w:spacing w:after="20"/>
            </w:pPr>
            <w:r>
              <w:rPr>
                <w:color w:val="1C3A36"/>
                <w:sz w:val="14"/>
              </w:rPr>
              <w:t>negative search</w:t>
            </w:r>
          </w:p>
        </w:tc>
        <w:tc>
          <w:tcPr>
            <w:tcW w:type="dxa" w:w="1368"/>
          </w:tcPr>
          <w:p>
            <w:pPr>
              <w:spacing w:after="20"/>
            </w:pPr>
            <w:r>
              <w:rPr>
                <w:color w:val="1C3A36"/>
                <w:sz w:val="14"/>
              </w:rPr>
              <w:t>search</w:t>
            </w:r>
          </w:p>
        </w:tc>
        <w:tc>
          <w:tcPr>
            <w:tcW w:type="dxa" w:w="1066"/>
          </w:tcPr>
          <w:p>
            <w:pPr>
              <w:spacing w:after="20"/>
            </w:pPr>
            <w:r>
              <w:rPr>
                <w:color w:val="1C3A36"/>
                <w:sz w:val="14"/>
              </w:rPr>
              <w:t>2026-09-05</w:t>
            </w:r>
          </w:p>
        </w:tc>
      </w:tr>
      <w:tr>
        <w:tc>
          <w:tcPr>
            <w:tcW w:type="dxa" w:w="403"/>
          </w:tcPr>
          <w:p>
            <w:pPr>
              <w:spacing w:after="20"/>
            </w:pPr>
            <w:r>
              <w:rPr>
                <w:color w:val="1C3A36"/>
                <w:sz w:val="14"/>
              </w:rPr>
              <w:t>8</w:t>
            </w:r>
          </w:p>
        </w:tc>
        <w:tc>
          <w:tcPr>
            <w:tcW w:type="dxa" w:w="1123"/>
          </w:tcPr>
          <w:p>
            <w:pPr>
              <w:spacing w:after="20"/>
            </w:pPr>
            <w:r>
              <w:rPr>
                <w:color w:val="1C3A36"/>
                <w:sz w:val="14"/>
              </w:rPr>
              <w:t>Industry</w:t>
            </w:r>
          </w:p>
        </w:tc>
        <w:tc>
          <w:tcPr>
            <w:tcW w:type="dxa" w:w="6192"/>
          </w:tcPr>
          <w:p>
            <w:pPr>
              <w:spacing w:after="20"/>
            </w:pPr>
            <w:r>
              <w:rPr>
                <w:color w:val="1C3A36"/>
                <w:sz w:val="14"/>
              </w:rPr>
              <w:t>Saudi mobile subscribers rose 26.47mn to 28.34mn to 30.0mn across the three filed year ends and fixed 5.57mn to 5.72mn to 6.0mn; the latest disclosed point is 30.3mn and 6.1mn at H1-2026. Penetration is already far above one mobile line per person, so the volume line cannot extend at 6% indefinitely</w:t>
            </w:r>
          </w:p>
        </w:tc>
        <w:tc>
          <w:tcPr>
            <w:tcW w:type="dxa" w:w="4392"/>
          </w:tcPr>
          <w:p>
            <w:pPr>
              <w:spacing w:after="20"/>
            </w:pPr>
            <w:r>
              <w:rPr>
                <w:color w:val="1C3A36"/>
                <w:sz w:val="14"/>
              </w:rPr>
              <w:t>the full-year 2024 earnings presentation, the fourth-quarter and full-year 2025 earnings presentation and the second-quarter 2026 earnings presentation, subscriber charts</w:t>
            </w:r>
          </w:p>
        </w:tc>
        <w:tc>
          <w:tcPr>
            <w:tcW w:type="dxa" w:w="1368"/>
          </w:tcPr>
          <w:p>
            <w:pPr>
              <w:spacing w:after="20"/>
            </w:pPr>
            <w:r>
              <w:rPr>
                <w:color w:val="1C3A36"/>
                <w:sz w:val="14"/>
              </w:rPr>
              <w:t>company ir</w:t>
            </w:r>
          </w:p>
        </w:tc>
        <w:tc>
          <w:tcPr>
            <w:tcW w:type="dxa" w:w="1066"/>
          </w:tcPr>
          <w:p>
            <w:pPr>
              <w:spacing w:after="20"/>
            </w:pPr>
            <w:r>
              <w:rPr>
                <w:color w:val="1C3A36"/>
                <w:sz w:val="14"/>
              </w:rPr>
              <w:t>2026-08-05</w:t>
            </w:r>
          </w:p>
        </w:tc>
      </w:tr>
      <w:tr>
        <w:tc>
          <w:tcPr>
            <w:tcW w:type="dxa" w:w="403"/>
          </w:tcPr>
          <w:p>
            <w:pPr>
              <w:spacing w:after="20"/>
            </w:pPr>
            <w:r>
              <w:rPr>
                <w:color w:val="1C3A36"/>
                <w:sz w:val="14"/>
              </w:rPr>
              <w:t>9</w:t>
            </w:r>
          </w:p>
        </w:tc>
        <w:tc>
          <w:tcPr>
            <w:tcW w:type="dxa" w:w="1123"/>
          </w:tcPr>
          <w:p>
            <w:pPr>
              <w:spacing w:after="20"/>
            </w:pPr>
            <w:r>
              <w:rPr>
                <w:color w:val="1C3A36"/>
                <w:sz w:val="14"/>
              </w:rPr>
              <w:t>Industry</w:t>
            </w:r>
          </w:p>
        </w:tc>
        <w:tc>
          <w:tcPr>
            <w:tcW w:type="dxa" w:w="6192"/>
          </w:tcPr>
          <w:p>
            <w:pPr>
              <w:spacing w:after="20"/>
            </w:pPr>
            <w:r>
              <w:rPr>
                <w:color w:val="1C3A36"/>
                <w:sz w:val="14"/>
              </w:rPr>
              <w:t>Revenue per subscriber fell from SAR 1,536.1 a year to 1,457.5 to 1,420.0 across the three filed years — a decline of 3.86% a year compounding, which with 6.00% volume growth multiplies back to exactly the +1.91% the audited segment revenue reports</w:t>
            </w:r>
          </w:p>
        </w:tc>
        <w:tc>
          <w:tcPr>
            <w:tcW w:type="dxa" w:w="4392"/>
          </w:tcPr>
          <w:p>
            <w:pPr>
              <w:spacing w:after="20"/>
            </w:pPr>
            <w:r>
              <w:rPr>
                <w:color w:val="1C3A36"/>
                <w:sz w:val="14"/>
              </w:rPr>
              <w:t>note 9 segment revenue divided by the subscriber counts in the earnings presentations; the study’s own unit-economics module checks the identity three ways</w:t>
            </w:r>
          </w:p>
        </w:tc>
        <w:tc>
          <w:tcPr>
            <w:tcW w:type="dxa" w:w="1368"/>
          </w:tcPr>
          <w:p>
            <w:pPr>
              <w:spacing w:after="20"/>
            </w:pPr>
            <w:r>
              <w:rPr>
                <w:color w:val="1C3A36"/>
                <w:sz w:val="14"/>
              </w:rPr>
              <w:t>company ir</w:t>
            </w:r>
          </w:p>
        </w:tc>
        <w:tc>
          <w:tcPr>
            <w:tcW w:type="dxa" w:w="1066"/>
          </w:tcPr>
          <w:p>
            <w:pPr>
              <w:spacing w:after="20"/>
            </w:pPr>
            <w:r>
              <w:rPr>
                <w:color w:val="1C3A36"/>
                <w:sz w:val="14"/>
              </w:rPr>
              <w:t>2026-02-25</w:t>
            </w:r>
          </w:p>
        </w:tc>
      </w:tr>
      <w:tr>
        <w:tc>
          <w:tcPr>
            <w:tcW w:type="dxa" w:w="403"/>
          </w:tcPr>
          <w:p>
            <w:pPr>
              <w:spacing w:after="20"/>
            </w:pPr>
            <w:r>
              <w:rPr>
                <w:color w:val="1C3A36"/>
                <w:sz w:val="14"/>
              </w:rPr>
              <w:t>10</w:t>
            </w:r>
          </w:p>
        </w:tc>
        <w:tc>
          <w:tcPr>
            <w:tcW w:type="dxa" w:w="1123"/>
          </w:tcPr>
          <w:p>
            <w:pPr>
              <w:spacing w:after="20"/>
            </w:pPr>
            <w:r>
              <w:rPr>
                <w:color w:val="1C3A36"/>
                <w:sz w:val="14"/>
              </w:rPr>
              <w:t>Industry</w:t>
            </w:r>
          </w:p>
        </w:tc>
        <w:tc>
          <w:tcPr>
            <w:tcW w:type="dxa" w:w="6192"/>
          </w:tcPr>
          <w:p>
            <w:pPr>
              <w:spacing w:after="20"/>
            </w:pPr>
            <w:r>
              <w:rPr>
                <w:color w:val="1C3A36"/>
                <w:sz w:val="14"/>
              </w:rPr>
              <w:t>Negative search — nothing found (Searched the FY2025 audited statements and the FY2025 and H1-2026 earnings presentations for any named competitor, market-share figure or new entrant. ZERO hits across all three documents for 'competitor', 'market share', 'Mobily' or 'Zain'. This company does not disclose its competitive position in any document this study holds, and no peer multiple or share figure is therefore used anywhere in the model.)</w:t>
            </w:r>
          </w:p>
        </w:tc>
        <w:tc>
          <w:tcPr>
            <w:tcW w:type="dxa" w:w="4392"/>
          </w:tcPr>
          <w:p>
            <w:pPr>
              <w:spacing w:after="20"/>
            </w:pPr>
            <w:r>
              <w:rPr>
                <w:color w:val="1C3A36"/>
                <w:sz w:val="14"/>
              </w:rPr>
              <w:t>negative search</w:t>
            </w:r>
          </w:p>
        </w:tc>
        <w:tc>
          <w:tcPr>
            <w:tcW w:type="dxa" w:w="1368"/>
          </w:tcPr>
          <w:p>
            <w:pPr>
              <w:spacing w:after="20"/>
            </w:pPr>
            <w:r>
              <w:rPr>
                <w:color w:val="1C3A36"/>
                <w:sz w:val="14"/>
              </w:rPr>
              <w:t>search</w:t>
            </w:r>
          </w:p>
        </w:tc>
        <w:tc>
          <w:tcPr>
            <w:tcW w:type="dxa" w:w="1066"/>
          </w:tcPr>
          <w:p>
            <w:pPr>
              <w:spacing w:after="20"/>
            </w:pPr>
            <w:r>
              <w:rPr>
                <w:color w:val="1C3A36"/>
                <w:sz w:val="14"/>
              </w:rPr>
              <w:t>2026-09-05</w:t>
            </w:r>
          </w:p>
        </w:tc>
      </w:tr>
      <w:tr>
        <w:tc>
          <w:tcPr>
            <w:tcW w:type="dxa" w:w="403"/>
          </w:tcPr>
          <w:p>
            <w:pPr>
              <w:spacing w:after="20"/>
            </w:pPr>
            <w:r>
              <w:rPr>
                <w:color w:val="1C3A36"/>
                <w:sz w:val="14"/>
              </w:rPr>
              <w:t>11</w:t>
            </w:r>
          </w:p>
        </w:tc>
        <w:tc>
          <w:tcPr>
            <w:tcW w:type="dxa" w:w="1123"/>
          </w:tcPr>
          <w:p>
            <w:pPr>
              <w:spacing w:after="20"/>
            </w:pPr>
            <w:r>
              <w:rPr>
                <w:color w:val="1C3A36"/>
                <w:sz w:val="14"/>
              </w:rPr>
              <w:t>Industry</w:t>
            </w:r>
          </w:p>
        </w:tc>
        <w:tc>
          <w:tcPr>
            <w:tcW w:type="dxa" w:w="6192"/>
          </w:tcPr>
          <w:p>
            <w:pPr>
              <w:spacing w:after="20"/>
            </w:pPr>
            <w:r>
              <w:rPr>
                <w:color w:val="1C3A36"/>
                <w:sz w:val="14"/>
              </w:rPr>
              <w:t>Fixed-wireless broadband is disclosed as a separate subscriber category and is flat at 0.5mn while fixed-wired grows 1.30mn to 1.4mn, so within this company's own disclosure the substitution runs toward fibre rather than away from it. A direct-to-mobile satellite partnership with AST SpaceMobile is disclosed as a partnership rather than as a revenue line</w:t>
            </w:r>
          </w:p>
        </w:tc>
        <w:tc>
          <w:tcPr>
            <w:tcW w:type="dxa" w:w="4392"/>
          </w:tcPr>
          <w:p>
            <w:pPr>
              <w:spacing w:after="20"/>
            </w:pPr>
            <w:r>
              <w:rPr>
                <w:color w:val="1C3A36"/>
                <w:sz w:val="14"/>
              </w:rPr>
              <w:t>the fourth-quarter and full-year 2025 earnings presentation, subscriber categories and the partnership summary</w:t>
            </w:r>
          </w:p>
        </w:tc>
        <w:tc>
          <w:tcPr>
            <w:tcW w:type="dxa" w:w="1368"/>
          </w:tcPr>
          <w:p>
            <w:pPr>
              <w:spacing w:after="20"/>
            </w:pPr>
            <w:r>
              <w:rPr>
                <w:color w:val="1C3A36"/>
                <w:sz w:val="14"/>
              </w:rPr>
              <w:t>company ir</w:t>
            </w:r>
          </w:p>
        </w:tc>
        <w:tc>
          <w:tcPr>
            <w:tcW w:type="dxa" w:w="1066"/>
          </w:tcPr>
          <w:p>
            <w:pPr>
              <w:spacing w:after="20"/>
            </w:pPr>
            <w:r>
              <w:rPr>
                <w:color w:val="1C3A36"/>
                <w:sz w:val="14"/>
              </w:rPr>
              <w:t>2026-02-25</w:t>
            </w:r>
          </w:p>
        </w:tc>
      </w:tr>
      <w:tr>
        <w:tc>
          <w:tcPr>
            <w:tcW w:type="dxa" w:w="403"/>
          </w:tcPr>
          <w:p>
            <w:pPr>
              <w:spacing w:after="20"/>
            </w:pPr>
            <w:r>
              <w:rPr>
                <w:color w:val="1C3A36"/>
                <w:sz w:val="14"/>
              </w:rPr>
              <w:t>12</w:t>
            </w:r>
          </w:p>
        </w:tc>
        <w:tc>
          <w:tcPr>
            <w:tcW w:type="dxa" w:w="1123"/>
          </w:tcPr>
          <w:p>
            <w:pPr>
              <w:spacing w:after="20"/>
            </w:pPr>
            <w:r>
              <w:rPr>
                <w:color w:val="1C3A36"/>
                <w:sz w:val="14"/>
              </w:rPr>
              <w:t>Industry</w:t>
            </w:r>
          </w:p>
        </w:tc>
        <w:tc>
          <w:tcPr>
            <w:tcW w:type="dxa" w:w="6192"/>
          </w:tcPr>
          <w:p>
            <w:pPr>
              <w:spacing w:after="20"/>
            </w:pPr>
            <w:r>
              <w:rPr>
                <w:color w:val="1C3A36"/>
                <w:sz w:val="14"/>
              </w:rPr>
              <w:t>Negative search — nothing found (The same search as the new-entrants category and with the same result: no named competitor appears in any of the three documents, so no competitor capacity or price move can be cited. Recorded as an evidenced absence rather than closed by moving a finding about this company's own operations into a row about its competitors.)</w:t>
            </w:r>
          </w:p>
        </w:tc>
        <w:tc>
          <w:tcPr>
            <w:tcW w:type="dxa" w:w="4392"/>
          </w:tcPr>
          <w:p>
            <w:pPr>
              <w:spacing w:after="20"/>
            </w:pPr>
            <w:r>
              <w:rPr>
                <w:color w:val="1C3A36"/>
                <w:sz w:val="14"/>
              </w:rPr>
              <w:t>negative search</w:t>
            </w:r>
          </w:p>
        </w:tc>
        <w:tc>
          <w:tcPr>
            <w:tcW w:type="dxa" w:w="1368"/>
          </w:tcPr>
          <w:p>
            <w:pPr>
              <w:spacing w:after="20"/>
            </w:pPr>
            <w:r>
              <w:rPr>
                <w:color w:val="1C3A36"/>
                <w:sz w:val="14"/>
              </w:rPr>
              <w:t>search</w:t>
            </w:r>
          </w:p>
        </w:tc>
        <w:tc>
          <w:tcPr>
            <w:tcW w:type="dxa" w:w="1066"/>
          </w:tcPr>
          <w:p>
            <w:pPr>
              <w:spacing w:after="20"/>
            </w:pPr>
            <w:r>
              <w:rPr>
                <w:color w:val="1C3A36"/>
                <w:sz w:val="14"/>
              </w:rPr>
              <w:t>2026-09-05</w:t>
            </w:r>
          </w:p>
        </w:tc>
      </w:tr>
      <w:tr>
        <w:tc>
          <w:tcPr>
            <w:tcW w:type="dxa" w:w="403"/>
          </w:tcPr>
          <w:p>
            <w:pPr>
              <w:spacing w:after="20"/>
            </w:pPr>
            <w:r>
              <w:rPr>
                <w:color w:val="1C3A36"/>
                <w:sz w:val="14"/>
              </w:rPr>
              <w:t>13</w:t>
            </w:r>
          </w:p>
        </w:tc>
        <w:tc>
          <w:tcPr>
            <w:tcW w:type="dxa" w:w="1123"/>
          </w:tcPr>
          <w:p>
            <w:pPr>
              <w:spacing w:after="20"/>
            </w:pPr>
            <w:r>
              <w:rPr>
                <w:color w:val="1C3A36"/>
                <w:sz w:val="14"/>
              </w:rPr>
              <w:t>Company</w:t>
            </w:r>
          </w:p>
        </w:tc>
        <w:tc>
          <w:tcPr>
            <w:tcW w:type="dxa" w:w="6192"/>
          </w:tcPr>
          <w:p>
            <w:pPr>
              <w:spacing w:after="20"/>
            </w:pPr>
            <w:r>
              <w:rPr>
                <w:color w:val="1C3A36"/>
                <w:sz w:val="14"/>
              </w:rPr>
              <w:t>Management publishes a capital-expenditure band of 15.0% to 17.5% of revenue and a dividend policy of SAR 0.55 a quarter locked to the third quarter of 2027</w:t>
            </w:r>
          </w:p>
        </w:tc>
        <w:tc>
          <w:tcPr>
            <w:tcW w:type="dxa" w:w="4392"/>
          </w:tcPr>
          <w:p>
            <w:pPr>
              <w:spacing w:after="20"/>
            </w:pPr>
            <w:r>
              <w:rPr>
                <w:color w:val="1C3A36"/>
                <w:sz w:val="14"/>
              </w:rPr>
              <w:t>the fourth-quarter and full-year 2025 earnings presentation and the delivered study's own record of the policy</w:t>
            </w:r>
          </w:p>
        </w:tc>
        <w:tc>
          <w:tcPr>
            <w:tcW w:type="dxa" w:w="1368"/>
          </w:tcPr>
          <w:p>
            <w:pPr>
              <w:spacing w:after="20"/>
            </w:pPr>
            <w:r>
              <w:rPr>
                <w:color w:val="1C3A36"/>
                <w:sz w:val="14"/>
              </w:rPr>
              <w:t>company ir</w:t>
            </w:r>
          </w:p>
        </w:tc>
        <w:tc>
          <w:tcPr>
            <w:tcW w:type="dxa" w:w="1066"/>
          </w:tcPr>
          <w:p>
            <w:pPr>
              <w:spacing w:after="20"/>
            </w:pPr>
            <w:r>
              <w:rPr>
                <w:color w:val="1C3A36"/>
                <w:sz w:val="14"/>
              </w:rPr>
              <w:t>2026-02-25</w:t>
            </w:r>
          </w:p>
        </w:tc>
      </w:tr>
      <w:tr>
        <w:tc>
          <w:tcPr>
            <w:tcW w:type="dxa" w:w="403"/>
          </w:tcPr>
          <w:p>
            <w:pPr>
              <w:spacing w:after="20"/>
            </w:pPr>
            <w:r>
              <w:rPr>
                <w:color w:val="1C3A36"/>
                <w:sz w:val="14"/>
              </w:rPr>
              <w:t>14</w:t>
            </w:r>
          </w:p>
        </w:tc>
        <w:tc>
          <w:tcPr>
            <w:tcW w:type="dxa" w:w="1123"/>
          </w:tcPr>
          <w:p>
            <w:pPr>
              <w:spacing w:after="20"/>
            </w:pPr>
            <w:r>
              <w:rPr>
                <w:color w:val="1C3A36"/>
                <w:sz w:val="14"/>
              </w:rPr>
              <w:t>Company</w:t>
            </w:r>
          </w:p>
        </w:tc>
        <w:tc>
          <w:tcPr>
            <w:tcW w:type="dxa" w:w="6192"/>
          </w:tcPr>
          <w:p>
            <w:pPr>
              <w:spacing w:after="20"/>
            </w:pPr>
            <w:r>
              <w:rPr>
                <w:color w:val="1C3A36"/>
                <w:sz w:val="14"/>
              </w:rPr>
              <w:t>FY2025 audited: revenue 77,818,675, gross profit 37,699,689, EBITDA 24,469,435, EBIT 14,438,264, total assets 157,476,669, borrowings 15,191,428, cash and equivalents 13,376,071. Every line foots to its own note</w:t>
            </w:r>
          </w:p>
        </w:tc>
        <w:tc>
          <w:tcPr>
            <w:tcW w:type="dxa" w:w="4392"/>
          </w:tcPr>
          <w:p>
            <w:pPr>
              <w:spacing w:after="20"/>
            </w:pPr>
            <w:r>
              <w:rPr>
                <w:color w:val="1C3A36"/>
                <w:sz w:val="14"/>
              </w:rPr>
              <w:t>the FY2025 audited consolidated financial statements, audited by Deloitte and Touche &amp; Co.</w:t>
            </w:r>
          </w:p>
        </w:tc>
        <w:tc>
          <w:tcPr>
            <w:tcW w:type="dxa" w:w="1368"/>
          </w:tcPr>
          <w:p>
            <w:pPr>
              <w:spacing w:after="20"/>
            </w:pPr>
            <w:r>
              <w:rPr>
                <w:color w:val="1C3A36"/>
                <w:sz w:val="14"/>
              </w:rPr>
              <w:t>company official</w:t>
            </w:r>
          </w:p>
        </w:tc>
        <w:tc>
          <w:tcPr>
            <w:tcW w:type="dxa" w:w="1066"/>
          </w:tcPr>
          <w:p>
            <w:pPr>
              <w:spacing w:after="20"/>
            </w:pPr>
            <w:r>
              <w:rPr>
                <w:color w:val="1C3A36"/>
                <w:sz w:val="14"/>
              </w:rPr>
              <w:t>2026-02-25</w:t>
            </w:r>
          </w:p>
        </w:tc>
      </w:tr>
      <w:tr>
        <w:tc>
          <w:tcPr>
            <w:tcW w:type="dxa" w:w="403"/>
          </w:tcPr>
          <w:p>
            <w:pPr>
              <w:spacing w:after="20"/>
            </w:pPr>
            <w:r>
              <w:rPr>
                <w:color w:val="1C3A36"/>
                <w:sz w:val="14"/>
              </w:rPr>
              <w:t>15</w:t>
            </w:r>
          </w:p>
        </w:tc>
        <w:tc>
          <w:tcPr>
            <w:tcW w:type="dxa" w:w="1123"/>
          </w:tcPr>
          <w:p>
            <w:pPr>
              <w:spacing w:after="20"/>
            </w:pPr>
            <w:r>
              <w:rPr>
                <w:color w:val="1C3A36"/>
                <w:sz w:val="14"/>
              </w:rPr>
              <w:t>Company</w:t>
            </w:r>
          </w:p>
        </w:tc>
        <w:tc>
          <w:tcPr>
            <w:tcW w:type="dxa" w:w="6192"/>
          </w:tcPr>
          <w:p>
            <w:pPr>
              <w:spacing w:after="20"/>
            </w:pPr>
            <w:r>
              <w:rPr>
                <w:color w:val="1C3A36"/>
                <w:sz w:val="14"/>
              </w:rPr>
              <w:t>FY2023 exists on TWO bases and both are held: as originally reported, revenue 72,336,611 with TAWAL as a segment; as restated on a continuing basis in the FY2024 filing, 71,777,161 with TAWAL a discontinued operation. The bridge between them foots to the riyal — less TAWAL's 3,343,350, plus the 3,076,148 of eliminations that went with it, less note 49's 292,248 reclassification</w:t>
            </w:r>
          </w:p>
        </w:tc>
        <w:tc>
          <w:tcPr>
            <w:tcW w:type="dxa" w:w="4392"/>
          </w:tcPr>
          <w:p>
            <w:pPr>
              <w:spacing w:after="20"/>
            </w:pPr>
            <w:r>
              <w:rPr>
                <w:color w:val="1C3A36"/>
                <w:sz w:val="14"/>
              </w:rPr>
              <w:t>the FY2023 audited consolidated financial statements note 9 and the FY2024 audited consolidated financial statements notes 9 and 49</w:t>
            </w:r>
          </w:p>
        </w:tc>
        <w:tc>
          <w:tcPr>
            <w:tcW w:type="dxa" w:w="1368"/>
          </w:tcPr>
          <w:p>
            <w:pPr>
              <w:spacing w:after="20"/>
            </w:pPr>
            <w:r>
              <w:rPr>
                <w:color w:val="1C3A36"/>
                <w:sz w:val="14"/>
              </w:rPr>
              <w:t>company official</w:t>
            </w:r>
          </w:p>
        </w:tc>
        <w:tc>
          <w:tcPr>
            <w:tcW w:type="dxa" w:w="1066"/>
          </w:tcPr>
          <w:p>
            <w:pPr>
              <w:spacing w:after="20"/>
            </w:pPr>
            <w:r>
              <w:rPr>
                <w:color w:val="1C3A36"/>
                <w:sz w:val="14"/>
              </w:rPr>
              <w:t>2024-02-25</w:t>
            </w:r>
          </w:p>
        </w:tc>
      </w:tr>
      <w:tr>
        <w:tc>
          <w:tcPr>
            <w:tcW w:type="dxa" w:w="403"/>
          </w:tcPr>
          <w:p>
            <w:pPr>
              <w:spacing w:after="20"/>
            </w:pPr>
            <w:r>
              <w:rPr>
                <w:color w:val="1C3A36"/>
                <w:sz w:val="14"/>
              </w:rPr>
              <w:t>16</w:t>
            </w:r>
          </w:p>
        </w:tc>
        <w:tc>
          <w:tcPr>
            <w:tcW w:type="dxa" w:w="1123"/>
          </w:tcPr>
          <w:p>
            <w:pPr>
              <w:spacing w:after="20"/>
            </w:pPr>
            <w:r>
              <w:rPr>
                <w:color w:val="1C3A36"/>
                <w:sz w:val="14"/>
              </w:rPr>
              <w:t>Company</w:t>
            </w:r>
          </w:p>
        </w:tc>
        <w:tc>
          <w:tcPr>
            <w:tcW w:type="dxa" w:w="6192"/>
          </w:tcPr>
          <w:p>
            <w:pPr>
              <w:spacing w:after="20"/>
            </w:pPr>
            <w:r>
              <w:rPr>
                <w:color w:val="1C3A36"/>
                <w:sz w:val="14"/>
              </w:rPr>
              <w:t>The Q1-2026 reviewed interim and its earnings presentation are published, as are the H1-2026 set and an H1-2026 earnings call transcript</w:t>
            </w:r>
          </w:p>
        </w:tc>
        <w:tc>
          <w:tcPr>
            <w:tcW w:type="dxa" w:w="4392"/>
          </w:tcPr>
          <w:p>
            <w:pPr>
              <w:spacing w:after="20"/>
            </w:pPr>
            <w:r>
              <w:rPr>
                <w:color w:val="1C3A36"/>
                <w:sz w:val="14"/>
              </w:rPr>
              <w:t>the first-quarter 2026 interim statements and the investor-relations presentations page</w:t>
            </w:r>
          </w:p>
        </w:tc>
        <w:tc>
          <w:tcPr>
            <w:tcW w:type="dxa" w:w="1368"/>
          </w:tcPr>
          <w:p>
            <w:pPr>
              <w:spacing w:after="20"/>
            </w:pPr>
            <w:r>
              <w:rPr>
                <w:color w:val="1C3A36"/>
                <w:sz w:val="14"/>
              </w:rPr>
              <w:t>company ir</w:t>
            </w:r>
          </w:p>
        </w:tc>
        <w:tc>
          <w:tcPr>
            <w:tcW w:type="dxa" w:w="1066"/>
          </w:tcPr>
          <w:p>
            <w:pPr>
              <w:spacing w:after="20"/>
            </w:pPr>
            <w:r>
              <w:rPr>
                <w:color w:val="1C3A36"/>
                <w:sz w:val="14"/>
              </w:rPr>
              <w:t>2026-05-01</w:t>
            </w:r>
          </w:p>
        </w:tc>
      </w:tr>
      <w:tr>
        <w:tc>
          <w:tcPr>
            <w:tcW w:type="dxa" w:w="403"/>
          </w:tcPr>
          <w:p>
            <w:pPr>
              <w:spacing w:after="20"/>
            </w:pPr>
            <w:r>
              <w:rPr>
                <w:color w:val="1C3A36"/>
                <w:sz w:val="14"/>
              </w:rPr>
              <w:t>17</w:t>
            </w:r>
          </w:p>
        </w:tc>
        <w:tc>
          <w:tcPr>
            <w:tcW w:type="dxa" w:w="1123"/>
          </w:tcPr>
          <w:p>
            <w:pPr>
              <w:spacing w:after="20"/>
            </w:pPr>
            <w:r>
              <w:rPr>
                <w:color w:val="1C3A36"/>
                <w:sz w:val="14"/>
              </w:rPr>
              <w:t>Company</w:t>
            </w:r>
          </w:p>
        </w:tc>
        <w:tc>
          <w:tcPr>
            <w:tcW w:type="dxa" w:w="6192"/>
          </w:tcPr>
          <w:p>
            <w:pPr>
              <w:spacing w:after="20"/>
            </w:pPr>
            <w:r>
              <w:rPr>
                <w:color w:val="1C3A36"/>
                <w:sz w:val="14"/>
              </w:rPr>
              <w:t>H1-2026 reviewed: total assets 166,996,964, long-term borrowings 22,094,126 and short-term 1,442,428, lease liabilities 2,258,902, cash 18,940,773, equity attributable 84,986,806, minority 2,726,349. Share capital is SAR 50,000,000 thousand in shares of SAR 10, which divides to the 5,000,000 thousand shares note 17 states, less 6,976 thousand in treasury</w:t>
            </w:r>
          </w:p>
        </w:tc>
        <w:tc>
          <w:tcPr>
            <w:tcW w:type="dxa" w:w="4392"/>
          </w:tcPr>
          <w:p>
            <w:pPr>
              <w:spacing w:after="20"/>
            </w:pPr>
            <w:r>
              <w:rPr>
                <w:color w:val="1C3A36"/>
                <w:sz w:val="14"/>
              </w:rPr>
              <w:t>the reviewed half-year 2026 interim statements, reviewed, notes 15 and 17</w:t>
            </w:r>
          </w:p>
        </w:tc>
        <w:tc>
          <w:tcPr>
            <w:tcW w:type="dxa" w:w="1368"/>
          </w:tcPr>
          <w:p>
            <w:pPr>
              <w:spacing w:after="20"/>
            </w:pPr>
            <w:r>
              <w:rPr>
                <w:color w:val="1C3A36"/>
                <w:sz w:val="14"/>
              </w:rPr>
              <w:t>company official</w:t>
            </w:r>
          </w:p>
        </w:tc>
        <w:tc>
          <w:tcPr>
            <w:tcW w:type="dxa" w:w="1066"/>
          </w:tcPr>
          <w:p>
            <w:pPr>
              <w:spacing w:after="20"/>
            </w:pPr>
            <w:r>
              <w:rPr>
                <w:color w:val="1C3A36"/>
                <w:sz w:val="14"/>
              </w:rPr>
              <w:t>2026-08-05</w:t>
            </w:r>
          </w:p>
        </w:tc>
      </w:tr>
      <w:tr>
        <w:tc>
          <w:tcPr>
            <w:tcW w:type="dxa" w:w="403"/>
          </w:tcPr>
          <w:p>
            <w:pPr>
              <w:spacing w:after="20"/>
            </w:pPr>
            <w:r>
              <w:rPr>
                <w:color w:val="1C3A36"/>
                <w:sz w:val="14"/>
              </w:rPr>
              <w:t>18</w:t>
            </w:r>
          </w:p>
        </w:tc>
        <w:tc>
          <w:tcPr>
            <w:tcW w:type="dxa" w:w="1123"/>
          </w:tcPr>
          <w:p>
            <w:pPr>
              <w:spacing w:after="20"/>
            </w:pPr>
            <w:r>
              <w:rPr>
                <w:color w:val="1C3A36"/>
                <w:sz w:val="14"/>
              </w:rPr>
              <w:t>Company</w:t>
            </w:r>
          </w:p>
        </w:tc>
        <w:tc>
          <w:tcPr>
            <w:tcW w:type="dxa" w:w="6192"/>
          </w:tcPr>
          <w:p>
            <w:pPr>
              <w:spacing w:after="20"/>
            </w:pPr>
            <w:r>
              <w:rPr>
                <w:color w:val="1C3A36"/>
                <w:sz w:val="14"/>
              </w:rPr>
              <w:t>TWO ONE-OFFS INSIDE THE COST LINE, each named in its own filing's footnote: SR 1,500 million of withholding-tax provision reversed into FY2024's network access charges and SR 724 million of provision reversed into FY2023's government charges. Separately, international sukuk of SAR 7,500 million was issued in the first half of 2026 in two tranches at 4.489% and 5.083%, and TAWAL was contributed to DIIC in February 2025 for 43.06% of it</w:t>
            </w:r>
          </w:p>
        </w:tc>
        <w:tc>
          <w:tcPr>
            <w:tcW w:type="dxa" w:w="4392"/>
          </w:tcPr>
          <w:p>
            <w:pPr>
              <w:spacing w:after="20"/>
            </w:pPr>
            <w:r>
              <w:rPr>
                <w:color w:val="1C3A36"/>
                <w:sz w:val="14"/>
              </w:rPr>
              <w:t>the FY2025 audited consolidated financial statements note 35, the FY2024 audited consolidated financial statements note 36, the reviewed half-year 2026 interim statements note 15 and the FY2025 audited consolidated financial statements note 8.1.1</w:t>
            </w:r>
          </w:p>
        </w:tc>
        <w:tc>
          <w:tcPr>
            <w:tcW w:type="dxa" w:w="1368"/>
          </w:tcPr>
          <w:p>
            <w:pPr>
              <w:spacing w:after="20"/>
            </w:pPr>
            <w:r>
              <w:rPr>
                <w:color w:val="1C3A36"/>
                <w:sz w:val="14"/>
              </w:rPr>
              <w:t>company official</w:t>
            </w:r>
          </w:p>
        </w:tc>
        <w:tc>
          <w:tcPr>
            <w:tcW w:type="dxa" w:w="1066"/>
          </w:tcPr>
          <w:p>
            <w:pPr>
              <w:spacing w:after="20"/>
            </w:pPr>
            <w:r>
              <w:rPr>
                <w:color w:val="1C3A36"/>
                <w:sz w:val="14"/>
              </w:rPr>
              <w:t>2026-08-05</w:t>
            </w:r>
          </w:p>
        </w:tc>
      </w:tr>
      <w:tr>
        <w:tc>
          <w:tcPr>
            <w:tcW w:type="dxa" w:w="403"/>
          </w:tcPr>
          <w:p>
            <w:pPr>
              <w:spacing w:after="20"/>
            </w:pPr>
            <w:r>
              <w:rPr>
                <w:color w:val="1C3A36"/>
                <w:sz w:val="14"/>
              </w:rPr>
              <w:t>19</w:t>
            </w:r>
          </w:p>
        </w:tc>
        <w:tc>
          <w:tcPr>
            <w:tcW w:type="dxa" w:w="1123"/>
          </w:tcPr>
          <w:p>
            <w:pPr>
              <w:spacing w:after="20"/>
            </w:pPr>
            <w:r>
              <w:rPr>
                <w:color w:val="1C3A36"/>
                <w:sz w:val="14"/>
              </w:rPr>
              <w:t>Company</w:t>
            </w:r>
          </w:p>
        </w:tc>
        <w:tc>
          <w:tcPr>
            <w:tcW w:type="dxa" w:w="6192"/>
          </w:tcPr>
          <w:p>
            <w:pPr>
              <w:spacing w:after="20"/>
            </w:pPr>
            <w:r>
              <w:rPr>
                <w:color w:val="1C3A36"/>
                <w:sz w:val="14"/>
              </w:rPr>
              <w:t>The direct holding in Telefonica rose from 4.97% to 9.97% during 2025 after regulatory approval, and the forward agreement that had given synthetic exposure to the extra 5% was terminated. It is irrevocably designated at fair value through other comprehensive income and carried at SAR 8,513,430 thousand at 30 June 2026</w:t>
            </w:r>
          </w:p>
        </w:tc>
        <w:tc>
          <w:tcPr>
            <w:tcW w:type="dxa" w:w="4392"/>
          </w:tcPr>
          <w:p>
            <w:pPr>
              <w:spacing w:after="20"/>
            </w:pPr>
            <w:r>
              <w:rPr>
                <w:color w:val="1C3A36"/>
                <w:sz w:val="14"/>
              </w:rPr>
              <w:t>the FY2025 audited consolidated financial statements note 9.1 and the reviewed half-year 2026 interim statements note 9.1</w:t>
            </w:r>
          </w:p>
        </w:tc>
        <w:tc>
          <w:tcPr>
            <w:tcW w:type="dxa" w:w="1368"/>
          </w:tcPr>
          <w:p>
            <w:pPr>
              <w:spacing w:after="20"/>
            </w:pPr>
            <w:r>
              <w:rPr>
                <w:color w:val="1C3A36"/>
                <w:sz w:val="14"/>
              </w:rPr>
              <w:t>company official</w:t>
            </w:r>
          </w:p>
        </w:tc>
        <w:tc>
          <w:tcPr>
            <w:tcW w:type="dxa" w:w="1066"/>
          </w:tcPr>
          <w:p>
            <w:pPr>
              <w:spacing w:after="20"/>
            </w:pPr>
            <w:r>
              <w:rPr>
                <w:color w:val="1C3A36"/>
                <w:sz w:val="14"/>
              </w:rPr>
              <w:t>2026-08-05</w:t>
            </w:r>
          </w:p>
        </w:tc>
      </w:tr>
    </w:tbl>
    <w:p>
      <w:pPr>
        <w:spacing w:after="40"/>
      </w:pPr>
    </w:p>
    <w:p>
      <w:pPr>
        <w:spacing w:after="100" w:before="0"/>
      </w:pPr>
      <w:r>
        <w:rPr>
          <w:b w:val="0"/>
          <w:i w:val="0"/>
          <w:color w:val="1C3A36"/>
          <w:sz w:val="18"/>
        </w:rPr>
        <w:t>A NEGATIVE RESULT IS A RESULT. 4 of the 19 findings above are searches that came back empty, and they are printed rather than left out — a question asked and answered with nothing is evidence, while a question never asked looks identical to one that found nothing.</w:t>
      </w:r>
    </w:p>
    <w:p>
      <w:pPr>
        <w:spacing w:after="120" w:before="240"/>
      </w:pPr>
      <w:r>
        <w:rPr>
          <w:b/>
          <w:i w:val="0"/>
          <w:color w:val="1C3A36"/>
          <w:sz w:val="28"/>
        </w:rPr>
        <w:t>5  How each forecast driver was set</w:t>
      </w:r>
    </w:p>
    <w:p>
      <w:pPr>
        <w:spacing w:after="100" w:before="0"/>
      </w:pPr>
      <w:r>
        <w:rPr>
          <w:b w:val="0"/>
          <w:i w:val="0"/>
          <w:color w:val="1C3A36"/>
          <w:sz w:val="18"/>
        </w:rPr>
        <w:t>The house standard is to build at the finest level the disclosure supports — volume times price on a disclosed unit, with cost per unit and the margin as an OUTPUT. Where the disclosure stops short of that, the driver drops to the finest sourced level and the gap is STATED rather than filled.</w:t>
      </w:r>
    </w:p>
    <w:tbl>
      <w:tblPr>
        <w:tblW w:type="auto" w:w="0"/>
        <w:jc w:val="center"/>
        <w:tblLook w:firstColumn="1" w:firstRow="1" w:lastColumn="0" w:lastRow="0" w:noHBand="0" w:noVBand="1" w:val="04A0"/>
        <w:tblLayout w:type="fixed"/>
        <w:tblCellMar>
          <w:top w:w="34" w:type="dxa"/>
          <w:left w:w="74" w:type="dxa"/>
          <w:bottom w:w="34" w:type="dxa"/>
          <w:right w:w="74"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4112" w:type="dxa"/>
      </w:tblPr>
      <w:tblGrid>
        <w:gridCol w:w="3096"/>
        <w:gridCol w:w="1368"/>
        <w:gridCol w:w="8208"/>
        <w:gridCol w:w="1440"/>
      </w:tblGrid>
      <w:tr>
        <w:tc>
          <w:tcPr>
            <w:tcW w:type="dxa" w:w="3096"/>
            <w:shd w:val="clear" w:color="auto" w:fill="EAF0EE"/>
          </w:tcPr>
          <w:p>
            <w:pPr>
              <w:spacing w:after="20"/>
            </w:pPr>
            <w:r>
              <w:rPr>
                <w:b/>
                <w:color w:val="1C3A36"/>
                <w:sz w:val="15"/>
              </w:rPr>
              <w:t>Driver</w:t>
            </w:r>
          </w:p>
        </w:tc>
        <w:tc>
          <w:tcPr>
            <w:tcW w:type="dxa" w:w="1368"/>
            <w:shd w:val="clear" w:color="auto" w:fill="EAF0EE"/>
          </w:tcPr>
          <w:p>
            <w:pPr>
              <w:spacing w:after="20"/>
            </w:pPr>
            <w:r>
              <w:rPr>
                <w:b/>
                <w:color w:val="1C3A36"/>
                <w:sz w:val="15"/>
              </w:rPr>
              <w:t>Level built at</w:t>
            </w:r>
          </w:p>
        </w:tc>
        <w:tc>
          <w:tcPr>
            <w:tcW w:type="dxa" w:w="8208"/>
            <w:shd w:val="clear" w:color="auto" w:fill="EAF0EE"/>
          </w:tcPr>
          <w:p>
            <w:pPr>
              <w:spacing w:after="20"/>
            </w:pPr>
            <w:r>
              <w:rPr>
                <w:b/>
                <w:color w:val="1C3A36"/>
                <w:sz w:val="15"/>
              </w:rPr>
              <w:t>Why, and what the disclosure supports</w:t>
            </w:r>
          </w:p>
        </w:tc>
        <w:tc>
          <w:tcPr>
            <w:tcW w:type="dxa" w:w="1440"/>
            <w:shd w:val="clear" w:color="auto" w:fill="EAF0EE"/>
          </w:tcPr>
          <w:p>
            <w:pPr>
              <w:spacing w:after="20"/>
            </w:pPr>
            <w:r>
              <w:rPr>
                <w:b/>
                <w:color w:val="1C3A36"/>
                <w:sz w:val="15"/>
              </w:rPr>
              <w:t>Sweep findings behind it</w:t>
            </w:r>
          </w:p>
        </w:tc>
      </w:tr>
      <w:tr>
        <w:tc>
          <w:tcPr>
            <w:tcW w:type="dxa" w:w="3096"/>
          </w:tcPr>
          <w:p>
            <w:pPr>
              <w:spacing w:after="20"/>
            </w:pPr>
            <w:r>
              <w:rPr>
                <w:color w:val="1C3A36"/>
                <w:sz w:val="15"/>
              </w:rPr>
              <w:t>stc segment revenue (two thirds of group)</w:t>
            </w:r>
          </w:p>
        </w:tc>
        <w:tc>
          <w:tcPr>
            <w:tcW w:type="dxa" w:w="1368"/>
          </w:tcPr>
          <w:p>
            <w:pPr>
              <w:spacing w:after="20"/>
            </w:pPr>
            <w:r>
              <w:rPr>
                <w:color w:val="1C3A36"/>
                <w:sz w:val="15"/>
              </w:rPr>
              <w:t>derived</w:t>
            </w:r>
          </w:p>
        </w:tc>
        <w:tc>
          <w:tcPr>
            <w:tcW w:type="dxa" w:w="8208"/>
          </w:tcPr>
          <w:p>
            <w:pPr>
              <w:spacing w:after="20"/>
            </w:pPr>
            <w:r>
              <w:rPr>
                <w:color w:val="1C3A36"/>
                <w:sz w:val="15"/>
              </w:rPr>
              <w:t>Volume times price on disclosed units: subscribers by category from the earnings presentations, revenue per subscriber derived against the audited segment revenue, each half faded to zero real and multiplied.</w:t>
            </w:r>
          </w:p>
        </w:tc>
        <w:tc>
          <w:tcPr>
            <w:tcW w:type="dxa" w:w="1440"/>
          </w:tcPr>
          <w:p>
            <w:pPr>
              <w:spacing w:after="20"/>
            </w:pPr>
            <w:r>
              <w:rPr>
                <w:color w:val="1C3A36"/>
                <w:sz w:val="15"/>
              </w:rPr>
              <w:t>F08, F09, F14</w:t>
            </w:r>
          </w:p>
        </w:tc>
      </w:tr>
      <w:tr>
        <w:tc>
          <w:tcPr>
            <w:tcW w:type="dxa" w:w="3096"/>
          </w:tcPr>
          <w:p>
            <w:pPr>
              <w:spacing w:after="20"/>
            </w:pPr>
            <w:r>
              <w:rPr>
                <w:color w:val="1C3A36"/>
                <w:sz w:val="15"/>
              </w:rPr>
              <w:t>the other twelve segments' revenue</w:t>
            </w:r>
          </w:p>
        </w:tc>
        <w:tc>
          <w:tcPr>
            <w:tcW w:type="dxa" w:w="1368"/>
          </w:tcPr>
          <w:p>
            <w:pPr>
              <w:spacing w:after="20"/>
            </w:pPr>
            <w:r>
              <w:rPr>
                <w:color w:val="1C3A36"/>
                <w:sz w:val="15"/>
              </w:rPr>
              <w:t>segment</w:t>
            </w:r>
          </w:p>
        </w:tc>
        <w:tc>
          <w:tcPr>
            <w:tcW w:type="dxa" w:w="8208"/>
          </w:tcPr>
          <w:p>
            <w:pPr>
              <w:spacing w:after="20"/>
            </w:pPr>
            <w:r>
              <w:rPr>
                <w:color w:val="1C3A36"/>
                <w:sz w:val="15"/>
              </w:rPr>
              <w:t>Each grows at its own measured two-year real rate from note 9, deflated by the published inflation prints, fading to zero real. No unit data is disclosed for any of them, so this is the finest sourced level available and the gap is flagged rather than filled.</w:t>
            </w:r>
          </w:p>
        </w:tc>
        <w:tc>
          <w:tcPr>
            <w:tcW w:type="dxa" w:w="1440"/>
          </w:tcPr>
          <w:p>
            <w:pPr>
              <w:spacing w:after="20"/>
            </w:pPr>
            <w:r>
              <w:rPr>
                <w:color w:val="1C3A36"/>
                <w:sz w:val="15"/>
              </w:rPr>
              <w:t>F14, F15, F05</w:t>
            </w:r>
          </w:p>
        </w:tc>
      </w:tr>
      <w:tr>
        <w:tc>
          <w:tcPr>
            <w:tcW w:type="dxa" w:w="3096"/>
          </w:tcPr>
          <w:p>
            <w:pPr>
              <w:spacing w:after="20"/>
            </w:pPr>
            <w:r>
              <w:rPr>
                <w:color w:val="1C3A36"/>
                <w:sz w:val="15"/>
              </w:rPr>
              <w:t>cost of revenues</w:t>
            </w:r>
          </w:p>
        </w:tc>
        <w:tc>
          <w:tcPr>
            <w:tcW w:type="dxa" w:w="1368"/>
          </w:tcPr>
          <w:p>
            <w:pPr>
              <w:spacing w:after="20"/>
            </w:pPr>
            <w:r>
              <w:rPr>
                <w:color w:val="1C3A36"/>
                <w:sz w:val="15"/>
              </w:rPr>
              <w:t>not built per unit</w:t>
            </w:r>
          </w:p>
        </w:tc>
        <w:tc>
          <w:tcPr>
            <w:tcW w:type="dxa" w:w="8208"/>
          </w:tcPr>
          <w:p>
            <w:pPr>
              <w:spacing w:after="20"/>
            </w:pPr>
            <w:r>
              <w:rPr>
                <w:color w:val="1C3A36"/>
                <w:sz w:val="15"/>
              </w:rPr>
              <w:t>Note 35 discloses all seven lines by nature for three years and each is a different driver class. The model currently holds each segment's disclosed gross margin, and the seven-line build is registered as the next correction rather than claimed here.</w:t>
            </w:r>
          </w:p>
        </w:tc>
        <w:tc>
          <w:tcPr>
            <w:tcW w:type="dxa" w:w="1440"/>
          </w:tcPr>
          <w:p>
            <w:pPr>
              <w:spacing w:after="20"/>
            </w:pPr>
            <w:r>
              <w:rPr>
                <w:color w:val="1C3A36"/>
                <w:sz w:val="15"/>
              </w:rPr>
              <w:t>F02, F06, F18</w:t>
            </w:r>
          </w:p>
        </w:tc>
      </w:tr>
      <w:tr>
        <w:tc>
          <w:tcPr>
            <w:tcW w:type="dxa" w:w="3096"/>
          </w:tcPr>
          <w:p>
            <w:pPr>
              <w:spacing w:after="20"/>
            </w:pPr>
            <w:r>
              <w:rPr>
                <w:color w:val="1C3A36"/>
                <w:sz w:val="15"/>
              </w:rPr>
              <w:t>competitive position and peer multiples</w:t>
            </w:r>
          </w:p>
        </w:tc>
        <w:tc>
          <w:tcPr>
            <w:tcW w:type="dxa" w:w="1368"/>
          </w:tcPr>
          <w:p>
            <w:pPr>
              <w:spacing w:after="20"/>
            </w:pPr>
            <w:r>
              <w:rPr>
                <w:color w:val="1C3A36"/>
                <w:sz w:val="15"/>
              </w:rPr>
              <w:t>top down</w:t>
            </w:r>
          </w:p>
        </w:tc>
        <w:tc>
          <w:tcPr>
            <w:tcW w:type="dxa" w:w="8208"/>
          </w:tcPr>
          <w:p>
            <w:pPr>
              <w:spacing w:after="20"/>
            </w:pPr>
            <w:r>
              <w:rPr>
                <w:color w:val="1C3A36"/>
                <w:sz w:val="15"/>
              </w:rPr>
              <w:t>No named competitor, market share or peer figure appears in any document this study holds, so no relative multiple is taken from peers. The relative lens uses this company's OWN trailing EV/EBITDA at three year ends instead.</w:t>
            </w:r>
          </w:p>
        </w:tc>
        <w:tc>
          <w:tcPr>
            <w:tcW w:type="dxa" w:w="1440"/>
          </w:tcPr>
          <w:p>
            <w:pPr>
              <w:spacing w:after="20"/>
            </w:pPr>
            <w:r>
              <w:rPr>
                <w:color w:val="1C3A36"/>
                <w:sz w:val="15"/>
              </w:rPr>
              <w:t>F10, F12, F14</w:t>
            </w:r>
          </w:p>
        </w:tc>
      </w:tr>
      <w:tr>
        <w:tc>
          <w:tcPr>
            <w:tcW w:type="dxa" w:w="3096"/>
          </w:tcPr>
          <w:p>
            <w:pPr>
              <w:spacing w:after="20"/>
            </w:pPr>
            <w:r>
              <w:rPr>
                <w:color w:val="1C3A36"/>
                <w:sz w:val="15"/>
              </w:rPr>
              <w:t>spectrum renewal cost inside the explicit window</w:t>
            </w:r>
          </w:p>
        </w:tc>
        <w:tc>
          <w:tcPr>
            <w:tcW w:type="dxa" w:w="1368"/>
          </w:tcPr>
          <w:p>
            <w:pPr>
              <w:spacing w:after="20"/>
            </w:pPr>
            <w:r>
              <w:rPr>
                <w:color w:val="1C3A36"/>
                <w:sz w:val="15"/>
              </w:rPr>
              <w:t>top down</w:t>
            </w:r>
          </w:p>
        </w:tc>
        <w:tc>
          <w:tcPr>
            <w:tcW w:type="dxa" w:w="8208"/>
          </w:tcPr>
          <w:p>
            <w:pPr>
              <w:spacing w:after="20"/>
            </w:pPr>
            <w:r>
              <w:rPr>
                <w:color w:val="1C3A36"/>
                <w:sz w:val="15"/>
              </w:rPr>
              <w:t>The first Saudi spectrum expiry falls in 2029, inside the forecast window, and no renewal cost is disclosed anywhere. Carried inside the capital-expenditure ratio measured from the filings rather than modelled separately, and named as a gap.</w:t>
            </w:r>
          </w:p>
        </w:tc>
        <w:tc>
          <w:tcPr>
            <w:tcW w:type="dxa" w:w="1440"/>
          </w:tcPr>
          <w:p>
            <w:pPr>
              <w:spacing w:after="20"/>
            </w:pPr>
            <w:r>
              <w:rPr>
                <w:color w:val="1C3A36"/>
                <w:sz w:val="15"/>
              </w:rPr>
              <w:t>F06, F07, F14</w:t>
            </w:r>
          </w:p>
        </w:tc>
      </w:tr>
    </w:tbl>
    <w:p>
      <w:pPr>
        <w:spacing w:after="40"/>
      </w:pPr>
    </w:p>
    <w:p>
      <w:r>
        <w:br w:type="page"/>
      </w:r>
    </w:p>
    <w:p>
      <w:pPr>
        <w:spacing w:after="120" w:before="240"/>
      </w:pPr>
      <w:r>
        <w:rPr>
          <w:b/>
          <w:i w:val="0"/>
          <w:color w:val="1C3A36"/>
          <w:sz w:val="28"/>
        </w:rPr>
        <w:t>6  The judgements, and what would overturn each</w:t>
      </w:r>
    </w:p>
    <w:p>
      <w:pPr>
        <w:spacing w:after="100" w:before="0"/>
      </w:pPr>
      <w:r>
        <w:rPr>
          <w:b w:val="0"/>
          <w:i w:val="0"/>
          <w:color w:val="1C3A36"/>
          <w:sz w:val="18"/>
        </w:rPr>
        <w:t>Every input above is sourced or derived. What follows is not: these are the decisions this study made where the evidence permits more than one answer. Each is stated with the observation that would show it wrong.</w:t>
      </w:r>
    </w:p>
    <w:tbl>
      <w:tblPr>
        <w:tblW w:type="auto" w:w="0"/>
        <w:jc w:val="center"/>
        <w:tblLook w:firstColumn="1" w:firstRow="1" w:lastColumn="0" w:lastRow="0" w:noHBand="0" w:noVBand="1" w:val="04A0"/>
        <w:tblLayout w:type="fixed"/>
        <w:tblCellMar>
          <w:top w:w="34" w:type="dxa"/>
          <w:left w:w="74" w:type="dxa"/>
          <w:bottom w:w="34" w:type="dxa"/>
          <w:right w:w="74"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W w:w="14112" w:type="dxa"/>
      </w:tblPr>
      <w:tblGrid>
        <w:gridCol w:w="2376"/>
        <w:gridCol w:w="6263"/>
        <w:gridCol w:w="5472"/>
      </w:tblGrid>
      <w:tr>
        <w:tc>
          <w:tcPr>
            <w:tcW w:type="dxa" w:w="2376"/>
            <w:shd w:val="clear" w:color="auto" w:fill="EAF0EE"/>
          </w:tcPr>
          <w:p>
            <w:pPr>
              <w:spacing w:after="20"/>
            </w:pPr>
            <w:r>
              <w:rPr>
                <w:b/>
                <w:color w:val="1C3A36"/>
                <w:sz w:val="15"/>
              </w:rPr>
              <w:t>Judgement</w:t>
            </w:r>
          </w:p>
        </w:tc>
        <w:tc>
          <w:tcPr>
            <w:tcW w:type="dxa" w:w="6264"/>
            <w:shd w:val="clear" w:color="auto" w:fill="EAF0EE"/>
          </w:tcPr>
          <w:p>
            <w:pPr>
              <w:spacing w:after="20"/>
            </w:pPr>
            <w:r>
              <w:rPr>
                <w:b/>
                <w:color w:val="1C3A36"/>
                <w:sz w:val="15"/>
              </w:rPr>
              <w:t>What this study decided</w:t>
            </w:r>
          </w:p>
        </w:tc>
        <w:tc>
          <w:tcPr>
            <w:tcW w:type="dxa" w:w="5472"/>
            <w:shd w:val="clear" w:color="auto" w:fill="EAF0EE"/>
          </w:tcPr>
          <w:p>
            <w:pPr>
              <w:spacing w:after="20"/>
            </w:pPr>
            <w:r>
              <w:rPr>
                <w:b/>
                <w:color w:val="1C3A36"/>
                <w:sz w:val="15"/>
              </w:rPr>
              <w:t>What would overturn it</w:t>
            </w:r>
          </w:p>
        </w:tc>
      </w:tr>
      <w:tr>
        <w:tc>
          <w:tcPr>
            <w:tcW w:type="dxa" w:w="2376"/>
          </w:tcPr>
          <w:p>
            <w:pPr>
              <w:spacing w:after="20"/>
            </w:pPr>
            <w:r>
              <w:rPr>
                <w:color w:val="1C3A36"/>
                <w:sz w:val="15"/>
              </w:rPr>
              <w:t>Which lens is the answer</w:t>
            </w:r>
          </w:p>
        </w:tc>
        <w:tc>
          <w:tcPr>
            <w:tcW w:type="dxa" w:w="6264"/>
          </w:tcPr>
          <w:p>
            <w:pPr>
              <w:spacing w:after="20"/>
            </w:pPr>
            <w:r>
              <w:rPr>
                <w:color w:val="1C3A36"/>
                <w:sz w:val="15"/>
              </w:rPr>
              <w:t>The cash-flow model is the central and the others are cross-checks published beside it. No weights are applied anywhere.</w:t>
            </w:r>
          </w:p>
        </w:tc>
        <w:tc>
          <w:tcPr>
            <w:tcW w:type="dxa" w:w="5472"/>
          </w:tcPr>
          <w:p>
            <w:pPr>
              <w:spacing w:after="20"/>
            </w:pPr>
            <w:r>
              <w:rPr>
                <w:color w:val="1C3A36"/>
                <w:sz w:val="15"/>
              </w:rPr>
              <w:t>A calibration finding, out of sample, that some blend of the lenses beats the primary alone. Until that exists the typed blend stays retired, because a number produced by averaging several methods is a new method with parameters nobody tested.</w:t>
            </w:r>
          </w:p>
        </w:tc>
      </w:tr>
      <w:tr>
        <w:tc>
          <w:tcPr>
            <w:tcW w:type="dxa" w:w="2376"/>
          </w:tcPr>
          <w:p>
            <w:pPr>
              <w:spacing w:after="20"/>
            </w:pPr>
            <w:r>
              <w:rPr>
                <w:color w:val="1C3A36"/>
                <w:sz w:val="15"/>
              </w:rPr>
              <w:t>What the bear and bull move</w:t>
            </w:r>
          </w:p>
        </w:tc>
        <w:tc>
          <w:tcPr>
            <w:tcW w:type="dxa" w:w="6264"/>
          </w:tcPr>
          <w:p>
            <w:pPr>
              <w:spacing w:after="20"/>
            </w:pPr>
            <w:r>
              <w:rPr>
                <w:color w:val="1C3A36"/>
                <w:sz w:val="15"/>
              </w:rPr>
              <w:t>Exactly one driver: capital expenditure as a multiple of the depreciation of the base being renewed, across the 1.054 to 1.252 span this company’s own three filed years ran. The cost of capital, terminal growth, terminal risk-free rate, inflation ladder and margin path are IDENTICAL across all three reads.</w:t>
            </w:r>
          </w:p>
        </w:tc>
        <w:tc>
          <w:tcPr>
            <w:tcW w:type="dxa" w:w="5472"/>
          </w:tcPr>
          <w:p>
            <w:pPr>
              <w:spacing w:after="20"/>
            </w:pPr>
            <w:r>
              <w:rPr>
                <w:color w:val="1C3A36"/>
                <w:sz w:val="15"/>
              </w:rPr>
              <w:t>Evidence that a second driver moves independently of capital intensity by enough to matter. Note that the previous edition moved three levers at once, which makes each case unattributable — a bear that also changes the discount rate is valuing the company in a different economy.</w:t>
            </w:r>
          </w:p>
        </w:tc>
      </w:tr>
      <w:tr>
        <w:tc>
          <w:tcPr>
            <w:tcW w:type="dxa" w:w="2376"/>
          </w:tcPr>
          <w:p>
            <w:pPr>
              <w:spacing w:after="20"/>
            </w:pPr>
            <w:r>
              <w:rPr>
                <w:color w:val="1C3A36"/>
                <w:sz w:val="15"/>
              </w:rPr>
              <w:t>The capital-intensity path</w:t>
            </w:r>
          </w:p>
        </w:tc>
        <w:tc>
          <w:tcPr>
            <w:tcW w:type="dxa" w:w="6264"/>
          </w:tcPr>
          <w:p>
            <w:pPr>
              <w:spacing w:after="20"/>
            </w:pPr>
            <w:r>
              <w:rPr>
                <w:color w:val="1C3A36"/>
                <w:sz w:val="15"/>
              </w:rPr>
              <w:t>Measured from the filings at 1.161 times depreciation, the three filed years’ own mean, and held flat.</w:t>
            </w:r>
          </w:p>
        </w:tc>
        <w:tc>
          <w:tcPr>
            <w:tcW w:type="dxa" w:w="5472"/>
          </w:tcPr>
          <w:p>
            <w:pPr>
              <w:spacing w:after="20"/>
            </w:pPr>
            <w:r>
              <w:rPr>
                <w:color w:val="1C3A36"/>
                <w:sz w:val="15"/>
              </w:rPr>
              <w:t>Two more years of filed capital spending outside that range, which would say the data-centre build has changed the company’s intensity rather than sitting inside its history. Management’s own guidance is deliberately NOT the test: it is scored against what happens, never consumed.</w:t>
            </w:r>
          </w:p>
        </w:tc>
      </w:tr>
      <w:tr>
        <w:tc>
          <w:tcPr>
            <w:tcW w:type="dxa" w:w="2376"/>
          </w:tcPr>
          <w:p>
            <w:pPr>
              <w:spacing w:after="20"/>
            </w:pPr>
            <w:r>
              <w:rPr>
                <w:color w:val="1C3A36"/>
                <w:sz w:val="15"/>
              </w:rPr>
              <w:t>The margin path</w:t>
            </w:r>
          </w:p>
        </w:tc>
        <w:tc>
          <w:tcPr>
            <w:tcW w:type="dxa" w:w="6264"/>
          </w:tcPr>
          <w:p>
            <w:pPr>
              <w:spacing w:after="20"/>
            </w:pPr>
            <w:r>
              <w:rPr>
                <w:color w:val="1C3A36"/>
                <w:sz w:val="15"/>
              </w:rPr>
              <w:t>HELD, not built: each segment carries its own disclosed gross margin from the filings, with an SG&amp;A share applied against it, so the resulting path runs 32.06% in the first forecast year and 31.77% in the last — flat, and slightly down. The house standard is a margin that falls OUT of a cost built per unit, and note 35 discloses all seven cost lines by nature for three years, so the disclosure would support one. This model does not yet consume it, and that gap is stated here rather than dressed as a cost build.</w:t>
            </w:r>
          </w:p>
        </w:tc>
        <w:tc>
          <w:tcPr>
            <w:tcW w:type="dxa" w:w="5472"/>
          </w:tcPr>
          <w:p>
            <w:pPr>
              <w:spacing w:after="20"/>
            </w:pPr>
            <w:r>
              <w:rPr>
                <w:color w:val="1C3A36"/>
                <w:sz w:val="15"/>
              </w:rPr>
              <w:t>A cost line moving differently from the driver it is attached to. The model is not permitted to assume the mix improvement an upward glide would represent, so the risk here is a margin that FALLS rather than one that fails to rise.</w:t>
            </w:r>
          </w:p>
        </w:tc>
      </w:tr>
      <w:tr>
        <w:tc>
          <w:tcPr>
            <w:tcW w:type="dxa" w:w="2376"/>
          </w:tcPr>
          <w:p>
            <w:pPr>
              <w:spacing w:after="20"/>
            </w:pPr>
            <w:r>
              <w:rPr>
                <w:color w:val="1C3A36"/>
                <w:sz w:val="15"/>
              </w:rPr>
              <w:t>The debt tax shield</w:t>
            </w:r>
          </w:p>
        </w:tc>
        <w:tc>
          <w:tcPr>
            <w:tcW w:type="dxa" w:w="6264"/>
          </w:tcPr>
          <w:p>
            <w:pPr>
              <w:spacing w:after="20"/>
            </w:pPr>
            <w:r>
              <w:rPr>
                <w:color w:val="1C3A36"/>
                <w:sz w:val="15"/>
              </w:rPr>
              <w:t>The statutory rate, not the 8.03% effective rate the filed years bore. An effective rate is the average a company paid; a shield is the marginal rate an authority allows on the income-tax portion of its base, and the two are not required to agree.</w:t>
            </w:r>
          </w:p>
        </w:tc>
        <w:tc>
          <w:tcPr>
            <w:tcW w:type="dxa" w:w="5472"/>
          </w:tcPr>
          <w:p>
            <w:pPr>
              <w:spacing w:after="20"/>
            </w:pPr>
            <w:r>
              <w:rPr>
                <w:color w:val="1C3A36"/>
                <w:sz w:val="15"/>
              </w:rPr>
              <w:t>The split of this company’s base between zakat and income tax by ownership, which is not disclosed and which would place the true shield below the statutory rate. The whole span is worth 0.79%% of the answer — below this house’s materiality line for a contested judgement — and it is flagged rather than filled.</w:t>
            </w:r>
          </w:p>
        </w:tc>
      </w:tr>
      <w:tr>
        <w:tc>
          <w:tcPr>
            <w:tcW w:type="dxa" w:w="2376"/>
          </w:tcPr>
          <w:p>
            <w:pPr>
              <w:spacing w:after="20"/>
            </w:pPr>
            <w:r>
              <w:rPr>
                <w:color w:val="1C3A36"/>
                <w:sz w:val="15"/>
              </w:rPr>
              <w:t>The sovereign quote’s age</w:t>
            </w:r>
          </w:p>
        </w:tc>
        <w:tc>
          <w:tcPr>
            <w:tcW w:type="dxa" w:w="6264"/>
          </w:tcPr>
          <w:p>
            <w:pPr>
              <w:spacing w:after="20"/>
            </w:pPr>
            <w:r>
              <w:rPr>
                <w:color w:val="1C3A36"/>
                <w:sz w:val="15"/>
              </w:rPr>
              <w:t>Accepted deliberately at 36 days against a 14-day bound, and disclosed rather than used quietly.</w:t>
            </w:r>
          </w:p>
        </w:tc>
        <w:tc>
          <w:tcPr>
            <w:tcW w:type="dxa" w:w="5472"/>
          </w:tcPr>
          <w:p>
            <w:pPr>
              <w:spacing w:after="20"/>
            </w:pPr>
            <w:r>
              <w:rPr>
                <w:color w:val="1C3A36"/>
                <w:sz w:val="15"/>
              </w:rPr>
              <w:t>A fresher sovereign quote. Refreshing it is a macro-path task that moves every Saudi study at once, not a lever inside this one.</w:t>
            </w:r>
          </w:p>
        </w:tc>
      </w:tr>
      <w:tr>
        <w:tc>
          <w:tcPr>
            <w:tcW w:type="dxa" w:w="2376"/>
          </w:tcPr>
          <w:p>
            <w:pPr>
              <w:spacing w:after="20"/>
            </w:pPr>
            <w:r>
              <w:rPr>
                <w:color w:val="1C3A36"/>
                <w:sz w:val="15"/>
              </w:rPr>
              <w:t>The forecast balance sheet</w:t>
            </w:r>
          </w:p>
        </w:tc>
        <w:tc>
          <w:tcPr>
            <w:tcW w:type="dxa" w:w="6264"/>
          </w:tcPr>
          <w:p>
            <w:pPr>
              <w:spacing w:after="20"/>
            </w:pPr>
            <w:r>
              <w:rPr>
                <w:color w:val="1C3A36"/>
                <w:sz w:val="15"/>
              </w:rPr>
              <w:t>NOT BUILT, and the reason is a defect in the filing rather than a gap in the model: the latest reviewed balance sheet does not add up in its own current column, while every prior-year column foots exactly.</w:t>
            </w:r>
          </w:p>
        </w:tc>
        <w:tc>
          <w:tcPr>
            <w:tcW w:type="dxa" w:w="5472"/>
          </w:tcPr>
          <w:p>
            <w:pPr>
              <w:spacing w:after="20"/>
            </w:pPr>
            <w:r>
              <w:rPr>
                <w:color w:val="1C3A36"/>
                <w:sz w:val="15"/>
              </w:rPr>
              <w:t>A corrected interim, or the FY2026 audited statements. Solving for the figures that would make it foot would be inventing them, and the previous edition’s forecast balance sheet was filled with grouped estimates chosen to make a balance-check row read zero — a check that cannot fail is not a check.</w:t>
            </w:r>
          </w:p>
        </w:tc>
      </w:tr>
    </w:tbl>
    <w:p>
      <w:pPr>
        <w:spacing w:after="40"/>
      </w:pPr>
    </w:p>
    <w:p>
      <w:pPr>
        <w:spacing w:after="100" w:before="200"/>
      </w:pPr>
      <w:r>
        <w:rPr>
          <w:b w:val="0"/>
          <w:i w:val="0"/>
          <w:color w:val="6E7B77"/>
          <w:sz w:val="17"/>
        </w:rPr>
        <w:t>TESTAHIL · Source register · Saudi Telecom Company (Tadawul: 7010) · edition 05-09-2026</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