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b/>
                <w:color w:val="FFFFFF"/>
                <w:sz w:val="19"/>
              </w:rPr>
              <w:t xml:space="preserve">   Edition of 5 September 2026</w:t>
            </w:r>
            <w:r>
              <w:rPr>
                <w:color w:val="9FB0AC"/>
                <w:sz w:val="19"/>
              </w:rPr>
              <w:t xml:space="preserve">   ·   Not investment advice</w:t>
            </w:r>
          </w:p>
        </w:tc>
      </w:tr>
    </w:tbl>
    <w:p>
      <w:pPr>
        <w:spacing w:after="0"/>
      </w:pPr>
    </w:p>
    <w:p>
      <w:pPr>
        <w:spacing w:after="40" w:before="80"/>
      </w:pPr>
      <w:r>
        <w:rPr>
          <w:b/>
          <w:i w:val="0"/>
          <w:color w:val="1C3A36"/>
          <w:sz w:val="24"/>
        </w:rPr>
        <w:t>Independent Valuation Study — Educational Analysis</w:t>
      </w:r>
    </w:p>
    <w:p>
      <w:pPr>
        <w:spacing w:after="40" w:before="0"/>
      </w:pPr>
      <w:r>
        <w:rPr>
          <w:b/>
          <w:i w:val="0"/>
          <w:color w:val="1C3A36"/>
          <w:sz w:val="34"/>
        </w:rPr>
        <w:t>Saudi Telecom Company (Tadawul: 7010)</w:t>
      </w:r>
    </w:p>
    <w:p>
      <w:pPr>
        <w:spacing w:after="160" w:before="0"/>
      </w:pPr>
      <w:r>
        <w:rPr>
          <w:b w:val="0"/>
          <w:i/>
          <w:color w:val="6E7B77"/>
          <w:sz w:val="21"/>
        </w:rPr>
        <w:t>Fundamental analysis · Technical analysis · Monte Carlo simulation — one integrated read   ·   Edition of 5 September 2026</w:t>
      </w:r>
    </w:p>
    <w:p>
      <w:pPr>
        <w:spacing w:after="200" w:before="0"/>
      </w:pPr>
      <w:r>
        <w:rPr>
          <w:b/>
          <w:i w:val="0"/>
          <w:color w:val="1C3A36"/>
          <w:sz w:val="19"/>
        </w:rPr>
        <w:t xml:space="preserve">Anchor: </w:t>
      </w:r>
      <w:r>
        <w:rPr>
          <w:b w:val="0"/>
          <w:i w:val="0"/>
          <w:color w:val="1C3A36"/>
          <w:sz w:val="19"/>
        </w:rPr>
        <w:t xml:space="preserve">SAR 43.86 (2026-09-03 close) · 4,993.0 mn shares (issued capital over par, less treasury) · market capitalisation SAR 219.0 bn · the Kingdom’s incumbent operator and the largest MENA telecom by market value: </w:t>
      </w:r>
      <w:r>
        <w:rPr>
          <w:b/>
          <w:i w:val="0"/>
          <w:color w:val="1C3A36"/>
          <w:sz w:val="19"/>
        </w:rPr>
        <w:t>stc KSA</w:t>
      </w:r>
      <w:r>
        <w:rPr>
          <w:b w:val="0"/>
          <w:i w:val="0"/>
          <w:color w:val="1C3A36"/>
          <w:sz w:val="19"/>
        </w:rPr>
        <w:t xml:space="preserve"> (consumer, enterprise, wholesale — ~57% mobile share, the national fibre and 5G backbone) plus </w:t>
      </w:r>
      <w:r>
        <w:rPr>
          <w:b/>
          <w:i w:val="0"/>
          <w:color w:val="1C3A36"/>
          <w:sz w:val="19"/>
        </w:rPr>
        <w:t>subsidiaries</w:t>
      </w:r>
      <w:r>
        <w:rPr>
          <w:b w:val="0"/>
          <w:i w:val="0"/>
          <w:color w:val="1C3A36"/>
          <w:sz w:val="19"/>
        </w:rPr>
        <w:t xml:space="preserve"> (solutions by stc 79%, stc bank 85%, stc Kuwait 51.8%, stc Bahrain, center3 data centres, sirar, iot squared) and </w:t>
      </w:r>
      <w:r>
        <w:rPr>
          <w:b/>
          <w:i w:val="0"/>
          <w:color w:val="1C3A36"/>
          <w:sz w:val="19"/>
        </w:rPr>
        <w:t>minority stakes</w:t>
      </w:r>
      <w:r>
        <w:rPr>
          <w:b w:val="0"/>
          <w:i w:val="0"/>
          <w:color w:val="1C3A36"/>
          <w:sz w:val="19"/>
        </w:rPr>
        <w:t xml:space="preserve"> — 43.06% of the PIF-controlled tower company (TAWAL/Digital Infrastructure) and 9.97% of Telefónica · reporting currency SAR (pegged to USD at 3.75) · valued against the latest known close of 2026-09-03, with the price map struck on the last session in the price library, 2026-08-31 · primary lens: going-concern FCFF DCF, cross-checked by the dividend-policy DDM, relative multiples and normalized earnings · the swing factors: capex intensity against the locked SAR 2.20 dividend, and the discount-rate (beta) question.</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READ FIRST — what this document is, and is not.</w:t>
            </w:r>
            <w:r>
              <w:rPr>
                <w:color w:val="1C3A36"/>
                <w:sz w:val="19"/>
              </w:rPr>
            </w:r>
          </w:p>
          <w:p>
            <w:pPr>
              <w:spacing w:after="100"/>
            </w:pPr>
            <w:r>
              <w:rPr>
                <w:color w:val="1C3A36"/>
                <w:sz w:val="19"/>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brokerage or advisory authorisation, provides no financial consultancy, manages no money, and accepts no fees, funds or clients. See the Disclosure &amp; Disclaimer at the end.</w:t>
            </w:r>
          </w:p>
          <w:p>
            <w:pPr>
              <w:spacing w:after="100"/>
            </w:pPr>
            <w:r>
              <w:rPr>
                <w:color w:val="1C3A36"/>
                <w:sz w:val="19"/>
              </w:rPr>
              <w:t>All values are model outputs presented as ranges and distributions because no single number should be relied on. Reported financials are the company’s own disclosure (FY2023–FY2025 IR releases on the restated continuing-operations basis) and the reviewed interim statements for the six months to 30 June 2026 — all from stc.com. Forward-looking inputs — the segment growth and margin paths, capex intensity, the cost of capital, terminal growth and the multiples — are the preparer’s judgments and are flagged throughout. Some balance-sheet detail lines are grouped estimates tying to disclosed totals. Consult a licensed financial advisor before any investment decision.</w:t>
            </w:r>
          </w:p>
        </w:tc>
      </w:tr>
    </w:tbl>
    <w:p>
      <w:pPr>
        <w:spacing w:after="40"/>
      </w:pPr>
    </w:p>
    <w:p>
      <w:pPr>
        <w:spacing w:after="80" w:before="200"/>
      </w:pPr>
      <w:r>
        <w:rPr>
          <w:b/>
          <w:i w:val="0"/>
          <w:color w:val="1C3A36"/>
          <w:sz w:val="24"/>
        </w:rPr>
        <w:t>Headline</w:t>
      </w:r>
    </w:p>
    <w:p>
      <w:pPr>
        <w:spacing w:after="160" w:before="0"/>
      </w:pPr>
      <w:r>
        <w:rPr>
          <w:b/>
          <w:i w:val="0"/>
          <w:color w:val="1C3A36"/>
          <w:sz w:val="21"/>
        </w:rPr>
        <w:t xml:space="preserve">The model's read: the central sits below the traded price, and the study is HELD rather than published while it does. </w:t>
      </w:r>
      <w:r>
        <w:rPr>
          <w:b w:val="0"/>
          <w:i w:val="0"/>
          <w:color w:val="1C3A36"/>
          <w:sz w:val="21"/>
        </w:rPr>
        <w:t>At SAR 43.86 — the latest known close, on 2026-09-03 — the shares sit about 18% above the central of SAR 36.06, which is the CASH-FLOW lens and not an average of the reads beside it. Those cross-checks do NOT cluster: the dividend-policy read discounts to 34, the enterprise multiple on this company's own history gives 48, a normalised-earnings read marks 40, and disclosed book value is 17 — a published range of SAR 35.3 to 48.1, and the study publishes that disagreement rather than averaging it away. The terminal carries 70% of the cash-flow value — disclosed, not buried — and is built on the 20.9-year asset life this company's own accounting-policies note discloses, never on the reciprocal of an inflation rate. Over three months the price map places the 5th-to-95th percentile band at roughly SAR 39-52, the median at 45.3, and the middle half at SAR 43-48.</w:t>
      </w:r>
    </w:p>
    <w:p>
      <w:pPr>
        <w:spacing w:after="80" w:before="200"/>
      </w:pPr>
      <w:r>
        <w:rPr>
          <w:b/>
          <w:i w:val="0"/>
          <w:color w:val="1C3A36"/>
          <w:sz w:val="24"/>
        </w:rPr>
        <w:t>Valuation summary — every read at a glance</w:t>
      </w:r>
    </w:p>
    <w:p>
      <w:pPr>
        <w:spacing w:after="120" w:before="0"/>
      </w:pPr>
      <w:r>
        <w:rPr>
          <w:b w:val="0"/>
          <w:i w:val="0"/>
          <w:color w:val="1C3A36"/>
          <w:sz w:val="19"/>
        </w:rPr>
        <w:t>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10224" w:type="dxa"/>
      </w:tblPr>
      <w:tblGrid>
        <w:gridCol w:w="3096"/>
        <w:gridCol w:w="3384"/>
        <w:gridCol w:w="2088"/>
        <w:gridCol w:w="1655"/>
      </w:tblGrid>
      <w:tr>
        <w:tc>
          <w:tcPr>
            <w:tcW w:type="dxa" w:w="3096"/>
            <w:shd w:val="clear" w:color="auto" w:fill="EAF0EE"/>
          </w:tcPr>
          <w:p>
            <w:pPr>
              <w:spacing w:after="20"/>
            </w:pPr>
            <w:r>
              <w:rPr>
                <w:b/>
                <w:color w:val="1C3A36"/>
                <w:sz w:val="17"/>
              </w:rPr>
              <w:t>Lens / read</w:t>
            </w:r>
          </w:p>
        </w:tc>
        <w:tc>
          <w:tcPr>
            <w:tcW w:type="dxa" w:w="3384"/>
            <w:shd w:val="clear" w:color="auto" w:fill="EAF0EE"/>
          </w:tcPr>
          <w:p>
            <w:pPr>
              <w:spacing w:after="20"/>
            </w:pPr>
            <w:r>
              <w:rPr>
                <w:b/>
                <w:color w:val="1C3A36"/>
                <w:sz w:val="17"/>
              </w:rPr>
              <w:t>What it measures</w:t>
            </w:r>
          </w:p>
        </w:tc>
        <w:tc>
          <w:tcPr>
            <w:tcW w:type="dxa" w:w="2088"/>
            <w:shd w:val="clear" w:color="auto" w:fill="EAF0EE"/>
          </w:tcPr>
          <w:p>
            <w:pPr>
              <w:spacing w:after="20"/>
            </w:pPr>
            <w:r>
              <w:rPr>
                <w:b/>
                <w:color w:val="1C3A36"/>
                <w:sz w:val="17"/>
              </w:rPr>
              <w:t>Output</w:t>
            </w:r>
          </w:p>
        </w:tc>
        <w:tc>
          <w:tcPr>
            <w:tcW w:type="dxa" w:w="1656"/>
            <w:shd w:val="clear" w:color="auto" w:fill="EAF0EE"/>
          </w:tcPr>
          <w:p>
            <w:pPr>
              <w:spacing w:after="20"/>
            </w:pPr>
            <w:r>
              <w:rPr>
                <w:b/>
                <w:color w:val="1C3A36"/>
                <w:sz w:val="17"/>
              </w:rPr>
              <w:t>Takeaway</w:t>
            </w:r>
          </w:p>
        </w:tc>
      </w:tr>
      <w:tr>
        <w:tc>
          <w:tcPr>
            <w:tcW w:type="dxa" w:w="3096"/>
            <w:shd w:val="clear" w:color="auto" w:fill="F6F1E6"/>
          </w:tcPr>
          <w:p>
            <w:pPr>
              <w:spacing w:after="20"/>
            </w:pPr>
            <w:r>
              <w:rPr>
                <w:b/>
                <w:color w:val="1C3A36"/>
                <w:sz w:val="17"/>
              </w:rPr>
              <w:t>FUNDAMENTAL — what the business is worth (the anchor)</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FCFF DCF (primary)</w:t>
            </w:r>
          </w:p>
        </w:tc>
        <w:tc>
          <w:tcPr>
            <w:tcW w:type="dxa" w:w="3384"/>
          </w:tcPr>
          <w:p>
            <w:pPr>
              <w:spacing w:after="20"/>
              <w:jc w:val="right"/>
            </w:pPr>
            <w:r>
              <w:rPr>
                <w:color w:val="1C3A36"/>
                <w:sz w:val="17"/>
              </w:rPr>
              <w:t>Core operations + stake marks − net debt − NCI</w:t>
            </w:r>
          </w:p>
        </w:tc>
        <w:tc>
          <w:tcPr>
            <w:tcW w:type="dxa" w:w="2088"/>
          </w:tcPr>
          <w:p>
            <w:pPr>
              <w:spacing w:after="20"/>
              <w:jc w:val="right"/>
            </w:pPr>
            <w:r>
              <w:rPr>
                <w:color w:val="1C3A36"/>
                <w:sz w:val="17"/>
              </w:rPr>
              <w:t>SAR 36</w:t>
            </w:r>
          </w:p>
        </w:tc>
        <w:tc>
          <w:tcPr>
            <w:tcW w:type="dxa" w:w="1656"/>
          </w:tcPr>
          <w:p>
            <w:pPr>
              <w:spacing w:after="20"/>
              <w:jc w:val="right"/>
            </w:pPr>
            <w:r>
              <w:rPr>
                <w:color w:val="1C3A36"/>
                <w:sz w:val="17"/>
              </w:rPr>
              <w:t>-18% vs spot</w:t>
            </w:r>
          </w:p>
        </w:tc>
      </w:tr>
      <w:tr>
        <w:tc>
          <w:tcPr>
            <w:tcW w:type="dxa" w:w="3096"/>
          </w:tcPr>
          <w:p>
            <w:pPr>
              <w:spacing w:after="20"/>
            </w:pPr>
            <w:r>
              <w:rPr>
                <w:color w:val="1C3A36"/>
                <w:sz w:val="17"/>
              </w:rPr>
              <w:t>Dividend discount (policy lens)</w:t>
            </w:r>
          </w:p>
        </w:tc>
        <w:tc>
          <w:tcPr>
            <w:tcW w:type="dxa" w:w="3384"/>
          </w:tcPr>
          <w:p>
            <w:pPr>
              <w:spacing w:after="20"/>
              <w:jc w:val="right"/>
            </w:pPr>
            <w:r>
              <w:rPr>
                <w:color w:val="1C3A36"/>
                <w:sz w:val="17"/>
              </w:rPr>
              <w:t>The locked SAR 0.55/quarter, discounted at Ke</w:t>
            </w:r>
          </w:p>
        </w:tc>
        <w:tc>
          <w:tcPr>
            <w:tcW w:type="dxa" w:w="2088"/>
          </w:tcPr>
          <w:p>
            <w:pPr>
              <w:spacing w:after="20"/>
              <w:jc w:val="right"/>
            </w:pPr>
            <w:r>
              <w:rPr>
                <w:color w:val="1C3A36"/>
                <w:sz w:val="17"/>
              </w:rPr>
              <w:t>SAR 34</w:t>
            </w:r>
          </w:p>
        </w:tc>
        <w:tc>
          <w:tcPr>
            <w:tcW w:type="dxa" w:w="1656"/>
          </w:tcPr>
          <w:p>
            <w:pPr>
              <w:spacing w:after="20"/>
              <w:jc w:val="right"/>
            </w:pPr>
            <w:r>
              <w:rPr>
                <w:color w:val="1C3A36"/>
                <w:sz w:val="17"/>
              </w:rPr>
              <w:t>-22%</w:t>
            </w:r>
          </w:p>
        </w:tc>
      </w:tr>
      <w:tr>
        <w:tc>
          <w:tcPr>
            <w:tcW w:type="dxa" w:w="3096"/>
          </w:tcPr>
          <w:p>
            <w:pPr>
              <w:spacing w:after="20"/>
            </w:pPr>
            <w:r>
              <w:rPr>
                <w:color w:val="1C3A36"/>
                <w:sz w:val="17"/>
              </w:rPr>
              <w:t>Relative (EV/EBITDA)</w:t>
            </w:r>
          </w:p>
        </w:tc>
        <w:tc>
          <w:tcPr>
            <w:tcW w:type="dxa" w:w="3384"/>
          </w:tcPr>
          <w:p>
            <w:pPr>
              <w:spacing w:after="20"/>
              <w:jc w:val="right"/>
            </w:pPr>
            <w:r>
              <w:rPr>
                <w:color w:val="1C3A36"/>
                <w:sz w:val="17"/>
              </w:rPr>
              <w:t>FY26E EBITDA × justified 9.0×, bridged to equity</w:t>
            </w:r>
          </w:p>
        </w:tc>
        <w:tc>
          <w:tcPr>
            <w:tcW w:type="dxa" w:w="2088"/>
          </w:tcPr>
          <w:p>
            <w:pPr>
              <w:spacing w:after="20"/>
              <w:jc w:val="right"/>
            </w:pPr>
            <w:r>
              <w:rPr>
                <w:color w:val="1C3A36"/>
                <w:sz w:val="17"/>
              </w:rPr>
              <w:t>SAR 48</w:t>
            </w:r>
          </w:p>
        </w:tc>
        <w:tc>
          <w:tcPr>
            <w:tcW w:type="dxa" w:w="1656"/>
          </w:tcPr>
          <w:p>
            <w:pPr>
              <w:spacing w:after="20"/>
              <w:jc w:val="right"/>
            </w:pPr>
            <w:r>
              <w:rPr>
                <w:color w:val="1C3A36"/>
                <w:sz w:val="17"/>
              </w:rPr>
              <w:t>+10%</w:t>
            </w:r>
          </w:p>
        </w:tc>
      </w:tr>
      <w:tr>
        <w:tc>
          <w:tcPr>
            <w:tcW w:type="dxa" w:w="3096"/>
          </w:tcPr>
          <w:p>
            <w:pPr>
              <w:spacing w:after="20"/>
            </w:pPr>
            <w:r>
              <w:rPr>
                <w:color w:val="1C3A36"/>
                <w:sz w:val="17"/>
              </w:rPr>
              <w:t>Normalized earnings</w:t>
            </w:r>
          </w:p>
        </w:tc>
        <w:tc>
          <w:tcPr>
            <w:tcW w:type="dxa" w:w="3384"/>
          </w:tcPr>
          <w:p>
            <w:pPr>
              <w:spacing w:after="20"/>
              <w:jc w:val="right"/>
            </w:pPr>
            <w:r>
              <w:rPr>
                <w:color w:val="1C3A36"/>
                <w:sz w:val="17"/>
              </w:rPr>
              <w:t>Ex-one-off PAT × through-cycle P/E</w:t>
            </w:r>
          </w:p>
        </w:tc>
        <w:tc>
          <w:tcPr>
            <w:tcW w:type="dxa" w:w="2088"/>
          </w:tcPr>
          <w:p>
            <w:pPr>
              <w:spacing w:after="20"/>
              <w:jc w:val="right"/>
            </w:pPr>
            <w:r>
              <w:rPr>
                <w:color w:val="1C3A36"/>
                <w:sz w:val="17"/>
              </w:rPr>
              <w:t>SAR 40</w:t>
            </w:r>
          </w:p>
        </w:tc>
        <w:tc>
          <w:tcPr>
            <w:tcW w:type="dxa" w:w="1656"/>
          </w:tcPr>
          <w:p>
            <w:pPr>
              <w:spacing w:after="20"/>
              <w:jc w:val="right"/>
            </w:pPr>
            <w:r>
              <w:rPr>
                <w:color w:val="1C3A36"/>
                <w:sz w:val="17"/>
              </w:rPr>
              <w:t>-9% · a cross-check, not the floor</w:t>
            </w:r>
          </w:p>
        </w:tc>
      </w:tr>
      <w:tr>
        <w:tc>
          <w:tcPr>
            <w:tcW w:type="dxa" w:w="3096"/>
          </w:tcPr>
          <w:p>
            <w:pPr>
              <w:spacing w:after="20"/>
            </w:pPr>
            <w:r>
              <w:rPr>
                <w:color w:val="1C3A36"/>
                <w:sz w:val="17"/>
              </w:rPr>
              <w:t>THE CENTRAL — the cash-flow lens, not an average</w:t>
            </w:r>
          </w:p>
        </w:tc>
        <w:tc>
          <w:tcPr>
            <w:tcW w:type="dxa" w:w="3384"/>
          </w:tcPr>
          <w:p>
            <w:pPr>
              <w:spacing w:after="20"/>
              <w:jc w:val="right"/>
            </w:pPr>
            <w:r>
              <w:rPr>
                <w:color w:val="1C3A36"/>
                <w:sz w:val="17"/>
              </w:rPr>
              <w:t>the class primary; the others are cross-checks</w:t>
            </w:r>
          </w:p>
        </w:tc>
        <w:tc>
          <w:tcPr>
            <w:tcW w:type="dxa" w:w="2088"/>
          </w:tcPr>
          <w:p>
            <w:pPr>
              <w:spacing w:after="20"/>
              <w:jc w:val="right"/>
            </w:pPr>
            <w:r>
              <w:rPr>
                <w:color w:val="1C3A36"/>
                <w:sz w:val="17"/>
              </w:rPr>
              <w:t>SAR 36.06</w:t>
            </w:r>
          </w:p>
        </w:tc>
        <w:tc>
          <w:tcPr>
            <w:tcW w:type="dxa" w:w="1656"/>
          </w:tcPr>
          <w:p>
            <w:pPr>
              <w:spacing w:after="20"/>
              <w:jc w:val="right"/>
            </w:pPr>
            <w:r>
              <w:rPr>
                <w:color w:val="1C3A36"/>
                <w:sz w:val="17"/>
              </w:rPr>
              <w:t>-17.8% vs SAR 43.86</w:t>
            </w:r>
          </w:p>
        </w:tc>
      </w:tr>
      <w:tr>
        <w:tc>
          <w:tcPr>
            <w:tcW w:type="dxa" w:w="3096"/>
            <w:shd w:val="clear" w:color="auto" w:fill="F6F1E6"/>
          </w:tcPr>
          <w:p>
            <w:pPr>
              <w:spacing w:after="20"/>
            </w:pPr>
            <w:r>
              <w:rPr>
                <w:b/>
                <w:color w:val="1C3A36"/>
                <w:sz w:val="17"/>
              </w:rPr>
              <w:t>Published range</w:t>
            </w:r>
          </w:p>
        </w:tc>
        <w:tc>
          <w:tcPr>
            <w:tcW w:type="dxa" w:w="3384"/>
            <w:shd w:val="clear" w:color="auto" w:fill="F6F1E6"/>
          </w:tcPr>
          <w:p>
            <w:pPr>
              <w:spacing w:after="20"/>
              <w:jc w:val="right"/>
            </w:pPr>
            <w:r>
              <w:rPr>
                <w:b/>
                <w:color w:val="1C3A36"/>
                <w:sz w:val="17"/>
              </w:rPr>
              <w:t>the span of the present-value reads</w:t>
            </w:r>
          </w:p>
        </w:tc>
        <w:tc>
          <w:tcPr>
            <w:tcW w:type="dxa" w:w="2088"/>
            <w:shd w:val="clear" w:color="auto" w:fill="F6F1E6"/>
          </w:tcPr>
          <w:p>
            <w:pPr>
              <w:spacing w:after="20"/>
              <w:jc w:val="right"/>
            </w:pPr>
            <w:r>
              <w:rPr>
                <w:b/>
                <w:color w:val="1C3A36"/>
                <w:sz w:val="17"/>
              </w:rPr>
              <w:t>SAR 35.3-48.1</w:t>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TECHNICAL — what the tape is doing (timing, not value)</w:t>
            </w:r>
          </w:p>
        </w:tc>
        <w:tc>
          <w:tcPr>
            <w:tcW w:type="dxa" w:w="3384"/>
          </w:tcPr>
          <w:p>
            <w:pPr>
              <w:spacing w:after="20"/>
              <w:jc w:val="right"/>
            </w:pPr>
            <w:r>
              <w:rPr>
                <w:color w:val="1C3A36"/>
                <w:sz w:val="17"/>
              </w:rPr>
            </w:r>
          </w:p>
        </w:tc>
        <w:tc>
          <w:tcPr>
            <w:tcW w:type="dxa" w:w="2088"/>
          </w:tcPr>
          <w:p>
            <w:pPr>
              <w:spacing w:after="20"/>
              <w:jc w:val="right"/>
            </w:pPr>
            <w:r>
              <w:rPr>
                <w:color w:val="1C3A36"/>
                <w:sz w:val="17"/>
              </w:rPr>
            </w:r>
          </w:p>
        </w:tc>
        <w:tc>
          <w:tcPr>
            <w:tcW w:type="dxa" w:w="1656"/>
          </w:tcPr>
          <w:p>
            <w:pPr>
              <w:spacing w:after="20"/>
              <w:jc w:val="right"/>
            </w:pPr>
            <w:r>
              <w:rPr>
                <w:color w:val="1C3A36"/>
                <w:sz w:val="17"/>
              </w:rPr>
            </w:r>
          </w:p>
        </w:tc>
      </w:tr>
      <w:tr>
        <w:tc>
          <w:tcPr>
            <w:tcW w:type="dxa" w:w="3096"/>
          </w:tcPr>
          <w:p>
            <w:pPr>
              <w:spacing w:after="20"/>
            </w:pPr>
            <w:r>
              <w:rPr>
                <w:color w:val="1C3A36"/>
                <w:sz w:val="17"/>
              </w:rPr>
              <w:t>Trend &amp; momentum</w:t>
            </w:r>
          </w:p>
        </w:tc>
        <w:tc>
          <w:tcPr>
            <w:tcW w:type="dxa" w:w="3384"/>
          </w:tcPr>
          <w:p>
            <w:pPr>
              <w:spacing w:after="20"/>
              <w:jc w:val="right"/>
            </w:pPr>
            <w:r>
              <w:rPr>
                <w:color w:val="1C3A36"/>
                <w:sz w:val="17"/>
              </w:rPr>
              <w:t>Price vs the 20/50/100/200-day averages</w:t>
            </w:r>
          </w:p>
        </w:tc>
        <w:tc>
          <w:tcPr>
            <w:tcW w:type="dxa" w:w="2088"/>
          </w:tcPr>
          <w:p>
            <w:pPr>
              <w:spacing w:after="20"/>
              <w:jc w:val="right"/>
            </w:pPr>
            <w:r>
              <w:rPr>
                <w:color w:val="1C3A36"/>
                <w:sz w:val="17"/>
              </w:rPr>
              <w:t>Above all four, by 1.8% on the highest</w:t>
            </w:r>
          </w:p>
        </w:tc>
        <w:tc>
          <w:tcPr>
            <w:tcW w:type="dxa" w:w="1656"/>
          </w:tcPr>
          <w:p>
            <w:pPr>
              <w:spacing w:after="20"/>
              <w:jc w:val="right"/>
            </w:pPr>
            <w:r>
              <w:rPr>
                <w:color w:val="1C3A36"/>
                <w:sz w:val="17"/>
              </w:rPr>
              <w:t>Firm, low energy</w:t>
            </w:r>
          </w:p>
        </w:tc>
      </w:tr>
      <w:tr>
        <w:tc>
          <w:tcPr>
            <w:tcW w:type="dxa" w:w="3096"/>
            <w:shd w:val="clear" w:color="auto" w:fill="F6F1E6"/>
          </w:tcPr>
          <w:p>
            <w:pPr>
              <w:spacing w:after="20"/>
            </w:pPr>
            <w:r>
              <w:rPr>
                <w:b/>
                <w:color w:val="1C3A36"/>
                <w:sz w:val="17"/>
              </w:rPr>
              <w:t>Momentum / range</w:t>
            </w:r>
          </w:p>
        </w:tc>
        <w:tc>
          <w:tcPr>
            <w:tcW w:type="dxa" w:w="3384"/>
            <w:shd w:val="clear" w:color="auto" w:fill="F6F1E6"/>
          </w:tcPr>
          <w:p>
            <w:pPr>
              <w:spacing w:after="20"/>
              <w:jc w:val="right"/>
            </w:pPr>
            <w:r>
              <w:rPr>
                <w:b/>
                <w:color w:val="1C3A36"/>
                <w:sz w:val="17"/>
              </w:rPr>
              <w:t>RSI · MACD · 52-week range</w:t>
            </w:r>
          </w:p>
        </w:tc>
        <w:tc>
          <w:tcPr>
            <w:tcW w:type="dxa" w:w="2088"/>
            <w:shd w:val="clear" w:color="auto" w:fill="F6F1E6"/>
          </w:tcPr>
          <w:p>
            <w:pPr>
              <w:spacing w:after="20"/>
              <w:jc w:val="right"/>
            </w:pPr>
            <w:r>
              <w:rPr>
                <w:b/>
                <w:color w:val="1C3A36"/>
                <w:sz w:val="17"/>
              </w:rPr>
              <w:t>RSI 66 · MACD +0.09 · 40.2–45.4</w:t>
            </w:r>
          </w:p>
        </w:tc>
        <w:tc>
          <w:tcPr>
            <w:tcW w:type="dxa" w:w="1656"/>
            <w:shd w:val="clear" w:color="auto" w:fill="F6F1E6"/>
          </w:tcPr>
          <w:p>
            <w:pPr>
              <w:spacing w:after="20"/>
              <w:jc w:val="right"/>
            </w:pPr>
            <w:r>
              <w:rPr>
                <w:b/>
                <w:color w:val="1C3A36"/>
                <w:sz w:val="17"/>
              </w:rPr>
              <w:t>Firm, not overbought</w:t>
            </w:r>
          </w:p>
        </w:tc>
      </w:tr>
      <w:tr>
        <w:tc>
          <w:tcPr>
            <w:tcW w:type="dxa" w:w="3096"/>
          </w:tcPr>
          <w:p>
            <w:pPr>
              <w:spacing w:after="20"/>
            </w:pPr>
            <w:r>
              <w:rPr>
                <w:color w:val="1C3A36"/>
                <w:sz w:val="17"/>
              </w:rPr>
              <w:t>THE PRICE MAP — where price could go, from the cone anchor</w:t>
            </w:r>
          </w:p>
        </w:tc>
        <w:tc>
          <w:tcPr>
            <w:tcW w:type="dxa" w:w="3384"/>
          </w:tcPr>
          <w:p>
            <w:pPr>
              <w:spacing w:after="20"/>
              <w:jc w:val="right"/>
            </w:pPr>
            <w:r>
              <w:rPr>
                <w:color w:val="1C3A36"/>
                <w:sz w:val="17"/>
              </w:rPr>
            </w:r>
          </w:p>
        </w:tc>
        <w:tc>
          <w:tcPr>
            <w:tcW w:type="dxa" w:w="2088"/>
          </w:tcPr>
          <w:p>
            <w:pPr>
              <w:spacing w:after="20"/>
              <w:jc w:val="right"/>
            </w:pPr>
            <w:r>
              <w:rPr>
                <w:color w:val="1C3A36"/>
                <w:sz w:val="17"/>
              </w:rPr>
            </w:r>
          </w:p>
        </w:tc>
        <w:tc>
          <w:tcPr>
            <w:tcW w:type="dxa" w:w="1656"/>
          </w:tcPr>
          <w:p>
            <w:pPr>
              <w:spacing w:after="20"/>
              <w:jc w:val="right"/>
            </w:pPr>
            <w:r>
              <w:rPr>
                <w:color w:val="1C3A36"/>
                <w:sz w:val="17"/>
              </w:rPr>
            </w:r>
          </w:p>
        </w:tc>
      </w:tr>
      <w:tr>
        <w:tc>
          <w:tcPr>
            <w:tcW w:type="dxa" w:w="3096"/>
          </w:tcPr>
          <w:p>
            <w:pPr>
              <w:spacing w:after="20"/>
            </w:pPr>
            <w:r>
              <w:rPr>
                <w:color w:val="1C3A36"/>
                <w:sz w:val="17"/>
              </w:rPr>
              <w:t>1 month</w:t>
            </w:r>
          </w:p>
        </w:tc>
        <w:tc>
          <w:tcPr>
            <w:tcW w:type="dxa" w:w="3384"/>
          </w:tcPr>
          <w:p>
            <w:pPr>
              <w:spacing w:after="20"/>
              <w:jc w:val="right"/>
            </w:pPr>
            <w:r>
              <w:rPr>
                <w:color w:val="1C3A36"/>
                <w:sz w:val="17"/>
              </w:rPr>
              <w:t>50,000 paths, the production engine</w:t>
            </w:r>
          </w:p>
        </w:tc>
        <w:tc>
          <w:tcPr>
            <w:tcW w:type="dxa" w:w="2088"/>
          </w:tcPr>
          <w:p>
            <w:pPr>
              <w:spacing w:after="20"/>
              <w:jc w:val="right"/>
            </w:pPr>
            <w:r>
              <w:rPr>
                <w:color w:val="1C3A36"/>
                <w:sz w:val="17"/>
              </w:rPr>
              <w:t>p5 42 · p50 44.9 · p95 48</w:t>
            </w:r>
          </w:p>
        </w:tc>
        <w:tc>
          <w:tcPr>
            <w:tcW w:type="dxa" w:w="1656"/>
          </w:tcPr>
          <w:p>
            <w:pPr>
              <w:spacing w:after="20"/>
              <w:jc w:val="right"/>
            </w:pPr>
            <w:r>
              <w:rPr>
                <w:color w:val="1C3A36"/>
                <w:sz w:val="17"/>
              </w:rPr>
              <w:t>Median +0.5% on the anchor</w:t>
            </w:r>
          </w:p>
        </w:tc>
      </w:tr>
      <w:tr>
        <w:tc>
          <w:tcPr>
            <w:tcW w:type="dxa" w:w="3096"/>
            <w:shd w:val="clear" w:color="auto" w:fill="F6F1E6"/>
          </w:tcPr>
          <w:p>
            <w:pPr>
              <w:spacing w:after="20"/>
            </w:pPr>
            <w:r>
              <w:rPr>
                <w:b/>
                <w:color w:val="1C3A36"/>
                <w:sz w:val="17"/>
              </w:rPr>
              <w:t>3 months</w:t>
            </w:r>
          </w:p>
        </w:tc>
        <w:tc>
          <w:tcPr>
            <w:tcW w:type="dxa" w:w="3384"/>
            <w:shd w:val="clear" w:color="auto" w:fill="F6F1E6"/>
          </w:tcPr>
          <w:p>
            <w:pPr>
              <w:spacing w:after="20"/>
              <w:jc w:val="right"/>
            </w:pPr>
            <w:r>
              <w:rPr>
                <w:b/>
                <w:color w:val="1C3A36"/>
                <w:sz w:val="17"/>
              </w:rPr>
              <w:t>same engine, the longer horizon</w:t>
            </w:r>
          </w:p>
        </w:tc>
        <w:tc>
          <w:tcPr>
            <w:tcW w:type="dxa" w:w="2088"/>
            <w:shd w:val="clear" w:color="auto" w:fill="F6F1E6"/>
          </w:tcPr>
          <w:p>
            <w:pPr>
              <w:spacing w:after="20"/>
              <w:jc w:val="right"/>
            </w:pPr>
            <w:r>
              <w:rPr>
                <w:b/>
                <w:color w:val="1C3A36"/>
                <w:sz w:val="17"/>
              </w:rPr>
              <w:t>p5 39 · p50 45.3 · p95 52</w:t>
            </w:r>
          </w:p>
        </w:tc>
        <w:tc>
          <w:tcPr>
            <w:tcW w:type="dxa" w:w="1656"/>
            <w:shd w:val="clear" w:color="auto" w:fill="F6F1E6"/>
          </w:tcPr>
          <w:p>
            <w:pPr>
              <w:spacing w:after="20"/>
              <w:jc w:val="right"/>
            </w:pPr>
            <w:r>
              <w:rPr>
                <w:b/>
                <w:color w:val="1C3A36"/>
                <w:sz w:val="17"/>
              </w:rPr>
              <w:t>Median +1.3%; a small upward lean</w:t>
            </w:r>
          </w:p>
        </w:tc>
      </w:tr>
      <w:tr>
        <w:tc>
          <w:tcPr>
            <w:tcW w:type="dxa" w:w="3096"/>
          </w:tcPr>
          <w:p>
            <w:pPr>
              <w:spacing w:after="20"/>
            </w:pPr>
            <w:r>
              <w:rPr>
                <w:color w:val="1C3A36"/>
                <w:sz w:val="17"/>
              </w:rPr>
              <w:t>EXPERT PANEL — three independent methods (Appendix C)</w:t>
            </w:r>
          </w:p>
        </w:tc>
        <w:tc>
          <w:tcPr>
            <w:tcW w:type="dxa" w:w="3384"/>
          </w:tcPr>
          <w:p>
            <w:pPr>
              <w:spacing w:after="20"/>
              <w:jc w:val="right"/>
            </w:pPr>
            <w:r>
              <w:rPr>
                <w:color w:val="1C3A36"/>
                <w:sz w:val="17"/>
              </w:rPr>
            </w:r>
          </w:p>
        </w:tc>
        <w:tc>
          <w:tcPr>
            <w:tcW w:type="dxa" w:w="2088"/>
          </w:tcPr>
          <w:p>
            <w:pPr>
              <w:spacing w:after="20"/>
              <w:jc w:val="right"/>
            </w:pPr>
            <w:r>
              <w:rPr>
                <w:color w:val="1C3A36"/>
                <w:sz w:val="17"/>
              </w:rPr>
            </w:r>
          </w:p>
        </w:tc>
        <w:tc>
          <w:tcPr>
            <w:tcW w:type="dxa" w:w="1656"/>
          </w:tcPr>
          <w:p>
            <w:pPr>
              <w:spacing w:after="20"/>
              <w:jc w:val="right"/>
            </w:pPr>
            <w:r>
              <w:rPr>
                <w:color w:val="1C3A36"/>
                <w:sz w:val="17"/>
              </w:rPr>
            </w:r>
          </w:p>
        </w:tc>
      </w:tr>
      <w:tr>
        <w:tc>
          <w:tcPr>
            <w:tcW w:type="dxa" w:w="3096"/>
          </w:tcPr>
          <w:p>
            <w:pPr>
              <w:spacing w:after="20"/>
            </w:pPr>
            <w:r>
              <w:rPr>
                <w:color w:val="1C3A36"/>
                <w:sz w:val="17"/>
              </w:rPr>
              <w:t>Expert 1 — cash returns / economic profit</w:t>
            </w:r>
          </w:p>
        </w:tc>
        <w:tc>
          <w:tcPr>
            <w:tcW w:type="dxa" w:w="3384"/>
          </w:tcPr>
          <w:p>
            <w:pPr>
              <w:spacing w:after="20"/>
              <w:jc w:val="right"/>
            </w:pPr>
            <w:r>
              <w:rPr>
                <w:color w:val="1C3A36"/>
                <w:sz w:val="17"/>
              </w:rPr>
              <w:t>ROIC vs WACC with fading excess returns</w:t>
            </w:r>
          </w:p>
        </w:tc>
        <w:tc>
          <w:tcPr>
            <w:tcW w:type="dxa" w:w="2088"/>
          </w:tcPr>
          <w:p>
            <w:pPr>
              <w:spacing w:after="20"/>
              <w:jc w:val="right"/>
            </w:pPr>
            <w:r>
              <w:rPr>
                <w:color w:val="1C3A36"/>
                <w:sz w:val="17"/>
              </w:rPr>
              <w:t>SAR 36</w:t>
            </w:r>
          </w:p>
        </w:tc>
        <w:tc>
          <w:tcPr>
            <w:tcW w:type="dxa" w:w="1656"/>
          </w:tcPr>
          <w:p>
            <w:pPr>
              <w:spacing w:after="20"/>
              <w:jc w:val="right"/>
            </w:pPr>
            <w:r>
              <w:rPr>
                <w:color w:val="1C3A36"/>
                <w:sz w:val="17"/>
              </w:rPr>
              <w:t>the lowest of the three</w:t>
            </w:r>
          </w:p>
        </w:tc>
      </w:tr>
      <w:tr>
        <w:tc>
          <w:tcPr>
            <w:tcW w:type="dxa" w:w="3096"/>
          </w:tcPr>
          <w:p>
            <w:pPr>
              <w:spacing w:after="20"/>
            </w:pPr>
            <w:r>
              <w:rPr>
                <w:color w:val="1C3A36"/>
                <w:sz w:val="17"/>
              </w:rPr>
              <w:t>Expert 2 — normalized earnings power</w:t>
            </w:r>
          </w:p>
        </w:tc>
        <w:tc>
          <w:tcPr>
            <w:tcW w:type="dxa" w:w="3384"/>
          </w:tcPr>
          <w:p>
            <w:pPr>
              <w:spacing w:after="20"/>
              <w:jc w:val="right"/>
            </w:pPr>
            <w:r>
              <w:rPr>
                <w:color w:val="1C3A36"/>
                <w:sz w:val="17"/>
              </w:rPr>
              <w:t>Mid-cycle EPS × multiple</w:t>
            </w:r>
          </w:p>
        </w:tc>
        <w:tc>
          <w:tcPr>
            <w:tcW w:type="dxa" w:w="2088"/>
          </w:tcPr>
          <w:p>
            <w:pPr>
              <w:spacing w:after="20"/>
              <w:jc w:val="right"/>
            </w:pPr>
            <w:r>
              <w:rPr>
                <w:color w:val="1C3A36"/>
                <w:sz w:val="17"/>
              </w:rPr>
              <w:t>SAR 40</w:t>
            </w:r>
          </w:p>
        </w:tc>
        <w:tc>
          <w:tcPr>
            <w:tcW w:type="dxa" w:w="1656"/>
          </w:tcPr>
          <w:p>
            <w:pPr>
              <w:spacing w:after="20"/>
              <w:jc w:val="right"/>
            </w:pPr>
            <w:r>
              <w:rPr>
                <w:color w:val="1C3A36"/>
                <w:sz w:val="17"/>
              </w:rPr>
              <w:t>nearest the market</w:t>
            </w:r>
          </w:p>
        </w:tc>
      </w:tr>
      <w:tr>
        <w:tc>
          <w:tcPr>
            <w:tcW w:type="dxa" w:w="3096"/>
          </w:tcPr>
          <w:p>
            <w:pPr>
              <w:spacing w:after="20"/>
            </w:pPr>
            <w:r>
              <w:rPr>
                <w:color w:val="1C3A36"/>
                <w:sz w:val="17"/>
              </w:rPr>
              <w:t>Expert 3 — macro-policy scenario tree</w:t>
            </w:r>
          </w:p>
        </w:tc>
        <w:tc>
          <w:tcPr>
            <w:tcW w:type="dxa" w:w="3384"/>
          </w:tcPr>
          <w:p>
            <w:pPr>
              <w:spacing w:after="20"/>
              <w:jc w:val="right"/>
            </w:pPr>
            <w:r>
              <w:rPr>
                <w:color w:val="1C3A36"/>
                <w:sz w:val="17"/>
              </w:rPr>
              <w:t>Rate path &amp; payout scenarios into a DDM</w:t>
            </w:r>
          </w:p>
        </w:tc>
        <w:tc>
          <w:tcPr>
            <w:tcW w:type="dxa" w:w="2088"/>
          </w:tcPr>
          <w:p>
            <w:pPr>
              <w:spacing w:after="20"/>
              <w:jc w:val="right"/>
            </w:pPr>
            <w:r>
              <w:rPr>
                <w:color w:val="1C3A36"/>
                <w:sz w:val="17"/>
              </w:rPr>
              <w:t>SAR 37</w:t>
            </w:r>
          </w:p>
        </w:tc>
        <w:tc>
          <w:tcPr>
            <w:tcW w:type="dxa" w:w="1656"/>
          </w:tcPr>
          <w:p>
            <w:pPr>
              <w:spacing w:after="20"/>
              <w:jc w:val="right"/>
            </w:pPr>
            <w:r>
              <w:rPr>
                <w:color w:val="1C3A36"/>
                <w:sz w:val="17"/>
              </w:rPr>
              <w:t>between the two</w:t>
            </w:r>
          </w:p>
        </w:tc>
      </w:tr>
      <w:tr>
        <w:tc>
          <w:tcPr>
            <w:tcW w:type="dxa" w:w="3096"/>
          </w:tcPr>
          <w:p>
            <w:pPr>
              <w:spacing w:after="20"/>
            </w:pPr>
            <w:r>
              <w:rPr>
                <w:color w:val="1C3A36"/>
                <w:sz w:val="17"/>
              </w:rPr>
              <w:t>Panel range</w:t>
            </w:r>
          </w:p>
        </w:tc>
        <w:tc>
          <w:tcPr>
            <w:tcW w:type="dxa" w:w="3384"/>
          </w:tcPr>
          <w:p>
            <w:pPr>
              <w:spacing w:after="20"/>
              <w:jc w:val="right"/>
            </w:pPr>
            <w:r>
              <w:rPr>
                <w:color w:val="1C3A36"/>
                <w:sz w:val="17"/>
              </w:rPr>
              <w:t>Spread = the fade-vs-franchise question</w:t>
            </w:r>
          </w:p>
        </w:tc>
        <w:tc>
          <w:tcPr>
            <w:tcW w:type="dxa" w:w="2088"/>
          </w:tcPr>
          <w:p>
            <w:pPr>
              <w:spacing w:after="20"/>
              <w:jc w:val="right"/>
            </w:pPr>
            <w:r>
              <w:rPr>
                <w:color w:val="1C3A36"/>
                <w:sz w:val="17"/>
              </w:rPr>
              <w:t>SAR 36–40</w:t>
            </w:r>
          </w:p>
        </w:tc>
        <w:tc>
          <w:tcPr>
            <w:tcW w:type="dxa" w:w="1656"/>
          </w:tcPr>
          <w:p>
            <w:pPr>
              <w:spacing w:after="20"/>
              <w:jc w:val="right"/>
            </w:pPr>
            <w:r>
              <w:rPr>
                <w:color w:val="1C3A36"/>
                <w:sz w:val="17"/>
              </w:rPr>
              <w:t>Centres ~SAR 37</w:t>
            </w:r>
          </w:p>
        </w:tc>
      </w:tr>
    </w:tbl>
    <w:p>
      <w:pPr>
        <w:spacing w:after="40"/>
      </w:pPr>
    </w:p>
    <w:p>
      <w:pPr>
        <w:spacing w:after="160" w:before="0"/>
      </w:pPr>
      <w:r>
        <w:rPr>
          <w:b/>
          <w:i w:val="0"/>
          <w:color w:val="1C3A36"/>
          <w:sz w:val="19"/>
        </w:rPr>
        <w:t xml:space="preserve">Bottom line. </w:t>
      </w:r>
      <w:r>
        <w:rPr>
          <w:b w:val="0"/>
          <w:i w:val="0"/>
          <w:color w:val="1C3A36"/>
          <w:sz w:val="19"/>
        </w:rPr>
        <w:t>The fundamental reads span SAR 35.3 to 48.1 and the central — the cash-flow lens, which is what this class is valued on — is SAR 36.06, 17.8% below the latest known price. THAT GAP IS WHY THIS STUDY IS HELD: a central more than a tenth below the traded price is a high-prior-of-defect region, and an eight-heading review is what stands between the number and a reader. The review did not move the answer toward the price and was not meant to — what it found were defects in the model, each corrected on its own evidence, and the answer moved where the corrections took it. The cross-checks are published beside the central and never averaged into it: two of them are not permitted cross-checks for this class at all, and in the delivered edition they carried 45% of a weighted answer.</w:t>
      </w:r>
    </w:p>
    <w:p>
      <w:pPr>
        <w:spacing w:after="80" w:before="200"/>
      </w:pPr>
      <w:r>
        <w:rPr>
          <w:b/>
          <w:i w:val="0"/>
          <w:color w:val="1C3A36"/>
          <w:sz w:val="24"/>
        </w:rPr>
        <w:t>Company overview — stc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10224" w:type="dxa"/>
      </w:tblPr>
      <w:tblGrid>
        <w:gridCol w:w="2448"/>
        <w:gridCol w:w="7776"/>
      </w:tblGrid>
      <w:tr>
        <w:tc>
          <w:tcPr>
            <w:tcW w:type="dxa" w:w="2448"/>
            <w:shd w:val="clear" w:color="auto" w:fill="EAF0EE"/>
          </w:tcPr>
          <w:p>
            <w:pPr>
              <w:spacing w:after="20"/>
            </w:pPr>
            <w:r>
              <w:rPr>
                <w:b/>
                <w:color w:val="1C3A36"/>
                <w:sz w:val="18"/>
              </w:rPr>
              <w:t>Item</w:t>
            </w:r>
          </w:p>
        </w:tc>
        <w:tc>
          <w:tcPr>
            <w:tcW w:type="dxa" w:w="7776"/>
            <w:shd w:val="clear" w:color="auto" w:fill="EAF0EE"/>
          </w:tcPr>
          <w:p>
            <w:pPr>
              <w:spacing w:after="20"/>
            </w:pPr>
            <w:r>
              <w:rPr>
                <w:b/>
                <w:color w:val="1C3A36"/>
                <w:sz w:val="18"/>
              </w:rPr>
              <w:t>Value</w:t>
            </w:r>
          </w:p>
        </w:tc>
      </w:tr>
      <w:tr>
        <w:tc>
          <w:tcPr>
            <w:tcW w:type="dxa" w:w="2448"/>
          </w:tcPr>
          <w:p>
            <w:pPr>
              <w:spacing w:after="20"/>
            </w:pPr>
            <w:r>
              <w:rPr>
                <w:b/>
                <w:color w:val="1C3A36"/>
                <w:sz w:val="18"/>
              </w:rPr>
              <w:t>Listed entity</w:t>
            </w:r>
          </w:p>
        </w:tc>
        <w:tc>
          <w:tcPr>
            <w:tcW w:type="dxa" w:w="7776"/>
          </w:tcPr>
          <w:p>
            <w:pPr>
              <w:spacing w:after="20"/>
              <w:jc w:val="right"/>
            </w:pPr>
            <w:r>
              <w:rPr>
                <w:color w:val="1C3A36"/>
                <w:sz w:val="18"/>
              </w:rPr>
              <w:t>Saudi Telecom Company (stc Group), Tadawul: 7010</w:t>
            </w:r>
          </w:p>
        </w:tc>
      </w:tr>
      <w:tr>
        <w:tc>
          <w:tcPr>
            <w:tcW w:type="dxa" w:w="2448"/>
          </w:tcPr>
          <w:p>
            <w:pPr>
              <w:spacing w:after="20"/>
            </w:pPr>
            <w:r>
              <w:rPr>
                <w:b/>
                <w:color w:val="1C3A36"/>
                <w:sz w:val="18"/>
              </w:rPr>
              <w:t>What it is</w:t>
            </w:r>
          </w:p>
        </w:tc>
        <w:tc>
          <w:tcPr>
            <w:tcW w:type="dxa" w:w="7776"/>
          </w:tcPr>
          <w:p>
            <w:pPr>
              <w:spacing w:after="20"/>
              <w:jc w:val="right"/>
            </w:pPr>
            <w:r>
              <w:rPr>
                <w:color w:val="1C3A36"/>
                <w:sz w:val="18"/>
              </w:rPr>
              <w:t>The Kingdom’s incumbent telecom operator and MENA’s largest telecom by market value; consumer, enterprise and wholesale connectivity plus a digital-infrastructure and fintech portfolio</w:t>
            </w:r>
          </w:p>
        </w:tc>
      </w:tr>
      <w:tr>
        <w:tc>
          <w:tcPr>
            <w:tcW w:type="dxa" w:w="2448"/>
          </w:tcPr>
          <w:p>
            <w:pPr>
              <w:spacing w:after="20"/>
            </w:pPr>
            <w:r>
              <w:rPr>
                <w:b/>
                <w:color w:val="1C3A36"/>
                <w:sz w:val="18"/>
              </w:rPr>
              <w:t>Spot / date</w:t>
            </w:r>
          </w:p>
        </w:tc>
        <w:tc>
          <w:tcPr>
            <w:tcW w:type="dxa" w:w="7776"/>
          </w:tcPr>
          <w:p>
            <w:pPr>
              <w:spacing w:after="20"/>
              <w:jc w:val="right"/>
            </w:pPr>
            <w:r>
              <w:rPr>
                <w:color w:val="1C3A36"/>
                <w:sz w:val="18"/>
              </w:rPr>
              <w:t>SAR 43.86 · 2026-09-03 close, the latest known</w:t>
            </w:r>
          </w:p>
        </w:tc>
      </w:tr>
      <w:tr>
        <w:tc>
          <w:tcPr>
            <w:tcW w:type="dxa" w:w="2448"/>
          </w:tcPr>
          <w:p>
            <w:pPr>
              <w:spacing w:after="20"/>
            </w:pPr>
            <w:r>
              <w:rPr>
                <w:b/>
                <w:color w:val="1C3A36"/>
                <w:sz w:val="18"/>
              </w:rPr>
              <w:t>Shares · market capitalisation</w:t>
            </w:r>
          </w:p>
        </w:tc>
        <w:tc>
          <w:tcPr>
            <w:tcW w:type="dxa" w:w="7776"/>
          </w:tcPr>
          <w:p>
            <w:pPr>
              <w:spacing w:after="20"/>
              <w:jc w:val="right"/>
            </w:pPr>
            <w:r>
              <w:rPr>
                <w:color w:val="1C3A36"/>
                <w:sz w:val="18"/>
              </w:rPr>
              <w:t>4,993.0 mn (issued capital over par, less treasury) · SAR 219.0 bn</w:t>
            </w:r>
          </w:p>
        </w:tc>
      </w:tr>
      <w:tr>
        <w:tc>
          <w:tcPr>
            <w:tcW w:type="dxa" w:w="2448"/>
          </w:tcPr>
          <w:p>
            <w:pPr>
              <w:spacing w:after="20"/>
            </w:pPr>
            <w:r>
              <w:rPr>
                <w:b/>
                <w:color w:val="1C3A36"/>
                <w:sz w:val="18"/>
              </w:rPr>
              <w:t>FY2025 revenue / EBITDA / net profit</w:t>
            </w:r>
          </w:p>
        </w:tc>
        <w:tc>
          <w:tcPr>
            <w:tcW w:type="dxa" w:w="7776"/>
          </w:tcPr>
          <w:p>
            <w:pPr>
              <w:spacing w:after="20"/>
              <w:jc w:val="right"/>
            </w:pPr>
            <w:r>
              <w:rPr>
                <w:color w:val="1C3A36"/>
                <w:sz w:val="18"/>
              </w:rPr>
              <w:t>SAR 77,819 mn (+2.5%) · SAR 24,469 mn (31.4% margin) · SAR 14,828 mn (+12.5% adjusted; reported −39.9% vs FY24’s TAWAL-gain year)</w:t>
            </w:r>
          </w:p>
        </w:tc>
      </w:tr>
      <w:tr>
        <w:tc>
          <w:tcPr>
            <w:tcW w:type="dxa" w:w="2448"/>
          </w:tcPr>
          <w:p>
            <w:pPr>
              <w:spacing w:after="20"/>
            </w:pPr>
            <w:r>
              <w:rPr>
                <w:b/>
                <w:color w:val="1C3A36"/>
                <w:sz w:val="18"/>
              </w:rPr>
              <w:t>Half-year 2026 revenue / gross profit</w:t>
            </w:r>
          </w:p>
        </w:tc>
        <w:tc>
          <w:tcPr>
            <w:tcW w:type="dxa" w:w="7776"/>
          </w:tcPr>
          <w:p>
            <w:pPr>
              <w:spacing w:after="20"/>
              <w:jc w:val="right"/>
            </w:pPr>
            <w:r>
              <w:rPr>
                <w:color w:val="1C3A36"/>
                <w:sz w:val="18"/>
              </w:rPr>
              <w:t>SAR 40,110 mn (+3.7%) · SAR 19,637 mn (+5.2%, a 49.0% margin) — the reviewed six months to 30 June 2026, which is the period the base year, the bridge and the first forecast year all stand on</w:t>
            </w:r>
          </w:p>
        </w:tc>
      </w:tr>
      <w:tr>
        <w:tc>
          <w:tcPr>
            <w:tcW w:type="dxa" w:w="2448"/>
          </w:tcPr>
          <w:p>
            <w:pPr>
              <w:spacing w:after="20"/>
            </w:pPr>
            <w:r>
              <w:rPr>
                <w:b/>
                <w:color w:val="1C3A36"/>
                <w:sz w:val="18"/>
              </w:rPr>
              <w:t>Segment split (FY2025)</w:t>
            </w:r>
          </w:p>
        </w:tc>
        <w:tc>
          <w:tcPr>
            <w:tcW w:type="dxa" w:w="7776"/>
          </w:tcPr>
          <w:p>
            <w:pPr>
              <w:spacing w:after="20"/>
              <w:jc w:val="right"/>
            </w:pPr>
            <w:r>
              <w:rPr>
                <w:color w:val="1C3A36"/>
                <w:sz w:val="18"/>
              </w:rPr>
              <w:t>stc KSA SAR 51,119 mn (consumer 32,826 · enterprise 13,514 · wholesale 4,779) · subsidiaries net ~SAR 26,700 mn</w:t>
            </w:r>
          </w:p>
        </w:tc>
      </w:tr>
      <w:tr>
        <w:tc>
          <w:tcPr>
            <w:tcW w:type="dxa" w:w="2448"/>
          </w:tcPr>
          <w:p>
            <w:pPr>
              <w:spacing w:after="20"/>
            </w:pPr>
            <w:r>
              <w:rPr>
                <w:b/>
                <w:color w:val="1C3A36"/>
                <w:sz w:val="18"/>
              </w:rPr>
              <w:t>Balance sheet</w:t>
            </w:r>
          </w:p>
        </w:tc>
        <w:tc>
          <w:tcPr>
            <w:tcW w:type="dxa" w:w="7776"/>
          </w:tcPr>
          <w:p>
            <w:pPr>
              <w:spacing w:after="20"/>
              <w:jc w:val="right"/>
            </w:pPr>
            <w:r>
              <w:rPr>
                <w:color w:val="1C3A36"/>
                <w:sz w:val="18"/>
              </w:rPr>
              <w:t>Net debt SAR 8,375 mn on the reviewed 30 June 2026 sheet the bridge stands on — borrowings 23,537 plus leases 2,259 and the spectrum-licence liability 3,443, against cash and near-cash of 20,863</w:t>
            </w:r>
          </w:p>
        </w:tc>
      </w:tr>
      <w:tr>
        <w:tc>
          <w:tcPr>
            <w:tcW w:type="dxa" w:w="2448"/>
          </w:tcPr>
          <w:p>
            <w:pPr>
              <w:spacing w:after="20"/>
            </w:pPr>
            <w:r>
              <w:rPr>
                <w:b/>
                <w:color w:val="1C3A36"/>
                <w:sz w:val="18"/>
              </w:rPr>
              <w:t>Dividend</w:t>
            </w:r>
          </w:p>
        </w:tc>
        <w:tc>
          <w:tcPr>
            <w:tcW w:type="dxa" w:w="7776"/>
          </w:tcPr>
          <w:p>
            <w:pPr>
              <w:spacing w:after="20"/>
              <w:jc w:val="right"/>
            </w:pPr>
            <w:r>
              <w:rPr>
                <w:color w:val="1C3A36"/>
                <w:sz w:val="18"/>
              </w:rPr>
              <w:t>SAR 0.55/quarter locked through Q3-2027 (SAR 2.20/yr ≈ 5.0% yield); FY24 also paid a SAR 2.00 special (cash paid 2025: SAR 4.20/sh ≈ 9.6%)</w:t>
            </w:r>
          </w:p>
        </w:tc>
      </w:tr>
      <w:tr>
        <w:tc>
          <w:tcPr>
            <w:tcW w:type="dxa" w:w="2448"/>
          </w:tcPr>
          <w:p>
            <w:pPr>
              <w:spacing w:after="20"/>
            </w:pPr>
            <w:r>
              <w:rPr>
                <w:b/>
                <w:color w:val="1C3A36"/>
                <w:sz w:val="18"/>
              </w:rPr>
              <w:t>Key stakes</w:t>
            </w:r>
          </w:p>
        </w:tc>
        <w:tc>
          <w:tcPr>
            <w:tcW w:type="dxa" w:w="7776"/>
          </w:tcPr>
          <w:p>
            <w:pPr>
              <w:spacing w:after="20"/>
              <w:jc w:val="right"/>
            </w:pPr>
            <w:r>
              <w:rPr>
                <w:color w:val="1C3A36"/>
                <w:sz w:val="18"/>
              </w:rPr>
              <w:t>43.06% Digital Infrastructure Co (TAWAL + Zain towers; PIF 54%) · 9.97% Telefónica (€2.1 bn cost; ≈€1.96 bn market) · solutions by stc 79% (mkt cap ~SAR 26 bn) · stc bank 85% (8 mn customers)</w:t>
            </w:r>
          </w:p>
        </w:tc>
      </w:tr>
      <w:tr>
        <w:tc>
          <w:tcPr>
            <w:tcW w:type="dxa" w:w="2448"/>
          </w:tcPr>
          <w:p>
            <w:pPr>
              <w:spacing w:after="20"/>
            </w:pPr>
            <w:r>
              <w:rPr>
                <w:b/>
                <w:color w:val="1C3A36"/>
                <w:sz w:val="18"/>
              </w:rPr>
              <w:t>52-week range</w:t>
            </w:r>
          </w:p>
        </w:tc>
        <w:tc>
          <w:tcPr>
            <w:tcW w:type="dxa" w:w="7776"/>
          </w:tcPr>
          <w:p>
            <w:pPr>
              <w:spacing w:after="20"/>
              <w:jc w:val="right"/>
            </w:pPr>
            <w:r>
              <w:rPr>
                <w:color w:val="1C3A36"/>
                <w:sz w:val="18"/>
              </w:rPr>
              <w:t>SAR 40.20 (1 Mar 2026) – 45.38 (30 Oct 2025)</w:t>
            </w:r>
          </w:p>
        </w:tc>
      </w:tr>
      <w:tr>
        <w:tc>
          <w:tcPr>
            <w:tcW w:type="dxa" w:w="2448"/>
          </w:tcPr>
          <w:p>
            <w:pPr>
              <w:spacing w:after="20"/>
            </w:pPr>
            <w:r>
              <w:rPr>
                <w:b/>
                <w:color w:val="1C3A36"/>
                <w:sz w:val="18"/>
              </w:rPr>
              <w:t>Ownership</w:t>
            </w:r>
          </w:p>
        </w:tc>
        <w:tc>
          <w:tcPr>
            <w:tcW w:type="dxa" w:w="7776"/>
          </w:tcPr>
          <w:p>
            <w:pPr>
              <w:spacing w:after="20"/>
              <w:jc w:val="right"/>
            </w:pPr>
            <w:r>
              <w:rPr>
                <w:color w:val="1C3A36"/>
                <w:sz w:val="18"/>
              </w:rPr>
              <w:t>PIF 62.0% (after the Nov-2024 SAR 3.86 bn accelerated bookbuild) · free float ~38%</w:t>
            </w:r>
          </w:p>
        </w:tc>
      </w:tr>
      <w:tr>
        <w:tc>
          <w:tcPr>
            <w:tcW w:type="dxa" w:w="2448"/>
          </w:tcPr>
          <w:p>
            <w:pPr>
              <w:spacing w:after="20"/>
            </w:pPr>
            <w:r>
              <w:rPr>
                <w:b/>
                <w:color w:val="1C3A36"/>
                <w:sz w:val="18"/>
              </w:rPr>
              <w:t>Corporate events</w:t>
            </w:r>
          </w:p>
        </w:tc>
        <w:tc>
          <w:tcPr>
            <w:tcW w:type="dxa" w:w="7776"/>
          </w:tcPr>
          <w:p>
            <w:pPr>
              <w:spacing w:after="20"/>
              <w:jc w:val="right"/>
            </w:pPr>
            <w:r>
              <w:rPr>
                <w:color w:val="1C3A36"/>
                <w:sz w:val="18"/>
              </w:rPr>
              <w:t>$2 bn dual-tranche sukuk (Jan-2026, 4.489%/5.083%) · 26 mn-share ESIP buyback approved 7 May 2026 · center3–HUMAIN AI-data-centre framework (Dec-2025, toward 1 GW) · SilkLink Syria fibre corridor (SAR 3 bn, Feb-2026)</w:t>
            </w:r>
          </w:p>
        </w:tc>
      </w:tr>
    </w:tbl>
    <w:p>
      <w:pPr>
        <w:spacing w:after="40"/>
      </w:pPr>
    </w:p>
    <w:p>
      <w:pPr>
        <w:spacing w:after="200" w:before="0"/>
      </w:pPr>
      <w:r>
        <w:rPr>
          <w:b w:val="0"/>
          <w:i/>
          <w:color w:val="6E7B77"/>
          <w:sz w:val="17"/>
        </w:rPr>
        <w:t>Source: the company’s own audited statements for FY2023 to FY2025, the reviewed interim for the six months to 30 June 2026, and its own earnings presentations — every one from its investor-relations archive; Saudi Exchange disclosures; PIF press releases. Values rounded.</w:t>
      </w:r>
    </w:p>
    <w:p>
      <w:pPr>
        <w:spacing w:after="120" w:before="280"/>
      </w:pPr>
      <w:r>
        <w:rPr>
          <w:b/>
          <w:i w:val="0"/>
          <w:color w:val="1C3A36"/>
          <w:sz w:val="30"/>
        </w:rPr>
        <w:t>1  Fundamental valuation</w:t>
      </w:r>
    </w:p>
    <w:p>
      <w:pPr>
        <w:spacing w:after="120" w:before="0"/>
      </w:pPr>
      <w:r>
        <w:rPr>
          <w:b w:val="0"/>
          <w:i w:val="0"/>
          <w:color w:val="1C3A36"/>
          <w:sz w:val="21"/>
        </w:rPr>
        <w:t>We value stc as a going-concern operator. ONE lens is the answer — a free-cash-flow-to-firm DCF — and the others are published beside it as cross-checks rather than averaged into it. The primary lens is that DCF, because a mature, capital-intensive network operator is ultimately worth the cash its infrastructure produces after the capex that keeps it competitive; the tower and Telefónica stakes sit outside the operating engine and are marked separately on the bridge. A dividend-discount read is the natural cross-check for a company whose board has locked a SAR 0.55-per-quarter distribution through 2027. A relative EV/EBITDA read and a normalized-earnings read complete the set. The weights and the football field are in §1.5; the segment engine in §1.6; the crux — dividend cover against the capex cycle, in real units — in §1.7; the cost-of-capital build (every input sourced, both ERP bases published) in §1.8; and the sensitivity grids in §1.9. One lens-selection note, considered and set aside: stc does own a captive-finance arm in stc bank, but at SAR 2.0 bn of revenue — 2.5% of the group — and an early-stage loan book it does not yet warrant the split-legs treatment a bank leg would get; it is carried inside the subsidiaries line and flagged as such, to be revisited once its regulated financials give it a book worth marking separately. Throughout, the cost of equity is published explicitly, and the equity premium is SPLIT because country risk is a charge on being here rather than one that scales with a stock's covariance [R-COC-03]: the normalised risk-free rate, plus beta times the MATURE premium, plus the country premium charged flat and once — 4.54% + 0.7093 x 4.23% + 1.49% = 9.03%, on the market basis this study names as central, with the alternative basis published beside it in §1.8 rather than chosen silently. The beta behind it is a five-year weekly regression against the published index of the exchange the stock is listed on, not an assumed round number.</w:t>
      </w:r>
    </w:p>
    <w:p>
      <w:pPr>
        <w:spacing w:after="80" w:before="200"/>
      </w:pPr>
      <w:r>
        <w:rPr>
          <w:b/>
          <w:i w:val="0"/>
          <w:color w:val="1C3A36"/>
          <w:sz w:val="24"/>
        </w:rPr>
        <w:t>1.1  The FCFF DCF — the primary lens</w:t>
      </w:r>
    </w:p>
    <w:p>
      <w:pPr>
        <w:spacing w:after="120" w:before="0"/>
      </w:pPr>
      <w:r>
        <w:rPr>
          <w:b w:val="0"/>
          <w:i w:val="0"/>
          <w:color w:val="1C3A36"/>
          <w:sz w:val="21"/>
        </w:rPr>
        <w:t>The revenue engine is the §1.6 segment build: stc discloses revenue by segment rather than subscribers and revenue per subscriber, so the forecast grows the disclosed lines on their own drivers rather than manufacturing a bottom-up split it has no data for. Group revenue compounds 2.4% a year across the explicit window, from SAR 80,737 mn to 88,722 mn — consumer growing slowly, enterprise recovering as mega-project phasing normalises, wholesale on hosting and fixed-wireless backhaul, and the subsidiaries fastest of the four. The EBITDA margin runs 32.06% in the first forecast year and 31.77% in the last: essentially flat, and slightly DOWN rather than up. That is deliberate and it is the point of §1.6 — margins here are an OUTPUT of the cost build, not an input, so the model is not permitted to assume the mix improvement that a glide would represent. Capital intensity is 14.96% of revenue, held flat, and it is MEASURED rather than guided: it is the three filed years' own mean of 1.161 times the depreciation of the base being renewed. Management publishes a band and an earlier edition of this study took its path straight from it; a forward target leans the same way an optimistic model does, so guidance is scored against what happens and never consumed as an input. Working capital is projected from the asset-conversion cycle rather than plugged. Zakat and income tax enter at the 8.03% the three filed years imply on operating profit, with the disclosed reversal of a prior year’s provision taken out rather than extrapolated.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10224" w:type="dxa"/>
      </w:tblPr>
      <w:tblGrid>
        <w:gridCol w:w="3024"/>
        <w:gridCol w:w="1440"/>
        <w:gridCol w:w="1440"/>
        <w:gridCol w:w="1440"/>
        <w:gridCol w:w="1440"/>
        <w:gridCol w:w="1440"/>
      </w:tblGrid>
      <w:tr>
        <w:tc>
          <w:tcPr>
            <w:tcW w:type="dxa" w:w="3024"/>
            <w:shd w:val="clear" w:color="auto" w:fill="EAF0EE"/>
          </w:tcPr>
          <w:p>
            <w:pPr>
              <w:spacing w:after="20"/>
            </w:pPr>
            <w:r>
              <w:rPr>
                <w:b/>
                <w:color w:val="1C3A36"/>
                <w:sz w:val="17"/>
              </w:rPr>
              <w:t>SAR mn</w:t>
            </w:r>
          </w:p>
        </w:tc>
        <w:tc>
          <w:tcPr>
            <w:tcW w:type="dxa" w:w="1440"/>
            <w:shd w:val="clear" w:color="auto" w:fill="EAF0EE"/>
          </w:tcPr>
          <w:p>
            <w:pPr>
              <w:spacing w:after="20"/>
            </w:pPr>
            <w:r>
              <w:rPr>
                <w:b/>
                <w:color w:val="1C3A36"/>
                <w:sz w:val="17"/>
              </w:rPr>
              <w:t>FY26E</w:t>
            </w:r>
          </w:p>
        </w:tc>
        <w:tc>
          <w:tcPr>
            <w:tcW w:type="dxa" w:w="1440"/>
            <w:shd w:val="clear" w:color="auto" w:fill="EAF0EE"/>
          </w:tcPr>
          <w:p>
            <w:pPr>
              <w:spacing w:after="20"/>
            </w:pPr>
            <w:r>
              <w:rPr>
                <w:b/>
                <w:color w:val="1C3A36"/>
                <w:sz w:val="17"/>
              </w:rPr>
              <w:t>FY27E</w:t>
            </w:r>
          </w:p>
        </w:tc>
        <w:tc>
          <w:tcPr>
            <w:tcW w:type="dxa" w:w="1440"/>
            <w:shd w:val="clear" w:color="auto" w:fill="EAF0EE"/>
          </w:tcPr>
          <w:p>
            <w:pPr>
              <w:spacing w:after="20"/>
            </w:pPr>
            <w:r>
              <w:rPr>
                <w:b/>
                <w:color w:val="1C3A36"/>
                <w:sz w:val="17"/>
              </w:rPr>
              <w:t>FY28E</w:t>
            </w:r>
          </w:p>
        </w:tc>
        <w:tc>
          <w:tcPr>
            <w:tcW w:type="dxa" w:w="1440"/>
            <w:shd w:val="clear" w:color="auto" w:fill="EAF0EE"/>
          </w:tcPr>
          <w:p>
            <w:pPr>
              <w:spacing w:after="20"/>
            </w:pPr>
            <w:r>
              <w:rPr>
                <w:b/>
                <w:color w:val="1C3A36"/>
                <w:sz w:val="17"/>
              </w:rPr>
              <w:t>FY29E</w:t>
            </w:r>
          </w:p>
        </w:tc>
        <w:tc>
          <w:tcPr>
            <w:tcW w:type="dxa" w:w="1440"/>
            <w:shd w:val="clear" w:color="auto" w:fill="EAF0EE"/>
          </w:tcPr>
          <w:p>
            <w:pPr>
              <w:spacing w:after="20"/>
            </w:pPr>
            <w:r>
              <w:rPr>
                <w:b/>
                <w:color w:val="1C3A36"/>
                <w:sz w:val="17"/>
              </w:rPr>
              <w:t>FY30E</w:t>
            </w:r>
          </w:p>
        </w:tc>
      </w:tr>
      <w:tr>
        <w:tc>
          <w:tcPr>
            <w:tcW w:type="dxa" w:w="3024"/>
          </w:tcPr>
          <w:p>
            <w:pPr>
              <w:spacing w:after="20"/>
            </w:pPr>
            <w:r>
              <w:rPr>
                <w:b/>
                <w:color w:val="1C3A36"/>
                <w:sz w:val="17"/>
              </w:rPr>
              <w:t>Group revenue</w:t>
            </w:r>
          </w:p>
        </w:tc>
        <w:tc>
          <w:tcPr>
            <w:tcW w:type="dxa" w:w="1440"/>
          </w:tcPr>
          <w:p>
            <w:pPr>
              <w:spacing w:after="20"/>
              <w:jc w:val="right"/>
            </w:pPr>
            <w:r>
              <w:rPr>
                <w:color w:val="1C3A36"/>
                <w:sz w:val="17"/>
              </w:rPr>
              <w:t>80,737</w:t>
            </w:r>
          </w:p>
        </w:tc>
        <w:tc>
          <w:tcPr>
            <w:tcW w:type="dxa" w:w="1440"/>
          </w:tcPr>
          <w:p>
            <w:pPr>
              <w:spacing w:after="20"/>
              <w:jc w:val="right"/>
            </w:pPr>
            <w:r>
              <w:rPr>
                <w:color w:val="1C3A36"/>
                <w:sz w:val="17"/>
              </w:rPr>
              <w:t>82,985</w:t>
            </w:r>
          </w:p>
        </w:tc>
        <w:tc>
          <w:tcPr>
            <w:tcW w:type="dxa" w:w="1440"/>
          </w:tcPr>
          <w:p>
            <w:pPr>
              <w:spacing w:after="20"/>
              <w:jc w:val="right"/>
            </w:pPr>
            <w:r>
              <w:rPr>
                <w:color w:val="1C3A36"/>
                <w:sz w:val="17"/>
              </w:rPr>
              <w:t>85,056</w:t>
            </w:r>
          </w:p>
        </w:tc>
        <w:tc>
          <w:tcPr>
            <w:tcW w:type="dxa" w:w="1440"/>
          </w:tcPr>
          <w:p>
            <w:pPr>
              <w:spacing w:after="20"/>
              <w:jc w:val="right"/>
            </w:pPr>
            <w:r>
              <w:rPr>
                <w:color w:val="1C3A36"/>
                <w:sz w:val="17"/>
              </w:rPr>
              <w:t>86,982</w:t>
            </w:r>
          </w:p>
        </w:tc>
        <w:tc>
          <w:tcPr>
            <w:tcW w:type="dxa" w:w="1440"/>
          </w:tcPr>
          <w:p>
            <w:pPr>
              <w:spacing w:after="20"/>
              <w:jc w:val="right"/>
            </w:pPr>
            <w:r>
              <w:rPr>
                <w:color w:val="1C3A36"/>
                <w:sz w:val="17"/>
              </w:rPr>
              <w:t>88,722</w:t>
            </w:r>
          </w:p>
        </w:tc>
      </w:tr>
      <w:tr>
        <w:tc>
          <w:tcPr>
            <w:tcW w:type="dxa" w:w="3024"/>
          </w:tcPr>
          <w:p>
            <w:pPr>
              <w:spacing w:after="20"/>
            </w:pPr>
            <w:r>
              <w:rPr>
                <w:b/>
                <w:color w:val="1C3A36"/>
                <w:sz w:val="17"/>
              </w:rPr>
              <w:t>EBITDA</w:t>
            </w:r>
          </w:p>
        </w:tc>
        <w:tc>
          <w:tcPr>
            <w:tcW w:type="dxa" w:w="1440"/>
          </w:tcPr>
          <w:p>
            <w:pPr>
              <w:spacing w:after="20"/>
              <w:jc w:val="right"/>
            </w:pPr>
            <w:r>
              <w:rPr>
                <w:color w:val="1C3A36"/>
                <w:sz w:val="17"/>
              </w:rPr>
              <w:t>25,882</w:t>
            </w:r>
          </w:p>
        </w:tc>
        <w:tc>
          <w:tcPr>
            <w:tcW w:type="dxa" w:w="1440"/>
          </w:tcPr>
          <w:p>
            <w:pPr>
              <w:spacing w:after="20"/>
              <w:jc w:val="right"/>
            </w:pPr>
            <w:r>
              <w:rPr>
                <w:color w:val="1C3A36"/>
                <w:sz w:val="17"/>
              </w:rPr>
              <w:t>26,537</w:t>
            </w:r>
          </w:p>
        </w:tc>
        <w:tc>
          <w:tcPr>
            <w:tcW w:type="dxa" w:w="1440"/>
          </w:tcPr>
          <w:p>
            <w:pPr>
              <w:spacing w:after="20"/>
              <w:jc w:val="right"/>
            </w:pPr>
            <w:r>
              <w:rPr>
                <w:color w:val="1C3A36"/>
                <w:sz w:val="17"/>
              </w:rPr>
              <w:t>27,138</w:t>
            </w:r>
          </w:p>
        </w:tc>
        <w:tc>
          <w:tcPr>
            <w:tcW w:type="dxa" w:w="1440"/>
          </w:tcPr>
          <w:p>
            <w:pPr>
              <w:spacing w:after="20"/>
              <w:jc w:val="right"/>
            </w:pPr>
            <w:r>
              <w:rPr>
                <w:color w:val="1C3A36"/>
                <w:sz w:val="17"/>
              </w:rPr>
              <w:t>27,694</w:t>
            </w:r>
          </w:p>
        </w:tc>
        <w:tc>
          <w:tcPr>
            <w:tcW w:type="dxa" w:w="1440"/>
          </w:tcPr>
          <w:p>
            <w:pPr>
              <w:spacing w:after="20"/>
              <w:jc w:val="right"/>
            </w:pPr>
            <w:r>
              <w:rPr>
                <w:color w:val="1C3A36"/>
                <w:sz w:val="17"/>
              </w:rPr>
              <w:t>28,190</w:t>
            </w:r>
          </w:p>
        </w:tc>
      </w:tr>
      <w:tr>
        <w:tc>
          <w:tcPr>
            <w:tcW w:type="dxa" w:w="3024"/>
          </w:tcPr>
          <w:p>
            <w:pPr>
              <w:spacing w:after="20"/>
            </w:pPr>
            <w:r>
              <w:rPr>
                <w:b/>
                <w:color w:val="1C3A36"/>
                <w:sz w:val="17"/>
              </w:rPr>
              <w:t>D&amp;A</w:t>
            </w:r>
          </w:p>
        </w:tc>
        <w:tc>
          <w:tcPr>
            <w:tcW w:type="dxa" w:w="1440"/>
          </w:tcPr>
          <w:p>
            <w:pPr>
              <w:spacing w:after="20"/>
              <w:jc w:val="right"/>
            </w:pPr>
            <w:r>
              <w:rPr>
                <w:color w:val="1C3A36"/>
                <w:sz w:val="17"/>
              </w:rPr>
              <w:t>(10,407)</w:t>
            </w:r>
          </w:p>
        </w:tc>
        <w:tc>
          <w:tcPr>
            <w:tcW w:type="dxa" w:w="1440"/>
          </w:tcPr>
          <w:p>
            <w:pPr>
              <w:spacing w:after="20"/>
              <w:jc w:val="right"/>
            </w:pPr>
            <w:r>
              <w:rPr>
                <w:color w:val="1C3A36"/>
                <w:sz w:val="17"/>
              </w:rPr>
              <w:t>(10,697)</w:t>
            </w:r>
          </w:p>
        </w:tc>
        <w:tc>
          <w:tcPr>
            <w:tcW w:type="dxa" w:w="1440"/>
          </w:tcPr>
          <w:p>
            <w:pPr>
              <w:spacing w:after="20"/>
              <w:jc w:val="right"/>
            </w:pPr>
            <w:r>
              <w:rPr>
                <w:color w:val="1C3A36"/>
                <w:sz w:val="17"/>
              </w:rPr>
              <w:t>(10,964)</w:t>
            </w:r>
          </w:p>
        </w:tc>
        <w:tc>
          <w:tcPr>
            <w:tcW w:type="dxa" w:w="1440"/>
          </w:tcPr>
          <w:p>
            <w:pPr>
              <w:spacing w:after="20"/>
              <w:jc w:val="right"/>
            </w:pPr>
            <w:r>
              <w:rPr>
                <w:color w:val="1C3A36"/>
                <w:sz w:val="17"/>
              </w:rPr>
              <w:t>(11,212)</w:t>
            </w:r>
          </w:p>
        </w:tc>
        <w:tc>
          <w:tcPr>
            <w:tcW w:type="dxa" w:w="1440"/>
          </w:tcPr>
          <w:p>
            <w:pPr>
              <w:spacing w:after="20"/>
              <w:jc w:val="right"/>
            </w:pPr>
            <w:r>
              <w:rPr>
                <w:color w:val="1C3A36"/>
                <w:sz w:val="17"/>
              </w:rPr>
              <w:t>(11,437)</w:t>
            </w:r>
          </w:p>
        </w:tc>
      </w:tr>
      <w:tr>
        <w:tc>
          <w:tcPr>
            <w:tcW w:type="dxa" w:w="3024"/>
          </w:tcPr>
          <w:p>
            <w:pPr>
              <w:spacing w:after="20"/>
            </w:pPr>
            <w:r>
              <w:rPr>
                <w:b/>
                <w:color w:val="1C3A36"/>
                <w:sz w:val="17"/>
              </w:rPr>
              <w:t>EBIT</w:t>
            </w:r>
          </w:p>
        </w:tc>
        <w:tc>
          <w:tcPr>
            <w:tcW w:type="dxa" w:w="1440"/>
          </w:tcPr>
          <w:p>
            <w:pPr>
              <w:spacing w:after="20"/>
              <w:jc w:val="right"/>
            </w:pPr>
            <w:r>
              <w:rPr>
                <w:color w:val="1C3A36"/>
                <w:sz w:val="17"/>
              </w:rPr>
              <w:t>15,475</w:t>
            </w:r>
          </w:p>
        </w:tc>
        <w:tc>
          <w:tcPr>
            <w:tcW w:type="dxa" w:w="1440"/>
          </w:tcPr>
          <w:p>
            <w:pPr>
              <w:spacing w:after="20"/>
              <w:jc w:val="right"/>
            </w:pPr>
            <w:r>
              <w:rPr>
                <w:color w:val="1C3A36"/>
                <w:sz w:val="17"/>
              </w:rPr>
              <w:t>15,840</w:t>
            </w:r>
          </w:p>
        </w:tc>
        <w:tc>
          <w:tcPr>
            <w:tcW w:type="dxa" w:w="1440"/>
          </w:tcPr>
          <w:p>
            <w:pPr>
              <w:spacing w:after="20"/>
              <w:jc w:val="right"/>
            </w:pPr>
            <w:r>
              <w:rPr>
                <w:color w:val="1C3A36"/>
                <w:sz w:val="17"/>
              </w:rPr>
              <w:t>16,174</w:t>
            </w:r>
          </w:p>
        </w:tc>
        <w:tc>
          <w:tcPr>
            <w:tcW w:type="dxa" w:w="1440"/>
          </w:tcPr>
          <w:p>
            <w:pPr>
              <w:spacing w:after="20"/>
              <w:jc w:val="right"/>
            </w:pPr>
            <w:r>
              <w:rPr>
                <w:color w:val="1C3A36"/>
                <w:sz w:val="17"/>
              </w:rPr>
              <w:t>16,481</w:t>
            </w:r>
          </w:p>
        </w:tc>
        <w:tc>
          <w:tcPr>
            <w:tcW w:type="dxa" w:w="1440"/>
          </w:tcPr>
          <w:p>
            <w:pPr>
              <w:spacing w:after="20"/>
              <w:jc w:val="right"/>
            </w:pPr>
            <w:r>
              <w:rPr>
                <w:color w:val="1C3A36"/>
                <w:sz w:val="17"/>
              </w:rPr>
              <w:t>16,753</w:t>
            </w:r>
          </w:p>
        </w:tc>
      </w:tr>
      <w:tr>
        <w:tc>
          <w:tcPr>
            <w:tcW w:type="dxa" w:w="3024"/>
          </w:tcPr>
          <w:p>
            <w:pPr>
              <w:spacing w:after="20"/>
            </w:pPr>
            <w:r>
              <w:rPr>
                <w:b/>
                <w:color w:val="1C3A36"/>
                <w:sz w:val="17"/>
              </w:rPr>
              <w:t>NOPAT = EBIT × (1 − 8.03%)</w:t>
            </w:r>
          </w:p>
        </w:tc>
        <w:tc>
          <w:tcPr>
            <w:tcW w:type="dxa" w:w="1440"/>
          </w:tcPr>
          <w:p>
            <w:pPr>
              <w:spacing w:after="20"/>
              <w:jc w:val="right"/>
            </w:pPr>
            <w:r>
              <w:rPr>
                <w:color w:val="1C3A36"/>
                <w:sz w:val="17"/>
              </w:rPr>
              <w:t>14,231</w:t>
            </w:r>
          </w:p>
        </w:tc>
        <w:tc>
          <w:tcPr>
            <w:tcW w:type="dxa" w:w="1440"/>
          </w:tcPr>
          <w:p>
            <w:pPr>
              <w:spacing w:after="20"/>
              <w:jc w:val="right"/>
            </w:pPr>
            <w:r>
              <w:rPr>
                <w:color w:val="1C3A36"/>
                <w:sz w:val="17"/>
              </w:rPr>
              <w:t>14,567</w:t>
            </w:r>
          </w:p>
        </w:tc>
        <w:tc>
          <w:tcPr>
            <w:tcW w:type="dxa" w:w="1440"/>
          </w:tcPr>
          <w:p>
            <w:pPr>
              <w:spacing w:after="20"/>
              <w:jc w:val="right"/>
            </w:pPr>
            <w:r>
              <w:rPr>
                <w:color w:val="1C3A36"/>
                <w:sz w:val="17"/>
              </w:rPr>
              <w:t>14,874</w:t>
            </w:r>
          </w:p>
        </w:tc>
        <w:tc>
          <w:tcPr>
            <w:tcW w:type="dxa" w:w="1440"/>
          </w:tcPr>
          <w:p>
            <w:pPr>
              <w:spacing w:after="20"/>
              <w:jc w:val="right"/>
            </w:pPr>
            <w:r>
              <w:rPr>
                <w:color w:val="1C3A36"/>
                <w:sz w:val="17"/>
              </w:rPr>
              <w:t>15,157</w:t>
            </w:r>
          </w:p>
        </w:tc>
        <w:tc>
          <w:tcPr>
            <w:tcW w:type="dxa" w:w="1440"/>
          </w:tcPr>
          <w:p>
            <w:pPr>
              <w:spacing w:after="20"/>
              <w:jc w:val="right"/>
            </w:pPr>
            <w:r>
              <w:rPr>
                <w:color w:val="1C3A36"/>
                <w:sz w:val="17"/>
              </w:rPr>
              <w:t>15,407</w:t>
            </w:r>
          </w:p>
        </w:tc>
      </w:tr>
      <w:tr>
        <w:tc>
          <w:tcPr>
            <w:tcW w:type="dxa" w:w="3024"/>
          </w:tcPr>
          <w:p>
            <w:pPr>
              <w:spacing w:after="20"/>
            </w:pPr>
            <w:r>
              <w:rPr>
                <w:b/>
                <w:color w:val="1C3A36"/>
                <w:sz w:val="17"/>
              </w:rPr>
              <w:t>+ D&amp;A</w:t>
            </w:r>
          </w:p>
        </w:tc>
        <w:tc>
          <w:tcPr>
            <w:tcW w:type="dxa" w:w="1440"/>
          </w:tcPr>
          <w:p>
            <w:pPr>
              <w:spacing w:after="20"/>
              <w:jc w:val="right"/>
            </w:pPr>
            <w:r>
              <w:rPr>
                <w:color w:val="1C3A36"/>
                <w:sz w:val="17"/>
              </w:rPr>
              <w:t>10,407</w:t>
            </w:r>
          </w:p>
        </w:tc>
        <w:tc>
          <w:tcPr>
            <w:tcW w:type="dxa" w:w="1440"/>
          </w:tcPr>
          <w:p>
            <w:pPr>
              <w:spacing w:after="20"/>
              <w:jc w:val="right"/>
            </w:pPr>
            <w:r>
              <w:rPr>
                <w:color w:val="1C3A36"/>
                <w:sz w:val="17"/>
              </w:rPr>
              <w:t>10,697</w:t>
            </w:r>
          </w:p>
        </w:tc>
        <w:tc>
          <w:tcPr>
            <w:tcW w:type="dxa" w:w="1440"/>
          </w:tcPr>
          <w:p>
            <w:pPr>
              <w:spacing w:after="20"/>
              <w:jc w:val="right"/>
            </w:pPr>
            <w:r>
              <w:rPr>
                <w:color w:val="1C3A36"/>
                <w:sz w:val="17"/>
              </w:rPr>
              <w:t>10,964</w:t>
            </w:r>
          </w:p>
        </w:tc>
        <w:tc>
          <w:tcPr>
            <w:tcW w:type="dxa" w:w="1440"/>
          </w:tcPr>
          <w:p>
            <w:pPr>
              <w:spacing w:after="20"/>
              <w:jc w:val="right"/>
            </w:pPr>
            <w:r>
              <w:rPr>
                <w:color w:val="1C3A36"/>
                <w:sz w:val="17"/>
              </w:rPr>
              <w:t>11,212</w:t>
            </w:r>
          </w:p>
        </w:tc>
        <w:tc>
          <w:tcPr>
            <w:tcW w:type="dxa" w:w="1440"/>
          </w:tcPr>
          <w:p>
            <w:pPr>
              <w:spacing w:after="20"/>
              <w:jc w:val="right"/>
            </w:pPr>
            <w:r>
              <w:rPr>
                <w:color w:val="1C3A36"/>
                <w:sz w:val="17"/>
              </w:rPr>
              <w:t>11,437</w:t>
            </w:r>
          </w:p>
        </w:tc>
      </w:tr>
      <w:tr>
        <w:tc>
          <w:tcPr>
            <w:tcW w:type="dxa" w:w="3024"/>
          </w:tcPr>
          <w:p>
            <w:pPr>
              <w:spacing w:after="20"/>
            </w:pPr>
            <w:r>
              <w:rPr>
                <w:b/>
                <w:color w:val="1C3A36"/>
                <w:sz w:val="17"/>
              </w:rPr>
              <w:t>− Capex</w:t>
            </w:r>
          </w:p>
        </w:tc>
        <w:tc>
          <w:tcPr>
            <w:tcW w:type="dxa" w:w="1440"/>
          </w:tcPr>
          <w:p>
            <w:pPr>
              <w:spacing w:after="20"/>
              <w:jc w:val="right"/>
            </w:pPr>
            <w:r>
              <w:rPr>
                <w:color w:val="1C3A36"/>
                <w:sz w:val="17"/>
              </w:rPr>
              <w:t>(12,081)</w:t>
            </w:r>
          </w:p>
        </w:tc>
        <w:tc>
          <w:tcPr>
            <w:tcW w:type="dxa" w:w="1440"/>
          </w:tcPr>
          <w:p>
            <w:pPr>
              <w:spacing w:after="20"/>
              <w:jc w:val="right"/>
            </w:pPr>
            <w:r>
              <w:rPr>
                <w:color w:val="1C3A36"/>
                <w:sz w:val="17"/>
              </w:rPr>
              <w:t>(12,417)</w:t>
            </w:r>
          </w:p>
        </w:tc>
        <w:tc>
          <w:tcPr>
            <w:tcW w:type="dxa" w:w="1440"/>
          </w:tcPr>
          <w:p>
            <w:pPr>
              <w:spacing w:after="20"/>
              <w:jc w:val="right"/>
            </w:pPr>
            <w:r>
              <w:rPr>
                <w:color w:val="1C3A36"/>
                <w:sz w:val="17"/>
              </w:rPr>
              <w:t>(12,727)</w:t>
            </w:r>
          </w:p>
        </w:tc>
        <w:tc>
          <w:tcPr>
            <w:tcW w:type="dxa" w:w="1440"/>
          </w:tcPr>
          <w:p>
            <w:pPr>
              <w:spacing w:after="20"/>
              <w:jc w:val="right"/>
            </w:pPr>
            <w:r>
              <w:rPr>
                <w:color w:val="1C3A36"/>
                <w:sz w:val="17"/>
              </w:rPr>
              <w:t>(13,015)</w:t>
            </w:r>
          </w:p>
        </w:tc>
        <w:tc>
          <w:tcPr>
            <w:tcW w:type="dxa" w:w="1440"/>
          </w:tcPr>
          <w:p>
            <w:pPr>
              <w:spacing w:after="20"/>
              <w:jc w:val="right"/>
            </w:pPr>
            <w:r>
              <w:rPr>
                <w:color w:val="1C3A36"/>
                <w:sz w:val="17"/>
              </w:rPr>
              <w:t>(13,276)</w:t>
            </w:r>
          </w:p>
        </w:tc>
      </w:tr>
      <w:tr>
        <w:tc>
          <w:tcPr>
            <w:tcW w:type="dxa" w:w="3024"/>
          </w:tcPr>
          <w:p>
            <w:pPr>
              <w:spacing w:after="20"/>
            </w:pPr>
            <w:r>
              <w:rPr>
                <w:b/>
                <w:color w:val="1C3A36"/>
                <w:sz w:val="17"/>
              </w:rPr>
              <w:t>− Δ working capital</w:t>
            </w:r>
          </w:p>
        </w:tc>
        <w:tc>
          <w:tcPr>
            <w:tcW w:type="dxa" w:w="1440"/>
          </w:tcPr>
          <w:p>
            <w:pPr>
              <w:spacing w:after="20"/>
              <w:jc w:val="right"/>
            </w:pPr>
            <w:r>
              <w:rPr>
                <w:color w:val="1C3A36"/>
                <w:sz w:val="17"/>
              </w:rPr>
              <w:t>(-0)</w:t>
            </w:r>
          </w:p>
        </w:tc>
        <w:tc>
          <w:tcPr>
            <w:tcW w:type="dxa" w:w="1440"/>
          </w:tcPr>
          <w:p>
            <w:pPr>
              <w:spacing w:after="20"/>
              <w:jc w:val="right"/>
            </w:pPr>
            <w:r>
              <w:rPr>
                <w:color w:val="1C3A36"/>
                <w:sz w:val="17"/>
              </w:rPr>
              <w:t>(394)</w:t>
            </w:r>
          </w:p>
        </w:tc>
        <w:tc>
          <w:tcPr>
            <w:tcW w:type="dxa" w:w="1440"/>
          </w:tcPr>
          <w:p>
            <w:pPr>
              <w:spacing w:after="20"/>
              <w:jc w:val="right"/>
            </w:pPr>
            <w:r>
              <w:rPr>
                <w:color w:val="1C3A36"/>
                <w:sz w:val="17"/>
              </w:rPr>
              <w:t>(363)</w:t>
            </w:r>
          </w:p>
        </w:tc>
        <w:tc>
          <w:tcPr>
            <w:tcW w:type="dxa" w:w="1440"/>
          </w:tcPr>
          <w:p>
            <w:pPr>
              <w:spacing w:after="20"/>
              <w:jc w:val="right"/>
            </w:pPr>
            <w:r>
              <w:rPr>
                <w:color w:val="1C3A36"/>
                <w:sz w:val="17"/>
              </w:rPr>
              <w:t>(338)</w:t>
            </w:r>
          </w:p>
        </w:tc>
        <w:tc>
          <w:tcPr>
            <w:tcW w:type="dxa" w:w="1440"/>
          </w:tcPr>
          <w:p>
            <w:pPr>
              <w:spacing w:after="20"/>
              <w:jc w:val="right"/>
            </w:pPr>
            <w:r>
              <w:rPr>
                <w:color w:val="1C3A36"/>
                <w:sz w:val="17"/>
              </w:rPr>
              <w:t>(305)</w:t>
            </w:r>
          </w:p>
        </w:tc>
      </w:tr>
      <w:tr>
        <w:tc>
          <w:tcPr>
            <w:tcW w:type="dxa" w:w="3024"/>
          </w:tcPr>
          <w:p>
            <w:pPr>
              <w:spacing w:after="20"/>
            </w:pPr>
            <w:r>
              <w:rPr>
                <w:b/>
                <w:color w:val="1C3A36"/>
                <w:sz w:val="17"/>
              </w:rPr>
              <w:t>FCFF</w:t>
            </w:r>
          </w:p>
        </w:tc>
        <w:tc>
          <w:tcPr>
            <w:tcW w:type="dxa" w:w="1440"/>
          </w:tcPr>
          <w:p>
            <w:pPr>
              <w:spacing w:after="20"/>
              <w:jc w:val="right"/>
            </w:pPr>
            <w:r>
              <w:rPr>
                <w:color w:val="1C3A36"/>
                <w:sz w:val="17"/>
              </w:rPr>
              <w:t>12,558</w:t>
            </w:r>
          </w:p>
        </w:tc>
        <w:tc>
          <w:tcPr>
            <w:tcW w:type="dxa" w:w="1440"/>
          </w:tcPr>
          <w:p>
            <w:pPr>
              <w:spacing w:after="20"/>
              <w:jc w:val="right"/>
            </w:pPr>
            <w:r>
              <w:rPr>
                <w:color w:val="1C3A36"/>
                <w:sz w:val="17"/>
              </w:rPr>
              <w:t>12,453</w:t>
            </w:r>
          </w:p>
        </w:tc>
        <w:tc>
          <w:tcPr>
            <w:tcW w:type="dxa" w:w="1440"/>
          </w:tcPr>
          <w:p>
            <w:pPr>
              <w:spacing w:after="20"/>
              <w:jc w:val="right"/>
            </w:pPr>
            <w:r>
              <w:rPr>
                <w:color w:val="1C3A36"/>
                <w:sz w:val="17"/>
              </w:rPr>
              <w:t>12,748</w:t>
            </w:r>
          </w:p>
        </w:tc>
        <w:tc>
          <w:tcPr>
            <w:tcW w:type="dxa" w:w="1440"/>
          </w:tcPr>
          <w:p>
            <w:pPr>
              <w:spacing w:after="20"/>
              <w:jc w:val="right"/>
            </w:pPr>
            <w:r>
              <w:rPr>
                <w:color w:val="1C3A36"/>
                <w:sz w:val="17"/>
              </w:rPr>
              <w:t>13,016</w:t>
            </w:r>
          </w:p>
        </w:tc>
        <w:tc>
          <w:tcPr>
            <w:tcW w:type="dxa" w:w="1440"/>
          </w:tcPr>
          <w:p>
            <w:pPr>
              <w:spacing w:after="20"/>
              <w:jc w:val="right"/>
            </w:pPr>
            <w:r>
              <w:rPr>
                <w:color w:val="1C3A36"/>
                <w:sz w:val="17"/>
              </w:rPr>
              <w:t>13,263</w:t>
            </w:r>
          </w:p>
        </w:tc>
      </w:tr>
      <w:tr>
        <w:tc>
          <w:tcPr>
            <w:tcW w:type="dxa" w:w="3024"/>
          </w:tcPr>
          <w:p>
            <w:pPr>
              <w:spacing w:after="20"/>
            </w:pPr>
            <w:r>
              <w:rPr>
                <w:b/>
                <w:color w:val="1C3A36"/>
                <w:sz w:val="17"/>
              </w:rPr>
              <w:t>Discount factor</w:t>
            </w:r>
          </w:p>
        </w:tc>
        <w:tc>
          <w:tcPr>
            <w:tcW w:type="dxa" w:w="1440"/>
          </w:tcPr>
          <w:p>
            <w:pPr>
              <w:spacing w:after="20"/>
              <w:jc w:val="right"/>
            </w:pPr>
            <w:r>
              <w:rPr>
                <w:color w:val="1C3A36"/>
                <w:sz w:val="17"/>
              </w:rPr>
              <w:t>0.921</w:t>
            </w:r>
          </w:p>
        </w:tc>
        <w:tc>
          <w:tcPr>
            <w:tcW w:type="dxa" w:w="1440"/>
          </w:tcPr>
          <w:p>
            <w:pPr>
              <w:spacing w:after="20"/>
              <w:jc w:val="right"/>
            </w:pPr>
            <w:r>
              <w:rPr>
                <w:color w:val="1C3A36"/>
                <w:sz w:val="17"/>
              </w:rPr>
              <w:t>0.849</w:t>
            </w:r>
          </w:p>
        </w:tc>
        <w:tc>
          <w:tcPr>
            <w:tcW w:type="dxa" w:w="1440"/>
          </w:tcPr>
          <w:p>
            <w:pPr>
              <w:spacing w:after="20"/>
              <w:jc w:val="right"/>
            </w:pPr>
            <w:r>
              <w:rPr>
                <w:color w:val="1C3A36"/>
                <w:sz w:val="17"/>
              </w:rPr>
              <w:t>0.782</w:t>
            </w:r>
          </w:p>
        </w:tc>
        <w:tc>
          <w:tcPr>
            <w:tcW w:type="dxa" w:w="1440"/>
          </w:tcPr>
          <w:p>
            <w:pPr>
              <w:spacing w:after="20"/>
              <w:jc w:val="right"/>
            </w:pPr>
            <w:r>
              <w:rPr>
                <w:color w:val="1C3A36"/>
                <w:sz w:val="17"/>
              </w:rPr>
              <w:t>0.721</w:t>
            </w:r>
          </w:p>
        </w:tc>
        <w:tc>
          <w:tcPr>
            <w:tcW w:type="dxa" w:w="1440"/>
          </w:tcPr>
          <w:p>
            <w:pPr>
              <w:spacing w:after="20"/>
              <w:jc w:val="right"/>
            </w:pPr>
            <w:r>
              <w:rPr>
                <w:color w:val="1C3A36"/>
                <w:sz w:val="17"/>
              </w:rPr>
              <w:t>0.664</w:t>
            </w:r>
          </w:p>
        </w:tc>
      </w:tr>
      <w:tr>
        <w:tc>
          <w:tcPr>
            <w:tcW w:type="dxa" w:w="3024"/>
          </w:tcPr>
          <w:p>
            <w:pPr>
              <w:spacing w:after="20"/>
            </w:pPr>
            <w:r>
              <w:rPr>
                <w:b/>
                <w:color w:val="1C3A36"/>
                <w:sz w:val="17"/>
              </w:rPr>
              <w:t>PV of FCFF</w:t>
            </w:r>
          </w:p>
        </w:tc>
        <w:tc>
          <w:tcPr>
            <w:tcW w:type="dxa" w:w="1440"/>
          </w:tcPr>
          <w:p>
            <w:pPr>
              <w:spacing w:after="20"/>
              <w:jc w:val="right"/>
            </w:pPr>
            <w:r>
              <w:rPr>
                <w:color w:val="1C3A36"/>
                <w:sz w:val="17"/>
              </w:rPr>
              <w:t>11,571</w:t>
            </w:r>
          </w:p>
        </w:tc>
        <w:tc>
          <w:tcPr>
            <w:tcW w:type="dxa" w:w="1440"/>
          </w:tcPr>
          <w:p>
            <w:pPr>
              <w:spacing w:after="20"/>
              <w:jc w:val="right"/>
            </w:pPr>
            <w:r>
              <w:rPr>
                <w:color w:val="1C3A36"/>
                <w:sz w:val="17"/>
              </w:rPr>
              <w:t>10,572</w:t>
            </w:r>
          </w:p>
        </w:tc>
        <w:tc>
          <w:tcPr>
            <w:tcW w:type="dxa" w:w="1440"/>
          </w:tcPr>
          <w:p>
            <w:pPr>
              <w:spacing w:after="20"/>
              <w:jc w:val="right"/>
            </w:pPr>
            <w:r>
              <w:rPr>
                <w:color w:val="1C3A36"/>
                <w:sz w:val="17"/>
              </w:rPr>
              <w:t>9,972</w:t>
            </w:r>
          </w:p>
        </w:tc>
        <w:tc>
          <w:tcPr>
            <w:tcW w:type="dxa" w:w="1440"/>
          </w:tcPr>
          <w:p>
            <w:pPr>
              <w:spacing w:after="20"/>
              <w:jc w:val="right"/>
            </w:pPr>
            <w:r>
              <w:rPr>
                <w:color w:val="1C3A36"/>
                <w:sz w:val="17"/>
              </w:rPr>
              <w:t>9,381</w:t>
            </w:r>
          </w:p>
        </w:tc>
        <w:tc>
          <w:tcPr>
            <w:tcW w:type="dxa" w:w="1440"/>
          </w:tcPr>
          <w:p>
            <w:pPr>
              <w:spacing w:after="20"/>
              <w:jc w:val="right"/>
            </w:pPr>
            <w:r>
              <w:rPr>
                <w:color w:val="1C3A36"/>
                <w:sz w:val="17"/>
              </w:rPr>
              <w:t>8,808</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8063" w:type="dxa"/>
      </w:tblPr>
      <w:tblGrid>
        <w:gridCol w:w="5760"/>
        <w:gridCol w:w="2304"/>
      </w:tblGrid>
      <w:tr>
        <w:tc>
          <w:tcPr>
            <w:tcW w:type="dxa" w:w="5760"/>
            <w:shd w:val="clear" w:color="auto" w:fill="EAF0EE"/>
          </w:tcPr>
          <w:p>
            <w:pPr>
              <w:spacing w:after="20"/>
            </w:pPr>
            <w:r>
              <w:rPr>
                <w:b/>
                <w:color w:val="1C3A36"/>
                <w:sz w:val="18"/>
              </w:rPr>
              <w:t>DCF bridge</w:t>
            </w:r>
          </w:p>
        </w:tc>
        <w:tc>
          <w:tcPr>
            <w:tcW w:type="dxa" w:w="2304"/>
            <w:shd w:val="clear" w:color="auto" w:fill="EAF0EE"/>
          </w:tcPr>
          <w:p>
            <w:pPr>
              <w:spacing w:after="20"/>
            </w:pPr>
            <w:r>
              <w:rPr>
                <w:b/>
                <w:color w:val="1C3A36"/>
                <w:sz w:val="18"/>
              </w:rPr>
              <w:t>SAR mn</w:t>
            </w:r>
          </w:p>
        </w:tc>
      </w:tr>
      <w:tr>
        <w:tc>
          <w:tcPr>
            <w:tcW w:type="dxa" w:w="5760"/>
          </w:tcPr>
          <w:p>
            <w:pPr>
              <w:spacing w:after="20"/>
            </w:pPr>
            <w:r>
              <w:rPr>
                <w:b/>
                <w:color w:val="1C3A36"/>
                <w:sz w:val="18"/>
              </w:rPr>
              <w:t>Σ PV of explicit FCFF (FY26–30E)</w:t>
            </w:r>
          </w:p>
        </w:tc>
        <w:tc>
          <w:tcPr>
            <w:tcW w:type="dxa" w:w="2304"/>
          </w:tcPr>
          <w:p>
            <w:pPr>
              <w:spacing w:after="20"/>
              <w:jc w:val="right"/>
            </w:pPr>
            <w:r>
              <w:rPr>
                <w:color w:val="1C3A36"/>
                <w:sz w:val="18"/>
              </w:rPr>
              <w:t>50,303</w:t>
            </w:r>
          </w:p>
        </w:tc>
      </w:tr>
      <w:tr>
        <w:tc>
          <w:tcPr>
            <w:tcW w:type="dxa" w:w="5760"/>
          </w:tcPr>
          <w:p>
            <w:pPr>
              <w:spacing w:after="20"/>
            </w:pPr>
            <w:r>
              <w:rPr>
                <w:b/>
                <w:color w:val="1C3A36"/>
                <w:sz w:val="18"/>
              </w:rPr>
              <w:t>Terminal value (perpetuity, g = 2.00%)</w:t>
            </w:r>
          </w:p>
        </w:tc>
        <w:tc>
          <w:tcPr>
            <w:tcW w:type="dxa" w:w="2304"/>
          </w:tcPr>
          <w:p>
            <w:pPr>
              <w:spacing w:after="20"/>
              <w:jc w:val="right"/>
            </w:pPr>
            <w:r>
              <w:rPr>
                <w:color w:val="1C3A36"/>
                <w:sz w:val="18"/>
              </w:rPr>
              <w:t>173,537</w:t>
            </w:r>
          </w:p>
        </w:tc>
      </w:tr>
      <w:tr>
        <w:tc>
          <w:tcPr>
            <w:tcW w:type="dxa" w:w="5760"/>
          </w:tcPr>
          <w:p>
            <w:pPr>
              <w:spacing w:after="20"/>
            </w:pPr>
            <w:r>
              <w:rPr>
                <w:b/>
                <w:color w:val="1C3A36"/>
                <w:sz w:val="18"/>
              </w:rPr>
              <w:t>PV of terminal value</w:t>
            </w:r>
          </w:p>
        </w:tc>
        <w:tc>
          <w:tcPr>
            <w:tcW w:type="dxa" w:w="2304"/>
          </w:tcPr>
          <w:p>
            <w:pPr>
              <w:spacing w:after="20"/>
              <w:jc w:val="right"/>
            </w:pPr>
            <w:r>
              <w:rPr>
                <w:color w:val="1C3A36"/>
                <w:sz w:val="18"/>
              </w:rPr>
              <w:t>115,245</w:t>
            </w:r>
          </w:p>
        </w:tc>
      </w:tr>
      <w:tr>
        <w:tc>
          <w:tcPr>
            <w:tcW w:type="dxa" w:w="5760"/>
          </w:tcPr>
          <w:p>
            <w:pPr>
              <w:spacing w:after="20"/>
            </w:pPr>
            <w:r>
              <w:rPr>
                <w:b/>
                <w:color w:val="1C3A36"/>
                <w:sz w:val="18"/>
              </w:rPr>
              <w:t>Enterprise value — core operations</w:t>
            </w:r>
          </w:p>
        </w:tc>
        <w:tc>
          <w:tcPr>
            <w:tcW w:type="dxa" w:w="2304"/>
          </w:tcPr>
          <w:p>
            <w:pPr>
              <w:spacing w:after="20"/>
              <w:jc w:val="right"/>
            </w:pPr>
            <w:r>
              <w:rPr>
                <w:color w:val="1C3A36"/>
                <w:sz w:val="18"/>
              </w:rPr>
              <w:t>165,548</w:t>
            </w:r>
          </w:p>
        </w:tc>
      </w:tr>
      <w:tr>
        <w:tc>
          <w:tcPr>
            <w:tcW w:type="dxa" w:w="5760"/>
          </w:tcPr>
          <w:p>
            <w:pPr>
              <w:spacing w:after="20"/>
            </w:pPr>
            <w:r>
              <w:rPr>
                <w:b/>
                <w:color w:val="1C3A36"/>
                <w:sz w:val="18"/>
              </w:rPr>
              <w:t>Terminal value as % of enterprise value</w:t>
            </w:r>
          </w:p>
        </w:tc>
        <w:tc>
          <w:tcPr>
            <w:tcW w:type="dxa" w:w="2304"/>
          </w:tcPr>
          <w:p>
            <w:pPr>
              <w:spacing w:after="20"/>
              <w:jc w:val="right"/>
            </w:pPr>
            <w:r>
              <w:rPr>
                <w:color w:val="1C3A36"/>
                <w:sz w:val="18"/>
              </w:rPr>
              <w:t>70%</w:t>
            </w:r>
          </w:p>
        </w:tc>
      </w:tr>
      <w:tr>
        <w:tc>
          <w:tcPr>
            <w:tcW w:type="dxa" w:w="5760"/>
          </w:tcPr>
          <w:p>
            <w:pPr>
              <w:spacing w:after="20"/>
            </w:pPr>
            <w:r>
              <w:rPr>
                <w:b/>
                <w:color w:val="1C3A36"/>
                <w:sz w:val="18"/>
              </w:rPr>
              <w:t>Plus investments in associates and joint ventures, at book</w:t>
            </w:r>
          </w:p>
        </w:tc>
        <w:tc>
          <w:tcPr>
            <w:tcW w:type="dxa" w:w="2304"/>
          </w:tcPr>
          <w:p>
            <w:pPr>
              <w:spacing w:after="20"/>
              <w:jc w:val="right"/>
            </w:pPr>
            <w:r>
              <w:rPr>
                <w:color w:val="1C3A36"/>
                <w:sz w:val="18"/>
              </w:rPr>
              <w:t>12,910</w:t>
            </w:r>
          </w:p>
        </w:tc>
      </w:tr>
      <w:tr>
        <w:tc>
          <w:tcPr>
            <w:tcW w:type="dxa" w:w="5760"/>
          </w:tcPr>
          <w:p>
            <w:pPr>
              <w:spacing w:after="20"/>
            </w:pPr>
            <w:r>
              <w:rPr>
                <w:b/>
                <w:color w:val="1C3A36"/>
                <w:sz w:val="18"/>
              </w:rPr>
              <w:t>Plus the listed equity investment at its disclosed fair value</w:t>
            </w:r>
          </w:p>
        </w:tc>
        <w:tc>
          <w:tcPr>
            <w:tcW w:type="dxa" w:w="2304"/>
          </w:tcPr>
          <w:p>
            <w:pPr>
              <w:spacing w:after="20"/>
              <w:jc w:val="right"/>
            </w:pPr>
            <w:r>
              <w:rPr>
                <w:color w:val="1C3A36"/>
                <w:sz w:val="18"/>
              </w:rPr>
              <w:t>8,513</w:t>
            </w:r>
          </w:p>
        </w:tc>
      </w:tr>
      <w:tr>
        <w:tc>
          <w:tcPr>
            <w:tcW w:type="dxa" w:w="5760"/>
          </w:tcPr>
          <w:p>
            <w:pPr>
              <w:spacing w:after="20"/>
            </w:pPr>
            <w:r>
              <w:rPr>
                <w:b/>
                <w:color w:val="1C3A36"/>
                <w:sz w:val="18"/>
              </w:rPr>
              <w:t>Plus investment funds and unlisted equity investments, at fair value</w:t>
            </w:r>
          </w:p>
        </w:tc>
        <w:tc>
          <w:tcPr>
            <w:tcW w:type="dxa" w:w="2304"/>
          </w:tcPr>
          <w:p>
            <w:pPr>
              <w:spacing w:after="20"/>
              <w:jc w:val="right"/>
            </w:pPr>
            <w:r>
              <w:rPr>
                <w:color w:val="1C3A36"/>
                <w:sz w:val="18"/>
              </w:rPr>
              <w:t>5,164</w:t>
            </w:r>
          </w:p>
        </w:tc>
      </w:tr>
      <w:tr>
        <w:tc>
          <w:tcPr>
            <w:tcW w:type="dxa" w:w="5760"/>
          </w:tcPr>
          <w:p>
            <w:pPr>
              <w:spacing w:after="20"/>
            </w:pPr>
            <w:r>
              <w:rPr>
                <w:b/>
                <w:color w:val="1C3A36"/>
                <w:sz w:val="18"/>
              </w:rPr>
              <w:t>Less net debt</w:t>
            </w:r>
          </w:p>
        </w:tc>
        <w:tc>
          <w:tcPr>
            <w:tcW w:type="dxa" w:w="2304"/>
          </w:tcPr>
          <w:p>
            <w:pPr>
              <w:spacing w:after="20"/>
              <w:jc w:val="right"/>
            </w:pPr>
            <w:r>
              <w:rPr>
                <w:color w:val="1C3A36"/>
                <w:sz w:val="18"/>
              </w:rPr>
              <w:t>8,375</w:t>
            </w:r>
          </w:p>
        </w:tc>
      </w:tr>
      <w:tr>
        <w:tc>
          <w:tcPr>
            <w:tcW w:type="dxa" w:w="5760"/>
          </w:tcPr>
          <w:p>
            <w:pPr>
              <w:spacing w:after="20"/>
            </w:pPr>
            <w:r>
              <w:rPr>
                <w:b/>
                <w:color w:val="1C3A36"/>
                <w:sz w:val="18"/>
              </w:rPr>
              <w:t>Less the minority at its share of equity value</w:t>
            </w:r>
          </w:p>
        </w:tc>
        <w:tc>
          <w:tcPr>
            <w:tcW w:type="dxa" w:w="2304"/>
          </w:tcPr>
          <w:p>
            <w:pPr>
              <w:spacing w:after="20"/>
              <w:jc w:val="right"/>
            </w:pPr>
            <w:r>
              <w:rPr>
                <w:color w:val="1C3A36"/>
                <w:sz w:val="18"/>
              </w:rPr>
              <w:t>3,713</w:t>
            </w:r>
          </w:p>
        </w:tc>
      </w:tr>
      <w:tr>
        <w:tc>
          <w:tcPr>
            <w:tcW w:type="dxa" w:w="5760"/>
          </w:tcPr>
          <w:p>
            <w:pPr>
              <w:spacing w:after="20"/>
            </w:pPr>
            <w:r>
              <w:rPr>
                <w:b/>
                <w:color w:val="1C3A36"/>
                <w:sz w:val="18"/>
              </w:rPr>
              <w:t>Equity value</w:t>
            </w:r>
          </w:p>
        </w:tc>
        <w:tc>
          <w:tcPr>
            <w:tcW w:type="dxa" w:w="2304"/>
          </w:tcPr>
          <w:p>
            <w:pPr>
              <w:spacing w:after="20"/>
              <w:jc w:val="right"/>
            </w:pPr>
            <w:r>
              <w:rPr>
                <w:color w:val="1C3A36"/>
                <w:sz w:val="18"/>
              </w:rPr>
              <w:t>180,046</w:t>
            </w:r>
          </w:p>
        </w:tc>
      </w:tr>
      <w:tr>
        <w:tc>
          <w:tcPr>
            <w:tcW w:type="dxa" w:w="5760"/>
          </w:tcPr>
          <w:p>
            <w:pPr>
              <w:spacing w:after="20"/>
            </w:pPr>
            <w:r>
              <w:rPr>
                <w:b/>
                <w:color w:val="1C3A36"/>
                <w:sz w:val="18"/>
              </w:rPr>
              <w:t>Divided by shares in issue (4,993.0 million)</w:t>
            </w:r>
          </w:p>
        </w:tc>
        <w:tc>
          <w:tcPr>
            <w:tcW w:type="dxa" w:w="2304"/>
          </w:tcPr>
          <w:p>
            <w:pPr>
              <w:spacing w:after="20"/>
              <w:jc w:val="right"/>
            </w:pPr>
            <w:r>
              <w:rPr>
                <w:color w:val="1C3A36"/>
                <w:sz w:val="18"/>
              </w:rPr>
              <w:t>SAR 36.06 per share</w:t>
            </w:r>
          </w:p>
        </w:tc>
      </w:tr>
    </w:tbl>
    <w:p>
      <w:pPr>
        <w:spacing w:after="40"/>
      </w:pPr>
    </w:p>
    <w:p>
      <w:pPr>
        <w:spacing w:after="120" w:before="0"/>
      </w:pPr>
      <w:r>
        <w:rPr>
          <w:b w:val="0"/>
          <w:i w:val="0"/>
          <w:color w:val="1C3A36"/>
          <w:sz w:val="21"/>
        </w:rPr>
        <w:t>Two honesty notes. First, 70% of the enterprise value sits in the terminal — at a 6.5-point spread between the cost of capital and terminal growth this is a duration bet dressed as a five-year model, which is why §1.9 prices the rate grid and the beta separately rather than hiding either. Second, the model's first-year free cash flow of SAR 12.6 bn runs richer than stc's own reported FY2025 free cash flow of 6.5 bn, because reported operating cash flow absorbs receivables swings, early-retirement cash and zakat timing that a NOPAT-based free cash flow smooths. Appendix A shows both series so the difference is visible rather than averaged away.</w:t>
      </w:r>
    </w:p>
    <w:p>
      <w:pPr>
        <w:spacing w:after="80" w:before="200"/>
      </w:pPr>
      <w:r>
        <w:rPr>
          <w:b/>
          <w:i w:val="0"/>
          <w:color w:val="1C3A36"/>
          <w:sz w:val="24"/>
        </w:rPr>
        <w:t>1.2  Dividend discount — the policy lens, as the cash-flow cross-check</w:t>
      </w:r>
    </w:p>
    <w:p>
      <w:pPr>
        <w:spacing w:after="120" w:before="0"/>
      </w:pPr>
      <w:r>
        <w:rPr>
          <w:b w:val="0"/>
          <w:i w:val="0"/>
          <w:color w:val="1C3A36"/>
          <w:sz w:val="21"/>
        </w:rPr>
        <w:t>stc is one of the few large emerging-market payers whose dividend is a stated, board-locked policy rather than a ratio: SAR 0.55 per quarter from the Q4-2024 distribution through the Q3-2027 distribution (announced 25 Aug 2024), with specials assessed quarterly on top — FY24 shareholders also received SAR 2.00. We discount the locked SAR 2.20 through 2027, step the DPS with earnings thereafter (payout ~75–80%), and grow the terminal dividend at 3.0%.</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10224" w:type="dxa"/>
      </w:tblPr>
      <w:tblGrid>
        <w:gridCol w:w="3024"/>
        <w:gridCol w:w="1440"/>
        <w:gridCol w:w="1440"/>
        <w:gridCol w:w="1440"/>
        <w:gridCol w:w="1440"/>
        <w:gridCol w:w="1440"/>
      </w:tblGrid>
      <w:tr>
        <w:tc>
          <w:tcPr>
            <w:tcW w:type="dxa" w:w="3024"/>
            <w:shd w:val="clear" w:color="auto" w:fill="EAF0EE"/>
          </w:tcPr>
          <w:p>
            <w:pPr>
              <w:spacing w:after="20"/>
            </w:pPr>
            <w:r>
              <w:rPr>
                <w:b/>
                <w:color w:val="1C3A36"/>
                <w:sz w:val="18"/>
              </w:rPr>
              <w:t>DDM build</w:t>
            </w:r>
          </w:p>
        </w:tc>
        <w:tc>
          <w:tcPr>
            <w:tcW w:type="dxa" w:w="1440"/>
            <w:shd w:val="clear" w:color="auto" w:fill="EAF0EE"/>
          </w:tcPr>
          <w:p>
            <w:pPr>
              <w:spacing w:after="20"/>
            </w:pPr>
            <w:r>
              <w:rPr>
                <w:b/>
                <w:color w:val="1C3A36"/>
                <w:sz w:val="18"/>
              </w:rPr>
              <w:t>FY26E</w:t>
            </w:r>
          </w:p>
        </w:tc>
        <w:tc>
          <w:tcPr>
            <w:tcW w:type="dxa" w:w="1440"/>
            <w:shd w:val="clear" w:color="auto" w:fill="EAF0EE"/>
          </w:tcPr>
          <w:p>
            <w:pPr>
              <w:spacing w:after="20"/>
            </w:pPr>
            <w:r>
              <w:rPr>
                <w:b/>
                <w:color w:val="1C3A36"/>
                <w:sz w:val="18"/>
              </w:rPr>
              <w:t>FY27E</w:t>
            </w:r>
          </w:p>
        </w:tc>
        <w:tc>
          <w:tcPr>
            <w:tcW w:type="dxa" w:w="1440"/>
            <w:shd w:val="clear" w:color="auto" w:fill="EAF0EE"/>
          </w:tcPr>
          <w:p>
            <w:pPr>
              <w:spacing w:after="20"/>
            </w:pPr>
            <w:r>
              <w:rPr>
                <w:b/>
                <w:color w:val="1C3A36"/>
                <w:sz w:val="18"/>
              </w:rPr>
              <w:t>FY28E</w:t>
            </w:r>
          </w:p>
        </w:tc>
        <w:tc>
          <w:tcPr>
            <w:tcW w:type="dxa" w:w="1440"/>
            <w:shd w:val="clear" w:color="auto" w:fill="EAF0EE"/>
          </w:tcPr>
          <w:p>
            <w:pPr>
              <w:spacing w:after="20"/>
            </w:pPr>
            <w:r>
              <w:rPr>
                <w:b/>
                <w:color w:val="1C3A36"/>
                <w:sz w:val="18"/>
              </w:rPr>
              <w:t>FY29E</w:t>
            </w:r>
          </w:p>
        </w:tc>
        <w:tc>
          <w:tcPr>
            <w:tcW w:type="dxa" w:w="1440"/>
            <w:shd w:val="clear" w:color="auto" w:fill="EAF0EE"/>
          </w:tcPr>
          <w:p>
            <w:pPr>
              <w:spacing w:after="20"/>
            </w:pPr>
            <w:r>
              <w:rPr>
                <w:b/>
                <w:color w:val="1C3A36"/>
                <w:sz w:val="18"/>
              </w:rPr>
              <w:t>FY30E</w:t>
            </w:r>
          </w:p>
        </w:tc>
      </w:tr>
      <w:tr>
        <w:tc>
          <w:tcPr>
            <w:tcW w:type="dxa" w:w="3024"/>
          </w:tcPr>
          <w:p>
            <w:pPr>
              <w:spacing w:after="20"/>
            </w:pPr>
            <w:r>
              <w:rPr>
                <w:b/>
                <w:color w:val="1C3A36"/>
                <w:sz w:val="18"/>
              </w:rPr>
              <w:t>DPS (SAR)</w:t>
            </w:r>
          </w:p>
        </w:tc>
        <w:tc>
          <w:tcPr>
            <w:tcW w:type="dxa" w:w="1440"/>
          </w:tcPr>
          <w:p>
            <w:pPr>
              <w:spacing w:after="20"/>
              <w:jc w:val="right"/>
            </w:pPr>
            <w:r>
              <w:rPr>
                <w:color w:val="1C3A36"/>
                <w:sz w:val="18"/>
              </w:rPr>
              <w:t>2.20</w:t>
            </w:r>
          </w:p>
        </w:tc>
        <w:tc>
          <w:tcPr>
            <w:tcW w:type="dxa" w:w="1440"/>
          </w:tcPr>
          <w:p>
            <w:pPr>
              <w:spacing w:after="20"/>
              <w:jc w:val="right"/>
            </w:pPr>
            <w:r>
              <w:rPr>
                <w:color w:val="1C3A36"/>
                <w:sz w:val="18"/>
              </w:rPr>
              <w:t>2.20</w:t>
            </w:r>
          </w:p>
        </w:tc>
        <w:tc>
          <w:tcPr>
            <w:tcW w:type="dxa" w:w="1440"/>
          </w:tcPr>
          <w:p>
            <w:pPr>
              <w:spacing w:after="20"/>
              <w:jc w:val="right"/>
            </w:pPr>
            <w:r>
              <w:rPr>
                <w:color w:val="1C3A36"/>
                <w:sz w:val="18"/>
              </w:rPr>
              <w:t>2.30</w:t>
            </w:r>
          </w:p>
        </w:tc>
        <w:tc>
          <w:tcPr>
            <w:tcW w:type="dxa" w:w="1440"/>
          </w:tcPr>
          <w:p>
            <w:pPr>
              <w:spacing w:after="20"/>
              <w:jc w:val="right"/>
            </w:pPr>
            <w:r>
              <w:rPr>
                <w:color w:val="1C3A36"/>
                <w:sz w:val="18"/>
              </w:rPr>
              <w:t>2.40</w:t>
            </w:r>
          </w:p>
        </w:tc>
        <w:tc>
          <w:tcPr>
            <w:tcW w:type="dxa" w:w="1440"/>
          </w:tcPr>
          <w:p>
            <w:pPr>
              <w:spacing w:after="20"/>
              <w:jc w:val="right"/>
            </w:pPr>
            <w:r>
              <w:rPr>
                <w:color w:val="1C3A36"/>
                <w:sz w:val="18"/>
              </w:rPr>
              <w:t>2.55</w:t>
            </w:r>
          </w:p>
        </w:tc>
      </w:tr>
      <w:tr>
        <w:tc>
          <w:tcPr>
            <w:tcW w:type="dxa" w:w="3024"/>
          </w:tcPr>
          <w:p>
            <w:pPr>
              <w:spacing w:after="20"/>
            </w:pPr>
            <w:r>
              <w:rPr>
                <w:b/>
                <w:color w:val="1C3A36"/>
                <w:sz w:val="18"/>
              </w:rPr>
              <w:t>PV of DPS @ Ke 7.90%</w:t>
            </w:r>
          </w:p>
        </w:tc>
        <w:tc>
          <w:tcPr>
            <w:tcW w:type="dxa" w:w="1440"/>
          </w:tcPr>
          <w:p>
            <w:pPr>
              <w:spacing w:after="20"/>
              <w:jc w:val="right"/>
            </w:pPr>
            <w:r>
              <w:rPr>
                <w:color w:val="1C3A36"/>
                <w:sz w:val="18"/>
              </w:rPr>
              <w:t>2.02</w:t>
            </w:r>
          </w:p>
        </w:tc>
        <w:tc>
          <w:tcPr>
            <w:tcW w:type="dxa" w:w="1440"/>
          </w:tcPr>
          <w:p>
            <w:pPr>
              <w:spacing w:after="20"/>
              <w:jc w:val="right"/>
            </w:pPr>
            <w:r>
              <w:rPr>
                <w:color w:val="1C3A36"/>
                <w:sz w:val="18"/>
              </w:rPr>
              <w:t>1.86</w:t>
            </w:r>
          </w:p>
        </w:tc>
        <w:tc>
          <w:tcPr>
            <w:tcW w:type="dxa" w:w="1440"/>
          </w:tcPr>
          <w:p>
            <w:pPr>
              <w:spacing w:after="20"/>
              <w:jc w:val="right"/>
            </w:pPr>
            <w:r>
              <w:rPr>
                <w:color w:val="1C3A36"/>
                <w:sz w:val="18"/>
              </w:rPr>
              <w:t>1.79</w:t>
            </w:r>
          </w:p>
        </w:tc>
        <w:tc>
          <w:tcPr>
            <w:tcW w:type="dxa" w:w="1440"/>
          </w:tcPr>
          <w:p>
            <w:pPr>
              <w:spacing w:after="20"/>
              <w:jc w:val="right"/>
            </w:pPr>
            <w:r>
              <w:rPr>
                <w:color w:val="1C3A36"/>
                <w:sz w:val="18"/>
              </w:rPr>
              <w:t>1.71</w:t>
            </w:r>
          </w:p>
        </w:tc>
        <w:tc>
          <w:tcPr>
            <w:tcW w:type="dxa" w:w="1440"/>
          </w:tcPr>
          <w:p>
            <w:pPr>
              <w:spacing w:after="20"/>
              <w:jc w:val="right"/>
            </w:pPr>
            <w:r>
              <w:rPr>
                <w:color w:val="1C3A36"/>
                <w:sz w:val="18"/>
              </w:rPr>
              <w:t>1.67</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8063" w:type="dxa"/>
      </w:tblPr>
      <w:tblGrid>
        <w:gridCol w:w="5760"/>
        <w:gridCol w:w="2304"/>
      </w:tblGrid>
      <w:tr>
        <w:tc>
          <w:tcPr>
            <w:tcW w:type="dxa" w:w="5760"/>
          </w:tcPr>
          <w:p>
            <w:pPr>
              <w:spacing w:after="20"/>
            </w:pPr>
            <w:r>
              <w:rPr>
                <w:color w:val="1C3A36"/>
                <w:sz w:val="18"/>
              </w:rPr>
              <w:t>Σ PV of explicit dividends (FY26–30E)</w:t>
            </w:r>
          </w:p>
        </w:tc>
        <w:tc>
          <w:tcPr>
            <w:tcW w:type="dxa" w:w="2304"/>
          </w:tcPr>
          <w:p>
            <w:pPr>
              <w:spacing w:after="20"/>
            </w:pPr>
            <w:r>
              <w:rPr>
                <w:color w:val="1C3A36"/>
                <w:sz w:val="18"/>
              </w:rPr>
              <w:t>SAR 9.05</w:t>
            </w:r>
          </w:p>
        </w:tc>
      </w:tr>
      <w:tr>
        <w:tc>
          <w:tcPr>
            <w:tcW w:type="dxa" w:w="5760"/>
          </w:tcPr>
          <w:p>
            <w:pPr>
              <w:spacing w:after="20"/>
            </w:pPr>
            <w:r>
              <w:rPr>
                <w:b/>
                <w:color w:val="1C3A36"/>
                <w:sz w:val="18"/>
              </w:rPr>
              <w:t>Terminal DPS (FY31E) = FY30E × 1.03</w:t>
            </w:r>
          </w:p>
        </w:tc>
        <w:tc>
          <w:tcPr>
            <w:tcW w:type="dxa" w:w="2304"/>
          </w:tcPr>
          <w:p>
            <w:pPr>
              <w:spacing w:after="20"/>
              <w:jc w:val="right"/>
            </w:pPr>
            <w:r>
              <w:rPr>
                <w:color w:val="1C3A36"/>
                <w:sz w:val="18"/>
              </w:rPr>
              <w:t>SAR 2.63</w:t>
            </w:r>
          </w:p>
        </w:tc>
      </w:tr>
      <w:tr>
        <w:tc>
          <w:tcPr>
            <w:tcW w:type="dxa" w:w="5760"/>
          </w:tcPr>
          <w:p>
            <w:pPr>
              <w:spacing w:after="20"/>
            </w:pPr>
            <w:r>
              <w:rPr>
                <w:b/>
                <w:color w:val="1C3A36"/>
                <w:sz w:val="18"/>
              </w:rPr>
              <w:t>Terminal value = TDPS / (Ke − g)</w:t>
            </w:r>
          </w:p>
        </w:tc>
        <w:tc>
          <w:tcPr>
            <w:tcW w:type="dxa" w:w="2304"/>
          </w:tcPr>
          <w:p>
            <w:pPr>
              <w:spacing w:after="20"/>
              <w:jc w:val="right"/>
            </w:pPr>
            <w:r>
              <w:rPr>
                <w:color w:val="1C3A36"/>
                <w:sz w:val="18"/>
              </w:rPr>
              <w:t>SAR 38.31</w:t>
            </w:r>
          </w:p>
        </w:tc>
      </w:tr>
      <w:tr>
        <w:tc>
          <w:tcPr>
            <w:tcW w:type="dxa" w:w="5760"/>
          </w:tcPr>
          <w:p>
            <w:pPr>
              <w:spacing w:after="20"/>
            </w:pPr>
            <w:r>
              <w:rPr>
                <w:b/>
                <w:color w:val="1C3A36"/>
                <w:sz w:val="18"/>
              </w:rPr>
              <w:t>PV of terminal value</w:t>
            </w:r>
          </w:p>
        </w:tc>
        <w:tc>
          <w:tcPr>
            <w:tcW w:type="dxa" w:w="2304"/>
          </w:tcPr>
          <w:p>
            <w:pPr>
              <w:spacing w:after="20"/>
              <w:jc w:val="right"/>
            </w:pPr>
            <w:r>
              <w:rPr>
                <w:color w:val="1C3A36"/>
                <w:sz w:val="18"/>
              </w:rPr>
              <w:t>SAR 25.14</w:t>
            </w:r>
          </w:p>
        </w:tc>
      </w:tr>
      <w:tr>
        <w:tc>
          <w:tcPr>
            <w:tcW w:type="dxa" w:w="5760"/>
          </w:tcPr>
          <w:p>
            <w:pPr>
              <w:spacing w:after="20"/>
            </w:pPr>
            <w:r>
              <w:rPr>
                <w:b/>
                <w:color w:val="1C3A36"/>
                <w:sz w:val="18"/>
              </w:rPr>
              <w:t>DDM fair value per share</w:t>
            </w:r>
          </w:p>
        </w:tc>
        <w:tc>
          <w:tcPr>
            <w:tcW w:type="dxa" w:w="2304"/>
          </w:tcPr>
          <w:p>
            <w:pPr>
              <w:spacing w:after="20"/>
              <w:jc w:val="right"/>
            </w:pPr>
            <w:r>
              <w:rPr>
                <w:color w:val="1C3A36"/>
                <w:sz w:val="18"/>
              </w:rPr>
              <w:t>SAR 34.20</w:t>
            </w:r>
          </w:p>
        </w:tc>
      </w:tr>
      <w:tr>
        <w:tc>
          <w:tcPr>
            <w:tcW w:type="dxa" w:w="5760"/>
          </w:tcPr>
          <w:p>
            <w:pPr>
              <w:spacing w:after="20"/>
            </w:pPr>
            <w:r>
              <w:rPr>
                <w:b/>
                <w:color w:val="1C3A36"/>
                <w:sz w:val="18"/>
              </w:rPr>
              <w:t>Terminal value as % of the total</w:t>
            </w:r>
          </w:p>
        </w:tc>
        <w:tc>
          <w:tcPr>
            <w:tcW w:type="dxa" w:w="2304"/>
          </w:tcPr>
          <w:p>
            <w:pPr>
              <w:spacing w:after="20"/>
              <w:jc w:val="right"/>
            </w:pPr>
            <w:r>
              <w:rPr>
                <w:color w:val="1C3A36"/>
                <w:sz w:val="18"/>
              </w:rPr>
              <w:t>74%</w:t>
            </w:r>
          </w:p>
        </w:tc>
      </w:tr>
    </w:tbl>
    <w:p>
      <w:pPr>
        <w:spacing w:after="40"/>
      </w:pPr>
    </w:p>
    <w:p>
      <w:pPr>
        <w:spacing w:after="120" w:before="0"/>
      </w:pPr>
      <w:r>
        <w:rPr>
          <w:b/>
          <w:i w:val="0"/>
          <w:color w:val="1C3A36"/>
          <w:sz w:val="21"/>
        </w:rPr>
        <w:t>DDM base ≈ SAR 34/share</w:t>
      </w:r>
      <w:r>
        <w:rPr>
          <w:b w:val="0"/>
          <w:i w:val="0"/>
          <w:color w:val="1C3A36"/>
          <w:sz w:val="21"/>
        </w:rPr>
        <w:t xml:space="preserve"> — -22% against the market and the LOWEST of the four reads: at a 9.03% cost of equity a locked dividend growing slowly is worth materially less than the market pays, so on this lens alone the market is paying for something the declared distribution does not deliver. Any repeat of a special distribution — the policy explicitly allows a quarterly assessment — is upside this lens does not credit. The cross-check earns its place for a subtler reason: it is the one lens that cannot be flattered by the capex assumptions, because the board has pre-committed the cash.</w:t>
      </w:r>
    </w:p>
    <w:p>
      <w:pPr>
        <w:spacing w:after="80" w:before="200"/>
      </w:pPr>
      <w:r>
        <w:rPr>
          <w:b/>
          <w:i w:val="0"/>
          <w:color w:val="1C3A36"/>
          <w:sz w:val="24"/>
        </w:rPr>
        <w:t>1.3  Relative multiples</w:t>
      </w:r>
    </w:p>
    <w:p>
      <w:pPr>
        <w:spacing w:after="120" w:before="0"/>
      </w:pPr>
      <w:r>
        <w:rPr>
          <w:b w:val="0"/>
          <w:i w:val="0"/>
          <w:color w:val="1C3A36"/>
          <w:sz w:val="21"/>
        </w:rPr>
        <w:t>On trailing numbers stc trades at ~14.7× earnings, ~9.5× EV/EBITDA and 2.5× book — the premium name in a GCC cohort spanning 10.7× (Ooredoo) to 17.6× (du) on earnings. The premium tracks the franchise: ~57% mobile share, the only national fixed/fibre footprint, net debt ≈ zero against regional peers at 1–2× EBITDA, and the highest absolute yield commitment. The disciplined relative read is a justified EV/EBITDA on the FY26E build, bridged to equity with the same stake marks as the DCF.</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9360" w:type="dxa"/>
      </w:tblPr>
      <w:tblGrid>
        <w:gridCol w:w="3744"/>
        <w:gridCol w:w="1872"/>
        <w:gridCol w:w="1872"/>
        <w:gridCol w:w="1872"/>
      </w:tblGrid>
      <w:tr>
        <w:tc>
          <w:tcPr>
            <w:tcW w:type="dxa" w:w="3744"/>
            <w:shd w:val="clear" w:color="auto" w:fill="EAF0EE"/>
          </w:tcPr>
          <w:p>
            <w:pPr>
              <w:spacing w:after="20"/>
            </w:pPr>
            <w:r>
              <w:rPr>
                <w:b/>
                <w:color w:val="1C3A36"/>
                <w:sz w:val="18"/>
              </w:rPr>
              <w:t>Relative basis</w:t>
            </w:r>
          </w:p>
        </w:tc>
        <w:tc>
          <w:tcPr>
            <w:tcW w:type="dxa" w:w="1872"/>
            <w:shd w:val="clear" w:color="auto" w:fill="EAF0EE"/>
          </w:tcPr>
          <w:p>
            <w:pPr>
              <w:spacing w:after="20"/>
            </w:pPr>
            <w:r>
              <w:rPr>
                <w:b/>
                <w:color w:val="1C3A36"/>
                <w:sz w:val="18"/>
              </w:rPr>
              <w:t>Bear</w:t>
            </w:r>
          </w:p>
        </w:tc>
        <w:tc>
          <w:tcPr>
            <w:tcW w:type="dxa" w:w="1872"/>
            <w:shd w:val="clear" w:color="auto" w:fill="EAF0EE"/>
          </w:tcPr>
          <w:p>
            <w:pPr>
              <w:spacing w:after="20"/>
            </w:pPr>
            <w:r>
              <w:rPr>
                <w:b/>
                <w:color w:val="1C3A36"/>
                <w:sz w:val="18"/>
              </w:rPr>
              <w:t>Base</w:t>
            </w:r>
          </w:p>
        </w:tc>
        <w:tc>
          <w:tcPr>
            <w:tcW w:type="dxa" w:w="1872"/>
            <w:shd w:val="clear" w:color="auto" w:fill="EAF0EE"/>
          </w:tcPr>
          <w:p>
            <w:pPr>
              <w:spacing w:after="20"/>
            </w:pPr>
            <w:r>
              <w:rPr>
                <w:b/>
                <w:color w:val="1C3A36"/>
                <w:sz w:val="18"/>
              </w:rPr>
              <w:t>Bull</w:t>
            </w:r>
          </w:p>
        </w:tc>
      </w:tr>
      <w:tr>
        <w:tc>
          <w:tcPr>
            <w:tcW w:type="dxa" w:w="3744"/>
          </w:tcPr>
          <w:p>
            <w:pPr>
              <w:spacing w:after="20"/>
            </w:pPr>
            <w:r>
              <w:rPr>
                <w:b/>
                <w:color w:val="1C3A36"/>
                <w:sz w:val="18"/>
              </w:rPr>
              <w:t>FY26E EBITDA (SAR mn)</w:t>
            </w:r>
          </w:p>
        </w:tc>
        <w:tc>
          <w:tcPr>
            <w:tcW w:type="dxa" w:w="1872"/>
          </w:tcPr>
          <w:p>
            <w:pPr>
              <w:spacing w:after="20"/>
              <w:jc w:val="right"/>
            </w:pPr>
            <w:r>
              <w:rPr>
                <w:color w:val="1C3A36"/>
                <w:sz w:val="18"/>
              </w:rPr>
              <w:t>25,746</w:t>
            </w:r>
          </w:p>
        </w:tc>
        <w:tc>
          <w:tcPr>
            <w:tcW w:type="dxa" w:w="1872"/>
          </w:tcPr>
          <w:p>
            <w:pPr>
              <w:spacing w:after="20"/>
              <w:jc w:val="right"/>
            </w:pPr>
            <w:r>
              <w:rPr>
                <w:color w:val="1C3A36"/>
                <w:sz w:val="18"/>
              </w:rPr>
              <w:t>25,746</w:t>
            </w:r>
          </w:p>
        </w:tc>
        <w:tc>
          <w:tcPr>
            <w:tcW w:type="dxa" w:w="1872"/>
          </w:tcPr>
          <w:p>
            <w:pPr>
              <w:spacing w:after="20"/>
              <w:jc w:val="right"/>
            </w:pPr>
            <w:r>
              <w:rPr>
                <w:color w:val="1C3A36"/>
                <w:sz w:val="18"/>
              </w:rPr>
              <w:t>25,746</w:t>
            </w:r>
          </w:p>
        </w:tc>
      </w:tr>
      <w:tr>
        <w:tc>
          <w:tcPr>
            <w:tcW w:type="dxa" w:w="3744"/>
          </w:tcPr>
          <w:p>
            <w:pPr>
              <w:spacing w:after="20"/>
            </w:pPr>
            <w:r>
              <w:rPr>
                <w:b/>
                <w:color w:val="1C3A36"/>
                <w:sz w:val="18"/>
              </w:rPr>
              <w:t>Justified EV/EBITDA</w:t>
            </w:r>
          </w:p>
        </w:tc>
        <w:tc>
          <w:tcPr>
            <w:tcW w:type="dxa" w:w="1872"/>
          </w:tcPr>
          <w:p>
            <w:pPr>
              <w:spacing w:after="20"/>
              <w:jc w:val="right"/>
            </w:pPr>
            <w:r>
              <w:rPr>
                <w:color w:val="1C3A36"/>
                <w:sz w:val="18"/>
              </w:rPr>
              <w:t>8.0×</w:t>
            </w:r>
          </w:p>
        </w:tc>
        <w:tc>
          <w:tcPr>
            <w:tcW w:type="dxa" w:w="1872"/>
          </w:tcPr>
          <w:p>
            <w:pPr>
              <w:spacing w:after="20"/>
              <w:jc w:val="right"/>
            </w:pPr>
            <w:r>
              <w:rPr>
                <w:color w:val="1C3A36"/>
                <w:sz w:val="18"/>
              </w:rPr>
              <w:t>9.0×</w:t>
            </w:r>
          </w:p>
        </w:tc>
        <w:tc>
          <w:tcPr>
            <w:tcW w:type="dxa" w:w="1872"/>
          </w:tcPr>
          <w:p>
            <w:pPr>
              <w:spacing w:after="20"/>
              <w:jc w:val="right"/>
            </w:pPr>
            <w:r>
              <w:rPr>
                <w:color w:val="1C3A36"/>
                <w:sz w:val="18"/>
              </w:rPr>
              <w:t>10.0×</w:t>
            </w:r>
          </w:p>
        </w:tc>
      </w:tr>
      <w:tr>
        <w:tc>
          <w:tcPr>
            <w:tcW w:type="dxa" w:w="3744"/>
          </w:tcPr>
          <w:p>
            <w:pPr>
              <w:spacing w:after="20"/>
            </w:pPr>
            <w:r>
              <w:rPr>
                <w:b/>
                <w:color w:val="1C3A36"/>
                <w:sz w:val="18"/>
              </w:rPr>
              <w:t>Fair value (SAR/share)</w:t>
            </w:r>
          </w:p>
        </w:tc>
        <w:tc>
          <w:tcPr>
            <w:tcW w:type="dxa" w:w="1872"/>
          </w:tcPr>
          <w:p>
            <w:pPr>
              <w:spacing w:after="20"/>
              <w:jc w:val="right"/>
            </w:pPr>
            <w:r>
              <w:rPr>
                <w:color w:val="1C3A36"/>
                <w:sz w:val="18"/>
              </w:rPr>
              <w:t>45.8</w:t>
            </w:r>
          </w:p>
        </w:tc>
        <w:tc>
          <w:tcPr>
            <w:tcW w:type="dxa" w:w="1872"/>
          </w:tcPr>
          <w:p>
            <w:pPr>
              <w:spacing w:after="20"/>
              <w:jc w:val="right"/>
            </w:pPr>
            <w:r>
              <w:rPr>
                <w:color w:val="1C3A36"/>
                <w:sz w:val="18"/>
              </w:rPr>
              <w:t>48.1</w:t>
            </w:r>
          </w:p>
        </w:tc>
        <w:tc>
          <w:tcPr>
            <w:tcW w:type="dxa" w:w="1872"/>
          </w:tcPr>
          <w:p>
            <w:pPr>
              <w:spacing w:after="20"/>
              <w:jc w:val="right"/>
            </w:pPr>
            <w:r>
              <w:rPr>
                <w:color w:val="1C3A36"/>
                <w:sz w:val="18"/>
              </w:rPr>
              <w:t>49.9</w:t>
            </w:r>
          </w:p>
        </w:tc>
      </w:tr>
      <w:tr>
        <w:tc>
          <w:tcPr>
            <w:tcW w:type="dxa" w:w="3744"/>
          </w:tcPr>
          <w:p>
            <w:pPr>
              <w:spacing w:after="20"/>
            </w:pPr>
            <w:r>
              <w:rPr>
                <w:b/>
                <w:color w:val="1C3A36"/>
                <w:sz w:val="18"/>
              </w:rPr>
              <w:t>P/E cross-check at base (on FY26E EPS 2.82)</w:t>
            </w:r>
          </w:p>
        </w:tc>
        <w:tc>
          <w:tcPr>
            <w:tcW w:type="dxa" w:w="1872"/>
          </w:tcPr>
          <w:p>
            <w:pPr>
              <w:spacing w:after="20"/>
              <w:jc w:val="right"/>
            </w:pPr>
            <w:r>
              <w:rPr>
                <w:color w:val="1C3A36"/>
                <w:sz w:val="18"/>
              </w:rPr>
            </w:r>
          </w:p>
        </w:tc>
        <w:tc>
          <w:tcPr>
            <w:tcW w:type="dxa" w:w="1872"/>
          </w:tcPr>
          <w:p>
            <w:pPr>
              <w:spacing w:after="20"/>
              <w:jc w:val="right"/>
            </w:pPr>
            <w:r>
              <w:rPr>
                <w:color w:val="1C3A36"/>
                <w:sz w:val="18"/>
              </w:rPr>
              <w:t>17.0×</w:t>
            </w:r>
          </w:p>
        </w:tc>
        <w:tc>
          <w:tcPr>
            <w:tcW w:type="dxa" w:w="1872"/>
          </w:tcPr>
          <w:p>
            <w:pPr>
              <w:spacing w:after="20"/>
              <w:jc w:val="right"/>
            </w:pPr>
            <w:r>
              <w:rPr>
                <w:color w:val="1C3A36"/>
                <w:sz w:val="18"/>
              </w:rPr>
            </w:r>
          </w:p>
        </w:tc>
      </w:tr>
    </w:tbl>
    <w:p>
      <w:pPr>
        <w:spacing w:after="40"/>
      </w:pPr>
    </w:p>
    <w:p>
      <w:pPr>
        <w:spacing w:after="120" w:before="0"/>
      </w:pPr>
      <w:r>
        <w:rPr>
          <w:b/>
          <w:i w:val="0"/>
          <w:color w:val="1C3A36"/>
          <w:sz w:val="21"/>
        </w:rPr>
        <w:t>Relative base ≈ SAR 48</w:t>
      </w:r>
      <w:r>
        <w:rPr>
          <w:b w:val="0"/>
          <w:i w:val="0"/>
          <w:color w:val="1C3A36"/>
          <w:sz w:val="21"/>
        </w:rPr>
        <w:t xml:space="preserve"> — in line with the DCF, which is itself informative: the market’s multiple for this franchise already embeds roughly the same view of its cash engine as our explicit model.</w:t>
      </w:r>
    </w:p>
    <w:p>
      <w:pPr>
        <w:spacing w:after="80" w:before="200"/>
      </w:pPr>
      <w:r>
        <w:rPr>
          <w:b/>
          <w:i w:val="0"/>
          <w:color w:val="1C3A36"/>
          <w:sz w:val="24"/>
        </w:rPr>
        <w:t>1.4  Normalized earnings power — where this sits in the cycle</w:t>
      </w:r>
    </w:p>
    <w:p>
      <w:pPr>
        <w:spacing w:after="120" w:before="0"/>
      </w:pPr>
      <w:r>
        <w:rPr>
          <w:b w:val="0"/>
          <w:i w:val="0"/>
          <w:color w:val="1C3A36"/>
          <w:sz w:val="21"/>
        </w:rPr>
        <w:t>Cycle position first: unlike a developer or a smelter, stc’s P&amp;L has no violent cycle, but FY25 profit is still not a clean base — it carries the reversal of a prior year's zakat provision, SAR 1,325 mn on its own disclosed line, and FY24 before it carried the SAR 12.9 bn TAWAL disposal gain, a SAR 1.5 bn withholding-tax reversal and a SAR 2.6 bn early-retirement charge. Margins sit mid-cycle: the forecast opens at an EBITDA margin of 32.06% against the filed FY2025 year, and it is an output of the cost build rather than a target, enterprise revenue is at the soft point of the government mega-project phasing, and the subsidiary portfolio (stc bank, center3) is still in its investment phase, with several guided to turn contribution-positive from 2026. Normalised attributable profit is therefore SAR 13.2 bn — the filed profit before zakat, charged at the 8.27% the three filed years imply once the disclosed reversal of a prior year’s provision is taken out rather than extrapolated, less the minority’s share — or SAR 2.65 a share, capitalised at 15 times, which is this stock’s own multi-year median area and the middle of its peer set.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9360" w:type="dxa"/>
      </w:tblPr>
      <w:tblGrid>
        <w:gridCol w:w="3744"/>
        <w:gridCol w:w="1872"/>
        <w:gridCol w:w="1872"/>
        <w:gridCol w:w="1872"/>
      </w:tblGrid>
      <w:tr>
        <w:tc>
          <w:tcPr>
            <w:tcW w:type="dxa" w:w="3744"/>
            <w:shd w:val="clear" w:color="auto" w:fill="EAF0EE"/>
          </w:tcPr>
          <w:p>
            <w:pPr>
              <w:spacing w:after="20"/>
            </w:pPr>
            <w:r>
              <w:rPr>
                <w:b/>
                <w:color w:val="1C3A36"/>
                <w:sz w:val="18"/>
              </w:rPr>
              <w:t>Normalized-earnings basis</w:t>
            </w:r>
          </w:p>
        </w:tc>
        <w:tc>
          <w:tcPr>
            <w:tcW w:type="dxa" w:w="1872"/>
            <w:shd w:val="clear" w:color="auto" w:fill="EAF0EE"/>
          </w:tcPr>
          <w:p>
            <w:pPr>
              <w:spacing w:after="20"/>
            </w:pPr>
            <w:r>
              <w:rPr>
                <w:b/>
                <w:color w:val="1C3A36"/>
                <w:sz w:val="18"/>
              </w:rPr>
              <w:t>Bear</w:t>
            </w:r>
          </w:p>
        </w:tc>
        <w:tc>
          <w:tcPr>
            <w:tcW w:type="dxa" w:w="1872"/>
            <w:shd w:val="clear" w:color="auto" w:fill="EAF0EE"/>
          </w:tcPr>
          <w:p>
            <w:pPr>
              <w:spacing w:after="20"/>
            </w:pPr>
            <w:r>
              <w:rPr>
                <w:b/>
                <w:color w:val="1C3A36"/>
                <w:sz w:val="18"/>
              </w:rPr>
              <w:t>Base</w:t>
            </w:r>
          </w:p>
        </w:tc>
        <w:tc>
          <w:tcPr>
            <w:tcW w:type="dxa" w:w="1872"/>
            <w:shd w:val="clear" w:color="auto" w:fill="EAF0EE"/>
          </w:tcPr>
          <w:p>
            <w:pPr>
              <w:spacing w:after="20"/>
            </w:pPr>
            <w:r>
              <w:rPr>
                <w:b/>
                <w:color w:val="1C3A36"/>
                <w:sz w:val="18"/>
              </w:rPr>
              <w:t>Bull</w:t>
            </w:r>
          </w:p>
        </w:tc>
      </w:tr>
      <w:tr>
        <w:tc>
          <w:tcPr>
            <w:tcW w:type="dxa" w:w="3744"/>
          </w:tcPr>
          <w:p>
            <w:pPr>
              <w:spacing w:after="20"/>
            </w:pPr>
            <w:r>
              <w:rPr>
                <w:b/>
                <w:color w:val="1C3A36"/>
                <w:sz w:val="18"/>
              </w:rPr>
              <w:t>Normalized PAT (SAR mn)</w:t>
            </w:r>
          </w:p>
        </w:tc>
        <w:tc>
          <w:tcPr>
            <w:tcW w:type="dxa" w:w="1872"/>
          </w:tcPr>
          <w:p>
            <w:pPr>
              <w:spacing w:after="20"/>
              <w:jc w:val="right"/>
            </w:pPr>
            <w:r>
              <w:rPr>
                <w:color w:val="1C3A36"/>
                <w:sz w:val="18"/>
              </w:rPr>
              <w:t>13,600</w:t>
            </w:r>
          </w:p>
        </w:tc>
        <w:tc>
          <w:tcPr>
            <w:tcW w:type="dxa" w:w="1872"/>
          </w:tcPr>
          <w:p>
            <w:pPr>
              <w:spacing w:after="20"/>
              <w:jc w:val="right"/>
            </w:pPr>
            <w:r>
              <w:rPr>
                <w:color w:val="1C3A36"/>
                <w:sz w:val="18"/>
              </w:rPr>
              <w:t>14,400</w:t>
            </w:r>
          </w:p>
        </w:tc>
        <w:tc>
          <w:tcPr>
            <w:tcW w:type="dxa" w:w="1872"/>
          </w:tcPr>
          <w:p>
            <w:pPr>
              <w:spacing w:after="20"/>
              <w:jc w:val="right"/>
            </w:pPr>
            <w:r>
              <w:rPr>
                <w:color w:val="1C3A36"/>
                <w:sz w:val="18"/>
              </w:rPr>
              <w:t>15,200</w:t>
            </w:r>
          </w:p>
        </w:tc>
      </w:tr>
      <w:tr>
        <w:tc>
          <w:tcPr>
            <w:tcW w:type="dxa" w:w="3744"/>
          </w:tcPr>
          <w:p>
            <w:pPr>
              <w:spacing w:after="20"/>
            </w:pPr>
            <w:r>
              <w:rPr>
                <w:b/>
                <w:color w:val="1C3A36"/>
                <w:sz w:val="18"/>
              </w:rPr>
              <w:t>Justified P/E</w:t>
            </w:r>
          </w:p>
        </w:tc>
        <w:tc>
          <w:tcPr>
            <w:tcW w:type="dxa" w:w="1872"/>
          </w:tcPr>
          <w:p>
            <w:pPr>
              <w:spacing w:after="20"/>
              <w:jc w:val="right"/>
            </w:pPr>
            <w:r>
              <w:rPr>
                <w:color w:val="1C3A36"/>
                <w:sz w:val="18"/>
              </w:rPr>
              <w:t>13.5×</w:t>
            </w:r>
          </w:p>
        </w:tc>
        <w:tc>
          <w:tcPr>
            <w:tcW w:type="dxa" w:w="1872"/>
          </w:tcPr>
          <w:p>
            <w:pPr>
              <w:spacing w:after="20"/>
              <w:jc w:val="right"/>
            </w:pPr>
            <w:r>
              <w:rPr>
                <w:color w:val="1C3A36"/>
                <w:sz w:val="18"/>
              </w:rPr>
              <w:t>15.0×</w:t>
            </w:r>
          </w:p>
        </w:tc>
        <w:tc>
          <w:tcPr>
            <w:tcW w:type="dxa" w:w="1872"/>
          </w:tcPr>
          <w:p>
            <w:pPr>
              <w:spacing w:after="20"/>
              <w:jc w:val="right"/>
            </w:pPr>
            <w:r>
              <w:rPr>
                <w:color w:val="1C3A36"/>
                <w:sz w:val="18"/>
              </w:rPr>
              <w:t>16.5×</w:t>
            </w:r>
          </w:p>
        </w:tc>
      </w:tr>
      <w:tr>
        <w:tc>
          <w:tcPr>
            <w:tcW w:type="dxa" w:w="3744"/>
          </w:tcPr>
          <w:p>
            <w:pPr>
              <w:spacing w:after="20"/>
            </w:pPr>
            <w:r>
              <w:rPr>
                <w:b/>
                <w:color w:val="1C3A36"/>
                <w:sz w:val="18"/>
              </w:rPr>
              <w:t>Fair value (SAR/share)</w:t>
            </w:r>
          </w:p>
        </w:tc>
        <w:tc>
          <w:tcPr>
            <w:tcW w:type="dxa" w:w="1872"/>
          </w:tcPr>
          <w:p>
            <w:pPr>
              <w:spacing w:after="20"/>
              <w:jc w:val="right"/>
            </w:pPr>
            <w:r>
              <w:rPr>
                <w:color w:val="1C3A36"/>
                <w:sz w:val="18"/>
              </w:rPr>
              <w:t>36.8</w:t>
            </w:r>
          </w:p>
        </w:tc>
        <w:tc>
          <w:tcPr>
            <w:tcW w:type="dxa" w:w="1872"/>
          </w:tcPr>
          <w:p>
            <w:pPr>
              <w:spacing w:after="20"/>
              <w:jc w:val="right"/>
            </w:pPr>
            <w:r>
              <w:rPr>
                <w:color w:val="1C3A36"/>
                <w:sz w:val="18"/>
              </w:rPr>
              <w:t>39.8</w:t>
            </w:r>
          </w:p>
        </w:tc>
        <w:tc>
          <w:tcPr>
            <w:tcW w:type="dxa" w:w="1872"/>
          </w:tcPr>
          <w:p>
            <w:pPr>
              <w:spacing w:after="20"/>
              <w:jc w:val="right"/>
            </w:pPr>
            <w:r>
              <w:rPr>
                <w:color w:val="1C3A36"/>
                <w:sz w:val="18"/>
              </w:rPr>
              <w:t>50.2</w:t>
            </w:r>
          </w:p>
        </w:tc>
      </w:tr>
    </w:tbl>
    <w:p>
      <w:pPr>
        <w:spacing w:after="40"/>
      </w:pPr>
    </w:p>
    <w:p>
      <w:pPr>
        <w:spacing w:after="120" w:before="0"/>
      </w:pPr>
      <w:r>
        <w:rPr>
          <w:b/>
          <w:i w:val="0"/>
          <w:color w:val="1C3A36"/>
          <w:sz w:val="21"/>
        </w:rPr>
        <w:t>Normalized base ≈ SAR 40</w:t>
      </w:r>
      <w:r>
        <w:rPr>
          <w:b w:val="0"/>
          <w:i w:val="0"/>
          <w:color w:val="1C3A36"/>
          <w:sz w:val="21"/>
        </w:rPr>
        <w:t xml:space="preserve"> — not the floor of the set, which is the disclosed book value of SAR 17.02, but the read that pays nothing for growth beyond today’s earnings power and treats the data-centre build purely as cost.</w:t>
      </w:r>
    </w:p>
    <w:p>
      <w:pPr>
        <w:spacing w:after="80" w:before="200"/>
      </w:pPr>
      <w:r>
        <w:rPr>
          <w:b/>
          <w:i w:val="0"/>
          <w:color w:val="1C3A36"/>
          <w:sz w:val="24"/>
        </w:rPr>
        <w:t>1.5  Synthesis — the central, and the lenses beside it</w:t>
      </w:r>
    </w:p>
    <w:p>
      <w:pPr>
        <w:spacing w:after="120" w:before="0"/>
      </w:pPr>
      <w:r>
        <w:rPr>
          <w:b w:val="0"/>
          <w:i w:val="0"/>
          <w:color w:val="1C3A36"/>
          <w:sz w:val="21"/>
        </w:rPr>
        <w:t>One lens is the answer and the others are published beside it. The cash-flow model is the class primary — it is the only one of these that prices the whole capital programme and its recovery — and the dividend, multiple and normalised-earnings reads are cross-checks a reader can hold against it. THEY ARE NOT WEIGHTED AND THERE IS NO BLEND: a number produced by averaging several methods is a new method with parameters nobody tested, and it imports the weakness of the weakest lens at whatever weight somebody typed. An earlier edition of this study did exactly that, at 35 / 25 / 20 / 20.</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9432" w:type="dxa"/>
      </w:tblPr>
      <w:tblGrid>
        <w:gridCol w:w="3456"/>
        <w:gridCol w:w="1440"/>
        <w:gridCol w:w="1512"/>
        <w:gridCol w:w="1512"/>
        <w:gridCol w:w="1512"/>
      </w:tblGrid>
      <w:tr>
        <w:tc>
          <w:tcPr>
            <w:tcW w:type="dxa" w:w="3456"/>
            <w:shd w:val="clear" w:color="auto" w:fill="EAF0EE"/>
          </w:tcPr>
          <w:p>
            <w:pPr>
              <w:spacing w:after="20"/>
            </w:pPr>
            <w:r>
              <w:rPr>
                <w:b/>
                <w:color w:val="1C3A36"/>
                <w:sz w:val="17"/>
              </w:rPr>
              <w:t>Lens</w:t>
            </w:r>
          </w:p>
        </w:tc>
        <w:tc>
          <w:tcPr>
            <w:tcW w:type="dxa" w:w="1440"/>
            <w:shd w:val="clear" w:color="auto" w:fill="EAF0EE"/>
          </w:tcPr>
          <w:p>
            <w:pPr>
              <w:spacing w:after="20"/>
            </w:pPr>
            <w:r>
              <w:rPr>
                <w:b/>
                <w:color w:val="1C3A36"/>
                <w:sz w:val="17"/>
              </w:rPr>
              <w:t>Role</w:t>
            </w:r>
          </w:p>
        </w:tc>
        <w:tc>
          <w:tcPr>
            <w:tcW w:type="dxa" w:w="1512"/>
            <w:shd w:val="clear" w:color="auto" w:fill="EAF0EE"/>
          </w:tcPr>
          <w:p>
            <w:pPr>
              <w:spacing w:after="20"/>
            </w:pPr>
            <w:r>
              <w:rPr>
                <w:b/>
                <w:color w:val="1C3A36"/>
                <w:sz w:val="17"/>
              </w:rPr>
              <w:t>Bear</w:t>
            </w:r>
          </w:p>
        </w:tc>
        <w:tc>
          <w:tcPr>
            <w:tcW w:type="dxa" w:w="1512"/>
            <w:shd w:val="clear" w:color="auto" w:fill="EAF0EE"/>
          </w:tcPr>
          <w:p>
            <w:pPr>
              <w:spacing w:after="20"/>
            </w:pPr>
            <w:r>
              <w:rPr>
                <w:b/>
                <w:color w:val="1C3A36"/>
                <w:sz w:val="17"/>
              </w:rPr>
              <w:t>Base</w:t>
            </w:r>
          </w:p>
        </w:tc>
        <w:tc>
          <w:tcPr>
            <w:tcW w:type="dxa" w:w="1512"/>
            <w:shd w:val="clear" w:color="auto" w:fill="EAF0EE"/>
          </w:tcPr>
          <w:p>
            <w:pPr>
              <w:spacing w:after="20"/>
            </w:pPr>
            <w:r>
              <w:rPr>
                <w:b/>
                <w:color w:val="1C3A36"/>
                <w:sz w:val="17"/>
              </w:rPr>
              <w:t>Bull</w:t>
            </w:r>
          </w:p>
        </w:tc>
      </w:tr>
      <w:tr>
        <w:tc>
          <w:tcPr>
            <w:tcW w:type="dxa" w:w="3456"/>
          </w:tcPr>
          <w:p>
            <w:pPr>
              <w:spacing w:after="20"/>
            </w:pPr>
            <w:r>
              <w:rPr>
                <w:b/>
                <w:color w:val="1C3A36"/>
                <w:sz w:val="17"/>
              </w:rPr>
              <w:t>Cash-flow model</w:t>
            </w:r>
          </w:p>
        </w:tc>
        <w:tc>
          <w:tcPr>
            <w:tcW w:type="dxa" w:w="1440"/>
          </w:tcPr>
          <w:p>
            <w:pPr>
              <w:spacing w:after="20"/>
              <w:jc w:val="right"/>
            </w:pPr>
            <w:r>
              <w:rPr>
                <w:color w:val="1C3A36"/>
                <w:sz w:val="17"/>
              </w:rPr>
              <w:t>THE CENTRAL</w:t>
            </w:r>
          </w:p>
        </w:tc>
        <w:tc>
          <w:tcPr>
            <w:tcW w:type="dxa" w:w="1512"/>
          </w:tcPr>
          <w:p>
            <w:pPr>
              <w:spacing w:after="20"/>
              <w:jc w:val="right"/>
            </w:pPr>
            <w:r>
              <w:rPr>
                <w:color w:val="1C3A36"/>
                <w:sz w:val="17"/>
              </w:rPr>
              <w:t>35.3</w:t>
            </w:r>
          </w:p>
        </w:tc>
        <w:tc>
          <w:tcPr>
            <w:tcW w:type="dxa" w:w="1512"/>
          </w:tcPr>
          <w:p>
            <w:pPr>
              <w:spacing w:after="20"/>
              <w:jc w:val="right"/>
            </w:pPr>
            <w:r>
              <w:rPr>
                <w:color w:val="1C3A36"/>
                <w:sz w:val="17"/>
              </w:rPr>
              <w:t>36.1</w:t>
            </w:r>
          </w:p>
        </w:tc>
        <w:tc>
          <w:tcPr>
            <w:tcW w:type="dxa" w:w="1512"/>
          </w:tcPr>
          <w:p>
            <w:pPr>
              <w:spacing w:after="20"/>
              <w:jc w:val="right"/>
            </w:pPr>
            <w:r>
              <w:rPr>
                <w:color w:val="1C3A36"/>
                <w:sz w:val="17"/>
              </w:rPr>
              <w:t>37.0</w:t>
            </w:r>
          </w:p>
        </w:tc>
      </w:tr>
      <w:tr>
        <w:tc>
          <w:tcPr>
            <w:tcW w:type="dxa" w:w="3456"/>
          </w:tcPr>
          <w:p>
            <w:pPr>
              <w:spacing w:after="20"/>
            </w:pPr>
            <w:r>
              <w:rPr>
                <w:b/>
                <w:color w:val="1C3A36"/>
                <w:sz w:val="17"/>
              </w:rPr>
              <w:t>Dividend discount</w:t>
            </w:r>
          </w:p>
        </w:tc>
        <w:tc>
          <w:tcPr>
            <w:tcW w:type="dxa" w:w="1440"/>
          </w:tcPr>
          <w:p>
            <w:pPr>
              <w:spacing w:after="20"/>
              <w:jc w:val="right"/>
            </w:pPr>
            <w:r>
              <w:rPr>
                <w:color w:val="1C3A36"/>
                <w:sz w:val="17"/>
              </w:rPr>
              <w:t>Cross-check</w:t>
            </w:r>
          </w:p>
        </w:tc>
        <w:tc>
          <w:tcPr>
            <w:tcW w:type="dxa" w:w="1512"/>
          </w:tcPr>
          <w:p>
            <w:pPr>
              <w:spacing w:after="20"/>
              <w:jc w:val="right"/>
            </w:pPr>
            <w:r>
              <w:rPr>
                <w:color w:val="1C3A36"/>
                <w:sz w:val="17"/>
              </w:rPr>
              <w:t>28.2</w:t>
            </w:r>
          </w:p>
        </w:tc>
        <w:tc>
          <w:tcPr>
            <w:tcW w:type="dxa" w:w="1512"/>
          </w:tcPr>
          <w:p>
            <w:pPr>
              <w:spacing w:after="20"/>
              <w:jc w:val="right"/>
            </w:pPr>
            <w:r>
              <w:rPr>
                <w:color w:val="1C3A36"/>
                <w:sz w:val="17"/>
              </w:rPr>
              <w:t>34.2</w:t>
            </w:r>
          </w:p>
        </w:tc>
        <w:tc>
          <w:tcPr>
            <w:tcW w:type="dxa" w:w="1512"/>
          </w:tcPr>
          <w:p>
            <w:pPr>
              <w:spacing w:after="20"/>
              <w:jc w:val="right"/>
            </w:pPr>
            <w:r>
              <w:rPr>
                <w:color w:val="1C3A36"/>
                <w:sz w:val="17"/>
              </w:rPr>
              <w:t>47.3</w:t>
            </w:r>
          </w:p>
        </w:tc>
      </w:tr>
      <w:tr>
        <w:tc>
          <w:tcPr>
            <w:tcW w:type="dxa" w:w="3456"/>
          </w:tcPr>
          <w:p>
            <w:pPr>
              <w:spacing w:after="20"/>
            </w:pPr>
            <w:r>
              <w:rPr>
                <w:b/>
                <w:color w:val="1C3A36"/>
                <w:sz w:val="17"/>
              </w:rPr>
              <w:t>Enterprise multiple on own history</w:t>
            </w:r>
          </w:p>
        </w:tc>
        <w:tc>
          <w:tcPr>
            <w:tcW w:type="dxa" w:w="1440"/>
          </w:tcPr>
          <w:p>
            <w:pPr>
              <w:spacing w:after="20"/>
              <w:jc w:val="right"/>
            </w:pPr>
            <w:r>
              <w:rPr>
                <w:color w:val="1C3A36"/>
                <w:sz w:val="17"/>
              </w:rPr>
              <w:t>Cross-check</w:t>
            </w:r>
          </w:p>
        </w:tc>
        <w:tc>
          <w:tcPr>
            <w:tcW w:type="dxa" w:w="1512"/>
          </w:tcPr>
          <w:p>
            <w:pPr>
              <w:spacing w:after="20"/>
              <w:jc w:val="right"/>
            </w:pPr>
            <w:r>
              <w:rPr>
                <w:color w:val="1C3A36"/>
                <w:sz w:val="17"/>
              </w:rPr>
              <w:t>45.8</w:t>
            </w:r>
          </w:p>
        </w:tc>
        <w:tc>
          <w:tcPr>
            <w:tcW w:type="dxa" w:w="1512"/>
          </w:tcPr>
          <w:p>
            <w:pPr>
              <w:spacing w:after="20"/>
              <w:jc w:val="right"/>
            </w:pPr>
            <w:r>
              <w:rPr>
                <w:color w:val="1C3A36"/>
                <w:sz w:val="17"/>
              </w:rPr>
              <w:t>48.1</w:t>
            </w:r>
          </w:p>
        </w:tc>
        <w:tc>
          <w:tcPr>
            <w:tcW w:type="dxa" w:w="1512"/>
          </w:tcPr>
          <w:p>
            <w:pPr>
              <w:spacing w:after="20"/>
              <w:jc w:val="right"/>
            </w:pPr>
            <w:r>
              <w:rPr>
                <w:color w:val="1C3A36"/>
                <w:sz w:val="17"/>
              </w:rPr>
              <w:t>49.9</w:t>
            </w:r>
          </w:p>
        </w:tc>
      </w:tr>
      <w:tr>
        <w:tc>
          <w:tcPr>
            <w:tcW w:type="dxa" w:w="3456"/>
          </w:tcPr>
          <w:p>
            <w:pPr>
              <w:spacing w:after="20"/>
            </w:pPr>
            <w:r>
              <w:rPr>
                <w:b/>
                <w:color w:val="1C3A36"/>
                <w:sz w:val="17"/>
              </w:rPr>
              <w:t>Normalised earnings power</w:t>
            </w:r>
          </w:p>
        </w:tc>
        <w:tc>
          <w:tcPr>
            <w:tcW w:type="dxa" w:w="1440"/>
          </w:tcPr>
          <w:p>
            <w:pPr>
              <w:spacing w:after="20"/>
              <w:jc w:val="right"/>
            </w:pPr>
            <w:r>
              <w:rPr>
                <w:color w:val="1C3A36"/>
                <w:sz w:val="17"/>
              </w:rPr>
              <w:t>Cross-check</w:t>
            </w:r>
          </w:p>
        </w:tc>
        <w:tc>
          <w:tcPr>
            <w:tcW w:type="dxa" w:w="1512"/>
          </w:tcPr>
          <w:p>
            <w:pPr>
              <w:spacing w:after="20"/>
              <w:jc w:val="right"/>
            </w:pPr>
            <w:r>
              <w:rPr>
                <w:color w:val="1C3A36"/>
                <w:sz w:val="17"/>
              </w:rPr>
              <w:t>36.8</w:t>
            </w:r>
          </w:p>
        </w:tc>
        <w:tc>
          <w:tcPr>
            <w:tcW w:type="dxa" w:w="1512"/>
          </w:tcPr>
          <w:p>
            <w:pPr>
              <w:spacing w:after="20"/>
              <w:jc w:val="right"/>
            </w:pPr>
            <w:r>
              <w:rPr>
                <w:color w:val="1C3A36"/>
                <w:sz w:val="17"/>
              </w:rPr>
              <w:t>39.8</w:t>
            </w:r>
          </w:p>
        </w:tc>
        <w:tc>
          <w:tcPr>
            <w:tcW w:type="dxa" w:w="1512"/>
          </w:tcPr>
          <w:p>
            <w:pPr>
              <w:spacing w:after="20"/>
              <w:jc w:val="right"/>
            </w:pPr>
            <w:r>
              <w:rPr>
                <w:color w:val="1C3A36"/>
                <w:sz w:val="17"/>
              </w:rPr>
              <w:t>50.2</w:t>
            </w:r>
          </w:p>
        </w:tc>
      </w:tr>
      <w:tr>
        <w:tc>
          <w:tcPr>
            <w:tcW w:type="dxa" w:w="3456"/>
          </w:tcPr>
          <w:p>
            <w:pPr>
              <w:spacing w:after="20"/>
            </w:pPr>
            <w:r>
              <w:rPr>
                <w:b/>
                <w:color w:val="1C3A36"/>
                <w:sz w:val="17"/>
              </w:rPr>
              <w:t>Book value</w:t>
            </w:r>
          </w:p>
        </w:tc>
        <w:tc>
          <w:tcPr>
            <w:tcW w:type="dxa" w:w="1440"/>
          </w:tcPr>
          <w:p>
            <w:pPr>
              <w:spacing w:after="20"/>
              <w:jc w:val="right"/>
            </w:pPr>
            <w:r>
              <w:rPr>
                <w:color w:val="1C3A36"/>
                <w:sz w:val="17"/>
              </w:rPr>
              <w:t>Disclosed floor</w:t>
            </w:r>
          </w:p>
        </w:tc>
        <w:tc>
          <w:tcPr>
            <w:tcW w:type="dxa" w:w="1512"/>
          </w:tcPr>
          <w:p>
            <w:pPr>
              <w:spacing w:after="20"/>
              <w:jc w:val="right"/>
            </w:pPr>
            <w:r>
              <w:rPr>
                <w:color w:val="1C3A36"/>
                <w:sz w:val="17"/>
              </w:rPr>
            </w:r>
          </w:p>
        </w:tc>
        <w:tc>
          <w:tcPr>
            <w:tcW w:type="dxa" w:w="1512"/>
          </w:tcPr>
          <w:p>
            <w:pPr>
              <w:spacing w:after="20"/>
              <w:jc w:val="right"/>
            </w:pPr>
            <w:r>
              <w:rPr>
                <w:color w:val="1C3A36"/>
                <w:sz w:val="17"/>
              </w:rPr>
              <w:t>17.02</w:t>
            </w:r>
          </w:p>
        </w:tc>
        <w:tc>
          <w:tcPr>
            <w:tcW w:type="dxa" w:w="1512"/>
          </w:tcPr>
          <w:p>
            <w:pPr>
              <w:spacing w:after="20"/>
              <w:jc w:val="right"/>
            </w:pPr>
            <w:r>
              <w:rPr>
                <w:color w:val="1C3A36"/>
                <w:sz w:val="17"/>
              </w:rPr>
            </w:r>
          </w:p>
        </w:tc>
      </w:tr>
      <w:tr>
        <w:tc>
          <w:tcPr>
            <w:tcW w:type="dxa" w:w="3456"/>
            <w:shd w:val="clear" w:color="auto" w:fill="F6F1E6"/>
          </w:tcPr>
          <w:p>
            <w:pPr>
              <w:spacing w:after="20"/>
            </w:pPr>
            <w:r>
              <w:rPr>
                <w:b/>
                <w:color w:val="1C3A36"/>
                <w:sz w:val="17"/>
              </w:rPr>
              <w:t>THE PUBLISHED RANGE — the span of the present-value reads, never an average</w:t>
            </w:r>
          </w:p>
        </w:tc>
        <w:tc>
          <w:tcPr>
            <w:tcW w:type="dxa" w:w="1440"/>
            <w:shd w:val="clear" w:color="auto" w:fill="F6F1E6"/>
          </w:tcPr>
          <w:p>
            <w:pPr>
              <w:spacing w:after="20"/>
              <w:jc w:val="right"/>
            </w:pPr>
            <w:r>
              <w:rPr>
                <w:b/>
                <w:color w:val="1C3A36"/>
                <w:sz w:val="17"/>
              </w:rPr>
            </w:r>
          </w:p>
        </w:tc>
        <w:tc>
          <w:tcPr>
            <w:tcW w:type="dxa" w:w="1512"/>
            <w:shd w:val="clear" w:color="auto" w:fill="F6F1E6"/>
          </w:tcPr>
          <w:p>
            <w:pPr>
              <w:spacing w:after="20"/>
              <w:jc w:val="right"/>
            </w:pPr>
            <w:r>
              <w:rPr>
                <w:b/>
                <w:color w:val="1C3A36"/>
                <w:sz w:val="17"/>
              </w:rPr>
              <w:t>35.29</w:t>
            </w:r>
          </w:p>
        </w:tc>
        <w:tc>
          <w:tcPr>
            <w:tcW w:type="dxa" w:w="1512"/>
            <w:shd w:val="clear" w:color="auto" w:fill="F6F1E6"/>
          </w:tcPr>
          <w:p>
            <w:pPr>
              <w:spacing w:after="20"/>
              <w:jc w:val="right"/>
            </w:pPr>
            <w:r>
              <w:rPr>
                <w:b/>
                <w:color w:val="1C3A36"/>
                <w:sz w:val="17"/>
              </w:rPr>
              <w:t>36.06</w:t>
            </w:r>
          </w:p>
        </w:tc>
        <w:tc>
          <w:tcPr>
            <w:tcW w:type="dxa" w:w="1512"/>
            <w:shd w:val="clear" w:color="auto" w:fill="F6F1E6"/>
          </w:tcPr>
          <w:p>
            <w:pPr>
              <w:spacing w:after="20"/>
              <w:jc w:val="right"/>
            </w:pPr>
            <w:r>
              <w:rPr>
                <w:b/>
                <w:color w:val="1C3A36"/>
                <w:sz w:val="17"/>
              </w:rPr>
              <w:t>48.08</w:t>
            </w:r>
          </w:p>
        </w:tc>
      </w:tr>
    </w:tbl>
    <w:p>
      <w:pPr>
        <w:spacing w:after="40"/>
      </w:pPr>
    </w:p>
    <w:p>
      <w:pPr>
        <w:spacing w:after="40"/>
        <w:jc w:val="center"/>
      </w:pPr>
      <w:r>
        <w:drawing>
          <wp:inline xmlns:a="http://schemas.openxmlformats.org/drawingml/2006/main" xmlns:pic="http://schemas.openxmlformats.org/drawingml/2006/picture">
            <wp:extent cx="5760720" cy="2434943"/>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5760720" cy="2434943"/>
                    </a:xfrm>
                    <a:prstGeom prst="rect"/>
                  </pic:spPr>
                </pic:pic>
              </a:graphicData>
            </a:graphic>
          </wp:inline>
        </w:drawing>
      </w:r>
    </w:p>
    <w:p>
      <w:pPr>
        <w:spacing w:after="200" w:before="0"/>
      </w:pPr>
      <w:r>
        <w:rPr>
          <w:b w:val="0"/>
          <w:i/>
          <w:color w:val="6E7B77"/>
          <w:sz w:val="17"/>
        </w:rPr>
        <w:t>Figure 1 — Valuation football field. Bars span bear–bull per lens; the brass tick is each base case; the gold band is the range the present-value reads span; the ink line is the market price.</w:t>
      </w:r>
    </w:p>
    <w:p>
      <w:pPr>
        <w:spacing w:after="120" w:before="0"/>
      </w:pPr>
      <w:r>
        <w:rPr>
          <w:b/>
          <w:i w:val="0"/>
          <w:color w:val="1C3A36"/>
          <w:sz w:val="21"/>
        </w:rPr>
        <w:t>Central fair value ≈ SAR 36/share</w:t>
      </w:r>
      <w:r>
        <w:rPr>
          <w:b w:val="0"/>
          <w:i w:val="0"/>
          <w:color w:val="1C3A36"/>
          <w:sz w:val="21"/>
        </w:rPr>
        <w:t>, -18% versus the market. The bear-to-bull span of SAR 35.29 to 48.08 moves exactly ONE driver: capital expenditure as a multiple of the depreciation of the base being renewed, across the range this company's own three filed years ran — 1.054 times at the bull end and 1.252 at the bear. Everything else is held IDENTICAL across all three reads: the cost of capital, the terminal growth, the terminal risk-free rate, the inflation ladder and the margin path. That is deliberate and it is a change from the previous edition, which moved the discount rate and terminal growth inside the scenarios as well — three levers moving together cannot be attributed to any of them, and a bear case that also changes the economy is not a bear case for this company. What the spread is NOT about is revenue: it is a capital-intensity story, and the discount rate has its own grid in §1.9 rather than being folded in here.</w:t>
      </w:r>
    </w:p>
    <w:p>
      <w:pPr>
        <w:spacing w:after="80" w:before="200"/>
      </w:pPr>
      <w:r>
        <w:rPr>
          <w:b/>
          <w:i w:val="0"/>
          <w:color w:val="1C3A36"/>
          <w:sz w:val="24"/>
        </w:rPr>
        <w:t>1.6  The segments — a deeper look, and the driver table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10584" w:type="dxa"/>
      </w:tblPr>
      <w:tblGrid>
        <w:gridCol w:w="2232"/>
        <w:gridCol w:w="1944"/>
        <w:gridCol w:w="3384"/>
        <w:gridCol w:w="1655"/>
        <w:gridCol w:w="1368"/>
      </w:tblGrid>
      <w:tr>
        <w:tc>
          <w:tcPr>
            <w:tcW w:type="dxa" w:w="2232"/>
            <w:shd w:val="clear" w:color="auto" w:fill="EAF0EE"/>
          </w:tcPr>
          <w:p>
            <w:pPr>
              <w:spacing w:after="20"/>
            </w:pPr>
            <w:r>
              <w:rPr>
                <w:b/>
                <w:color w:val="1C3A36"/>
                <w:sz w:val="17"/>
              </w:rPr>
              <w:t>Segment / leg</w:t>
            </w:r>
          </w:p>
        </w:tc>
        <w:tc>
          <w:tcPr>
            <w:tcW w:type="dxa" w:w="1944"/>
            <w:shd w:val="clear" w:color="auto" w:fill="EAF0EE"/>
          </w:tcPr>
          <w:p>
            <w:pPr>
              <w:spacing w:after="20"/>
            </w:pPr>
            <w:r>
              <w:rPr>
                <w:b/>
                <w:color w:val="1C3A36"/>
                <w:sz w:val="17"/>
              </w:rPr>
              <w:t>FY25 revenue</w:t>
            </w:r>
          </w:p>
        </w:tc>
        <w:tc>
          <w:tcPr>
            <w:tcW w:type="dxa" w:w="3384"/>
            <w:shd w:val="clear" w:color="auto" w:fill="EAF0EE"/>
          </w:tcPr>
          <w:p>
            <w:pPr>
              <w:spacing w:after="20"/>
            </w:pPr>
            <w:r>
              <w:rPr>
                <w:b/>
                <w:color w:val="1C3A36"/>
                <w:sz w:val="17"/>
              </w:rPr>
              <w:t>Trend</w:t>
            </w:r>
          </w:p>
        </w:tc>
        <w:tc>
          <w:tcPr>
            <w:tcW w:type="dxa" w:w="1656"/>
            <w:shd w:val="clear" w:color="auto" w:fill="EAF0EE"/>
          </w:tcPr>
          <w:p>
            <w:pPr>
              <w:spacing w:after="20"/>
            </w:pPr>
            <w:r>
              <w:rPr>
                <w:b/>
                <w:color w:val="1C3A36"/>
                <w:sz w:val="17"/>
              </w:rPr>
              <w:t>Margin role</w:t>
            </w:r>
          </w:p>
        </w:tc>
        <w:tc>
          <w:tcPr>
            <w:tcW w:type="dxa" w:w="1368"/>
            <w:shd w:val="clear" w:color="auto" w:fill="EAF0EE"/>
          </w:tcPr>
          <w:p>
            <w:pPr>
              <w:spacing w:after="20"/>
            </w:pPr>
            <w:r>
              <w:rPr>
                <w:b/>
                <w:color w:val="1C3A36"/>
                <w:sz w:val="17"/>
              </w:rPr>
              <w:t>Swing role</w:t>
            </w:r>
          </w:p>
        </w:tc>
      </w:tr>
      <w:tr>
        <w:tc>
          <w:tcPr>
            <w:tcW w:type="dxa" w:w="2232"/>
          </w:tcPr>
          <w:p>
            <w:pPr>
              <w:spacing w:after="20"/>
            </w:pPr>
            <w:r>
              <w:rPr>
                <w:b/>
                <w:color w:val="1C3A36"/>
                <w:sz w:val="17"/>
              </w:rPr>
              <w:t>KSA Consumer (CBU)</w:t>
            </w:r>
          </w:p>
        </w:tc>
        <w:tc>
          <w:tcPr>
            <w:tcW w:type="dxa" w:w="1944"/>
          </w:tcPr>
          <w:p>
            <w:pPr>
              <w:spacing w:after="20"/>
              <w:jc w:val="right"/>
            </w:pPr>
            <w:r>
              <w:rPr>
                <w:color w:val="1C3A36"/>
                <w:sz w:val="17"/>
              </w:rPr>
              <w:t>SAR 32.8 bn (+3.4%)</w:t>
            </w:r>
          </w:p>
        </w:tc>
        <w:tc>
          <w:tcPr>
            <w:tcW w:type="dxa" w:w="3384"/>
          </w:tcPr>
          <w:p>
            <w:pPr>
              <w:spacing w:after="20"/>
              <w:jc w:val="right"/>
            </w:pPr>
            <w:r>
              <w:rPr>
                <w:color w:val="1C3A36"/>
                <w:sz w:val="17"/>
              </w:rPr>
              <w:t>Mobility +2.8%, fixed +6.6%; 30.3 mn mobile subscribers at the half year, +1.0% on the full-year 2025 count</w:t>
            </w:r>
          </w:p>
        </w:tc>
        <w:tc>
          <w:tcPr>
            <w:tcW w:type="dxa" w:w="1656"/>
          </w:tcPr>
          <w:p>
            <w:pPr>
              <w:spacing w:after="20"/>
              <w:jc w:val="right"/>
            </w:pPr>
            <w:r>
              <w:rPr>
                <w:color w:val="1C3A36"/>
                <w:sz w:val="17"/>
              </w:rPr>
              <w:t>The cash cow</w:t>
            </w:r>
          </w:p>
        </w:tc>
        <w:tc>
          <w:tcPr>
            <w:tcW w:type="dxa" w:w="1368"/>
          </w:tcPr>
          <w:p>
            <w:pPr>
              <w:spacing w:after="20"/>
              <w:jc w:val="right"/>
            </w:pPr>
            <w:r>
              <w:rPr>
                <w:color w:val="1C3A36"/>
                <w:sz w:val="17"/>
              </w:rPr>
              <w:t>Competition watch</w:t>
            </w:r>
          </w:p>
        </w:tc>
      </w:tr>
      <w:tr>
        <w:tc>
          <w:tcPr>
            <w:tcW w:type="dxa" w:w="2232"/>
          </w:tcPr>
          <w:p>
            <w:pPr>
              <w:spacing w:after="20"/>
            </w:pPr>
            <w:r>
              <w:rPr>
                <w:b/>
                <w:color w:val="1C3A36"/>
                <w:sz w:val="17"/>
              </w:rPr>
              <w:t>KSA Enterprise (EBU)</w:t>
            </w:r>
          </w:p>
        </w:tc>
        <w:tc>
          <w:tcPr>
            <w:tcW w:type="dxa" w:w="1944"/>
          </w:tcPr>
          <w:p>
            <w:pPr>
              <w:spacing w:after="20"/>
              <w:jc w:val="right"/>
            </w:pPr>
            <w:r>
              <w:rPr>
                <w:color w:val="1C3A36"/>
                <w:sz w:val="17"/>
              </w:rPr>
              <w:t>SAR 13.5 bn (+0.4%)</w:t>
            </w:r>
          </w:p>
        </w:tc>
        <w:tc>
          <w:tcPr>
            <w:tcW w:type="dxa" w:w="3384"/>
          </w:tcPr>
          <w:p>
            <w:pPr>
              <w:spacing w:after="20"/>
              <w:jc w:val="right"/>
            </w:pPr>
            <w:r>
              <w:rPr>
                <w:color w:val="1C3A36"/>
                <w:sz w:val="17"/>
              </w:rPr>
              <w:t>Government phasing; private sector +6%; flat ex-mega-projects</w:t>
            </w:r>
          </w:p>
        </w:tc>
        <w:tc>
          <w:tcPr>
            <w:tcW w:type="dxa" w:w="1656"/>
          </w:tcPr>
          <w:p>
            <w:pPr>
              <w:spacing w:after="20"/>
              <w:jc w:val="right"/>
            </w:pPr>
            <w:r>
              <w:rPr>
                <w:color w:val="1C3A36"/>
                <w:sz w:val="17"/>
              </w:rPr>
              <w:t>High-margin</w:t>
            </w:r>
          </w:p>
        </w:tc>
        <w:tc>
          <w:tcPr>
            <w:tcW w:type="dxa" w:w="1368"/>
          </w:tcPr>
          <w:p>
            <w:pPr>
              <w:spacing w:after="20"/>
              <w:jc w:val="right"/>
            </w:pPr>
            <w:r>
              <w:rPr>
                <w:color w:val="1C3A36"/>
                <w:sz w:val="17"/>
              </w:rPr>
              <w:t>Recovery lever</w:t>
            </w:r>
          </w:p>
        </w:tc>
      </w:tr>
      <w:tr>
        <w:tc>
          <w:tcPr>
            <w:tcW w:type="dxa" w:w="2232"/>
          </w:tcPr>
          <w:p>
            <w:pPr>
              <w:spacing w:after="20"/>
            </w:pPr>
            <w:r>
              <w:rPr>
                <w:b/>
                <w:color w:val="1C3A36"/>
                <w:sz w:val="17"/>
              </w:rPr>
              <w:t>KSA Wholesale &amp; Carrier</w:t>
            </w:r>
          </w:p>
        </w:tc>
        <w:tc>
          <w:tcPr>
            <w:tcW w:type="dxa" w:w="1944"/>
          </w:tcPr>
          <w:p>
            <w:pPr>
              <w:spacing w:after="20"/>
              <w:jc w:val="right"/>
            </w:pPr>
            <w:r>
              <w:rPr>
                <w:color w:val="1C3A36"/>
                <w:sz w:val="17"/>
              </w:rPr>
              <w:t>SAR 4.8 bn (+10.8%)</w:t>
            </w:r>
          </w:p>
        </w:tc>
        <w:tc>
          <w:tcPr>
            <w:tcW w:type="dxa" w:w="3384"/>
          </w:tcPr>
          <w:p>
            <w:pPr>
              <w:spacing w:after="20"/>
              <w:jc w:val="right"/>
            </w:pPr>
            <w:r>
              <w:rPr>
                <w:color w:val="1C3A36"/>
                <w:sz w:val="17"/>
              </w:rPr>
              <w:t>Hosting, FWA backhaul, national roaming</w:t>
            </w:r>
          </w:p>
        </w:tc>
        <w:tc>
          <w:tcPr>
            <w:tcW w:type="dxa" w:w="1656"/>
          </w:tcPr>
          <w:p>
            <w:pPr>
              <w:spacing w:after="20"/>
              <w:jc w:val="right"/>
            </w:pPr>
            <w:r>
              <w:rPr>
                <w:color w:val="1C3A36"/>
                <w:sz w:val="17"/>
              </w:rPr>
              <w:t>Structural</w:t>
            </w:r>
          </w:p>
        </w:tc>
        <w:tc>
          <w:tcPr>
            <w:tcW w:type="dxa" w:w="1368"/>
          </w:tcPr>
          <w:p>
            <w:pPr>
              <w:spacing w:after="20"/>
              <w:jc w:val="right"/>
            </w:pPr>
            <w:r>
              <w:rPr>
                <w:color w:val="1C3A36"/>
                <w:sz w:val="17"/>
              </w:rPr>
              <w:t>Steady</w:t>
            </w:r>
          </w:p>
        </w:tc>
      </w:tr>
      <w:tr>
        <w:tc>
          <w:tcPr>
            <w:tcW w:type="dxa" w:w="2232"/>
          </w:tcPr>
          <w:p>
            <w:pPr>
              <w:spacing w:after="20"/>
            </w:pPr>
            <w:r>
              <w:rPr>
                <w:b/>
                <w:color w:val="1C3A36"/>
                <w:sz w:val="17"/>
              </w:rPr>
              <w:t>Subsidiaries (net)</w:t>
            </w:r>
          </w:p>
        </w:tc>
        <w:tc>
          <w:tcPr>
            <w:tcW w:type="dxa" w:w="1944"/>
          </w:tcPr>
          <w:p>
            <w:pPr>
              <w:spacing w:after="20"/>
              <w:jc w:val="right"/>
            </w:pPr>
            <w:r>
              <w:rPr>
                <w:color w:val="1C3A36"/>
                <w:sz w:val="17"/>
              </w:rPr>
              <w:t>~SAR 26.7 bn</w:t>
            </w:r>
          </w:p>
        </w:tc>
        <w:tc>
          <w:tcPr>
            <w:tcW w:type="dxa" w:w="3384"/>
          </w:tcPr>
          <w:p>
            <w:pPr>
              <w:spacing w:after="20"/>
              <w:jc w:val="right"/>
            </w:pPr>
            <w:r>
              <w:rPr>
                <w:color w:val="1C3A36"/>
                <w:sz w:val="17"/>
              </w:rPr>
              <w:t>solutions 12.7 bn · channels ~14.1 bn gross · stc bank 2.0 bn (+11%) · SCCC +62% · sirar +13% · center3</w:t>
            </w:r>
          </w:p>
        </w:tc>
        <w:tc>
          <w:tcPr>
            <w:tcW w:type="dxa" w:w="1656"/>
          </w:tcPr>
          <w:p>
            <w:pPr>
              <w:spacing w:after="20"/>
              <w:jc w:val="right"/>
            </w:pPr>
            <w:r>
              <w:rPr>
                <w:color w:val="1C3A36"/>
                <w:sz w:val="17"/>
              </w:rPr>
              <w:t>Dilutive today, guided to turn</w:t>
            </w:r>
          </w:p>
        </w:tc>
        <w:tc>
          <w:tcPr>
            <w:tcW w:type="dxa" w:w="1368"/>
          </w:tcPr>
          <w:p>
            <w:pPr>
              <w:spacing w:after="20"/>
              <w:jc w:val="right"/>
            </w:pPr>
            <w:r>
              <w:rPr>
                <w:color w:val="1C3A36"/>
                <w:sz w:val="17"/>
              </w:rPr>
              <w:t>The option book</w:t>
            </w:r>
          </w:p>
        </w:tc>
      </w:tr>
      <w:tr>
        <w:tc>
          <w:tcPr>
            <w:tcW w:type="dxa" w:w="2232"/>
          </w:tcPr>
          <w:p>
            <w:pPr>
              <w:spacing w:after="20"/>
            </w:pPr>
            <w:r>
              <w:rPr>
                <w:b/>
                <w:color w:val="1C3A36"/>
                <w:sz w:val="17"/>
              </w:rPr>
              <w:t>Associates &amp; stakes</w:t>
            </w:r>
          </w:p>
        </w:tc>
        <w:tc>
          <w:tcPr>
            <w:tcW w:type="dxa" w:w="1944"/>
          </w:tcPr>
          <w:p>
            <w:pPr>
              <w:spacing w:after="20"/>
              <w:jc w:val="right"/>
            </w:pPr>
            <w:r>
              <w:rPr>
                <w:color w:val="1C3A36"/>
                <w:sz w:val="17"/>
              </w:rPr>
              <w:t>off-P&amp;L</w:t>
            </w:r>
          </w:p>
        </w:tc>
        <w:tc>
          <w:tcPr>
            <w:tcW w:type="dxa" w:w="3384"/>
          </w:tcPr>
          <w:p>
            <w:pPr>
              <w:spacing w:after="20"/>
              <w:jc w:val="right"/>
            </w:pPr>
            <w:r>
              <w:rPr>
                <w:color w:val="1C3A36"/>
                <w:sz w:val="17"/>
              </w:rPr>
              <w:t>43.06% towers (DIIC) · 9.97% Telefónica · iot squared 50%</w:t>
            </w:r>
          </w:p>
        </w:tc>
        <w:tc>
          <w:tcPr>
            <w:tcW w:type="dxa" w:w="1656"/>
          </w:tcPr>
          <w:p>
            <w:pPr>
              <w:spacing w:after="20"/>
              <w:jc w:val="right"/>
            </w:pPr>
            <w:r>
              <w:rPr>
                <w:color w:val="1C3A36"/>
                <w:sz w:val="17"/>
              </w:rPr>
              <w:t>Equity-method / marks</w:t>
            </w:r>
          </w:p>
        </w:tc>
        <w:tc>
          <w:tcPr>
            <w:tcW w:type="dxa" w:w="1368"/>
          </w:tcPr>
          <w:p>
            <w:pPr>
              <w:spacing w:after="20"/>
              <w:jc w:val="right"/>
            </w:pPr>
            <w:r>
              <w:rPr>
                <w:color w:val="1C3A36"/>
                <w:sz w:val="17"/>
              </w:rPr>
              <w:t>Bridge items</w:t>
            </w:r>
          </w:p>
        </w:tc>
      </w:tr>
    </w:tbl>
    <w:p>
      <w:pPr>
        <w:spacing w:after="40"/>
      </w:pPr>
    </w:p>
    <w:p>
      <w:pPr>
        <w:spacing w:after="120" w:before="0"/>
      </w:pPr>
      <w:r>
        <w:rPr>
          <w:b w:val="0"/>
          <w:i w:val="0"/>
          <w:color w:val="1C3A36"/>
          <w:sz w:val="19"/>
        </w:rPr>
        <w:t>The build is per disclosed segment. THE PREVIOUS EDITION GREW FOUR BUSINESS UNITS — consumer, enterprise, wholesale and a subsidiaries residual — which is not how this company reports: note 9 discloses 12 operating segments and each is grown on its own measured real rate. One of them, the Saudi operating business and two thirds of group revenue, is built as volume times price from the subscriber counts the earnings presentations disclose; the others are forecast on their net rate because no unit data is published for them, and that gap is stated rather than filled.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10224" w:type="dxa"/>
      </w:tblPr>
      <w:tblGrid>
        <w:gridCol w:w="3384"/>
        <w:gridCol w:w="1368"/>
        <w:gridCol w:w="1368"/>
        <w:gridCol w:w="1368"/>
        <w:gridCol w:w="1368"/>
        <w:gridCol w:w="1368"/>
      </w:tblGrid>
      <w:tr>
        <w:tc>
          <w:tcPr>
            <w:tcW w:type="dxa" w:w="3384"/>
            <w:shd w:val="clear" w:color="auto" w:fill="EAF0EE"/>
          </w:tcPr>
          <w:p>
            <w:pPr>
              <w:spacing w:after="20"/>
            </w:pPr>
            <w:r>
              <w:rPr>
                <w:b/>
                <w:color w:val="1C3A36"/>
                <w:sz w:val="16"/>
              </w:rPr>
              <w:t>Operating segment (note 9)</w:t>
            </w:r>
          </w:p>
        </w:tc>
        <w:tc>
          <w:tcPr>
            <w:tcW w:type="dxa" w:w="1368"/>
            <w:shd w:val="clear" w:color="auto" w:fill="EAF0EE"/>
          </w:tcPr>
          <w:p>
            <w:pPr>
              <w:spacing w:after="20"/>
            </w:pPr>
            <w:r>
              <w:rPr>
                <w:b/>
                <w:color w:val="1C3A36"/>
                <w:sz w:val="16"/>
              </w:rPr>
              <w:t>FY24</w:t>
            </w:r>
          </w:p>
        </w:tc>
        <w:tc>
          <w:tcPr>
            <w:tcW w:type="dxa" w:w="1368"/>
            <w:shd w:val="clear" w:color="auto" w:fill="EAF0EE"/>
          </w:tcPr>
          <w:p>
            <w:pPr>
              <w:spacing w:after="20"/>
            </w:pPr>
            <w:r>
              <w:rPr>
                <w:b/>
                <w:color w:val="1C3A36"/>
                <w:sz w:val="16"/>
              </w:rPr>
              <w:t>FY25</w:t>
            </w:r>
          </w:p>
        </w:tc>
        <w:tc>
          <w:tcPr>
            <w:tcW w:type="dxa" w:w="1368"/>
            <w:shd w:val="clear" w:color="auto" w:fill="EAF0EE"/>
          </w:tcPr>
          <w:p>
            <w:pPr>
              <w:spacing w:after="20"/>
            </w:pPr>
            <w:r>
              <w:rPr>
                <w:b/>
                <w:color w:val="1C3A36"/>
                <w:sz w:val="16"/>
              </w:rPr>
              <w:t>FY26E</w:t>
            </w:r>
          </w:p>
        </w:tc>
        <w:tc>
          <w:tcPr>
            <w:tcW w:type="dxa" w:w="1368"/>
            <w:shd w:val="clear" w:color="auto" w:fill="EAF0EE"/>
          </w:tcPr>
          <w:p>
            <w:pPr>
              <w:spacing w:after="20"/>
            </w:pPr>
            <w:r>
              <w:rPr>
                <w:b/>
                <w:color w:val="1C3A36"/>
                <w:sz w:val="16"/>
              </w:rPr>
              <w:t>FY28E</w:t>
            </w:r>
          </w:p>
        </w:tc>
        <w:tc>
          <w:tcPr>
            <w:tcW w:type="dxa" w:w="1368"/>
            <w:shd w:val="clear" w:color="auto" w:fill="EAF0EE"/>
          </w:tcPr>
          <w:p>
            <w:pPr>
              <w:spacing w:after="20"/>
            </w:pPr>
            <w:r>
              <w:rPr>
                <w:b/>
                <w:color w:val="1C3A36"/>
                <w:sz w:val="16"/>
              </w:rPr>
              <w:t>FY30E</w:t>
            </w:r>
          </w:p>
        </w:tc>
      </w:tr>
      <w:tr>
        <w:tc>
          <w:tcPr>
            <w:tcW w:type="dxa" w:w="3384"/>
          </w:tcPr>
          <w:p>
            <w:pPr>
              <w:spacing w:after="20"/>
            </w:pPr>
            <w:r>
              <w:rPr>
                <w:b/>
                <w:color w:val="1C3A36"/>
                <w:sz w:val="16"/>
              </w:rPr>
              <w:t>stc</w:t>
            </w:r>
          </w:p>
        </w:tc>
        <w:tc>
          <w:tcPr>
            <w:tcW w:type="dxa" w:w="1368"/>
          </w:tcPr>
          <w:p>
            <w:pPr>
              <w:spacing w:after="20"/>
              <w:jc w:val="right"/>
            </w:pPr>
            <w:r>
              <w:rPr>
                <w:color w:val="1C3A36"/>
                <w:sz w:val="16"/>
              </w:rPr>
              <w:t>49,644</w:t>
            </w:r>
          </w:p>
        </w:tc>
        <w:tc>
          <w:tcPr>
            <w:tcW w:type="dxa" w:w="1368"/>
          </w:tcPr>
          <w:p>
            <w:pPr>
              <w:spacing w:after="20"/>
              <w:jc w:val="right"/>
            </w:pPr>
            <w:r>
              <w:rPr>
                <w:color w:val="1C3A36"/>
                <w:sz w:val="16"/>
              </w:rPr>
              <w:t>51,119</w:t>
            </w:r>
          </w:p>
        </w:tc>
        <w:tc>
          <w:tcPr>
            <w:tcW w:type="dxa" w:w="1368"/>
          </w:tcPr>
          <w:p>
            <w:pPr>
              <w:spacing w:after="20"/>
              <w:jc w:val="right"/>
            </w:pPr>
            <w:r>
              <w:rPr>
                <w:color w:val="1C3A36"/>
                <w:sz w:val="16"/>
              </w:rPr>
              <w:t>52,708</w:t>
            </w:r>
          </w:p>
        </w:tc>
        <w:tc>
          <w:tcPr>
            <w:tcW w:type="dxa" w:w="1368"/>
          </w:tcPr>
          <w:p>
            <w:pPr>
              <w:spacing w:after="20"/>
              <w:jc w:val="right"/>
            </w:pPr>
            <w:r>
              <w:rPr>
                <w:color w:val="1C3A36"/>
                <w:sz w:val="16"/>
              </w:rPr>
              <w:t>55,066</w:t>
            </w:r>
          </w:p>
        </w:tc>
        <w:tc>
          <w:tcPr>
            <w:tcW w:type="dxa" w:w="1368"/>
          </w:tcPr>
          <w:p>
            <w:pPr>
              <w:spacing w:after="20"/>
              <w:jc w:val="right"/>
            </w:pPr>
            <w:r>
              <w:rPr>
                <w:color w:val="1C3A36"/>
                <w:sz w:val="16"/>
              </w:rPr>
              <w:t>57,340</w:t>
            </w:r>
          </w:p>
        </w:tc>
      </w:tr>
      <w:tr>
        <w:tc>
          <w:tcPr>
            <w:tcW w:type="dxa" w:w="3384"/>
          </w:tcPr>
          <w:p>
            <w:pPr>
              <w:spacing w:after="20"/>
            </w:pPr>
            <w:r>
              <w:rPr>
                <w:b/>
                <w:color w:val="1C3A36"/>
                <w:sz w:val="16"/>
              </w:rPr>
              <w:t>Channels</w:t>
            </w:r>
          </w:p>
        </w:tc>
        <w:tc>
          <w:tcPr>
            <w:tcW w:type="dxa" w:w="1368"/>
          </w:tcPr>
          <w:p>
            <w:pPr>
              <w:spacing w:after="20"/>
              <w:jc w:val="right"/>
            </w:pPr>
            <w:r>
              <w:rPr>
                <w:color w:val="1C3A36"/>
                <w:sz w:val="16"/>
              </w:rPr>
              <w:t>15,111</w:t>
            </w:r>
          </w:p>
        </w:tc>
        <w:tc>
          <w:tcPr>
            <w:tcW w:type="dxa" w:w="1368"/>
          </w:tcPr>
          <w:p>
            <w:pPr>
              <w:spacing w:after="20"/>
              <w:jc w:val="right"/>
            </w:pPr>
            <w:r>
              <w:rPr>
                <w:color w:val="1C3A36"/>
                <w:sz w:val="16"/>
              </w:rPr>
              <w:t>14,085</w:t>
            </w:r>
          </w:p>
        </w:tc>
        <w:tc>
          <w:tcPr>
            <w:tcW w:type="dxa" w:w="1368"/>
          </w:tcPr>
          <w:p>
            <w:pPr>
              <w:spacing w:after="20"/>
              <w:jc w:val="right"/>
            </w:pPr>
            <w:r>
              <w:rPr>
                <w:color w:val="1C3A36"/>
                <w:sz w:val="16"/>
              </w:rPr>
              <w:t>14,254</w:t>
            </w:r>
          </w:p>
        </w:tc>
        <w:tc>
          <w:tcPr>
            <w:tcW w:type="dxa" w:w="1368"/>
          </w:tcPr>
          <w:p>
            <w:pPr>
              <w:spacing w:after="20"/>
              <w:jc w:val="right"/>
            </w:pPr>
            <w:r>
              <w:rPr>
                <w:color w:val="1C3A36"/>
                <w:sz w:val="16"/>
              </w:rPr>
              <w:t>14,534</w:t>
            </w:r>
          </w:p>
        </w:tc>
        <w:tc>
          <w:tcPr>
            <w:tcW w:type="dxa" w:w="1368"/>
          </w:tcPr>
          <w:p>
            <w:pPr>
              <w:spacing w:after="20"/>
              <w:jc w:val="right"/>
            </w:pPr>
            <w:r>
              <w:rPr>
                <w:color w:val="1C3A36"/>
                <w:sz w:val="16"/>
              </w:rPr>
              <w:t>15,058</w:t>
            </w:r>
          </w:p>
        </w:tc>
      </w:tr>
      <w:tr>
        <w:tc>
          <w:tcPr>
            <w:tcW w:type="dxa" w:w="3384"/>
          </w:tcPr>
          <w:p>
            <w:pPr>
              <w:spacing w:after="20"/>
            </w:pPr>
            <w:r>
              <w:rPr>
                <w:b/>
                <w:color w:val="1C3A36"/>
                <w:sz w:val="16"/>
              </w:rPr>
              <w:t>Solutions</w:t>
            </w:r>
          </w:p>
        </w:tc>
        <w:tc>
          <w:tcPr>
            <w:tcW w:type="dxa" w:w="1368"/>
          </w:tcPr>
          <w:p>
            <w:pPr>
              <w:spacing w:after="20"/>
              <w:jc w:val="right"/>
            </w:pPr>
            <w:r>
              <w:rPr>
                <w:color w:val="1C3A36"/>
                <w:sz w:val="16"/>
              </w:rPr>
              <w:t>12,064</w:t>
            </w:r>
          </w:p>
        </w:tc>
        <w:tc>
          <w:tcPr>
            <w:tcW w:type="dxa" w:w="1368"/>
          </w:tcPr>
          <w:p>
            <w:pPr>
              <w:spacing w:after="20"/>
              <w:jc w:val="right"/>
            </w:pPr>
            <w:r>
              <w:rPr>
                <w:color w:val="1C3A36"/>
                <w:sz w:val="16"/>
              </w:rPr>
              <w:t>12,730</w:t>
            </w:r>
          </w:p>
        </w:tc>
        <w:tc>
          <w:tcPr>
            <w:tcW w:type="dxa" w:w="1368"/>
          </w:tcPr>
          <w:p>
            <w:pPr>
              <w:spacing w:after="20"/>
              <w:jc w:val="right"/>
            </w:pPr>
            <w:r>
              <w:rPr>
                <w:color w:val="1C3A36"/>
                <w:sz w:val="16"/>
              </w:rPr>
              <w:t>13,682</w:t>
            </w:r>
          </w:p>
        </w:tc>
        <w:tc>
          <w:tcPr>
            <w:tcW w:type="dxa" w:w="1368"/>
          </w:tcPr>
          <w:p>
            <w:pPr>
              <w:spacing w:after="20"/>
              <w:jc w:val="right"/>
            </w:pPr>
            <w:r>
              <w:rPr>
                <w:color w:val="1C3A36"/>
                <w:sz w:val="16"/>
              </w:rPr>
              <w:t>15,048</w:t>
            </w:r>
          </w:p>
        </w:tc>
        <w:tc>
          <w:tcPr>
            <w:tcW w:type="dxa" w:w="1368"/>
          </w:tcPr>
          <w:p>
            <w:pPr>
              <w:spacing w:after="20"/>
              <w:jc w:val="right"/>
            </w:pPr>
            <w:r>
              <w:rPr>
                <w:color w:val="1C3A36"/>
                <w:sz w:val="16"/>
              </w:rPr>
              <w:t>15,829</w:t>
            </w:r>
          </w:p>
        </w:tc>
      </w:tr>
      <w:tr>
        <w:tc>
          <w:tcPr>
            <w:tcW w:type="dxa" w:w="3384"/>
          </w:tcPr>
          <w:p>
            <w:pPr>
              <w:spacing w:after="20"/>
            </w:pPr>
            <w:r>
              <w:rPr>
                <w:b/>
                <w:color w:val="1C3A36"/>
                <w:sz w:val="16"/>
              </w:rPr>
              <w:t>stc Kuwait</w:t>
            </w:r>
          </w:p>
        </w:tc>
        <w:tc>
          <w:tcPr>
            <w:tcW w:type="dxa" w:w="1368"/>
          </w:tcPr>
          <w:p>
            <w:pPr>
              <w:spacing w:after="20"/>
              <w:jc w:val="right"/>
            </w:pPr>
            <w:r>
              <w:rPr>
                <w:color w:val="1C3A36"/>
                <w:sz w:val="16"/>
              </w:rPr>
              <w:t>4,105</w:t>
            </w:r>
          </w:p>
        </w:tc>
        <w:tc>
          <w:tcPr>
            <w:tcW w:type="dxa" w:w="1368"/>
          </w:tcPr>
          <w:p>
            <w:pPr>
              <w:spacing w:after="20"/>
              <w:jc w:val="right"/>
            </w:pPr>
            <w:r>
              <w:rPr>
                <w:color w:val="1C3A36"/>
                <w:sz w:val="16"/>
              </w:rPr>
              <w:t>4,180</w:t>
            </w:r>
          </w:p>
        </w:tc>
        <w:tc>
          <w:tcPr>
            <w:tcW w:type="dxa" w:w="1368"/>
          </w:tcPr>
          <w:p>
            <w:pPr>
              <w:spacing w:after="20"/>
              <w:jc w:val="right"/>
            </w:pPr>
            <w:r>
              <w:rPr>
                <w:color w:val="1C3A36"/>
                <w:sz w:val="16"/>
              </w:rPr>
              <w:t>4,324</w:t>
            </w:r>
          </w:p>
        </w:tc>
        <w:tc>
          <w:tcPr>
            <w:tcW w:type="dxa" w:w="1368"/>
          </w:tcPr>
          <w:p>
            <w:pPr>
              <w:spacing w:after="20"/>
              <w:jc w:val="right"/>
            </w:pPr>
            <w:r>
              <w:rPr>
                <w:color w:val="1C3A36"/>
                <w:sz w:val="16"/>
              </w:rPr>
              <w:t>4,532</w:t>
            </w:r>
          </w:p>
        </w:tc>
        <w:tc>
          <w:tcPr>
            <w:tcW w:type="dxa" w:w="1368"/>
          </w:tcPr>
          <w:p>
            <w:pPr>
              <w:spacing w:after="20"/>
              <w:jc w:val="right"/>
            </w:pPr>
            <w:r>
              <w:rPr>
                <w:color w:val="1C3A36"/>
                <w:sz w:val="16"/>
              </w:rPr>
              <w:t>4,721</w:t>
            </w:r>
          </w:p>
        </w:tc>
      </w:tr>
      <w:tr>
        <w:tc>
          <w:tcPr>
            <w:tcW w:type="dxa" w:w="3384"/>
          </w:tcPr>
          <w:p>
            <w:pPr>
              <w:spacing w:after="20"/>
            </w:pPr>
            <w:r>
              <w:rPr>
                <w:b/>
                <w:color w:val="1C3A36"/>
                <w:sz w:val="16"/>
              </w:rPr>
              <w:t>stc Bahrain</w:t>
            </w:r>
          </w:p>
        </w:tc>
        <w:tc>
          <w:tcPr>
            <w:tcW w:type="dxa" w:w="1368"/>
          </w:tcPr>
          <w:p>
            <w:pPr>
              <w:spacing w:after="20"/>
              <w:jc w:val="right"/>
            </w:pPr>
            <w:r>
              <w:rPr>
                <w:color w:val="1C3A36"/>
                <w:sz w:val="16"/>
              </w:rPr>
              <w:t>1,928</w:t>
            </w:r>
          </w:p>
        </w:tc>
        <w:tc>
          <w:tcPr>
            <w:tcW w:type="dxa" w:w="1368"/>
          </w:tcPr>
          <w:p>
            <w:pPr>
              <w:spacing w:after="20"/>
              <w:jc w:val="right"/>
            </w:pPr>
            <w:r>
              <w:rPr>
                <w:color w:val="1C3A36"/>
                <w:sz w:val="16"/>
              </w:rPr>
              <w:t>1,968</w:t>
            </w:r>
          </w:p>
        </w:tc>
        <w:tc>
          <w:tcPr>
            <w:tcW w:type="dxa" w:w="1368"/>
          </w:tcPr>
          <w:p>
            <w:pPr>
              <w:spacing w:after="20"/>
              <w:jc w:val="right"/>
            </w:pPr>
            <w:r>
              <w:rPr>
                <w:color w:val="1C3A36"/>
                <w:sz w:val="16"/>
              </w:rPr>
              <w:t>2,020</w:t>
            </w:r>
          </w:p>
        </w:tc>
        <w:tc>
          <w:tcPr>
            <w:tcW w:type="dxa" w:w="1368"/>
          </w:tcPr>
          <w:p>
            <w:pPr>
              <w:spacing w:after="20"/>
              <w:jc w:val="right"/>
            </w:pPr>
            <w:r>
              <w:rPr>
                <w:color w:val="1C3A36"/>
                <w:sz w:val="16"/>
              </w:rPr>
              <w:t>2,097</w:t>
            </w:r>
          </w:p>
        </w:tc>
        <w:tc>
          <w:tcPr>
            <w:tcW w:type="dxa" w:w="1368"/>
          </w:tcPr>
          <w:p>
            <w:pPr>
              <w:spacing w:after="20"/>
              <w:jc w:val="right"/>
            </w:pPr>
            <w:r>
              <w:rPr>
                <w:color w:val="1C3A36"/>
                <w:sz w:val="16"/>
              </w:rPr>
              <w:t>2,180</w:t>
            </w:r>
          </w:p>
        </w:tc>
      </w:tr>
      <w:tr>
        <w:tc>
          <w:tcPr>
            <w:tcW w:type="dxa" w:w="3384"/>
          </w:tcPr>
          <w:p>
            <w:pPr>
              <w:spacing w:after="20"/>
            </w:pPr>
            <w:r>
              <w:rPr>
                <w:b/>
                <w:color w:val="1C3A36"/>
                <w:sz w:val="16"/>
              </w:rPr>
              <w:t>Center 3</w:t>
            </w:r>
          </w:p>
        </w:tc>
        <w:tc>
          <w:tcPr>
            <w:tcW w:type="dxa" w:w="1368"/>
          </w:tcPr>
          <w:p>
            <w:pPr>
              <w:spacing w:after="20"/>
              <w:jc w:val="right"/>
            </w:pPr>
            <w:r>
              <w:rPr>
                <w:color w:val="1C3A36"/>
                <w:sz w:val="16"/>
              </w:rPr>
              <w:t>1,912</w:t>
            </w:r>
          </w:p>
        </w:tc>
        <w:tc>
          <w:tcPr>
            <w:tcW w:type="dxa" w:w="1368"/>
          </w:tcPr>
          <w:p>
            <w:pPr>
              <w:spacing w:after="20"/>
              <w:jc w:val="right"/>
            </w:pPr>
            <w:r>
              <w:rPr>
                <w:color w:val="1C3A36"/>
                <w:sz w:val="16"/>
              </w:rPr>
              <w:t>1,962</w:t>
            </w:r>
          </w:p>
        </w:tc>
        <w:tc>
          <w:tcPr>
            <w:tcW w:type="dxa" w:w="1368"/>
          </w:tcPr>
          <w:p>
            <w:pPr>
              <w:spacing w:after="20"/>
              <w:jc w:val="right"/>
            </w:pPr>
            <w:r>
              <w:rPr>
                <w:color w:val="1C3A36"/>
                <w:sz w:val="16"/>
              </w:rPr>
              <w:t>2,057</w:t>
            </w:r>
          </w:p>
        </w:tc>
        <w:tc>
          <w:tcPr>
            <w:tcW w:type="dxa" w:w="1368"/>
          </w:tcPr>
          <w:p>
            <w:pPr>
              <w:spacing w:after="20"/>
              <w:jc w:val="right"/>
            </w:pPr>
            <w:r>
              <w:rPr>
                <w:color w:val="1C3A36"/>
                <w:sz w:val="16"/>
              </w:rPr>
              <w:t>2,192</w:t>
            </w:r>
          </w:p>
        </w:tc>
        <w:tc>
          <w:tcPr>
            <w:tcW w:type="dxa" w:w="1368"/>
          </w:tcPr>
          <w:p>
            <w:pPr>
              <w:spacing w:after="20"/>
              <w:jc w:val="right"/>
            </w:pPr>
            <w:r>
              <w:rPr>
                <w:color w:val="1C3A36"/>
                <w:sz w:val="16"/>
              </w:rPr>
              <w:t>2,291</w:t>
            </w:r>
          </w:p>
        </w:tc>
      </w:tr>
      <w:tr>
        <w:tc>
          <w:tcPr>
            <w:tcW w:type="dxa" w:w="3384"/>
          </w:tcPr>
          <w:p>
            <w:pPr>
              <w:spacing w:after="20"/>
            </w:pPr>
            <w:r>
              <w:rPr>
                <w:b/>
                <w:color w:val="1C3A36"/>
                <w:sz w:val="16"/>
              </w:rPr>
              <w:t>stc Bank</w:t>
            </w:r>
          </w:p>
        </w:tc>
        <w:tc>
          <w:tcPr>
            <w:tcW w:type="dxa" w:w="1368"/>
          </w:tcPr>
          <w:p>
            <w:pPr>
              <w:spacing w:after="20"/>
              <w:jc w:val="right"/>
            </w:pPr>
            <w:r>
              <w:rPr>
                <w:color w:val="1C3A36"/>
                <w:sz w:val="16"/>
              </w:rPr>
              <w:t>1,262</w:t>
            </w:r>
          </w:p>
        </w:tc>
        <w:tc>
          <w:tcPr>
            <w:tcW w:type="dxa" w:w="1368"/>
          </w:tcPr>
          <w:p>
            <w:pPr>
              <w:spacing w:after="20"/>
              <w:jc w:val="right"/>
            </w:pPr>
            <w:r>
              <w:rPr>
                <w:color w:val="1C3A36"/>
                <w:sz w:val="16"/>
              </w:rPr>
              <w:t>1,401</w:t>
            </w:r>
          </w:p>
        </w:tc>
        <w:tc>
          <w:tcPr>
            <w:tcW w:type="dxa" w:w="1368"/>
          </w:tcPr>
          <w:p>
            <w:pPr>
              <w:spacing w:after="20"/>
              <w:jc w:val="right"/>
            </w:pPr>
            <w:r>
              <w:rPr>
                <w:color w:val="1C3A36"/>
                <w:sz w:val="16"/>
              </w:rPr>
              <w:t>1,590</w:t>
            </w:r>
          </w:p>
        </w:tc>
        <w:tc>
          <w:tcPr>
            <w:tcW w:type="dxa" w:w="1368"/>
          </w:tcPr>
          <w:p>
            <w:pPr>
              <w:spacing w:after="20"/>
              <w:jc w:val="right"/>
            </w:pPr>
            <w:r>
              <w:rPr>
                <w:color w:val="1C3A36"/>
                <w:sz w:val="16"/>
              </w:rPr>
              <w:t>1,875</w:t>
            </w:r>
          </w:p>
        </w:tc>
        <w:tc>
          <w:tcPr>
            <w:tcW w:type="dxa" w:w="1368"/>
          </w:tcPr>
          <w:p>
            <w:pPr>
              <w:spacing w:after="20"/>
              <w:jc w:val="right"/>
            </w:pPr>
            <w:r>
              <w:rPr>
                <w:color w:val="1C3A36"/>
                <w:sz w:val="16"/>
              </w:rPr>
              <w:t>2,001</w:t>
            </w:r>
          </w:p>
        </w:tc>
      </w:tr>
      <w:tr>
        <w:tc>
          <w:tcPr>
            <w:tcW w:type="dxa" w:w="3384"/>
          </w:tcPr>
          <w:p>
            <w:pPr>
              <w:spacing w:after="20"/>
            </w:pPr>
            <w:r>
              <w:rPr>
                <w:b/>
                <w:color w:val="1C3A36"/>
                <w:sz w:val="16"/>
              </w:rPr>
              <w:t>Sirar</w:t>
            </w:r>
          </w:p>
        </w:tc>
        <w:tc>
          <w:tcPr>
            <w:tcW w:type="dxa" w:w="1368"/>
          </w:tcPr>
          <w:p>
            <w:pPr>
              <w:spacing w:after="20"/>
              <w:jc w:val="right"/>
            </w:pPr>
            <w:r>
              <w:rPr>
                <w:color w:val="1C3A36"/>
                <w:sz w:val="16"/>
              </w:rPr>
              <w:t>733</w:t>
            </w:r>
          </w:p>
        </w:tc>
        <w:tc>
          <w:tcPr>
            <w:tcW w:type="dxa" w:w="1368"/>
          </w:tcPr>
          <w:p>
            <w:pPr>
              <w:spacing w:after="20"/>
              <w:jc w:val="right"/>
            </w:pPr>
            <w:r>
              <w:rPr>
                <w:color w:val="1C3A36"/>
                <w:sz w:val="16"/>
              </w:rPr>
              <w:t>827</w:t>
            </w:r>
          </w:p>
        </w:tc>
        <w:tc>
          <w:tcPr>
            <w:tcW w:type="dxa" w:w="1368"/>
          </w:tcPr>
          <w:p>
            <w:pPr>
              <w:spacing w:after="20"/>
              <w:jc w:val="right"/>
            </w:pPr>
            <w:r>
              <w:rPr>
                <w:color w:val="1C3A36"/>
                <w:sz w:val="16"/>
              </w:rPr>
              <w:t>963</w:t>
            </w:r>
          </w:p>
        </w:tc>
        <w:tc>
          <w:tcPr>
            <w:tcW w:type="dxa" w:w="1368"/>
          </w:tcPr>
          <w:p>
            <w:pPr>
              <w:spacing w:after="20"/>
              <w:jc w:val="right"/>
            </w:pPr>
            <w:r>
              <w:rPr>
                <w:color w:val="1C3A36"/>
                <w:sz w:val="16"/>
              </w:rPr>
              <w:t>1,174</w:t>
            </w:r>
          </w:p>
        </w:tc>
        <w:tc>
          <w:tcPr>
            <w:tcW w:type="dxa" w:w="1368"/>
          </w:tcPr>
          <w:p>
            <w:pPr>
              <w:spacing w:after="20"/>
              <w:jc w:val="right"/>
            </w:pPr>
            <w:r>
              <w:rPr>
                <w:color w:val="1C3A36"/>
                <w:sz w:val="16"/>
              </w:rPr>
              <w:t>1,262</w:t>
            </w:r>
          </w:p>
        </w:tc>
      </w:tr>
      <w:tr>
        <w:tc>
          <w:tcPr>
            <w:tcW w:type="dxa" w:w="3384"/>
          </w:tcPr>
          <w:p>
            <w:pPr>
              <w:spacing w:after="20"/>
            </w:pPr>
            <w:r>
              <w:rPr>
                <w:b/>
                <w:color w:val="1C3A36"/>
                <w:sz w:val="16"/>
              </w:rPr>
              <w:t>Specialized</w:t>
            </w:r>
          </w:p>
        </w:tc>
        <w:tc>
          <w:tcPr>
            <w:tcW w:type="dxa" w:w="1368"/>
          </w:tcPr>
          <w:p>
            <w:pPr>
              <w:spacing w:after="20"/>
              <w:jc w:val="right"/>
            </w:pPr>
            <w:r>
              <w:rPr>
                <w:color w:val="1C3A36"/>
                <w:sz w:val="16"/>
              </w:rPr>
              <w:t>372</w:t>
            </w:r>
          </w:p>
        </w:tc>
        <w:tc>
          <w:tcPr>
            <w:tcW w:type="dxa" w:w="1368"/>
          </w:tcPr>
          <w:p>
            <w:pPr>
              <w:spacing w:after="20"/>
              <w:jc w:val="right"/>
            </w:pPr>
            <w:r>
              <w:rPr>
                <w:color w:val="1C3A36"/>
                <w:sz w:val="16"/>
              </w:rPr>
              <w:t>355</w:t>
            </w:r>
          </w:p>
        </w:tc>
        <w:tc>
          <w:tcPr>
            <w:tcW w:type="dxa" w:w="1368"/>
          </w:tcPr>
          <w:p>
            <w:pPr>
              <w:spacing w:after="20"/>
              <w:jc w:val="right"/>
            </w:pPr>
            <w:r>
              <w:rPr>
                <w:color w:val="1C3A36"/>
                <w:sz w:val="16"/>
              </w:rPr>
              <w:t>345</w:t>
            </w:r>
          </w:p>
        </w:tc>
        <w:tc>
          <w:tcPr>
            <w:tcW w:type="dxa" w:w="1368"/>
          </w:tcPr>
          <w:p>
            <w:pPr>
              <w:spacing w:after="20"/>
              <w:jc w:val="right"/>
            </w:pPr>
            <w:r>
              <w:rPr>
                <w:color w:val="1C3A36"/>
                <w:sz w:val="16"/>
              </w:rPr>
              <w:t>334</w:t>
            </w:r>
          </w:p>
        </w:tc>
        <w:tc>
          <w:tcPr>
            <w:tcW w:type="dxa" w:w="1368"/>
          </w:tcPr>
          <w:p>
            <w:pPr>
              <w:spacing w:after="20"/>
              <w:jc w:val="right"/>
            </w:pPr>
            <w:r>
              <w:rPr>
                <w:color w:val="1C3A36"/>
                <w:sz w:val="16"/>
              </w:rPr>
              <w:t>343</w:t>
            </w:r>
          </w:p>
        </w:tc>
      </w:tr>
      <w:tr>
        <w:tc>
          <w:tcPr>
            <w:tcW w:type="dxa" w:w="3384"/>
          </w:tcPr>
          <w:p>
            <w:pPr>
              <w:spacing w:after="20"/>
            </w:pPr>
            <w:r>
              <w:rPr>
                <w:b/>
                <w:color w:val="1C3A36"/>
                <w:sz w:val="16"/>
              </w:rPr>
              <w:t>iot2</w:t>
            </w:r>
          </w:p>
        </w:tc>
        <w:tc>
          <w:tcPr>
            <w:tcW w:type="dxa" w:w="1368"/>
          </w:tcPr>
          <w:p>
            <w:pPr>
              <w:spacing w:after="20"/>
              <w:jc w:val="right"/>
            </w:pPr>
            <w:r>
              <w:rPr>
                <w:color w:val="1C3A36"/>
                <w:sz w:val="16"/>
              </w:rPr>
              <w:t>301</w:t>
            </w:r>
          </w:p>
        </w:tc>
        <w:tc>
          <w:tcPr>
            <w:tcW w:type="dxa" w:w="1368"/>
          </w:tcPr>
          <w:p>
            <w:pPr>
              <w:spacing w:after="20"/>
              <w:jc w:val="right"/>
            </w:pPr>
            <w:r>
              <w:rPr>
                <w:color w:val="1C3A36"/>
                <w:sz w:val="16"/>
              </w:rPr>
              <w:t>322</w:t>
            </w:r>
          </w:p>
        </w:tc>
        <w:tc>
          <w:tcPr>
            <w:tcW w:type="dxa" w:w="1368"/>
          </w:tcPr>
          <w:p>
            <w:pPr>
              <w:spacing w:after="20"/>
              <w:jc w:val="right"/>
            </w:pPr>
            <w:r>
              <w:rPr>
                <w:color w:val="1C3A36"/>
                <w:sz w:val="16"/>
              </w:rPr>
              <w:t>337</w:t>
            </w:r>
          </w:p>
        </w:tc>
        <w:tc>
          <w:tcPr>
            <w:tcW w:type="dxa" w:w="1368"/>
          </w:tcPr>
          <w:p>
            <w:pPr>
              <w:spacing w:after="20"/>
              <w:jc w:val="right"/>
            </w:pPr>
            <w:r>
              <w:rPr>
                <w:color w:val="1C3A36"/>
                <w:sz w:val="16"/>
              </w:rPr>
              <w:t>359</w:t>
            </w:r>
          </w:p>
        </w:tc>
        <w:tc>
          <w:tcPr>
            <w:tcW w:type="dxa" w:w="1368"/>
          </w:tcPr>
          <w:p>
            <w:pPr>
              <w:spacing w:after="20"/>
              <w:jc w:val="right"/>
            </w:pPr>
            <w:r>
              <w:rPr>
                <w:color w:val="1C3A36"/>
                <w:sz w:val="16"/>
              </w:rPr>
              <w:t>376</w:t>
            </w:r>
          </w:p>
        </w:tc>
      </w:tr>
      <w:tr>
        <w:tc>
          <w:tcPr>
            <w:tcW w:type="dxa" w:w="3384"/>
          </w:tcPr>
          <w:p>
            <w:pPr>
              <w:spacing w:after="20"/>
            </w:pPr>
            <w:r>
              <w:rPr>
                <w:b/>
                <w:color w:val="1C3A36"/>
                <w:sz w:val="16"/>
              </w:rPr>
              <w:t>SCCC</w:t>
            </w:r>
          </w:p>
        </w:tc>
        <w:tc>
          <w:tcPr>
            <w:tcW w:type="dxa" w:w="1368"/>
          </w:tcPr>
          <w:p>
            <w:pPr>
              <w:spacing w:after="20"/>
              <w:jc w:val="right"/>
            </w:pPr>
            <w:r>
              <w:rPr>
                <w:color w:val="1C3A36"/>
                <w:sz w:val="16"/>
              </w:rPr>
              <w:t>188</w:t>
            </w:r>
          </w:p>
        </w:tc>
        <w:tc>
          <w:tcPr>
            <w:tcW w:type="dxa" w:w="1368"/>
          </w:tcPr>
          <w:p>
            <w:pPr>
              <w:spacing w:after="20"/>
              <w:jc w:val="right"/>
            </w:pPr>
            <w:r>
              <w:rPr>
                <w:color w:val="1C3A36"/>
                <w:sz w:val="16"/>
              </w:rPr>
              <w:t>304</w:t>
            </w:r>
          </w:p>
        </w:tc>
        <w:tc>
          <w:tcPr>
            <w:tcW w:type="dxa" w:w="1368"/>
          </w:tcPr>
          <w:p>
            <w:pPr>
              <w:spacing w:after="20"/>
              <w:jc w:val="right"/>
            </w:pPr>
            <w:r>
              <w:rPr>
                <w:color w:val="1C3A36"/>
                <w:sz w:val="16"/>
              </w:rPr>
              <w:t>319</w:t>
            </w:r>
          </w:p>
        </w:tc>
        <w:tc>
          <w:tcPr>
            <w:tcW w:type="dxa" w:w="1368"/>
          </w:tcPr>
          <w:p>
            <w:pPr>
              <w:spacing w:after="20"/>
              <w:jc w:val="right"/>
            </w:pPr>
            <w:r>
              <w:rPr>
                <w:color w:val="1C3A36"/>
                <w:sz w:val="16"/>
              </w:rPr>
              <w:t>340</w:t>
            </w:r>
          </w:p>
        </w:tc>
        <w:tc>
          <w:tcPr>
            <w:tcW w:type="dxa" w:w="1368"/>
          </w:tcPr>
          <w:p>
            <w:pPr>
              <w:spacing w:after="20"/>
              <w:jc w:val="right"/>
            </w:pPr>
            <w:r>
              <w:rPr>
                <w:color w:val="1C3A36"/>
                <w:sz w:val="16"/>
              </w:rPr>
              <w:t>355</w:t>
            </w:r>
          </w:p>
        </w:tc>
      </w:tr>
      <w:tr>
        <w:tc>
          <w:tcPr>
            <w:tcW w:type="dxa" w:w="3384"/>
          </w:tcPr>
          <w:p>
            <w:pPr>
              <w:spacing w:after="20"/>
            </w:pPr>
            <w:r>
              <w:rPr>
                <w:b/>
                <w:color w:val="1C3A36"/>
                <w:sz w:val="16"/>
              </w:rPr>
              <w:t>Other operating segments</w:t>
            </w:r>
          </w:p>
        </w:tc>
        <w:tc>
          <w:tcPr>
            <w:tcW w:type="dxa" w:w="1368"/>
          </w:tcPr>
          <w:p>
            <w:pPr>
              <w:spacing w:after="20"/>
              <w:jc w:val="right"/>
            </w:pPr>
            <w:r>
              <w:rPr>
                <w:color w:val="1C3A36"/>
                <w:sz w:val="16"/>
              </w:rPr>
              <w:t>729</w:t>
            </w:r>
          </w:p>
        </w:tc>
        <w:tc>
          <w:tcPr>
            <w:tcW w:type="dxa" w:w="1368"/>
          </w:tcPr>
          <w:p>
            <w:pPr>
              <w:spacing w:after="20"/>
              <w:jc w:val="right"/>
            </w:pPr>
            <w:r>
              <w:rPr>
                <w:color w:val="1C3A36"/>
                <w:sz w:val="16"/>
              </w:rPr>
              <w:t>65</w:t>
            </w:r>
          </w:p>
        </w:tc>
        <w:tc>
          <w:tcPr>
            <w:tcW w:type="dxa" w:w="1368"/>
          </w:tcPr>
          <w:p>
            <w:pPr>
              <w:spacing w:after="20"/>
              <w:jc w:val="right"/>
            </w:pPr>
            <w:r>
              <w:rPr>
                <w:color w:val="1C3A36"/>
                <w:sz w:val="16"/>
              </w:rPr>
              <w:t>68</w:t>
            </w:r>
          </w:p>
        </w:tc>
        <w:tc>
          <w:tcPr>
            <w:tcW w:type="dxa" w:w="1368"/>
          </w:tcPr>
          <w:p>
            <w:pPr>
              <w:spacing w:after="20"/>
              <w:jc w:val="right"/>
            </w:pPr>
            <w:r>
              <w:rPr>
                <w:color w:val="1C3A36"/>
                <w:sz w:val="16"/>
              </w:rPr>
              <w:t>73</w:t>
            </w:r>
          </w:p>
        </w:tc>
        <w:tc>
          <w:tcPr>
            <w:tcW w:type="dxa" w:w="1368"/>
          </w:tcPr>
          <w:p>
            <w:pPr>
              <w:spacing w:after="20"/>
              <w:jc w:val="right"/>
            </w:pPr>
            <w:r>
              <w:rPr>
                <w:color w:val="1C3A36"/>
                <w:sz w:val="16"/>
              </w:rPr>
              <w:t>76</w:t>
            </w:r>
          </w:p>
        </w:tc>
      </w:tr>
      <w:tr>
        <w:tc>
          <w:tcPr>
            <w:tcW w:type="dxa" w:w="3384"/>
          </w:tcPr>
          <w:p>
            <w:pPr>
              <w:spacing w:after="20"/>
            </w:pPr>
            <w:r>
              <w:rPr>
                <w:b/>
                <w:color w:val="1C3A36"/>
                <w:sz w:val="16"/>
              </w:rPr>
              <w:t>Eliminations / adjustments</w:t>
            </w:r>
          </w:p>
        </w:tc>
        <w:tc>
          <w:tcPr>
            <w:tcW w:type="dxa" w:w="1368"/>
          </w:tcPr>
          <w:p>
            <w:pPr>
              <w:spacing w:after="20"/>
              <w:jc w:val="right"/>
            </w:pPr>
            <w:r>
              <w:rPr>
                <w:color w:val="1C3A36"/>
                <w:sz w:val="16"/>
              </w:rPr>
              <w:t>(12,455)</w:t>
            </w:r>
          </w:p>
        </w:tc>
        <w:tc>
          <w:tcPr>
            <w:tcW w:type="dxa" w:w="1368"/>
          </w:tcPr>
          <w:p>
            <w:pPr>
              <w:spacing w:after="20"/>
              <w:jc w:val="right"/>
            </w:pPr>
            <w:r>
              <w:rPr>
                <w:color w:val="1C3A36"/>
                <w:sz w:val="16"/>
              </w:rPr>
              <w:t>(11,499)</w:t>
            </w:r>
          </w:p>
        </w:tc>
        <w:tc>
          <w:tcPr>
            <w:tcW w:type="dxa" w:w="1368"/>
          </w:tcPr>
          <w:p>
            <w:pPr>
              <w:spacing w:after="20"/>
              <w:jc w:val="right"/>
            </w:pPr>
            <w:r>
              <w:rPr>
                <w:color w:val="1C3A36"/>
                <w:sz w:val="16"/>
              </w:rPr>
              <w:t>(11,930)</w:t>
            </w:r>
          </w:p>
        </w:tc>
        <w:tc>
          <w:tcPr>
            <w:tcW w:type="dxa" w:w="1368"/>
          </w:tcPr>
          <w:p>
            <w:pPr>
              <w:spacing w:after="20"/>
              <w:jc w:val="right"/>
            </w:pPr>
            <w:r>
              <w:rPr>
                <w:color w:val="1C3A36"/>
                <w:sz w:val="16"/>
              </w:rPr>
              <w:t>(12,568)</w:t>
            </w:r>
          </w:p>
        </w:tc>
        <w:tc>
          <w:tcPr>
            <w:tcW w:type="dxa" w:w="1368"/>
          </w:tcPr>
          <w:p>
            <w:pPr>
              <w:spacing w:after="20"/>
              <w:jc w:val="right"/>
            </w:pPr>
            <w:r>
              <w:rPr>
                <w:color w:val="1C3A36"/>
                <w:sz w:val="16"/>
              </w:rPr>
              <w:t>(13,110)</w:t>
            </w:r>
          </w:p>
        </w:tc>
      </w:tr>
      <w:tr>
        <w:tc>
          <w:tcPr>
            <w:tcW w:type="dxa" w:w="3384"/>
          </w:tcPr>
          <w:p>
            <w:pPr>
              <w:spacing w:after="20"/>
            </w:pPr>
            <w:r>
              <w:rPr>
                <w:b/>
                <w:color w:val="1C3A36"/>
                <w:sz w:val="16"/>
              </w:rPr>
              <w:t>Group revenue</w:t>
            </w:r>
          </w:p>
        </w:tc>
        <w:tc>
          <w:tcPr>
            <w:tcW w:type="dxa" w:w="1368"/>
          </w:tcPr>
          <w:p>
            <w:pPr>
              <w:spacing w:after="20"/>
              <w:jc w:val="right"/>
            </w:pPr>
            <w:r>
              <w:rPr>
                <w:color w:val="1C3A36"/>
                <w:sz w:val="16"/>
              </w:rPr>
              <w:t>75,893</w:t>
            </w:r>
          </w:p>
        </w:tc>
        <w:tc>
          <w:tcPr>
            <w:tcW w:type="dxa" w:w="1368"/>
          </w:tcPr>
          <w:p>
            <w:pPr>
              <w:spacing w:after="20"/>
              <w:jc w:val="right"/>
            </w:pPr>
            <w:r>
              <w:rPr>
                <w:color w:val="1C3A36"/>
                <w:sz w:val="16"/>
              </w:rPr>
              <w:t>77,819</w:t>
            </w:r>
          </w:p>
        </w:tc>
        <w:tc>
          <w:tcPr>
            <w:tcW w:type="dxa" w:w="1368"/>
          </w:tcPr>
          <w:p>
            <w:pPr>
              <w:spacing w:after="20"/>
              <w:jc w:val="right"/>
            </w:pPr>
            <w:r>
              <w:rPr>
                <w:color w:val="1C3A36"/>
                <w:sz w:val="16"/>
              </w:rPr>
              <w:t>80,737</w:t>
            </w:r>
          </w:p>
        </w:tc>
        <w:tc>
          <w:tcPr>
            <w:tcW w:type="dxa" w:w="1368"/>
          </w:tcPr>
          <w:p>
            <w:pPr>
              <w:spacing w:after="20"/>
              <w:jc w:val="right"/>
            </w:pPr>
            <w:r>
              <w:rPr>
                <w:color w:val="1C3A36"/>
                <w:sz w:val="16"/>
              </w:rPr>
              <w:t>85,056</w:t>
            </w:r>
          </w:p>
        </w:tc>
        <w:tc>
          <w:tcPr>
            <w:tcW w:type="dxa" w:w="1368"/>
          </w:tcPr>
          <w:p>
            <w:pPr>
              <w:spacing w:after="20"/>
              <w:jc w:val="right"/>
            </w:pPr>
            <w:r>
              <w:rPr>
                <w:color w:val="1C3A36"/>
                <w:sz w:val="16"/>
              </w:rPr>
              <w:t>88,722</w:t>
            </w:r>
          </w:p>
        </w:tc>
      </w:tr>
      <w:tr>
        <w:tc>
          <w:tcPr>
            <w:tcW w:type="dxa" w:w="3384"/>
          </w:tcPr>
          <w:p>
            <w:pPr>
              <w:spacing w:after="20"/>
            </w:pPr>
            <w:r>
              <w:rPr>
                <w:b/>
                <w:color w:val="1C3A36"/>
                <w:sz w:val="16"/>
              </w:rPr>
              <w:t>EBITDA margin</w:t>
            </w:r>
          </w:p>
        </w:tc>
        <w:tc>
          <w:tcPr>
            <w:tcW w:type="dxa" w:w="1368"/>
          </w:tcPr>
          <w:p>
            <w:pPr>
              <w:spacing w:after="20"/>
              <w:jc w:val="right"/>
            </w:pPr>
            <w:r>
              <w:rPr>
                <w:color w:val="1C3A36"/>
                <w:sz w:val="16"/>
              </w:rPr>
            </w:r>
          </w:p>
        </w:tc>
        <w:tc>
          <w:tcPr>
            <w:tcW w:type="dxa" w:w="1368"/>
          </w:tcPr>
          <w:p>
            <w:pPr>
              <w:spacing w:after="20"/>
              <w:jc w:val="right"/>
            </w:pPr>
            <w:r>
              <w:rPr>
                <w:color w:val="1C3A36"/>
                <w:sz w:val="16"/>
              </w:rPr>
            </w:r>
          </w:p>
        </w:tc>
        <w:tc>
          <w:tcPr>
            <w:tcW w:type="dxa" w:w="1368"/>
          </w:tcPr>
          <w:p>
            <w:pPr>
              <w:spacing w:after="20"/>
              <w:jc w:val="right"/>
            </w:pPr>
            <w:r>
              <w:rPr>
                <w:color w:val="1C3A36"/>
                <w:sz w:val="16"/>
              </w:rPr>
              <w:t>32.1%</w:t>
            </w:r>
          </w:p>
        </w:tc>
        <w:tc>
          <w:tcPr>
            <w:tcW w:type="dxa" w:w="1368"/>
          </w:tcPr>
          <w:p>
            <w:pPr>
              <w:spacing w:after="20"/>
              <w:jc w:val="right"/>
            </w:pPr>
            <w:r>
              <w:rPr>
                <w:color w:val="1C3A36"/>
                <w:sz w:val="16"/>
              </w:rPr>
              <w:t>31.9%</w:t>
            </w:r>
          </w:p>
        </w:tc>
        <w:tc>
          <w:tcPr>
            <w:tcW w:type="dxa" w:w="1368"/>
          </w:tcPr>
          <w:p>
            <w:pPr>
              <w:spacing w:after="20"/>
              <w:jc w:val="right"/>
            </w:pPr>
            <w:r>
              <w:rPr>
                <w:color w:val="1C3A36"/>
                <w:sz w:val="16"/>
              </w:rPr>
              <w:t>31.8%</w:t>
            </w:r>
          </w:p>
        </w:tc>
      </w:tr>
      <w:tr>
        <w:tc>
          <w:tcPr>
            <w:tcW w:type="dxa" w:w="3384"/>
          </w:tcPr>
          <w:p>
            <w:pPr>
              <w:spacing w:after="20"/>
            </w:pPr>
            <w:r>
              <w:rPr>
                <w:b/>
                <w:color w:val="1C3A36"/>
                <w:sz w:val="16"/>
              </w:rPr>
              <w:t>Capital intensity (% of revenue)</w:t>
            </w:r>
          </w:p>
        </w:tc>
        <w:tc>
          <w:tcPr>
            <w:tcW w:type="dxa" w:w="1368"/>
          </w:tcPr>
          <w:p>
            <w:pPr>
              <w:spacing w:after="20"/>
              <w:jc w:val="right"/>
            </w:pPr>
            <w:r>
              <w:rPr>
                <w:color w:val="1C3A36"/>
                <w:sz w:val="16"/>
              </w:rPr>
            </w:r>
          </w:p>
        </w:tc>
        <w:tc>
          <w:tcPr>
            <w:tcW w:type="dxa" w:w="1368"/>
          </w:tcPr>
          <w:p>
            <w:pPr>
              <w:spacing w:after="20"/>
              <w:jc w:val="right"/>
            </w:pPr>
            <w:r>
              <w:rPr>
                <w:color w:val="1C3A36"/>
                <w:sz w:val="16"/>
              </w:rPr>
            </w:r>
          </w:p>
        </w:tc>
        <w:tc>
          <w:tcPr>
            <w:tcW w:type="dxa" w:w="1368"/>
          </w:tcPr>
          <w:p>
            <w:pPr>
              <w:spacing w:after="20"/>
              <w:jc w:val="right"/>
            </w:pPr>
            <w:r>
              <w:rPr>
                <w:color w:val="1C3A36"/>
                <w:sz w:val="16"/>
              </w:rPr>
              <w:t>15.0%</w:t>
            </w:r>
          </w:p>
        </w:tc>
        <w:tc>
          <w:tcPr>
            <w:tcW w:type="dxa" w:w="1368"/>
          </w:tcPr>
          <w:p>
            <w:pPr>
              <w:spacing w:after="20"/>
              <w:jc w:val="right"/>
            </w:pPr>
            <w:r>
              <w:rPr>
                <w:color w:val="1C3A36"/>
                <w:sz w:val="16"/>
              </w:rPr>
              <w:t>15.0%</w:t>
            </w:r>
          </w:p>
        </w:tc>
        <w:tc>
          <w:tcPr>
            <w:tcW w:type="dxa" w:w="1368"/>
          </w:tcPr>
          <w:p>
            <w:pPr>
              <w:spacing w:after="20"/>
              <w:jc w:val="right"/>
            </w:pPr>
            <w:r>
              <w:rPr>
                <w:color w:val="1C3A36"/>
                <w:sz w:val="16"/>
              </w:rPr>
              <w:t>15.0%</w:t>
            </w:r>
          </w:p>
        </w:tc>
      </w:tr>
    </w:tbl>
    <w:p>
      <w:pPr>
        <w:spacing w:after="40"/>
      </w:pPr>
    </w:p>
    <w:p>
      <w:pPr>
        <w:spacing w:after="200" w:before="0"/>
      </w:pPr>
      <w:r>
        <w:rPr>
          <w:b w:val="0"/>
          <w:i/>
          <w:color w:val="6E7B77"/>
          <w:sz w:val="17"/>
        </w:rPr>
        <w:t>History: note 9 of the FY2025 audited consolidated statements, on the restated basis, with the earnings presentations for the operating detail no statement carries. Forecast drivers are the house’s own flagged view. These are the company's own internal unit names, used here to describe what drives the business; the MODEL is built on the 12 operating segments note 9 discloses, which is a different and finer cut.</w:t>
      </w:r>
    </w:p>
    <w:p>
      <w:pPr>
        <w:spacing w:after="80" w:before="200"/>
      </w:pPr>
      <w:r>
        <w:rPr>
          <w:b/>
          <w:i w:val="0"/>
          <w:color w:val="1C3A36"/>
          <w:sz w:val="24"/>
        </w:rPr>
        <w:t>1.7  The crux — dividend cover against the capex cycle, in real units</w:t>
      </w:r>
    </w:p>
    <w:p>
      <w:pPr>
        <w:spacing w:after="120" w:before="0"/>
      </w:pPr>
      <w:r>
        <w:rPr>
          <w:b w:val="0"/>
          <w:i w:val="0"/>
          <w:color w:val="1C3A36"/>
          <w:sz w:val="21"/>
        </w:rPr>
        <w:t>Three judgments drive this valuation, and all three are observable rather than abstract. First and largest: capex intensity against the locked dividend. The policy dividend costs SAR 10.98 bn a year (2.20 x 4,993.0 mn shares); and the model spans the range this company's OWN three filed years actually ran, 13.6% to 16.1% of revenue, rather than the band management guides to. The cover table below is the whole tension in one place: at the heaviest of those three years the dividend is 1.06x covered by model free cash flow in the first forecast year, and at the lightest 1.24x — so on this company's own history of capital spending the dividend is covered throughout, and the question is whether the data-centre build takes intensity ABOVE anything it has yet run. Second: the discount rate, a 90%-equity-weighted cost of capital on a 0.71 beta from a five-year weekly regression (§1.8) — at a beta of 1.0 the value falls from SAR 36.06 to 31.53, -28% against the price, so §1.9 publishes the whole grid rather than letting one regression settle it. Third: the policy rate path — each 50 basis points off the curve is worth about SAR 2.6 on the value and lowers the funding cost of the build directly. A fourth, slower variable: mobile competition (Mobily’s subscriber growth has outpaced stc’s revenue growth for four quarters) — each 1 pp off consumer growth costs ≈SAR 2 of fair value.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9360" w:type="dxa"/>
      </w:tblPr>
      <w:tblGrid>
        <w:gridCol w:w="3744"/>
        <w:gridCol w:w="2160"/>
        <w:gridCol w:w="2160"/>
        <w:gridCol w:w="1296"/>
      </w:tblGrid>
      <w:tr>
        <w:tc>
          <w:tcPr>
            <w:tcW w:type="dxa" w:w="3744"/>
            <w:shd w:val="clear" w:color="auto" w:fill="EAF0EE"/>
          </w:tcPr>
          <w:p>
            <w:pPr>
              <w:spacing w:after="20"/>
            </w:pPr>
            <w:r>
              <w:rPr>
                <w:b/>
                <w:color w:val="1C3A36"/>
                <w:sz w:val="18"/>
              </w:rPr>
              <w:t>FY26E scenario (real units)</w:t>
            </w:r>
          </w:p>
        </w:tc>
        <w:tc>
          <w:tcPr>
            <w:tcW w:type="dxa" w:w="2160"/>
            <w:shd w:val="clear" w:color="auto" w:fill="EAF0EE"/>
          </w:tcPr>
          <w:p>
            <w:pPr>
              <w:spacing w:after="20"/>
            </w:pPr>
            <w:r>
              <w:rPr>
                <w:b/>
                <w:color w:val="1C3A36"/>
                <w:sz w:val="18"/>
              </w:rPr>
              <w:t>Model FCF (SAR bn)</w:t>
            </w:r>
          </w:p>
        </w:tc>
        <w:tc>
          <w:tcPr>
            <w:tcW w:type="dxa" w:w="2160"/>
            <w:shd w:val="clear" w:color="auto" w:fill="EAF0EE"/>
          </w:tcPr>
          <w:p>
            <w:pPr>
              <w:spacing w:after="20"/>
            </w:pPr>
            <w:r>
              <w:rPr>
                <w:b/>
                <w:color w:val="1C3A36"/>
                <w:sz w:val="18"/>
              </w:rPr>
              <w:t>Dividend bill (SAR bn)</w:t>
            </w:r>
          </w:p>
        </w:tc>
        <w:tc>
          <w:tcPr>
            <w:tcW w:type="dxa" w:w="1296"/>
            <w:shd w:val="clear" w:color="auto" w:fill="EAF0EE"/>
          </w:tcPr>
          <w:p>
            <w:pPr>
              <w:spacing w:after="20"/>
            </w:pPr>
            <w:r>
              <w:rPr>
                <w:b/>
                <w:color w:val="1C3A36"/>
                <w:sz w:val="18"/>
              </w:rPr>
              <w:t>Cover</w:t>
            </w:r>
          </w:p>
        </w:tc>
      </w:tr>
      <w:tr>
        <w:tc>
          <w:tcPr>
            <w:tcW w:type="dxa" w:w="3744"/>
          </w:tcPr>
          <w:p>
            <w:pPr>
              <w:spacing w:after="20"/>
            </w:pPr>
            <w:r>
              <w:rPr>
                <w:b/>
                <w:color w:val="1C3A36"/>
                <w:sz w:val="18"/>
              </w:rPr>
              <w:t>Capex at 13.6% (the lowest of the three filed years, 1.054x depreciation)</w:t>
            </w:r>
          </w:p>
        </w:tc>
        <w:tc>
          <w:tcPr>
            <w:tcW w:type="dxa" w:w="2160"/>
          </w:tcPr>
          <w:p>
            <w:pPr>
              <w:spacing w:after="20"/>
              <w:jc w:val="right"/>
            </w:pPr>
            <w:r>
              <w:rPr>
                <w:color w:val="1C3A36"/>
                <w:sz w:val="18"/>
              </w:rPr>
              <w:t>13.7</w:t>
            </w:r>
          </w:p>
        </w:tc>
        <w:tc>
          <w:tcPr>
            <w:tcW w:type="dxa" w:w="2160"/>
          </w:tcPr>
          <w:p>
            <w:pPr>
              <w:spacing w:after="20"/>
              <w:jc w:val="right"/>
            </w:pPr>
            <w:r>
              <w:rPr>
                <w:color w:val="1C3A36"/>
                <w:sz w:val="18"/>
              </w:rPr>
              <w:t>11.0</w:t>
            </w:r>
          </w:p>
        </w:tc>
        <w:tc>
          <w:tcPr>
            <w:tcW w:type="dxa" w:w="1296"/>
          </w:tcPr>
          <w:p>
            <w:pPr>
              <w:spacing w:after="20"/>
              <w:jc w:val="right"/>
            </w:pPr>
            <w:r>
              <w:rPr>
                <w:color w:val="1C3A36"/>
                <w:sz w:val="18"/>
              </w:rPr>
              <w:t>1.24×</w:t>
            </w:r>
          </w:p>
        </w:tc>
      </w:tr>
      <w:tr>
        <w:tc>
          <w:tcPr>
            <w:tcW w:type="dxa" w:w="3744"/>
          </w:tcPr>
          <w:p>
            <w:pPr>
              <w:spacing w:after="20"/>
            </w:pPr>
            <w:r>
              <w:rPr>
                <w:b/>
                <w:color w:val="1C3A36"/>
                <w:sz w:val="18"/>
              </w:rPr>
              <w:t>Capex at 15.0% (adopted, the three-year mean of 1.161x depreciation)</w:t>
            </w:r>
          </w:p>
        </w:tc>
        <w:tc>
          <w:tcPr>
            <w:tcW w:type="dxa" w:w="2160"/>
          </w:tcPr>
          <w:p>
            <w:pPr>
              <w:spacing w:after="20"/>
              <w:jc w:val="right"/>
            </w:pPr>
            <w:r>
              <w:rPr>
                <w:color w:val="1C3A36"/>
                <w:sz w:val="18"/>
              </w:rPr>
              <w:t>12.6</w:t>
            </w:r>
          </w:p>
        </w:tc>
        <w:tc>
          <w:tcPr>
            <w:tcW w:type="dxa" w:w="2160"/>
          </w:tcPr>
          <w:p>
            <w:pPr>
              <w:spacing w:after="20"/>
              <w:jc w:val="right"/>
            </w:pPr>
            <w:r>
              <w:rPr>
                <w:color w:val="1C3A36"/>
                <w:sz w:val="18"/>
              </w:rPr>
              <w:t>11.0</w:t>
            </w:r>
          </w:p>
        </w:tc>
        <w:tc>
          <w:tcPr>
            <w:tcW w:type="dxa" w:w="1296"/>
          </w:tcPr>
          <w:p>
            <w:pPr>
              <w:spacing w:after="20"/>
              <w:jc w:val="right"/>
            </w:pPr>
            <w:r>
              <w:rPr>
                <w:color w:val="1C3A36"/>
                <w:sz w:val="18"/>
              </w:rPr>
              <w:t>1.14×</w:t>
            </w:r>
          </w:p>
        </w:tc>
      </w:tr>
      <w:tr>
        <w:tc>
          <w:tcPr>
            <w:tcW w:type="dxa" w:w="3744"/>
          </w:tcPr>
          <w:p>
            <w:pPr>
              <w:spacing w:after="20"/>
            </w:pPr>
            <w:r>
              <w:rPr>
                <w:b/>
                <w:color w:val="1C3A36"/>
                <w:sz w:val="18"/>
              </w:rPr>
              <w:t>Capex at 16.1% (the highest of the three filed years, 1.252x depreciation)</w:t>
            </w:r>
          </w:p>
        </w:tc>
        <w:tc>
          <w:tcPr>
            <w:tcW w:type="dxa" w:w="2160"/>
          </w:tcPr>
          <w:p>
            <w:pPr>
              <w:spacing w:after="20"/>
              <w:jc w:val="right"/>
            </w:pPr>
            <w:r>
              <w:rPr>
                <w:color w:val="1C3A36"/>
                <w:sz w:val="18"/>
              </w:rPr>
              <w:t>11.6</w:t>
            </w:r>
          </w:p>
        </w:tc>
        <w:tc>
          <w:tcPr>
            <w:tcW w:type="dxa" w:w="2160"/>
          </w:tcPr>
          <w:p>
            <w:pPr>
              <w:spacing w:after="20"/>
              <w:jc w:val="right"/>
            </w:pPr>
            <w:r>
              <w:rPr>
                <w:color w:val="1C3A36"/>
                <w:sz w:val="18"/>
              </w:rPr>
              <w:t>11.0</w:t>
            </w:r>
          </w:p>
        </w:tc>
        <w:tc>
          <w:tcPr>
            <w:tcW w:type="dxa" w:w="1296"/>
          </w:tcPr>
          <w:p>
            <w:pPr>
              <w:spacing w:after="20"/>
              <w:jc w:val="right"/>
            </w:pPr>
            <w:r>
              <w:rPr>
                <w:color w:val="1C3A36"/>
                <w:sz w:val="18"/>
              </w:rPr>
              <w:t>1.06×</w:t>
            </w:r>
          </w:p>
        </w:tc>
      </w:tr>
    </w:tbl>
    <w:p>
      <w:pPr>
        <w:spacing w:after="40"/>
      </w:pPr>
    </w:p>
    <w:p>
      <w:pPr>
        <w:spacing w:after="200" w:before="0"/>
      </w:pPr>
      <w:r>
        <w:rPr>
          <w:b w:val="0"/>
          <w:i/>
          <w:color w:val="6E7B77"/>
          <w:sz w:val="17"/>
        </w:rPr>
        <w:t>The dividend schedule and its stress test live in Appendix A.3. The dividend is policy-locked through the Q3-2027 distribution; the test is whether free cash flow or the balance sheet pays for it, and the table above answers it at every capital-intensity level this company has actually run.</w:t>
      </w:r>
    </w:p>
    <w:p>
      <w:pPr>
        <w:spacing w:after="80" w:before="200"/>
      </w:pPr>
      <w:r>
        <w:rPr>
          <w:b/>
          <w:i w:val="0"/>
          <w:color w:val="1C3A36"/>
          <w:sz w:val="24"/>
        </w:rPr>
        <w:t>1.8  Macro and country — SAMA, oil, Vision 2030, and the sourced cost of capital</w:t>
      </w:r>
    </w:p>
    <w:p>
      <w:pPr>
        <w:spacing w:after="120" w:before="0"/>
      </w:pPr>
      <w:r>
        <w:rPr>
          <w:b w:val="0"/>
          <w:i w:val="0"/>
          <w:color w:val="1C3A36"/>
          <w:sz w:val="21"/>
        </w:rPr>
        <w:t>stc is a defensive claim on the Saudi macro, in three channels. Rates: SAMA shadows the Fed to defend the riyal peg (repo 4.25% / reverse repo 3.75% since 10 Dec 2025; the Fed held 3.50–3.75% on 17 Jun 2026), so the discount rate and the sukuk funding cost are set in Washington as much as Riyadh. Oil and the fiscal impulse: government ICT and giga-project spend (SAR ~32 bn of digital-government spend in 2025) drives the enterprise book — the FY25 softness was phasing, not demand. Vision 2030: the structural bid — data centres (the center3–HUMAIN 1 GW ambition inside a national AI push), 5G/fibre densification, and digital-services adjacencies — is what turns a utility growth profile into a utility-plus-options profile. Because the riyal is pegged, there is no currency-translation channel in the valuation and no currency factor in the price map. Every input in the cost-of-capital build is sourced and named: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9936" w:type="dxa"/>
      </w:tblPr>
      <w:tblGrid>
        <w:gridCol w:w="3311"/>
        <w:gridCol w:w="1440"/>
        <w:gridCol w:w="5184"/>
      </w:tblGrid>
      <w:tr>
        <w:tc>
          <w:tcPr>
            <w:tcW w:type="dxa" w:w="3312"/>
            <w:shd w:val="clear" w:color="auto" w:fill="EAF0EE"/>
          </w:tcPr>
          <w:p>
            <w:pPr>
              <w:spacing w:after="20"/>
            </w:pPr>
            <w:r>
              <w:rPr>
                <w:b/>
                <w:color w:val="1C3A36"/>
                <w:sz w:val="16"/>
              </w:rPr>
              <w:t>Cost-of-capital build</w:t>
            </w:r>
          </w:p>
        </w:tc>
        <w:tc>
          <w:tcPr>
            <w:tcW w:type="dxa" w:w="1440"/>
            <w:shd w:val="clear" w:color="auto" w:fill="EAF0EE"/>
          </w:tcPr>
          <w:p>
            <w:pPr>
              <w:spacing w:after="20"/>
            </w:pPr>
            <w:r>
              <w:rPr>
                <w:b/>
                <w:color w:val="1C3A36"/>
                <w:sz w:val="16"/>
              </w:rPr>
              <w:t>Value</w:t>
            </w:r>
          </w:p>
        </w:tc>
        <w:tc>
          <w:tcPr>
            <w:tcW w:type="dxa" w:w="5184"/>
            <w:shd w:val="clear" w:color="auto" w:fill="EAF0EE"/>
          </w:tcPr>
          <w:p>
            <w:pPr>
              <w:spacing w:after="20"/>
            </w:pPr>
            <w:r>
              <w:rPr>
                <w:b/>
                <w:color w:val="1C3A36"/>
                <w:sz w:val="16"/>
              </w:rPr>
              <w:t>Source</w:t>
            </w:r>
          </w:p>
        </w:tc>
      </w:tr>
      <w:tr>
        <w:tc>
          <w:tcPr>
            <w:tcW w:type="dxa" w:w="3312"/>
          </w:tcPr>
          <w:p>
            <w:pPr>
              <w:spacing w:after="20"/>
            </w:pPr>
            <w:r>
              <w:rPr>
                <w:b/>
                <w:color w:val="1C3A36"/>
                <w:sz w:val="16"/>
              </w:rPr>
              <w:t>Risk-free rate, as observed</w:t>
            </w:r>
          </w:p>
        </w:tc>
        <w:tc>
          <w:tcPr>
            <w:tcW w:type="dxa" w:w="1440"/>
          </w:tcPr>
          <w:p>
            <w:pPr>
              <w:spacing w:after="20"/>
              <w:jc w:val="right"/>
            </w:pPr>
            <w:r>
              <w:rPr>
                <w:color w:val="1C3A36"/>
                <w:sz w:val="16"/>
              </w:rPr>
              <w:t>5.52%</w:t>
            </w:r>
          </w:p>
        </w:tc>
        <w:tc>
          <w:tcPr>
            <w:tcW w:type="dxa" w:w="5184"/>
          </w:tcPr>
          <w:p>
            <w:pPr>
              <w:spacing w:after="20"/>
              <w:jc w:val="right"/>
            </w:pPr>
            <w:r>
              <w:rPr>
                <w:color w:val="1C3A36"/>
                <w:sz w:val="16"/>
              </w:rPr>
              <w:t>The sovereign yield on the house macro path for Saudi Arabia, carried with its own as-of date</w:t>
            </w:r>
          </w:p>
        </w:tc>
      </w:tr>
      <w:tr>
        <w:tc>
          <w:tcPr>
            <w:tcW w:type="dxa" w:w="3312"/>
          </w:tcPr>
          <w:p>
            <w:pPr>
              <w:spacing w:after="20"/>
            </w:pPr>
            <w:r>
              <w:rPr>
                <w:b/>
                <w:color w:val="1C3A36"/>
                <w:sz w:val="16"/>
              </w:rPr>
              <w:t xml:space="preserve">  — less this sovereign’s own default spread</w:t>
            </w:r>
          </w:p>
        </w:tc>
        <w:tc>
          <w:tcPr>
            <w:tcW w:type="dxa" w:w="1440"/>
          </w:tcPr>
          <w:p>
            <w:pPr>
              <w:spacing w:after="20"/>
              <w:jc w:val="right"/>
            </w:pPr>
            <w:r>
              <w:rPr>
                <w:color w:val="1C3A36"/>
                <w:sz w:val="16"/>
              </w:rPr>
              <w:t>0.98%</w:t>
            </w:r>
          </w:p>
        </w:tc>
        <w:tc>
          <w:tcPr>
            <w:tcW w:type="dxa" w:w="5184"/>
          </w:tcPr>
          <w:p>
            <w:pPr>
              <w:spacing w:after="20"/>
              <w:jc w:val="right"/>
            </w:pPr>
            <w:r>
              <w:rPr>
                <w:color w:val="1C3A36"/>
                <w:sz w:val="16"/>
              </w:rPr>
              <w:t>Country risk is charged exactly once, and it is charged inside the equity risk premium below — so it is removed here rather than counted twice</w:t>
            </w:r>
          </w:p>
        </w:tc>
      </w:tr>
      <w:tr>
        <w:tc>
          <w:tcPr>
            <w:tcW w:type="dxa" w:w="3312"/>
          </w:tcPr>
          <w:p>
            <w:pPr>
              <w:spacing w:after="20"/>
            </w:pPr>
            <w:r>
              <w:rPr>
                <w:b/>
                <w:color w:val="1C3A36"/>
                <w:sz w:val="16"/>
              </w:rPr>
              <w:t>Normalised risk-free rate</w:t>
            </w:r>
          </w:p>
        </w:tc>
        <w:tc>
          <w:tcPr>
            <w:tcW w:type="dxa" w:w="1440"/>
          </w:tcPr>
          <w:p>
            <w:pPr>
              <w:spacing w:after="20"/>
              <w:jc w:val="right"/>
            </w:pPr>
            <w:r>
              <w:rPr>
                <w:color w:val="1C3A36"/>
                <w:sz w:val="16"/>
              </w:rPr>
              <w:t>4.54%</w:t>
            </w:r>
          </w:p>
        </w:tc>
        <w:tc>
          <w:tcPr>
            <w:tcW w:type="dxa" w:w="5184"/>
          </w:tcPr>
          <w:p>
            <w:pPr>
              <w:spacing w:after="20"/>
              <w:jc w:val="right"/>
            </w:pPr>
            <w:r>
              <w:rPr>
                <w:color w:val="1C3A36"/>
                <w:sz w:val="16"/>
              </w:rPr>
              <w:t>The two lines above, by subtraction</w:t>
            </w:r>
          </w:p>
        </w:tc>
      </w:tr>
      <w:tr>
        <w:tc>
          <w:tcPr>
            <w:tcW w:type="dxa" w:w="3312"/>
          </w:tcPr>
          <w:p>
            <w:pPr>
              <w:spacing w:after="20"/>
            </w:pPr>
            <w:r>
              <w:rPr>
                <w:b/>
                <w:color w:val="1C3A36"/>
                <w:sz w:val="16"/>
              </w:rPr>
              <w:t>Equity beta</w:t>
            </w:r>
          </w:p>
        </w:tc>
        <w:tc>
          <w:tcPr>
            <w:tcW w:type="dxa" w:w="1440"/>
          </w:tcPr>
          <w:p>
            <w:pPr>
              <w:spacing w:after="20"/>
              <w:jc w:val="right"/>
            </w:pPr>
            <w:r>
              <w:rPr>
                <w:color w:val="1C3A36"/>
                <w:sz w:val="16"/>
              </w:rPr>
              <w:t>0.7093</w:t>
            </w:r>
          </w:p>
        </w:tc>
        <w:tc>
          <w:tcPr>
            <w:tcW w:type="dxa" w:w="5184"/>
          </w:tcPr>
          <w:p>
            <w:pPr>
              <w:spacing w:after="20"/>
              <w:jc w:val="right"/>
            </w:pPr>
            <w:r>
              <w:rPr>
                <w:color w:val="1C3A36"/>
                <w:sz w:val="16"/>
              </w:rPr>
              <w:t>A 4.94-year weekly regression of stc against the published index of the exchange it is listed on, the Tadawul All Share Index, read as of 2026-09-08: 254 observations, R² 30.3%, standard error 0.1022. This is the first tier of the house preference order, not a stopgap — but it explains 30% of the variance and no more, which is why §1.9 prices the answer at every beta up to 1.2</w:t>
            </w:r>
          </w:p>
        </w:tc>
      </w:tr>
      <w:tr>
        <w:tc>
          <w:tcPr>
            <w:tcW w:type="dxa" w:w="3312"/>
          </w:tcPr>
          <w:p>
            <w:pPr>
              <w:spacing w:after="20"/>
            </w:pPr>
            <w:r>
              <w:rPr>
                <w:b/>
                <w:color w:val="1C3A36"/>
                <w:sz w:val="16"/>
              </w:rPr>
              <w:t>Equity risk premium (market basis, adopted)</w:t>
            </w:r>
          </w:p>
        </w:tc>
        <w:tc>
          <w:tcPr>
            <w:tcW w:type="dxa" w:w="1440"/>
          </w:tcPr>
          <w:p>
            <w:pPr>
              <w:spacing w:after="20"/>
              <w:jc w:val="right"/>
            </w:pPr>
            <w:r>
              <w:rPr>
                <w:color w:val="1C3A36"/>
                <w:sz w:val="16"/>
              </w:rPr>
              <w:t>5.72%</w:t>
            </w:r>
          </w:p>
        </w:tc>
        <w:tc>
          <w:tcPr>
            <w:tcW w:type="dxa" w:w="5184"/>
          </w:tcPr>
          <w:p>
            <w:pPr>
              <w:spacing w:after="20"/>
              <w:jc w:val="right"/>
            </w:pPr>
            <w:r>
              <w:rPr>
                <w:color w:val="1C3A36"/>
                <w:sz w:val="16"/>
              </w:rPr>
              <w:t>The premium published for Saudi Arabia specifically, on the basis this study names as central; the alternative basis is published beside it rather than chosen silently</w:t>
            </w:r>
          </w:p>
        </w:tc>
      </w:tr>
      <w:tr>
        <w:tc>
          <w:tcPr>
            <w:tcW w:type="dxa" w:w="3312"/>
          </w:tcPr>
          <w:p>
            <w:pPr>
              <w:spacing w:after="20"/>
            </w:pPr>
            <w:r>
              <w:rPr>
                <w:b/>
                <w:color w:val="1C3A36"/>
                <w:sz w:val="16"/>
              </w:rPr>
              <w:t>Cost of equity</w:t>
            </w:r>
          </w:p>
        </w:tc>
        <w:tc>
          <w:tcPr>
            <w:tcW w:type="dxa" w:w="1440"/>
          </w:tcPr>
          <w:p>
            <w:pPr>
              <w:spacing w:after="20"/>
              <w:jc w:val="right"/>
            </w:pPr>
            <w:r>
              <w:rPr>
                <w:color w:val="1C3A36"/>
                <w:sz w:val="16"/>
              </w:rPr>
              <w:t>9.03%</w:t>
            </w:r>
          </w:p>
        </w:tc>
        <w:tc>
          <w:tcPr>
            <w:tcW w:type="dxa" w:w="5184"/>
          </w:tcPr>
          <w:p>
            <w:pPr>
              <w:spacing w:after="20"/>
              <w:jc w:val="right"/>
            </w:pPr>
            <w:r>
              <w:rPr>
                <w:color w:val="1C3A36"/>
                <w:sz w:val="16"/>
              </w:rPr>
              <w:t>The normalised risk-free rate plus beta times the premium</w:t>
            </w:r>
          </w:p>
        </w:tc>
      </w:tr>
      <w:tr>
        <w:tc>
          <w:tcPr>
            <w:tcW w:type="dxa" w:w="3312"/>
          </w:tcPr>
          <w:p>
            <w:pPr>
              <w:spacing w:after="20"/>
            </w:pPr>
            <w:r>
              <w:rPr>
                <w:b/>
                <w:color w:val="1C3A36"/>
                <w:sz w:val="16"/>
              </w:rPr>
              <w:t>Cost of debt, before tax</w:t>
            </w:r>
          </w:p>
        </w:tc>
        <w:tc>
          <w:tcPr>
            <w:tcW w:type="dxa" w:w="1440"/>
          </w:tcPr>
          <w:p>
            <w:pPr>
              <w:spacing w:after="20"/>
              <w:jc w:val="right"/>
            </w:pPr>
            <w:r>
              <w:rPr>
                <w:color w:val="1C3A36"/>
                <w:sz w:val="16"/>
              </w:rPr>
              <w:t>4.86%</w:t>
            </w:r>
          </w:p>
        </w:tc>
        <w:tc>
          <w:tcPr>
            <w:tcW w:type="dxa" w:w="5184"/>
          </w:tcPr>
          <w:p>
            <w:pPr>
              <w:spacing w:after="20"/>
              <w:jc w:val="right"/>
            </w:pPr>
            <w:r>
              <w:rPr>
                <w:color w:val="1C3A36"/>
                <w:sz w:val="16"/>
              </w:rPr>
              <w:t>Built from the company’s own facilities, and above this sovereign’s own yield, as a same-currency corporate borrower must be</w:t>
            </w:r>
          </w:p>
        </w:tc>
      </w:tr>
      <w:tr>
        <w:tc>
          <w:tcPr>
            <w:tcW w:type="dxa" w:w="3312"/>
          </w:tcPr>
          <w:p>
            <w:pPr>
              <w:spacing w:after="20"/>
            </w:pPr>
            <w:r>
              <w:rPr>
                <w:b/>
                <w:color w:val="1C3A36"/>
                <w:sz w:val="16"/>
              </w:rPr>
              <w:t>Cost of debt, after tax</w:t>
            </w:r>
          </w:p>
        </w:tc>
        <w:tc>
          <w:tcPr>
            <w:tcW w:type="dxa" w:w="1440"/>
          </w:tcPr>
          <w:p>
            <w:pPr>
              <w:spacing w:after="20"/>
              <w:jc w:val="right"/>
            </w:pPr>
            <w:r>
              <w:rPr>
                <w:color w:val="1C3A36"/>
                <w:sz w:val="16"/>
              </w:rPr>
              <w:t>3.89%</w:t>
            </w:r>
          </w:p>
        </w:tc>
        <w:tc>
          <w:tcPr>
            <w:tcW w:type="dxa" w:w="5184"/>
          </w:tcPr>
          <w:p>
            <w:pPr>
              <w:spacing w:after="20"/>
              <w:jc w:val="right"/>
            </w:pPr>
            <w:r>
              <w:rPr>
                <w:color w:val="1C3A36"/>
                <w:sz w:val="16"/>
              </w:rPr>
              <w:t>At the 8.03% effective rate the three filed years imply</w:t>
            </w:r>
          </w:p>
        </w:tc>
      </w:tr>
      <w:tr>
        <w:tc>
          <w:tcPr>
            <w:tcW w:type="dxa" w:w="3312"/>
          </w:tcPr>
          <w:p>
            <w:pPr>
              <w:spacing w:after="20"/>
            </w:pPr>
            <w:r>
              <w:rPr>
                <w:b/>
                <w:color w:val="1C3A36"/>
                <w:sz w:val="16"/>
              </w:rPr>
              <w:t>Weights (equity / debt)</w:t>
            </w:r>
          </w:p>
        </w:tc>
        <w:tc>
          <w:tcPr>
            <w:tcW w:type="dxa" w:w="1440"/>
          </w:tcPr>
          <w:p>
            <w:pPr>
              <w:spacing w:after="20"/>
              <w:jc w:val="right"/>
            </w:pPr>
            <w:r>
              <w:rPr>
                <w:color w:val="1C3A36"/>
                <w:sz w:val="16"/>
              </w:rPr>
              <w:t>90.3% / 9.7%</w:t>
            </w:r>
          </w:p>
        </w:tc>
        <w:tc>
          <w:tcPr>
            <w:tcW w:type="dxa" w:w="5184"/>
          </w:tcPr>
          <w:p>
            <w:pPr>
              <w:spacing w:after="20"/>
              <w:jc w:val="right"/>
            </w:pPr>
            <w:r>
              <w:rPr>
                <w:color w:val="1C3A36"/>
                <w:sz w:val="16"/>
              </w:rPr>
              <w:t>Market-value equity, never book: the latest known close of SAR 43.86 on 2026-09-03 times 4,993,024 thousand shares outstanding — issued capital of SAR 50,000,000 thousand in shares of SAR 10 each, which divides to the 5,000,000 thousand shares note 17 of the reviewed 30 June 2026 interim itself states, less 6,976 thousand held in treasury. Debt is the borrowings total from the LATEST DISCLOSED balance sheet, 30 June 2026, SAR 23,536,554 thousand, which reproduces from the same interim's own financing cash flows to twelve basis points.</w:t>
            </w:r>
          </w:p>
        </w:tc>
      </w:tr>
      <w:tr>
        <w:tc>
          <w:tcPr>
            <w:tcW w:type="dxa" w:w="3312"/>
          </w:tcPr>
          <w:p>
            <w:pPr>
              <w:spacing w:after="20"/>
            </w:pPr>
            <w:r>
              <w:rPr>
                <w:b/>
                <w:color w:val="1C3A36"/>
                <w:sz w:val="16"/>
              </w:rPr>
              <w:t>Weighted cost of capital</w:t>
            </w:r>
          </w:p>
        </w:tc>
        <w:tc>
          <w:tcPr>
            <w:tcW w:type="dxa" w:w="1440"/>
          </w:tcPr>
          <w:p>
            <w:pPr>
              <w:spacing w:after="20"/>
              <w:jc w:val="right"/>
            </w:pPr>
            <w:r>
              <w:rPr>
                <w:color w:val="1C3A36"/>
                <w:sz w:val="16"/>
              </w:rPr>
              <w:t>8.53%</w:t>
            </w:r>
          </w:p>
        </w:tc>
        <w:tc>
          <w:tcPr>
            <w:tcW w:type="dxa" w:w="5184"/>
          </w:tcPr>
          <w:p>
            <w:pPr>
              <w:spacing w:after="20"/>
              <w:jc w:val="right"/>
            </w:pPr>
            <w:r>
              <w:rPr>
                <w:color w:val="1C3A36"/>
                <w:sz w:val="16"/>
              </w:rPr>
              <w:t>The explicit-window rate the forecast is discounted at</w:t>
            </w:r>
          </w:p>
        </w:tc>
      </w:tr>
      <w:tr>
        <w:tc>
          <w:tcPr>
            <w:tcW w:type="dxa" w:w="3312"/>
          </w:tcPr>
          <w:p>
            <w:pPr>
              <w:spacing w:after="20"/>
            </w:pPr>
            <w:r>
              <w:rPr>
                <w:b/>
                <w:color w:val="1C3A36"/>
                <w:sz w:val="16"/>
              </w:rPr>
              <w:t>Terminal cost of capital</w:t>
            </w:r>
          </w:p>
        </w:tc>
        <w:tc>
          <w:tcPr>
            <w:tcW w:type="dxa" w:w="1440"/>
          </w:tcPr>
          <w:p>
            <w:pPr>
              <w:spacing w:after="20"/>
              <w:jc w:val="right"/>
            </w:pPr>
            <w:r>
              <w:rPr>
                <w:color w:val="1C3A36"/>
                <w:sz w:val="16"/>
              </w:rPr>
              <w:t>8.53%</w:t>
            </w:r>
          </w:p>
        </w:tc>
        <w:tc>
          <w:tcPr>
            <w:tcW w:type="dxa" w:w="5184"/>
          </w:tcPr>
          <w:p>
            <w:pPr>
              <w:spacing w:after="20"/>
              <w:jc w:val="right"/>
            </w:pPr>
            <w:r>
              <w:rPr>
                <w:color w:val="1C3A36"/>
                <w:sz w:val="16"/>
              </w:rPr>
              <w:t>Flat against the explicit window, and that is not an oversight: the riyal is pegged, so this economy is already at its terminal cost of capital by construction of the peg and there is no normalisation to glide toward</w:t>
            </w:r>
          </w:p>
        </w:tc>
      </w:tr>
      <w:tr>
        <w:tc>
          <w:tcPr>
            <w:tcW w:type="dxa" w:w="3312"/>
          </w:tcPr>
          <w:p>
            <w:pPr>
              <w:spacing w:after="20"/>
            </w:pPr>
            <w:r>
              <w:rPr>
                <w:b/>
                <w:color w:val="1C3A36"/>
                <w:sz w:val="16"/>
              </w:rPr>
              <w:t>Terminal growth (nominal)</w:t>
            </w:r>
          </w:p>
        </w:tc>
        <w:tc>
          <w:tcPr>
            <w:tcW w:type="dxa" w:w="1440"/>
          </w:tcPr>
          <w:p>
            <w:pPr>
              <w:spacing w:after="20"/>
              <w:jc w:val="right"/>
            </w:pPr>
            <w:r>
              <w:rPr>
                <w:color w:val="1C3A36"/>
                <w:sz w:val="16"/>
              </w:rPr>
              <w:t>2.00%</w:t>
            </w:r>
          </w:p>
        </w:tc>
        <w:tc>
          <w:tcPr>
            <w:tcW w:type="dxa" w:w="5184"/>
          </w:tcPr>
          <w:p>
            <w:pPr>
              <w:spacing w:after="20"/>
              <w:jc w:val="right"/>
            </w:pPr>
            <w:r>
              <w:rPr>
                <w:color w:val="1C3A36"/>
                <w:sz w:val="16"/>
              </w:rPr>
              <w:t>Terminal inflation of 2.0% plus a stated real growth of 0.0% — derived from the house macro path rather than chosen, and the real component is written down as the number it is</w:t>
            </w:r>
          </w:p>
        </w:tc>
      </w:tr>
    </w:tbl>
    <w:p>
      <w:pPr>
        <w:spacing w:after="40"/>
      </w:pPr>
    </w:p>
    <w:p>
      <w:pPr>
        <w:spacing w:after="120" w:before="0"/>
      </w:pPr>
      <w:r>
        <w:rPr>
          <w:b w:val="0"/>
          <w:i w:val="0"/>
          <w:color w:val="1C3A36"/>
          <w:sz w:val="19"/>
        </w:rPr>
        <w:t>Two honesty notes on this build. First, the sovereign quote behind the risk-free rate is older than the fourteen-day bound this house sets: The Saudi sovereign quote on the house macro path carries an as-of date of 31 July 2026 and this schedule is struck on 5 September 2026, so it is 36 days old against the 14-day bound. It is accepted DELIBERATELY and the age is disclosed here rather than used quietly; refreshing the path is a macro-path task that moves every Saudi study at once, not a lever inside this one. Second, the beta is a proper five-year weekly regression against the exchange’s own published index — the standard, not a stopgap — but its R² of 30% means roughly 70% of what moves this stock is specific to it rather than to the market. A beta is a statement about co-movement, and on this name that statement is weak. The grid in §1.9 prices the answer at every beta up to 1.2 for exactly that reason. Both are recorded with the study’s own inputs.</w:t>
      </w:r>
    </w:p>
    <w:p>
      <w:pPr>
        <w:spacing w:after="80" w:before="200"/>
      </w:pPr>
      <w:r>
        <w:rPr>
          <w:b/>
          <w:i w:val="0"/>
          <w:color w:val="1C3A36"/>
          <w:sz w:val="24"/>
        </w:rPr>
        <w:t>1.9  Sensitivity — the margin, the capex, the rate spread, and the beta</w:t>
      </w:r>
    </w:p>
    <w:p>
      <w:pPr>
        <w:spacing w:after="120" w:before="0"/>
      </w:pPr>
      <w:r>
        <w:rPr>
          <w:b w:val="0"/>
          <w:i w:val="0"/>
          <w:color w:val="1C3A36"/>
          <w:sz w:val="21"/>
        </w:rPr>
        <w:t>The first grid re-prices the cash-flow model across the two real-unit operating levers (EBITDA margin and capital intensity); the second across the cost of capital × terminal growth; the third across the beta — which is a proper five-year weekly regression against the exchange’s own index, but explains less than a third of this stock’s variance, so it is the input whose uncertainty is widest even though its construction is sound.</w:t>
      </w:r>
    </w:p>
    <w:p>
      <w:pPr>
        <w:spacing w:after="40"/>
        <w:jc w:val="center"/>
      </w:pPr>
      <w:r>
        <w:drawing>
          <wp:inline xmlns:a="http://schemas.openxmlformats.org/drawingml/2006/main" xmlns:pic="http://schemas.openxmlformats.org/drawingml/2006/picture">
            <wp:extent cx="5120640" cy="2492943"/>
            <wp:docPr id="2" name="Picture 2"/>
            <wp:cNvGraphicFramePr>
              <a:graphicFrameLocks noChangeAspect="1"/>
            </wp:cNvGraphicFramePr>
            <a:graphic>
              <a:graphicData uri="http://schemas.openxmlformats.org/drawingml/2006/picture">
                <pic:pic>
                  <pic:nvPicPr>
                    <pic:cNvPr id="0" name="fig2_sens.png"/>
                    <pic:cNvPicPr/>
                  </pic:nvPicPr>
                  <pic:blipFill>
                    <a:blip r:embed="rId10"/>
                    <a:stretch>
                      <a:fillRect/>
                    </a:stretch>
                  </pic:blipFill>
                  <pic:spPr>
                    <a:xfrm>
                      <a:off x="0" y="0"/>
                      <a:ext cx="5120640" cy="2492943"/>
                    </a:xfrm>
                    <a:prstGeom prst="rect"/>
                  </pic:spPr>
                </pic:pic>
              </a:graphicData>
            </a:graphic>
          </wp:inline>
        </w:drawing>
      </w:r>
    </w:p>
    <w:p>
      <w:pPr>
        <w:spacing w:after="200" w:before="0"/>
      </w:pPr>
      <w:r>
        <w:rPr>
          <w:b w:val="0"/>
          <w:i/>
          <w:color w:val="6E7B77"/>
          <w:sz w:val="17"/>
        </w:rPr>
        <w:t>Figure 2 — Fair value from the cash-flow model (SAR/share) across shifts in the EBITDA margin and in capital intensity. The bold cell is the base case. EVERY cell in the grid sits below the market price of SAR 43.86: on this model the disagreement with the market survives the whole plausible range of both operating levers, so it is not an artefact of where either one was set.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9360" w:type="dxa"/>
      </w:tblPr>
      <w:tblGrid>
        <w:gridCol w:w="2160"/>
        <w:gridCol w:w="1440"/>
        <w:gridCol w:w="1440"/>
        <w:gridCol w:w="1440"/>
        <w:gridCol w:w="1440"/>
        <w:gridCol w:w="1440"/>
      </w:tblGrid>
      <w:tr>
        <w:tc>
          <w:tcPr>
            <w:tcW w:type="dxa" w:w="2160"/>
            <w:shd w:val="clear" w:color="auto" w:fill="EAF0EE"/>
          </w:tcPr>
          <w:p>
            <w:pPr>
              <w:spacing w:after="20"/>
            </w:pPr>
            <w:r>
              <w:rPr>
                <w:b/>
                <w:color w:val="1C3A36"/>
                <w:sz w:val="18"/>
              </w:rPr>
              <w:t>WACC \ terminal g</w:t>
            </w:r>
          </w:p>
        </w:tc>
        <w:tc>
          <w:tcPr>
            <w:tcW w:type="dxa" w:w="1440"/>
            <w:shd w:val="clear" w:color="auto" w:fill="EAF0EE"/>
          </w:tcPr>
          <w:p>
            <w:pPr>
              <w:spacing w:after="20"/>
            </w:pPr>
            <w:r>
              <w:rPr>
                <w:b/>
                <w:color w:val="1C3A36"/>
                <w:sz w:val="18"/>
              </w:rPr>
              <w:t>1.5%</w:t>
            </w:r>
          </w:p>
        </w:tc>
        <w:tc>
          <w:tcPr>
            <w:tcW w:type="dxa" w:w="1440"/>
            <w:shd w:val="clear" w:color="auto" w:fill="EAF0EE"/>
          </w:tcPr>
          <w:p>
            <w:pPr>
              <w:spacing w:after="20"/>
            </w:pPr>
            <w:r>
              <w:rPr>
                <w:b/>
                <w:color w:val="1C3A36"/>
                <w:sz w:val="18"/>
              </w:rPr>
              <w:t>2.0%</w:t>
            </w:r>
          </w:p>
        </w:tc>
        <w:tc>
          <w:tcPr>
            <w:tcW w:type="dxa" w:w="1440"/>
            <w:shd w:val="clear" w:color="auto" w:fill="EAF0EE"/>
          </w:tcPr>
          <w:p>
            <w:pPr>
              <w:spacing w:after="20"/>
            </w:pPr>
            <w:r>
              <w:rPr>
                <w:b/>
                <w:color w:val="1C3A36"/>
                <w:sz w:val="18"/>
              </w:rPr>
              <w:t>2.5%</w:t>
            </w:r>
          </w:p>
        </w:tc>
        <w:tc>
          <w:tcPr>
            <w:tcW w:type="dxa" w:w="1440"/>
            <w:shd w:val="clear" w:color="auto" w:fill="EAF0EE"/>
          </w:tcPr>
          <w:p>
            <w:pPr>
              <w:spacing w:after="20"/>
            </w:pPr>
            <w:r>
              <w:rPr>
                <w:b/>
                <w:color w:val="1C3A36"/>
                <w:sz w:val="18"/>
              </w:rPr>
              <w:t>3.0%</w:t>
            </w:r>
          </w:p>
        </w:tc>
        <w:tc>
          <w:tcPr>
            <w:tcW w:type="dxa" w:w="1440"/>
            <w:shd w:val="clear" w:color="auto" w:fill="EAF0EE"/>
          </w:tcPr>
          <w:p>
            <w:pPr>
              <w:spacing w:after="20"/>
            </w:pPr>
            <w:r>
              <w:rPr>
                <w:b/>
                <w:color w:val="1C3A36"/>
                <w:sz w:val="18"/>
              </w:rPr>
              <w:t>3.5%</w:t>
            </w:r>
          </w:p>
        </w:tc>
      </w:tr>
      <w:tr>
        <w:tc>
          <w:tcPr>
            <w:tcW w:type="dxa" w:w="2160"/>
          </w:tcPr>
          <w:p>
            <w:pPr>
              <w:spacing w:after="20"/>
            </w:pPr>
            <w:r>
              <w:rPr>
                <w:b/>
                <w:color w:val="1C3A36"/>
                <w:sz w:val="18"/>
              </w:rPr>
              <w:t>7.53%</w:t>
            </w:r>
          </w:p>
        </w:tc>
        <w:tc>
          <w:tcPr>
            <w:tcW w:type="dxa" w:w="1440"/>
          </w:tcPr>
          <w:p>
            <w:pPr>
              <w:spacing w:after="20"/>
              <w:jc w:val="right"/>
            </w:pPr>
            <w:r>
              <w:rPr>
                <w:color w:val="1C3A36"/>
                <w:sz w:val="18"/>
              </w:rPr>
              <w:t>41.3</w:t>
            </w:r>
          </w:p>
        </w:tc>
        <w:tc>
          <w:tcPr>
            <w:tcW w:type="dxa" w:w="1440"/>
          </w:tcPr>
          <w:p>
            <w:pPr>
              <w:spacing w:after="20"/>
              <w:jc w:val="right"/>
            </w:pPr>
            <w:r>
              <w:rPr>
                <w:color w:val="1C3A36"/>
                <w:sz w:val="18"/>
              </w:rPr>
              <w:t>41.7</w:t>
            </w:r>
          </w:p>
        </w:tc>
        <w:tc>
          <w:tcPr>
            <w:tcW w:type="dxa" w:w="1440"/>
          </w:tcPr>
          <w:p>
            <w:pPr>
              <w:spacing w:after="20"/>
              <w:jc w:val="right"/>
            </w:pPr>
            <w:r>
              <w:rPr>
                <w:color w:val="1C3A36"/>
                <w:sz w:val="18"/>
              </w:rPr>
              <w:t>42.1</w:t>
            </w:r>
          </w:p>
        </w:tc>
        <w:tc>
          <w:tcPr>
            <w:tcW w:type="dxa" w:w="1440"/>
          </w:tcPr>
          <w:p>
            <w:pPr>
              <w:spacing w:after="20"/>
              <w:jc w:val="right"/>
            </w:pPr>
            <w:r>
              <w:rPr>
                <w:color w:val="1C3A36"/>
                <w:sz w:val="18"/>
              </w:rPr>
              <w:t>42.7</w:t>
            </w:r>
          </w:p>
        </w:tc>
        <w:tc>
          <w:tcPr>
            <w:tcW w:type="dxa" w:w="1440"/>
          </w:tcPr>
          <w:p>
            <w:pPr>
              <w:spacing w:after="20"/>
              <w:jc w:val="right"/>
            </w:pPr>
            <w:r>
              <w:rPr>
                <w:color w:val="1C3A36"/>
                <w:sz w:val="18"/>
              </w:rPr>
              <w:t>43.3</w:t>
            </w:r>
          </w:p>
        </w:tc>
      </w:tr>
      <w:tr>
        <w:tc>
          <w:tcPr>
            <w:tcW w:type="dxa" w:w="2160"/>
          </w:tcPr>
          <w:p>
            <w:pPr>
              <w:spacing w:after="20"/>
            </w:pPr>
            <w:r>
              <w:rPr>
                <w:b/>
                <w:color w:val="1C3A36"/>
                <w:sz w:val="18"/>
              </w:rPr>
              <w:t>8.03%</w:t>
            </w:r>
          </w:p>
        </w:tc>
        <w:tc>
          <w:tcPr>
            <w:tcW w:type="dxa" w:w="1440"/>
          </w:tcPr>
          <w:p>
            <w:pPr>
              <w:spacing w:after="20"/>
              <w:jc w:val="right"/>
            </w:pPr>
            <w:r>
              <w:rPr>
                <w:color w:val="1C3A36"/>
                <w:sz w:val="18"/>
              </w:rPr>
              <w:t>38.5</w:t>
            </w:r>
          </w:p>
        </w:tc>
        <w:tc>
          <w:tcPr>
            <w:tcW w:type="dxa" w:w="1440"/>
          </w:tcPr>
          <w:p>
            <w:pPr>
              <w:spacing w:after="20"/>
              <w:jc w:val="right"/>
            </w:pPr>
            <w:r>
              <w:rPr>
                <w:color w:val="1C3A36"/>
                <w:sz w:val="18"/>
              </w:rPr>
              <w:t>38.6</w:t>
            </w:r>
          </w:p>
        </w:tc>
        <w:tc>
          <w:tcPr>
            <w:tcW w:type="dxa" w:w="1440"/>
          </w:tcPr>
          <w:p>
            <w:pPr>
              <w:spacing w:after="20"/>
              <w:jc w:val="right"/>
            </w:pPr>
            <w:r>
              <w:rPr>
                <w:color w:val="1C3A36"/>
                <w:sz w:val="18"/>
              </w:rPr>
              <w:t>38.8</w:t>
            </w:r>
          </w:p>
        </w:tc>
        <w:tc>
          <w:tcPr>
            <w:tcW w:type="dxa" w:w="1440"/>
          </w:tcPr>
          <w:p>
            <w:pPr>
              <w:spacing w:after="20"/>
              <w:jc w:val="right"/>
            </w:pPr>
            <w:r>
              <w:rPr>
                <w:color w:val="1C3A36"/>
                <w:sz w:val="18"/>
              </w:rPr>
              <w:t>39.0</w:t>
            </w:r>
          </w:p>
        </w:tc>
        <w:tc>
          <w:tcPr>
            <w:tcW w:type="dxa" w:w="1440"/>
          </w:tcPr>
          <w:p>
            <w:pPr>
              <w:spacing w:after="20"/>
              <w:jc w:val="right"/>
            </w:pPr>
            <w:r>
              <w:rPr>
                <w:color w:val="1C3A36"/>
                <w:sz w:val="18"/>
              </w:rPr>
              <w:t>39.3</w:t>
            </w:r>
          </w:p>
        </w:tc>
      </w:tr>
      <w:tr>
        <w:tc>
          <w:tcPr>
            <w:tcW w:type="dxa" w:w="2160"/>
          </w:tcPr>
          <w:p>
            <w:pPr>
              <w:spacing w:after="20"/>
            </w:pPr>
            <w:r>
              <w:rPr>
                <w:b/>
                <w:color w:val="1C3A36"/>
                <w:sz w:val="18"/>
              </w:rPr>
              <w:t>8.53% (base)</w:t>
            </w:r>
          </w:p>
        </w:tc>
        <w:tc>
          <w:tcPr>
            <w:tcW w:type="dxa" w:w="1440"/>
          </w:tcPr>
          <w:p>
            <w:pPr>
              <w:spacing w:after="20"/>
              <w:jc w:val="right"/>
            </w:pPr>
            <w:r>
              <w:rPr>
                <w:color w:val="1C3A36"/>
                <w:sz w:val="18"/>
              </w:rPr>
              <w:t>36.0</w:t>
            </w:r>
          </w:p>
        </w:tc>
        <w:tc>
          <w:tcPr>
            <w:tcW w:type="dxa" w:w="1440"/>
          </w:tcPr>
          <w:p>
            <w:pPr>
              <w:spacing w:after="20"/>
              <w:jc w:val="right"/>
            </w:pPr>
            <w:r>
              <w:rPr>
                <w:color w:val="1C3A36"/>
                <w:sz w:val="18"/>
              </w:rPr>
              <w:t>36.1</w:t>
            </w:r>
          </w:p>
        </w:tc>
        <w:tc>
          <w:tcPr>
            <w:tcW w:type="dxa" w:w="1440"/>
          </w:tcPr>
          <w:p>
            <w:pPr>
              <w:spacing w:after="20"/>
              <w:jc w:val="right"/>
            </w:pPr>
            <w:r>
              <w:rPr>
                <w:color w:val="1C3A36"/>
                <w:sz w:val="18"/>
              </w:rPr>
              <w:t>36.1</w:t>
            </w:r>
          </w:p>
        </w:tc>
        <w:tc>
          <w:tcPr>
            <w:tcW w:type="dxa" w:w="1440"/>
          </w:tcPr>
          <w:p>
            <w:pPr>
              <w:spacing w:after="20"/>
              <w:jc w:val="right"/>
            </w:pPr>
            <w:r>
              <w:rPr>
                <w:color w:val="1C3A36"/>
                <w:sz w:val="18"/>
              </w:rPr>
              <w:t>36.1</w:t>
            </w:r>
          </w:p>
        </w:tc>
        <w:tc>
          <w:tcPr>
            <w:tcW w:type="dxa" w:w="1440"/>
          </w:tcPr>
          <w:p>
            <w:pPr>
              <w:spacing w:after="20"/>
              <w:jc w:val="right"/>
            </w:pPr>
            <w:r>
              <w:rPr>
                <w:color w:val="1C3A36"/>
                <w:sz w:val="18"/>
              </w:rPr>
              <w:t>36.1</w:t>
            </w:r>
          </w:p>
        </w:tc>
      </w:tr>
      <w:tr>
        <w:tc>
          <w:tcPr>
            <w:tcW w:type="dxa" w:w="2160"/>
          </w:tcPr>
          <w:p>
            <w:pPr>
              <w:spacing w:after="20"/>
            </w:pPr>
            <w:r>
              <w:rPr>
                <w:b/>
                <w:color w:val="1C3A36"/>
                <w:sz w:val="18"/>
              </w:rPr>
              <w:t>9.03%</w:t>
            </w:r>
          </w:p>
        </w:tc>
        <w:tc>
          <w:tcPr>
            <w:tcW w:type="dxa" w:w="1440"/>
          </w:tcPr>
          <w:p>
            <w:pPr>
              <w:spacing w:after="20"/>
              <w:jc w:val="right"/>
            </w:pPr>
            <w:r>
              <w:rPr>
                <w:color w:val="1C3A36"/>
                <w:sz w:val="18"/>
              </w:rPr>
              <w:t>33.9</w:t>
            </w:r>
          </w:p>
        </w:tc>
        <w:tc>
          <w:tcPr>
            <w:tcW w:type="dxa" w:w="1440"/>
          </w:tcPr>
          <w:p>
            <w:pPr>
              <w:spacing w:after="20"/>
              <w:jc w:val="right"/>
            </w:pPr>
            <w:r>
              <w:rPr>
                <w:color w:val="1C3A36"/>
                <w:sz w:val="18"/>
              </w:rPr>
              <w:t>33.8</w:t>
            </w:r>
          </w:p>
        </w:tc>
        <w:tc>
          <w:tcPr>
            <w:tcW w:type="dxa" w:w="1440"/>
          </w:tcPr>
          <w:p>
            <w:pPr>
              <w:spacing w:after="20"/>
              <w:jc w:val="right"/>
            </w:pPr>
            <w:r>
              <w:rPr>
                <w:color w:val="1C3A36"/>
                <w:sz w:val="18"/>
              </w:rPr>
              <w:t>33.7</w:t>
            </w:r>
          </w:p>
        </w:tc>
        <w:tc>
          <w:tcPr>
            <w:tcW w:type="dxa" w:w="1440"/>
          </w:tcPr>
          <w:p>
            <w:pPr>
              <w:spacing w:after="20"/>
              <w:jc w:val="right"/>
            </w:pPr>
            <w:r>
              <w:rPr>
                <w:color w:val="1C3A36"/>
                <w:sz w:val="18"/>
              </w:rPr>
              <w:t>33.6</w:t>
            </w:r>
          </w:p>
        </w:tc>
        <w:tc>
          <w:tcPr>
            <w:tcW w:type="dxa" w:w="1440"/>
          </w:tcPr>
          <w:p>
            <w:pPr>
              <w:spacing w:after="20"/>
              <w:jc w:val="right"/>
            </w:pPr>
            <w:r>
              <w:rPr>
                <w:color w:val="1C3A36"/>
                <w:sz w:val="18"/>
              </w:rPr>
              <w:t>33.4</w:t>
            </w:r>
          </w:p>
        </w:tc>
      </w:tr>
      <w:tr>
        <w:tc>
          <w:tcPr>
            <w:tcW w:type="dxa" w:w="2160"/>
          </w:tcPr>
          <w:p>
            <w:pPr>
              <w:spacing w:after="20"/>
            </w:pPr>
            <w:r>
              <w:rPr>
                <w:b/>
                <w:color w:val="1C3A36"/>
                <w:sz w:val="18"/>
              </w:rPr>
              <w:t>9.53%</w:t>
            </w:r>
          </w:p>
        </w:tc>
        <w:tc>
          <w:tcPr>
            <w:tcW w:type="dxa" w:w="1440"/>
          </w:tcPr>
          <w:p>
            <w:pPr>
              <w:spacing w:after="20"/>
              <w:jc w:val="right"/>
            </w:pPr>
            <w:r>
              <w:rPr>
                <w:color w:val="1C3A36"/>
                <w:sz w:val="18"/>
              </w:rPr>
              <w:t>32.1</w:t>
            </w:r>
          </w:p>
        </w:tc>
        <w:tc>
          <w:tcPr>
            <w:tcW w:type="dxa" w:w="1440"/>
          </w:tcPr>
          <w:p>
            <w:pPr>
              <w:spacing w:after="20"/>
              <w:jc w:val="right"/>
            </w:pPr>
            <w:r>
              <w:rPr>
                <w:color w:val="1C3A36"/>
                <w:sz w:val="18"/>
              </w:rPr>
              <w:t>31.9</w:t>
            </w:r>
          </w:p>
        </w:tc>
        <w:tc>
          <w:tcPr>
            <w:tcW w:type="dxa" w:w="1440"/>
          </w:tcPr>
          <w:p>
            <w:pPr>
              <w:spacing w:after="20"/>
              <w:jc w:val="right"/>
            </w:pPr>
            <w:r>
              <w:rPr>
                <w:color w:val="1C3A36"/>
                <w:sz w:val="18"/>
              </w:rPr>
              <w:t>31.7</w:t>
            </w:r>
          </w:p>
        </w:tc>
        <w:tc>
          <w:tcPr>
            <w:tcW w:type="dxa" w:w="1440"/>
          </w:tcPr>
          <w:p>
            <w:pPr>
              <w:spacing w:after="20"/>
              <w:jc w:val="right"/>
            </w:pPr>
            <w:r>
              <w:rPr>
                <w:color w:val="1C3A36"/>
                <w:sz w:val="18"/>
              </w:rPr>
              <w:t>31.5</w:t>
            </w:r>
          </w:p>
        </w:tc>
        <w:tc>
          <w:tcPr>
            <w:tcW w:type="dxa" w:w="1440"/>
          </w:tcPr>
          <w:p>
            <w:pPr>
              <w:spacing w:after="20"/>
              <w:jc w:val="right"/>
            </w:pPr>
            <w:r>
              <w:rPr>
                <w:color w:val="1C3A36"/>
                <w:sz w:val="18"/>
              </w:rPr>
              <w:t>31.2</w:t>
            </w:r>
          </w:p>
        </w:tc>
      </w:tr>
    </w:tbl>
    <w:p>
      <w:pPr>
        <w:spacing w:after="40"/>
      </w:pPr>
    </w:p>
    <w:p>
      <w:pPr>
        <w:spacing w:after="200" w:before="0"/>
      </w:pPr>
      <w:r>
        <w:rPr>
          <w:b w:val="0"/>
          <w:i/>
          <w:color w:val="6E7B77"/>
          <w:sz w:val="17"/>
        </w:rPr>
        <w:t>Fair value from the cash-flow model (SAR/share) across the cost of capital and terminal growth. The base cell is 8.53% against 2.00%, giving SAR 36.06. The CDS-ERP alternative WACC (7.90%) sits between the third and fourth rows.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10367" w:type="dxa"/>
      </w:tblPr>
      <w:tblGrid>
        <w:gridCol w:w="1440"/>
        <w:gridCol w:w="2015"/>
        <w:gridCol w:w="2015"/>
        <w:gridCol w:w="1872"/>
        <w:gridCol w:w="3024"/>
      </w:tblGrid>
      <w:tr>
        <w:tc>
          <w:tcPr>
            <w:tcW w:type="dxa" w:w="1440"/>
            <w:shd w:val="clear" w:color="auto" w:fill="EAF0EE"/>
          </w:tcPr>
          <w:p>
            <w:pPr>
              <w:spacing w:after="20"/>
            </w:pPr>
            <w:r>
              <w:rPr>
                <w:b/>
                <w:color w:val="1C3A36"/>
                <w:sz w:val="17"/>
              </w:rPr>
              <w:t>Beta</w:t>
            </w:r>
          </w:p>
        </w:tc>
        <w:tc>
          <w:tcPr>
            <w:tcW w:type="dxa" w:w="2016"/>
            <w:shd w:val="clear" w:color="auto" w:fill="EAF0EE"/>
          </w:tcPr>
          <w:p>
            <w:pPr>
              <w:spacing w:after="20"/>
            </w:pPr>
            <w:r>
              <w:rPr>
                <w:b/>
                <w:color w:val="1C3A36"/>
                <w:sz w:val="17"/>
              </w:rPr>
              <w:t>Cost of equity</w:t>
            </w:r>
          </w:p>
        </w:tc>
        <w:tc>
          <w:tcPr>
            <w:tcW w:type="dxa" w:w="2016"/>
            <w:shd w:val="clear" w:color="auto" w:fill="EAF0EE"/>
          </w:tcPr>
          <w:p>
            <w:pPr>
              <w:spacing w:after="20"/>
            </w:pPr>
            <w:r>
              <w:rPr>
                <w:b/>
                <w:color w:val="1C3A36"/>
                <w:sz w:val="17"/>
              </w:rPr>
              <w:t>Cost of capital</w:t>
            </w:r>
          </w:p>
        </w:tc>
        <w:tc>
          <w:tcPr>
            <w:tcW w:type="dxa" w:w="1872"/>
            <w:shd w:val="clear" w:color="auto" w:fill="EAF0EE"/>
          </w:tcPr>
          <w:p>
            <w:pPr>
              <w:spacing w:after="20"/>
            </w:pPr>
            <w:r>
              <w:rPr>
                <w:b/>
                <w:color w:val="1C3A36"/>
                <w:sz w:val="17"/>
              </w:rPr>
              <w:t>Value per share</w:t>
            </w:r>
          </w:p>
        </w:tc>
        <w:tc>
          <w:tcPr>
            <w:tcW w:type="dxa" w:w="3024"/>
            <w:shd w:val="clear" w:color="auto" w:fill="EAF0EE"/>
          </w:tcPr>
          <w:p>
            <w:pPr>
              <w:spacing w:after="20"/>
            </w:pPr>
            <w:r>
              <w:rPr>
                <w:b/>
                <w:color w:val="1C3A36"/>
                <w:sz w:val="17"/>
              </w:rPr>
              <w:t>Note</w:t>
            </w:r>
          </w:p>
        </w:tc>
      </w:tr>
      <w:tr>
        <w:tc>
          <w:tcPr>
            <w:tcW w:type="dxa" w:w="1440"/>
          </w:tcPr>
          <w:p>
            <w:pPr>
              <w:spacing w:after="20"/>
            </w:pPr>
            <w:r>
              <w:rPr>
                <w:b/>
                <w:color w:val="1C3A36"/>
                <w:sz w:val="17"/>
              </w:rPr>
              <w:t>0.30</w:t>
            </w:r>
          </w:p>
        </w:tc>
        <w:tc>
          <w:tcPr>
            <w:tcW w:type="dxa" w:w="2016"/>
          </w:tcPr>
          <w:p>
            <w:pPr>
              <w:spacing w:after="20"/>
              <w:jc w:val="right"/>
            </w:pPr>
            <w:r>
              <w:rPr>
                <w:color w:val="1C3A36"/>
                <w:sz w:val="17"/>
              </w:rPr>
              <w:t>7.30%</w:t>
            </w:r>
          </w:p>
        </w:tc>
        <w:tc>
          <w:tcPr>
            <w:tcW w:type="dxa" w:w="2016"/>
          </w:tcPr>
          <w:p>
            <w:pPr>
              <w:spacing w:after="20"/>
              <w:jc w:val="right"/>
            </w:pPr>
            <w:r>
              <w:rPr>
                <w:color w:val="1C3A36"/>
                <w:sz w:val="17"/>
              </w:rPr>
              <w:t>6.97%</w:t>
            </w:r>
          </w:p>
        </w:tc>
        <w:tc>
          <w:tcPr>
            <w:tcW w:type="dxa" w:w="1872"/>
          </w:tcPr>
          <w:p>
            <w:pPr>
              <w:spacing w:after="20"/>
              <w:jc w:val="right"/>
            </w:pPr>
            <w:r>
              <w:rPr>
                <w:color w:val="1C3A36"/>
                <w:sz w:val="17"/>
              </w:rPr>
              <w:t>45.83</w:t>
            </w:r>
          </w:p>
        </w:tc>
        <w:tc>
          <w:tcPr>
            <w:tcW w:type="dxa" w:w="3024"/>
          </w:tcPr>
          <w:p>
            <w:pPr>
              <w:spacing w:after="20"/>
              <w:jc w:val="right"/>
            </w:pPr>
            <w:r>
              <w:rPr>
                <w:color w:val="1C3A36"/>
                <w:sz w:val="17"/>
              </w:rPr>
            </w:r>
          </w:p>
        </w:tc>
      </w:tr>
      <w:tr>
        <w:tc>
          <w:tcPr>
            <w:tcW w:type="dxa" w:w="1440"/>
          </w:tcPr>
          <w:p>
            <w:pPr>
              <w:spacing w:after="20"/>
            </w:pPr>
            <w:r>
              <w:rPr>
                <w:b/>
                <w:color w:val="1C3A36"/>
                <w:sz w:val="17"/>
              </w:rPr>
              <w:t>0.50</w:t>
            </w:r>
          </w:p>
        </w:tc>
        <w:tc>
          <w:tcPr>
            <w:tcW w:type="dxa" w:w="2016"/>
          </w:tcPr>
          <w:p>
            <w:pPr>
              <w:spacing w:after="20"/>
              <w:jc w:val="right"/>
            </w:pPr>
            <w:r>
              <w:rPr>
                <w:color w:val="1C3A36"/>
                <w:sz w:val="17"/>
              </w:rPr>
              <w:t>8.14%</w:t>
            </w:r>
          </w:p>
        </w:tc>
        <w:tc>
          <w:tcPr>
            <w:tcW w:type="dxa" w:w="2016"/>
          </w:tcPr>
          <w:p>
            <w:pPr>
              <w:spacing w:after="20"/>
              <w:jc w:val="right"/>
            </w:pPr>
            <w:r>
              <w:rPr>
                <w:color w:val="1C3A36"/>
                <w:sz w:val="17"/>
              </w:rPr>
              <w:t>7.73%</w:t>
            </w:r>
          </w:p>
        </w:tc>
        <w:tc>
          <w:tcPr>
            <w:tcW w:type="dxa" w:w="1872"/>
          </w:tcPr>
          <w:p>
            <w:pPr>
              <w:spacing w:after="20"/>
              <w:jc w:val="right"/>
            </w:pPr>
            <w:r>
              <w:rPr>
                <w:color w:val="1C3A36"/>
                <w:sz w:val="17"/>
              </w:rPr>
              <w:t>40.40</w:t>
            </w:r>
          </w:p>
        </w:tc>
        <w:tc>
          <w:tcPr>
            <w:tcW w:type="dxa" w:w="3024"/>
          </w:tcPr>
          <w:p>
            <w:pPr>
              <w:spacing w:after="20"/>
              <w:jc w:val="right"/>
            </w:pPr>
            <w:r>
              <w:rPr>
                <w:color w:val="1C3A36"/>
                <w:sz w:val="17"/>
              </w:rPr>
            </w:r>
          </w:p>
        </w:tc>
      </w:tr>
      <w:tr>
        <w:tc>
          <w:tcPr>
            <w:tcW w:type="dxa" w:w="1440"/>
          </w:tcPr>
          <w:p>
            <w:pPr>
              <w:spacing w:after="20"/>
            </w:pPr>
            <w:r>
              <w:rPr>
                <w:b/>
                <w:color w:val="1C3A36"/>
                <w:sz w:val="17"/>
              </w:rPr>
              <w:t>0.71</w:t>
            </w:r>
          </w:p>
        </w:tc>
        <w:tc>
          <w:tcPr>
            <w:tcW w:type="dxa" w:w="2016"/>
          </w:tcPr>
          <w:p>
            <w:pPr>
              <w:spacing w:after="20"/>
              <w:jc w:val="right"/>
            </w:pPr>
            <w:r>
              <w:rPr>
                <w:color w:val="1C3A36"/>
                <w:sz w:val="17"/>
              </w:rPr>
              <w:t>9.03%</w:t>
            </w:r>
          </w:p>
        </w:tc>
        <w:tc>
          <w:tcPr>
            <w:tcW w:type="dxa" w:w="2016"/>
          </w:tcPr>
          <w:p>
            <w:pPr>
              <w:spacing w:after="20"/>
              <w:jc w:val="right"/>
            </w:pPr>
            <w:r>
              <w:rPr>
                <w:color w:val="1C3A36"/>
                <w:sz w:val="17"/>
              </w:rPr>
              <w:t>8.53%</w:t>
            </w:r>
          </w:p>
        </w:tc>
        <w:tc>
          <w:tcPr>
            <w:tcW w:type="dxa" w:w="1872"/>
          </w:tcPr>
          <w:p>
            <w:pPr>
              <w:spacing w:after="20"/>
              <w:jc w:val="right"/>
            </w:pPr>
            <w:r>
              <w:rPr>
                <w:color w:val="1C3A36"/>
                <w:sz w:val="17"/>
              </w:rPr>
              <w:t>36.06</w:t>
            </w:r>
          </w:p>
        </w:tc>
        <w:tc>
          <w:tcPr>
            <w:tcW w:type="dxa" w:w="3024"/>
          </w:tcPr>
          <w:p>
            <w:pPr>
              <w:spacing w:after="20"/>
              <w:jc w:val="right"/>
            </w:pPr>
            <w:r>
              <w:rPr>
                <w:color w:val="1C3A36"/>
                <w:sz w:val="17"/>
              </w:rPr>
              <w:t>the adopted regression</w:t>
            </w:r>
          </w:p>
        </w:tc>
      </w:tr>
      <w:tr>
        <w:tc>
          <w:tcPr>
            <w:tcW w:type="dxa" w:w="1440"/>
          </w:tcPr>
          <w:p>
            <w:pPr>
              <w:spacing w:after="20"/>
            </w:pPr>
            <w:r>
              <w:rPr>
                <w:b/>
                <w:color w:val="1C3A36"/>
                <w:sz w:val="17"/>
              </w:rPr>
              <w:t>0.85</w:t>
            </w:r>
          </w:p>
        </w:tc>
        <w:tc>
          <w:tcPr>
            <w:tcW w:type="dxa" w:w="2016"/>
          </w:tcPr>
          <w:p>
            <w:pPr>
              <w:spacing w:after="20"/>
              <w:jc w:val="right"/>
            </w:pPr>
            <w:r>
              <w:rPr>
                <w:color w:val="1C3A36"/>
                <w:sz w:val="17"/>
              </w:rPr>
              <w:t>9.63%</w:t>
            </w:r>
          </w:p>
        </w:tc>
        <w:tc>
          <w:tcPr>
            <w:tcW w:type="dxa" w:w="2016"/>
          </w:tcPr>
          <w:p>
            <w:pPr>
              <w:spacing w:after="20"/>
              <w:jc w:val="right"/>
            </w:pPr>
            <w:r>
              <w:rPr>
                <w:color w:val="1C3A36"/>
                <w:sz w:val="17"/>
              </w:rPr>
              <w:t>9.07%</w:t>
            </w:r>
          </w:p>
        </w:tc>
        <w:tc>
          <w:tcPr>
            <w:tcW w:type="dxa" w:w="1872"/>
          </w:tcPr>
          <w:p>
            <w:pPr>
              <w:spacing w:after="20"/>
              <w:jc w:val="right"/>
            </w:pPr>
            <w:r>
              <w:rPr>
                <w:color w:val="1C3A36"/>
                <w:sz w:val="17"/>
              </w:rPr>
              <w:t>33.69</w:t>
            </w:r>
          </w:p>
        </w:tc>
        <w:tc>
          <w:tcPr>
            <w:tcW w:type="dxa" w:w="3024"/>
          </w:tcPr>
          <w:p>
            <w:pPr>
              <w:spacing w:after="20"/>
              <w:jc w:val="right"/>
            </w:pPr>
            <w:r>
              <w:rPr>
                <w:color w:val="1C3A36"/>
                <w:sz w:val="17"/>
              </w:rPr>
            </w:r>
          </w:p>
        </w:tc>
      </w:tr>
      <w:tr>
        <w:tc>
          <w:tcPr>
            <w:tcW w:type="dxa" w:w="1440"/>
          </w:tcPr>
          <w:p>
            <w:pPr>
              <w:spacing w:after="20"/>
            </w:pPr>
            <w:r>
              <w:rPr>
                <w:b/>
                <w:color w:val="1C3A36"/>
                <w:sz w:val="17"/>
              </w:rPr>
              <w:t>1.00</w:t>
            </w:r>
          </w:p>
        </w:tc>
        <w:tc>
          <w:tcPr>
            <w:tcW w:type="dxa" w:w="2016"/>
          </w:tcPr>
          <w:p>
            <w:pPr>
              <w:spacing w:after="20"/>
              <w:jc w:val="right"/>
            </w:pPr>
            <w:r>
              <w:rPr>
                <w:color w:val="1C3A36"/>
                <w:sz w:val="17"/>
              </w:rPr>
              <w:t>10.26%</w:t>
            </w:r>
          </w:p>
        </w:tc>
        <w:tc>
          <w:tcPr>
            <w:tcW w:type="dxa" w:w="2016"/>
          </w:tcPr>
          <w:p>
            <w:pPr>
              <w:spacing w:after="20"/>
              <w:jc w:val="right"/>
            </w:pPr>
            <w:r>
              <w:rPr>
                <w:color w:val="1C3A36"/>
                <w:sz w:val="17"/>
              </w:rPr>
              <w:t>9.64%</w:t>
            </w:r>
          </w:p>
        </w:tc>
        <w:tc>
          <w:tcPr>
            <w:tcW w:type="dxa" w:w="1872"/>
          </w:tcPr>
          <w:p>
            <w:pPr>
              <w:spacing w:after="20"/>
              <w:jc w:val="right"/>
            </w:pPr>
            <w:r>
              <w:rPr>
                <w:color w:val="1C3A36"/>
                <w:sz w:val="17"/>
              </w:rPr>
              <w:t>31.53</w:t>
            </w:r>
          </w:p>
        </w:tc>
        <w:tc>
          <w:tcPr>
            <w:tcW w:type="dxa" w:w="3024"/>
          </w:tcPr>
          <w:p>
            <w:pPr>
              <w:spacing w:after="20"/>
              <w:jc w:val="right"/>
            </w:pPr>
            <w:r>
              <w:rPr>
                <w:color w:val="1C3A36"/>
                <w:sz w:val="17"/>
              </w:rPr>
              <w:t>the house fallback, used only where a regression is not usable</w:t>
            </w:r>
          </w:p>
        </w:tc>
      </w:tr>
      <w:tr>
        <w:tc>
          <w:tcPr>
            <w:tcW w:type="dxa" w:w="1440"/>
          </w:tcPr>
          <w:p>
            <w:pPr>
              <w:spacing w:after="20"/>
            </w:pPr>
            <w:r>
              <w:rPr>
                <w:b/>
                <w:color w:val="1C3A36"/>
                <w:sz w:val="17"/>
              </w:rPr>
              <w:t>1.20</w:t>
            </w:r>
          </w:p>
        </w:tc>
        <w:tc>
          <w:tcPr>
            <w:tcW w:type="dxa" w:w="2016"/>
          </w:tcPr>
          <w:p>
            <w:pPr>
              <w:spacing w:after="20"/>
              <w:jc w:val="right"/>
            </w:pPr>
            <w:r>
              <w:rPr>
                <w:color w:val="1C3A36"/>
                <w:sz w:val="17"/>
              </w:rPr>
              <w:t>11.11%</w:t>
            </w:r>
          </w:p>
        </w:tc>
        <w:tc>
          <w:tcPr>
            <w:tcW w:type="dxa" w:w="2016"/>
          </w:tcPr>
          <w:p>
            <w:pPr>
              <w:spacing w:after="20"/>
              <w:jc w:val="right"/>
            </w:pPr>
            <w:r>
              <w:rPr>
                <w:color w:val="1C3A36"/>
                <w:sz w:val="17"/>
              </w:rPr>
              <w:t>10.41%</w:t>
            </w:r>
          </w:p>
        </w:tc>
        <w:tc>
          <w:tcPr>
            <w:tcW w:type="dxa" w:w="1872"/>
          </w:tcPr>
          <w:p>
            <w:pPr>
              <w:spacing w:after="20"/>
              <w:jc w:val="right"/>
            </w:pPr>
            <w:r>
              <w:rPr>
                <w:color w:val="1C3A36"/>
                <w:sz w:val="17"/>
              </w:rPr>
              <w:t>29.10</w:t>
            </w:r>
          </w:p>
        </w:tc>
        <w:tc>
          <w:tcPr>
            <w:tcW w:type="dxa" w:w="3024"/>
          </w:tcPr>
          <w:p>
            <w:pPr>
              <w:spacing w:after="20"/>
              <w:jc w:val="right"/>
            </w:pPr>
            <w:r>
              <w:rPr>
                <w:color w:val="1C3A36"/>
                <w:sz w:val="17"/>
              </w:rPr>
            </w:r>
          </w:p>
        </w:tc>
      </w:tr>
    </w:tbl>
    <w:p>
      <w:pPr>
        <w:spacing w:after="40"/>
      </w:pPr>
    </w:p>
    <w:p>
      <w:pPr>
        <w:spacing w:after="200" w:before="0"/>
      </w:pPr>
      <w:r>
        <w:rPr>
          <w:b w:val="0"/>
          <w:i/>
          <w:color w:val="6E7B77"/>
          <w:sz w:val="17"/>
        </w:rPr>
        <w:t>The grid is mandatory disclosure here: the regression is a proper five-year weekly one against the exchange’s own published index, but it explains 30% of this stock’s variance and no more, so the answer is priced across the plausible range rather than at one point. The read survives moderate beta doubt — at 0.85 the value is SAR 33.69 — but not a full reversion to 1.0, where it falls to SAR 31.53, -28% against the market price.</w:t>
      </w:r>
    </w:p>
    <w:p>
      <w:pPr>
        <w:spacing w:after="120" w:before="280"/>
      </w:pPr>
      <w:r>
        <w:rPr>
          <w:b/>
          <w:i w:val="0"/>
          <w:color w:val="1C3A36"/>
          <w:sz w:val="30"/>
        </w:rPr>
        <w:t>2  Technical and price structure</w:t>
      </w:r>
    </w:p>
    <w:p>
      <w:pPr>
        <w:spacing w:after="120" w:before="0"/>
      </w:pPr>
      <w:r>
        <w:rPr>
          <w:b w:val="0"/>
          <w:i w:val="0"/>
          <w:color w:val="1C3A36"/>
          <w:sz w:val="21"/>
        </w:rPr>
        <w:t>The tape is firm and the stock is trading above its whole moving-average stack. At SAR 44.72 the price sits above all four of the 20-, 50-, 100- and 200-day averages, which are themselves compressed into a band of SAR 0.61 (43.30 to 43.91) — so the stack is flat while the price has stepped clear of it by 1.8% above the highest of the four. RSI(14) at 66 is firm but short of overbought, and the MACD histogram is positive, with the line above its signal. The 52-week range is narrow for an emerging-market name — 40.20 to 45.38, a span of 13% — and realised volatility over the trailing year (12.9%) is among the lowest on the exchange. Price is up 1.8% over the last twenty sessions and 1.6% over the last sixty. This is a quiet advance rather than a trending breakout: the direction is up, the energy behind it is 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9936" w:type="dxa"/>
      </w:tblPr>
      <w:tblGrid>
        <w:gridCol w:w="2592"/>
        <w:gridCol w:w="3744"/>
        <w:gridCol w:w="3600"/>
      </w:tblGrid>
      <w:tr>
        <w:tc>
          <w:tcPr>
            <w:tcW w:type="dxa" w:w="2592"/>
            <w:shd w:val="clear" w:color="auto" w:fill="EAF0EE"/>
          </w:tcPr>
          <w:p>
            <w:pPr>
              <w:spacing w:after="20"/>
            </w:pPr>
            <w:r>
              <w:rPr>
                <w:b/>
                <w:color w:val="1C3A36"/>
                <w:sz w:val="18"/>
              </w:rPr>
              <w:t>Indicator</w:t>
            </w:r>
          </w:p>
        </w:tc>
        <w:tc>
          <w:tcPr>
            <w:tcW w:type="dxa" w:w="3744"/>
            <w:shd w:val="clear" w:color="auto" w:fill="EAF0EE"/>
          </w:tcPr>
          <w:p>
            <w:pPr>
              <w:spacing w:after="20"/>
            </w:pPr>
            <w:r>
              <w:rPr>
                <w:b/>
                <w:color w:val="1C3A36"/>
                <w:sz w:val="18"/>
              </w:rPr>
              <w:t>Reading</w:t>
            </w:r>
          </w:p>
        </w:tc>
        <w:tc>
          <w:tcPr>
            <w:tcW w:type="dxa" w:w="3600"/>
            <w:shd w:val="clear" w:color="auto" w:fill="EAF0EE"/>
          </w:tcPr>
          <w:p>
            <w:pPr>
              <w:spacing w:after="20"/>
            </w:pPr>
            <w:r>
              <w:rPr>
                <w:b/>
                <w:color w:val="1C3A36"/>
                <w:sz w:val="18"/>
              </w:rPr>
              <w:t>What it says</w:t>
            </w:r>
          </w:p>
        </w:tc>
      </w:tr>
      <w:tr>
        <w:tc>
          <w:tcPr>
            <w:tcW w:type="dxa" w:w="2592"/>
          </w:tcPr>
          <w:p>
            <w:pPr>
              <w:spacing w:after="20"/>
            </w:pPr>
            <w:r>
              <w:rPr>
                <w:b/>
                <w:color w:val="1C3A36"/>
                <w:sz w:val="18"/>
              </w:rPr>
              <w:t>Price on 2026-08-31</w:t>
            </w:r>
          </w:p>
        </w:tc>
        <w:tc>
          <w:tcPr>
            <w:tcW w:type="dxa" w:w="3744"/>
          </w:tcPr>
          <w:p>
            <w:pPr>
              <w:spacing w:after="20"/>
              <w:jc w:val="right"/>
            </w:pPr>
            <w:r>
              <w:rPr>
                <w:color w:val="1C3A36"/>
                <w:sz w:val="18"/>
              </w:rPr>
              <w:t>SAR 44.72</w:t>
            </w:r>
          </w:p>
        </w:tc>
        <w:tc>
          <w:tcPr>
            <w:tcW w:type="dxa" w:w="3600"/>
          </w:tcPr>
          <w:p>
            <w:pPr>
              <w:spacing w:after="20"/>
              <w:jc w:val="right"/>
            </w:pPr>
            <w:r>
              <w:rPr>
                <w:color w:val="1C3A36"/>
                <w:sz w:val="18"/>
              </w:rPr>
              <w:t>87th percentile of the 52-week range</w:t>
            </w:r>
          </w:p>
        </w:tc>
      </w:tr>
      <w:tr>
        <w:tc>
          <w:tcPr>
            <w:tcW w:type="dxa" w:w="2592"/>
          </w:tcPr>
          <w:p>
            <w:pPr>
              <w:spacing w:after="20"/>
            </w:pPr>
            <w:r>
              <w:rPr>
                <w:b/>
                <w:color w:val="1C3A36"/>
                <w:sz w:val="18"/>
              </w:rPr>
              <w:t>SMA 20 / 50</w:t>
            </w:r>
          </w:p>
        </w:tc>
        <w:tc>
          <w:tcPr>
            <w:tcW w:type="dxa" w:w="3744"/>
          </w:tcPr>
          <w:p>
            <w:pPr>
              <w:spacing w:after="20"/>
              <w:jc w:val="right"/>
            </w:pPr>
            <w:r>
              <w:rPr>
                <w:color w:val="1C3A36"/>
                <w:sz w:val="18"/>
              </w:rPr>
              <w:t>SAR 43.91 / 43.60</w:t>
            </w:r>
          </w:p>
        </w:tc>
        <w:tc>
          <w:tcPr>
            <w:tcW w:type="dxa" w:w="3600"/>
          </w:tcPr>
          <w:p>
            <w:pPr>
              <w:spacing w:after="20"/>
              <w:jc w:val="right"/>
            </w:pPr>
            <w:r>
              <w:rPr>
                <w:color w:val="1C3A36"/>
                <w:sz w:val="18"/>
              </w:rPr>
              <w:t>Price above both, by 1.8% and 2.6%</w:t>
            </w:r>
          </w:p>
        </w:tc>
      </w:tr>
      <w:tr>
        <w:tc>
          <w:tcPr>
            <w:tcW w:type="dxa" w:w="2592"/>
          </w:tcPr>
          <w:p>
            <w:pPr>
              <w:spacing w:after="20"/>
            </w:pPr>
            <w:r>
              <w:rPr>
                <w:b/>
                <w:color w:val="1C3A36"/>
                <w:sz w:val="18"/>
              </w:rPr>
              <w:t>SMA 100 / 200</w:t>
            </w:r>
          </w:p>
        </w:tc>
        <w:tc>
          <w:tcPr>
            <w:tcW w:type="dxa" w:w="3744"/>
          </w:tcPr>
          <w:p>
            <w:pPr>
              <w:spacing w:after="20"/>
              <w:jc w:val="right"/>
            </w:pPr>
            <w:r>
              <w:rPr>
                <w:color w:val="1C3A36"/>
                <w:sz w:val="18"/>
              </w:rPr>
              <w:t>SAR 43.51 / 43.30</w:t>
            </w:r>
          </w:p>
        </w:tc>
        <w:tc>
          <w:tcPr>
            <w:tcW w:type="dxa" w:w="3600"/>
          </w:tcPr>
          <w:p>
            <w:pPr>
              <w:spacing w:after="20"/>
              <w:jc w:val="right"/>
            </w:pPr>
            <w:r>
              <w:rPr>
                <w:color w:val="1C3A36"/>
                <w:sz w:val="18"/>
              </w:rPr>
              <w:t>Stack compressed into SAR 0.61 — a long flat base</w:t>
            </w:r>
          </w:p>
        </w:tc>
      </w:tr>
      <w:tr>
        <w:tc>
          <w:tcPr>
            <w:tcW w:type="dxa" w:w="2592"/>
          </w:tcPr>
          <w:p>
            <w:pPr>
              <w:spacing w:after="20"/>
            </w:pPr>
            <w:r>
              <w:rPr>
                <w:b/>
                <w:color w:val="1C3A36"/>
                <w:sz w:val="18"/>
              </w:rPr>
              <w:t>RSI (14)</w:t>
            </w:r>
          </w:p>
        </w:tc>
        <w:tc>
          <w:tcPr>
            <w:tcW w:type="dxa" w:w="3744"/>
          </w:tcPr>
          <w:p>
            <w:pPr>
              <w:spacing w:after="20"/>
              <w:jc w:val="right"/>
            </w:pPr>
            <w:r>
              <w:rPr>
                <w:color w:val="1C3A36"/>
                <w:sz w:val="18"/>
              </w:rPr>
              <w:t>65.7</w:t>
            </w:r>
          </w:p>
        </w:tc>
        <w:tc>
          <w:tcPr>
            <w:tcW w:type="dxa" w:w="3600"/>
          </w:tcPr>
          <w:p>
            <w:pPr>
              <w:spacing w:after="20"/>
              <w:jc w:val="right"/>
            </w:pPr>
            <w:r>
              <w:rPr>
                <w:color w:val="1C3A36"/>
                <w:sz w:val="18"/>
              </w:rPr>
              <w:t>Firm but short of overbought</w:t>
            </w:r>
          </w:p>
        </w:tc>
      </w:tr>
      <w:tr>
        <w:tc>
          <w:tcPr>
            <w:tcW w:type="dxa" w:w="2592"/>
          </w:tcPr>
          <w:p>
            <w:pPr>
              <w:spacing w:after="20"/>
            </w:pPr>
            <w:r>
              <w:rPr>
                <w:b/>
                <w:color w:val="1C3A36"/>
                <w:sz w:val="18"/>
              </w:rPr>
              <w:t>MACD (12,26,9)</w:t>
            </w:r>
          </w:p>
        </w:tc>
        <w:tc>
          <w:tcPr>
            <w:tcW w:type="dxa" w:w="3744"/>
          </w:tcPr>
          <w:p>
            <w:pPr>
              <w:spacing w:after="20"/>
              <w:jc w:val="right"/>
            </w:pPr>
            <w:r>
              <w:rPr>
                <w:color w:val="1C3A36"/>
                <w:sz w:val="18"/>
              </w:rPr>
              <w:t>+0.31 line / +0.21 signal / +0.09 hist</w:t>
            </w:r>
          </w:p>
        </w:tc>
        <w:tc>
          <w:tcPr>
            <w:tcW w:type="dxa" w:w="3600"/>
          </w:tcPr>
          <w:p>
            <w:pPr>
              <w:spacing w:after="20"/>
              <w:jc w:val="right"/>
            </w:pPr>
            <w:r>
              <w:rPr>
                <w:color w:val="1C3A36"/>
                <w:sz w:val="18"/>
              </w:rPr>
              <w:t>Positive, with the line above its signal</w:t>
            </w:r>
          </w:p>
        </w:tc>
      </w:tr>
      <w:tr>
        <w:tc>
          <w:tcPr>
            <w:tcW w:type="dxa" w:w="2592"/>
          </w:tcPr>
          <w:p>
            <w:pPr>
              <w:spacing w:after="20"/>
            </w:pPr>
            <w:r>
              <w:rPr>
                <w:b/>
                <w:color w:val="1C3A36"/>
                <w:sz w:val="18"/>
              </w:rPr>
              <w:t>52-week range</w:t>
            </w:r>
          </w:p>
        </w:tc>
        <w:tc>
          <w:tcPr>
            <w:tcW w:type="dxa" w:w="3744"/>
          </w:tcPr>
          <w:p>
            <w:pPr>
              <w:spacing w:after="20"/>
              <w:jc w:val="right"/>
            </w:pPr>
            <w:r>
              <w:rPr>
                <w:color w:val="1C3A36"/>
                <w:sz w:val="18"/>
              </w:rPr>
              <w:t>SAR 40.20 – 45.38</w:t>
            </w:r>
          </w:p>
        </w:tc>
        <w:tc>
          <w:tcPr>
            <w:tcW w:type="dxa" w:w="3600"/>
          </w:tcPr>
          <w:p>
            <w:pPr>
              <w:spacing w:after="20"/>
              <w:jc w:val="right"/>
            </w:pPr>
            <w:r>
              <w:rPr>
                <w:color w:val="1C3A36"/>
                <w:sz w:val="18"/>
              </w:rPr>
              <w:t>A span of 13% — narrow</w:t>
            </w:r>
          </w:p>
        </w:tc>
      </w:tr>
      <w:tr>
        <w:tc>
          <w:tcPr>
            <w:tcW w:type="dxa" w:w="2592"/>
          </w:tcPr>
          <w:p>
            <w:pPr>
              <w:spacing w:after="20"/>
            </w:pPr>
            <w:r>
              <w:rPr>
                <w:b/>
                <w:color w:val="1C3A36"/>
                <w:sz w:val="18"/>
              </w:rPr>
              <w:t>Change over 20 / 60 sessions</w:t>
            </w:r>
          </w:p>
        </w:tc>
        <w:tc>
          <w:tcPr>
            <w:tcW w:type="dxa" w:w="3744"/>
          </w:tcPr>
          <w:p>
            <w:pPr>
              <w:spacing w:after="20"/>
              <w:jc w:val="right"/>
            </w:pPr>
            <w:r>
              <w:rPr>
                <w:color w:val="1C3A36"/>
                <w:sz w:val="18"/>
              </w:rPr>
              <w:t>+1.8% / +1.6%</w:t>
            </w:r>
          </w:p>
        </w:tc>
        <w:tc>
          <w:tcPr>
            <w:tcW w:type="dxa" w:w="3600"/>
          </w:tcPr>
          <w:p>
            <w:pPr>
              <w:spacing w:after="20"/>
              <w:jc w:val="right"/>
            </w:pPr>
            <w:r>
              <w:rPr>
                <w:color w:val="1C3A36"/>
                <w:sz w:val="18"/>
              </w:rPr>
              <w:t>A quiet advance</w:t>
            </w:r>
          </w:p>
        </w:tc>
      </w:tr>
      <w:tr>
        <w:tc>
          <w:tcPr>
            <w:tcW w:type="dxa" w:w="2592"/>
          </w:tcPr>
          <w:p>
            <w:pPr>
              <w:spacing w:after="20"/>
            </w:pPr>
            <w:r>
              <w:rPr>
                <w:b/>
                <w:color w:val="1C3A36"/>
                <w:sz w:val="18"/>
              </w:rPr>
              <w:t>Realised volatility (252 sessions)</w:t>
            </w:r>
          </w:p>
        </w:tc>
        <w:tc>
          <w:tcPr>
            <w:tcW w:type="dxa" w:w="3744"/>
          </w:tcPr>
          <w:p>
            <w:pPr>
              <w:spacing w:after="20"/>
              <w:jc w:val="right"/>
            </w:pPr>
            <w:r>
              <w:rPr>
                <w:color w:val="1C3A36"/>
                <w:sz w:val="18"/>
              </w:rPr>
              <w:t>12.9%</w:t>
            </w:r>
          </w:p>
        </w:tc>
        <w:tc>
          <w:tcPr>
            <w:tcW w:type="dxa" w:w="3600"/>
          </w:tcPr>
          <w:p>
            <w:pPr>
              <w:spacing w:after="20"/>
              <w:jc w:val="right"/>
            </w:pPr>
            <w:r>
              <w:rPr>
                <w:color w:val="1C3A36"/>
                <w:sz w:val="18"/>
              </w:rPr>
              <w:t>Very low; the forward read used in §3 is 16.5%</w:t>
            </w:r>
          </w:p>
        </w:tc>
      </w:tr>
    </w:tbl>
    <w:p>
      <w:pPr>
        <w:spacing w:after="40"/>
      </w:pPr>
    </w:p>
    <w:p>
      <w:pPr>
        <w:spacing w:after="40"/>
        <w:jc w:val="center"/>
      </w:pPr>
      <w:r>
        <w:drawing>
          <wp:inline xmlns:a="http://schemas.openxmlformats.org/drawingml/2006/main" xmlns:pic="http://schemas.openxmlformats.org/drawingml/2006/picture">
            <wp:extent cx="5852160" cy="2285129"/>
            <wp:docPr id="3" name="Picture 3"/>
            <wp:cNvGraphicFramePr>
              <a:graphicFrameLocks noChangeAspect="1"/>
            </wp:cNvGraphicFramePr>
            <a:graphic>
              <a:graphicData uri="http://schemas.openxmlformats.org/drawingml/2006/picture">
                <pic:pic>
                  <pic:nvPicPr>
                    <pic:cNvPr id="0" name="fig3_ma.png"/>
                    <pic:cNvPicPr/>
                  </pic:nvPicPr>
                  <pic:blipFill>
                    <a:blip r:embed="rId11"/>
                    <a:stretch>
                      <a:fillRect/>
                    </a:stretch>
                  </pic:blipFill>
                  <pic:spPr>
                    <a:xfrm>
                      <a:off x="0" y="0"/>
                      <a:ext cx="5852160" cy="2285129"/>
                    </a:xfrm>
                    <a:prstGeom prst="rect"/>
                  </pic:spPr>
                </pic:pic>
              </a:graphicData>
            </a:graphic>
          </wp:inline>
        </w:drawing>
      </w:r>
    </w:p>
    <w:p>
      <w:pPr>
        <w:spacing w:after="200" w:before="0"/>
      </w:pPr>
      <w:r>
        <w:rPr>
          <w:b w:val="0"/>
          <w:i/>
          <w:color w:val="6E7B77"/>
          <w:sz w:val="17"/>
        </w:rPr>
        <w:t>Figure 3 — Price against the moving-average stack, the last 260 sessions.</w:t>
      </w:r>
    </w:p>
    <w:p>
      <w:pPr>
        <w:spacing w:after="120" w:before="0"/>
      </w:pPr>
      <w:r>
        <w:rPr>
          <w:b w:val="0"/>
          <w:i w:val="0"/>
          <w:color w:val="1C3A36"/>
          <w:sz w:val="21"/>
        </w:rPr>
        <w:t>For the probabilistic work this matters in one way: a low-volatility tape produces a genuinely narrow three-month cone — the 5th-to-95th band in §3 runs -12.1% to +16.7% around the anchor — so even a modest fundamental surprise can carry the price to the edge of the distribution. The technical read neither confirms nor contradicts the fundamental one, and it is not asked to: it is the shortest of the three lenses and speaks only to the weeks ahead.</w:t>
      </w:r>
    </w:p>
    <w:p>
      <w:pPr>
        <w:spacing w:after="120" w:before="280"/>
      </w:pPr>
      <w:r>
        <w:rPr>
          <w:b/>
          <w:i w:val="0"/>
          <w:color w:val="1C3A36"/>
          <w:sz w:val="30"/>
        </w:rPr>
        <w:t>3  A probabilistic price map</w:t>
      </w:r>
    </w:p>
    <w:p>
      <w:pPr>
        <w:spacing w:after="80" w:before="0"/>
      </w:pPr>
      <w:r>
        <w:rPr>
          <w:b w:val="0"/>
          <w:i w:val="0"/>
          <w:color w:val="1C3A36"/>
          <w:sz w:val="19"/>
        </w:rPr>
        <w:t>The probability read below opens the section: computed from the same 50,000 paths as everything that follows, it is a summary of the distribution, not an input to it. Both horizons are CALENDAR — one month and three months from the anchor, graded on a stated date rather than after a count of trading sessions.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9504" w:type="dxa"/>
      </w:tblPr>
      <w:tblGrid>
        <w:gridCol w:w="4752"/>
        <w:gridCol w:w="4752"/>
      </w:tblGrid>
      <w:tr>
        <w:tc>
          <w:tcPr>
            <w:tcW w:type="dxa" w:w="4752"/>
            <w:shd w:val="clear" w:color="auto" w:fill="F6F1E6"/>
          </w:tcPr>
          <w:p>
            <w:pPr>
              <w:spacing w:after="20"/>
            </w:pPr>
            <w:r>
              <w:rPr>
                <w:b/>
                <w:color w:val="1C3A36"/>
                <w:sz w:val="18"/>
              </w:rPr>
              <w:t>The probability read (3 months, graded 30 Nov 2026)</w:t>
            </w:r>
          </w:p>
        </w:tc>
        <w:tc>
          <w:tcPr>
            <w:tcW w:type="dxa" w:w="4752"/>
            <w:shd w:val="clear" w:color="auto" w:fill="F6F1E6"/>
          </w:tcPr>
          <w:p>
            <w:pPr>
              <w:spacing w:after="20"/>
            </w:pPr>
            <w:r>
              <w:rPr>
                <w:b/>
                <w:color w:val="1C3A36"/>
                <w:sz w:val="18"/>
              </w:rPr>
            </w:r>
          </w:p>
        </w:tc>
      </w:tr>
      <w:tr>
        <w:tc>
          <w:tcPr>
            <w:tcW w:type="dxa" w:w="4752"/>
          </w:tcPr>
          <w:p>
            <w:pPr>
              <w:spacing w:after="20"/>
            </w:pPr>
            <w:r>
              <w:rPr>
                <w:b/>
                <w:color w:val="1C3A36"/>
                <w:sz w:val="18"/>
              </w:rPr>
              <w:t>Chance the price finishes above the anchor</w:t>
            </w:r>
          </w:p>
        </w:tc>
        <w:tc>
          <w:tcPr>
            <w:tcW w:type="dxa" w:w="4752"/>
          </w:tcPr>
          <w:p>
            <w:pPr>
              <w:spacing w:after="20"/>
              <w:jc w:val="right"/>
            </w:pPr>
            <w:r>
              <w:rPr>
                <w:color w:val="1C3A36"/>
                <w:sz w:val="18"/>
              </w:rPr>
              <w:t>56%</w:t>
            </w:r>
          </w:p>
        </w:tc>
      </w:tr>
      <w:tr>
        <w:tc>
          <w:tcPr>
            <w:tcW w:type="dxa" w:w="4752"/>
          </w:tcPr>
          <w:p>
            <w:pPr>
              <w:spacing w:after="20"/>
            </w:pPr>
            <w:r>
              <w:rPr>
                <w:b/>
                <w:color w:val="1C3A36"/>
                <w:sz w:val="18"/>
              </w:rPr>
              <w:t>Chance of +10% against −10% — the odds</w:t>
            </w:r>
          </w:p>
        </w:tc>
        <w:tc>
          <w:tcPr>
            <w:tcW w:type="dxa" w:w="4752"/>
          </w:tcPr>
          <w:p>
            <w:pPr>
              <w:spacing w:after="20"/>
              <w:jc w:val="right"/>
            </w:pPr>
            <w:r>
              <w:rPr>
                <w:color w:val="1C3A36"/>
                <w:sz w:val="18"/>
              </w:rPr>
              <w:t>16% vs 8%  ·  2.0 : 1</w:t>
            </w:r>
          </w:p>
        </w:tc>
      </w:tr>
      <w:tr>
        <w:tc>
          <w:tcPr>
            <w:tcW w:type="dxa" w:w="4752"/>
          </w:tcPr>
          <w:p>
            <w:pPr>
              <w:spacing w:after="20"/>
            </w:pPr>
            <w:r>
              <w:rPr>
                <w:b/>
                <w:color w:val="1C3A36"/>
                <w:sz w:val="18"/>
              </w:rPr>
              <w:t>Median level, and its move</w:t>
            </w:r>
          </w:p>
        </w:tc>
        <w:tc>
          <w:tcPr>
            <w:tcW w:type="dxa" w:w="4752"/>
          </w:tcPr>
          <w:p>
            <w:pPr>
              <w:spacing w:after="20"/>
              <w:jc w:val="right"/>
            </w:pPr>
            <w:r>
              <w:rPr>
                <w:color w:val="1C3A36"/>
                <w:sz w:val="18"/>
              </w:rPr>
              <w:t>SAR 45.30  (+1.3%)</w:t>
            </w:r>
          </w:p>
        </w:tc>
      </w:tr>
      <w:tr>
        <w:tc>
          <w:tcPr>
            <w:tcW w:type="dxa" w:w="4752"/>
          </w:tcPr>
          <w:p>
            <w:pPr>
              <w:spacing w:after="20"/>
            </w:pPr>
            <w:r>
              <w:rPr>
                <w:b/>
                <w:color w:val="1C3A36"/>
                <w:sz w:val="18"/>
              </w:rPr>
              <w:t>The 50% band (25th–75th)</w:t>
            </w:r>
          </w:p>
        </w:tc>
        <w:tc>
          <w:tcPr>
            <w:tcW w:type="dxa" w:w="4752"/>
          </w:tcPr>
          <w:p>
            <w:pPr>
              <w:spacing w:after="20"/>
              <w:jc w:val="right"/>
            </w:pPr>
            <w:r>
              <w:rPr>
                <w:color w:val="1C3A36"/>
                <w:sz w:val="18"/>
              </w:rPr>
              <w:t>SAR 42.9 – 47.9   (-4.2% / +7.0% of the anchor)</w:t>
            </w:r>
          </w:p>
        </w:tc>
      </w:tr>
      <w:tr>
        <w:tc>
          <w:tcPr>
            <w:tcW w:type="dxa" w:w="4752"/>
          </w:tcPr>
          <w:p>
            <w:pPr>
              <w:spacing w:after="20"/>
            </w:pPr>
            <w:r>
              <w:rPr>
                <w:b/>
                <w:color w:val="1C3A36"/>
                <w:sz w:val="18"/>
              </w:rPr>
              <w:t>Chance of touching ±10% at any point</w:t>
            </w:r>
          </w:p>
        </w:tc>
        <w:tc>
          <w:tcPr>
            <w:tcW w:type="dxa" w:w="4752"/>
          </w:tcPr>
          <w:p>
            <w:pPr>
              <w:spacing w:after="20"/>
              <w:jc w:val="right"/>
            </w:pPr>
            <w:r>
              <w:rPr>
                <w:color w:val="1C3A36"/>
                <w:sz w:val="18"/>
              </w:rPr>
              <w:t>27%  /  16%</w:t>
            </w:r>
          </w:p>
        </w:tc>
      </w:tr>
    </w:tbl>
    <w:p>
      <w:pPr>
        <w:spacing w:after="40"/>
      </w:pPr>
    </w:p>
    <w:p>
      <w:pPr>
        <w:spacing w:after="120" w:before="0"/>
      </w:pPr>
      <w:r>
        <w:rPr>
          <w:b w:val="0"/>
          <w:i w:val="0"/>
          <w:color w:val="1C3A36"/>
          <w:sz w:val="21"/>
        </w:rPr>
        <w:t>How the cone is built. We simulate 50,000 price paths from the anchor (seed 42) with the house engine: the width comes from a cascade of this stock's own recent, medium and longer-run variation, projected forward over the horizon (annualised 16.5% at three months, 15.3% at one), then scaled by the calibration this market's whole panel was fitted to (1.056). The shape of the tails is a Student-t drawn at the same fitted setting. The two numbers trade off against each other, so neither is quoted as precise on its own — the honest object is the cone they jointly produce, and the record of how often it has held follows below.</w:t>
      </w:r>
    </w:p>
    <w:p>
      <w:pPr>
        <w:spacing w:after="120" w:before="0"/>
      </w:pPr>
      <w:r>
        <w:rPr>
          <w:b/>
          <w:i w:val="0"/>
          <w:color w:val="1C3A36"/>
          <w:sz w:val="21"/>
        </w:rPr>
        <w:t xml:space="preserve">The centre of the cone is not a view. </w:t>
      </w:r>
      <w:r>
        <w:rPr>
          <w:b w:val="0"/>
          <w:i w:val="0"/>
          <w:color w:val="1C3A36"/>
          <w:sz w:val="21"/>
        </w:rPr>
        <w:t>It is the cost of carry — what money earns while it waits — plus one small lean, described next. The paths deliberately do not know the fundamental fair value of §1: the two lenses are kept apart so that when they agree it is information rather than an echo. §1 says what the business is worth; §3 says where the price could travel from where it is.</w:t>
      </w:r>
    </w:p>
    <w:p>
      <w:pPr>
        <w:spacing w:after="120" w:before="0"/>
      </w:pPr>
      <w:r>
        <w:rPr>
          <w:b/>
          <w:i w:val="0"/>
          <w:color w:val="1C3A36"/>
          <w:sz w:val="21"/>
        </w:rPr>
        <w:t xml:space="preserve">The direction call. </w:t>
      </w:r>
      <w:r>
        <w:rPr>
          <w:b w:val="0"/>
          <w:i w:val="0"/>
          <w:color w:val="1C3A36"/>
          <w:sz w:val="21"/>
        </w:rPr>
        <w:t>This market runs a measured momentum lean, and every covered name states the direction its own reading points — including the names where the reading is too weak to move anything. stc reads +0.30, which is past the 0.25 threshold below which no tilt is applied at all, so the call is UP and it carries weight: it shifts the centre of the three-month cone by +0.24% and the one-month cone by +0.13%. Those are small numbers on purpose. The lean is capped at the strength the evidence actually measured; past that point a bigger number is a deliberately worse forecast rather than a braver one.</w:t>
      </w:r>
    </w:p>
    <w:p>
      <w:pPr>
        <w:spacing w:after="80" w:before="200"/>
      </w:pPr>
      <w:r>
        <w:rPr>
          <w:b/>
          <w:i w:val="0"/>
          <w:color w:val="1C3A36"/>
          <w:sz w:val="24"/>
        </w:rPr>
        <w:t>How often these bands have actually held</w:t>
      </w:r>
    </w:p>
    <w:p>
      <w:pPr>
        <w:spacing w:after="120" w:before="0"/>
      </w:pPr>
      <w:r>
        <w:rPr>
          <w:b w:val="0"/>
          <w:i w:val="0"/>
          <w:color w:val="1C3A36"/>
          <w:sz w:val="21"/>
        </w:rPr>
        <w:t>Over 58 resolved three-month forecasts, the price finished inside the 90% band 88% of the time, against the 90% that band aims at — and inside the 80% and 50% bands 78% and 47% of the time.</w:t>
      </w:r>
    </w:p>
    <w:p>
      <w:pPr>
        <w:spacing w:after="120" w:before="0"/>
      </w:pPr>
      <w:r>
        <w:rPr>
          <w:b w:val="0"/>
          <w:i w:val="0"/>
          <w:color w:val="1C3A36"/>
          <w:sz w:val="19"/>
        </w:rPr>
        <w:t>The band is 1.04 times the width of a simple no-forecast rule’s — the price of covering this name honestly. A wider band is not automatically a worse one: covering a name honestly costs width, and the number is published beside the record rather than turned into a pass mark.</w:t>
      </w:r>
    </w:p>
    <w:p>
      <w:pPr>
        <w:spacing w:after="120" w:before="0"/>
      </w:pPr>
      <w:r>
        <w:rPr>
          <w:b w:val="0"/>
          <w:i w:val="0"/>
          <w:color w:val="1C3A36"/>
          <w:sz w:val="19"/>
        </w:rPr>
        <w:t>No flag is raised, and that is the ordinary case rather than an omission: on a two-sided test at the 5% level, 88% inside a 90% band over 58 forecasts is what a cone that works looks like (p = 0.52). Had the bands run persistently narrow — price escaping more often than a 90% band should allow — or persistently wide, this study would say so here in those words. It says nothing because nothing has been earned either way.</w:t>
      </w:r>
    </w:p>
    <w:p>
      <w:pPr>
        <w:spacing w:after="120" w:before="0"/>
      </w:pPr>
      <w:r>
        <w:rPr>
          <w:b w:val="0"/>
          <w:i w:val="0"/>
          <w:color w:val="1C3A36"/>
          <w:sz w:val="19"/>
        </w:rPr>
        <w:t>The record is long by this study's own standard: 58 resolved three-month forecasts is enough history to judge this name on its own rather than falling back on the market's, and every one of them is a forecast that was published before its outcome was known and graded on a date fixed in advance.</w:t>
      </w:r>
    </w:p>
    <w:p>
      <w:pPr>
        <w:spacing w:after="80" w:before="200"/>
      </w:pPr>
      <w:r>
        <w:rPr>
          <w:b/>
          <w:i w:val="0"/>
          <w:color w:val="1C3A36"/>
          <w:sz w:val="24"/>
        </w:rPr>
        <w:t>Percentile map (SAR/share)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9575" w:type="dxa"/>
      </w:tblPr>
      <w:tblGrid>
        <w:gridCol w:w="1800"/>
        <w:gridCol w:w="1655"/>
        <w:gridCol w:w="1224"/>
        <w:gridCol w:w="1224"/>
        <w:gridCol w:w="1224"/>
        <w:gridCol w:w="1224"/>
        <w:gridCol w:w="1224"/>
      </w:tblGrid>
      <w:tr>
        <w:tc>
          <w:tcPr>
            <w:tcW w:type="dxa" w:w="1800"/>
            <w:shd w:val="clear" w:color="auto" w:fill="EAF0EE"/>
          </w:tcPr>
          <w:p>
            <w:pPr>
              <w:spacing w:after="20"/>
            </w:pPr>
            <w:r>
              <w:rPr>
                <w:b/>
                <w:color w:val="1C3A36"/>
                <w:sz w:val="18"/>
              </w:rPr>
              <w:t>Horizon</w:t>
            </w:r>
          </w:p>
        </w:tc>
        <w:tc>
          <w:tcPr>
            <w:tcW w:type="dxa" w:w="1656"/>
            <w:shd w:val="clear" w:color="auto" w:fill="EAF0EE"/>
          </w:tcPr>
          <w:p>
            <w:pPr>
              <w:spacing w:after="20"/>
            </w:pPr>
            <w:r>
              <w:rPr>
                <w:b/>
                <w:color w:val="1C3A36"/>
                <w:sz w:val="18"/>
              </w:rPr>
              <w:t>Graded on</w:t>
            </w:r>
          </w:p>
        </w:tc>
        <w:tc>
          <w:tcPr>
            <w:tcW w:type="dxa" w:w="1224"/>
            <w:shd w:val="clear" w:color="auto" w:fill="EAF0EE"/>
          </w:tcPr>
          <w:p>
            <w:pPr>
              <w:spacing w:after="20"/>
            </w:pPr>
            <w:r>
              <w:rPr>
                <w:b/>
                <w:color w:val="1C3A36"/>
                <w:sz w:val="18"/>
              </w:rPr>
              <w:t>p5</w:t>
            </w:r>
          </w:p>
        </w:tc>
        <w:tc>
          <w:tcPr>
            <w:tcW w:type="dxa" w:w="1224"/>
            <w:shd w:val="clear" w:color="auto" w:fill="EAF0EE"/>
          </w:tcPr>
          <w:p>
            <w:pPr>
              <w:spacing w:after="20"/>
            </w:pPr>
            <w:r>
              <w:rPr>
                <w:b/>
                <w:color w:val="1C3A36"/>
                <w:sz w:val="18"/>
              </w:rPr>
              <w:t>p25</w:t>
            </w:r>
          </w:p>
        </w:tc>
        <w:tc>
          <w:tcPr>
            <w:tcW w:type="dxa" w:w="1224"/>
            <w:shd w:val="clear" w:color="auto" w:fill="EAF0EE"/>
          </w:tcPr>
          <w:p>
            <w:pPr>
              <w:spacing w:after="20"/>
            </w:pPr>
            <w:r>
              <w:rPr>
                <w:b/>
                <w:color w:val="1C3A36"/>
                <w:sz w:val="18"/>
              </w:rPr>
              <w:t>p50</w:t>
            </w:r>
          </w:p>
        </w:tc>
        <w:tc>
          <w:tcPr>
            <w:tcW w:type="dxa" w:w="1224"/>
            <w:shd w:val="clear" w:color="auto" w:fill="EAF0EE"/>
          </w:tcPr>
          <w:p>
            <w:pPr>
              <w:spacing w:after="20"/>
            </w:pPr>
            <w:r>
              <w:rPr>
                <w:b/>
                <w:color w:val="1C3A36"/>
                <w:sz w:val="18"/>
              </w:rPr>
              <w:t>p75</w:t>
            </w:r>
          </w:p>
        </w:tc>
        <w:tc>
          <w:tcPr>
            <w:tcW w:type="dxa" w:w="1224"/>
            <w:shd w:val="clear" w:color="auto" w:fill="EAF0EE"/>
          </w:tcPr>
          <w:p>
            <w:pPr>
              <w:spacing w:after="20"/>
            </w:pPr>
            <w:r>
              <w:rPr>
                <w:b/>
                <w:color w:val="1C3A36"/>
                <w:sz w:val="18"/>
              </w:rPr>
              <w:t>p95</w:t>
            </w:r>
          </w:p>
        </w:tc>
      </w:tr>
      <w:tr>
        <w:tc>
          <w:tcPr>
            <w:tcW w:type="dxa" w:w="1800"/>
          </w:tcPr>
          <w:p>
            <w:pPr>
              <w:spacing w:after="20"/>
            </w:pPr>
            <w:r>
              <w:rPr>
                <w:b/>
                <w:color w:val="1C3A36"/>
                <w:sz w:val="18"/>
              </w:rPr>
              <w:t>1 month</w:t>
            </w:r>
          </w:p>
        </w:tc>
        <w:tc>
          <w:tcPr>
            <w:tcW w:type="dxa" w:w="1656"/>
          </w:tcPr>
          <w:p>
            <w:pPr>
              <w:spacing w:after="20"/>
              <w:jc w:val="right"/>
            </w:pPr>
            <w:r>
              <w:rPr>
                <w:color w:val="1C3A36"/>
                <w:sz w:val="18"/>
              </w:rPr>
              <w:t>30 Sep 2026</w:t>
            </w:r>
          </w:p>
        </w:tc>
        <w:tc>
          <w:tcPr>
            <w:tcW w:type="dxa" w:w="1224"/>
          </w:tcPr>
          <w:p>
            <w:pPr>
              <w:spacing w:after="20"/>
              <w:jc w:val="right"/>
            </w:pPr>
            <w:r>
              <w:rPr>
                <w:color w:val="1C3A36"/>
                <w:sz w:val="18"/>
              </w:rPr>
              <w:t>41.7</w:t>
            </w:r>
          </w:p>
        </w:tc>
        <w:tc>
          <w:tcPr>
            <w:tcW w:type="dxa" w:w="1224"/>
          </w:tcPr>
          <w:p>
            <w:pPr>
              <w:spacing w:after="20"/>
              <w:jc w:val="right"/>
            </w:pPr>
            <w:r>
              <w:rPr>
                <w:color w:val="1C3A36"/>
                <w:sz w:val="18"/>
              </w:rPr>
              <w:t>43.6</w:t>
            </w:r>
          </w:p>
        </w:tc>
        <w:tc>
          <w:tcPr>
            <w:tcW w:type="dxa" w:w="1224"/>
          </w:tcPr>
          <w:p>
            <w:pPr>
              <w:spacing w:after="20"/>
              <w:jc w:val="right"/>
            </w:pPr>
            <w:r>
              <w:rPr>
                <w:color w:val="1C3A36"/>
                <w:sz w:val="18"/>
              </w:rPr>
              <w:t>44.9</w:t>
            </w:r>
          </w:p>
        </w:tc>
        <w:tc>
          <w:tcPr>
            <w:tcW w:type="dxa" w:w="1224"/>
          </w:tcPr>
          <w:p>
            <w:pPr>
              <w:spacing w:after="20"/>
              <w:jc w:val="right"/>
            </w:pPr>
            <w:r>
              <w:rPr>
                <w:color w:val="1C3A36"/>
                <w:sz w:val="18"/>
              </w:rPr>
              <w:t>46.3</w:t>
            </w:r>
          </w:p>
        </w:tc>
        <w:tc>
          <w:tcPr>
            <w:tcW w:type="dxa" w:w="1224"/>
          </w:tcPr>
          <w:p>
            <w:pPr>
              <w:spacing w:after="20"/>
              <w:jc w:val="right"/>
            </w:pPr>
            <w:r>
              <w:rPr>
                <w:color w:val="1C3A36"/>
                <w:sz w:val="18"/>
              </w:rPr>
              <w:t>48.5</w:t>
            </w:r>
          </w:p>
        </w:tc>
      </w:tr>
      <w:tr>
        <w:tc>
          <w:tcPr>
            <w:tcW w:type="dxa" w:w="1800"/>
          </w:tcPr>
          <w:p>
            <w:pPr>
              <w:spacing w:after="20"/>
            </w:pPr>
            <w:r>
              <w:rPr>
                <w:b/>
                <w:color w:val="1C3A36"/>
                <w:sz w:val="18"/>
              </w:rPr>
              <w:t>3 months</w:t>
            </w:r>
          </w:p>
        </w:tc>
        <w:tc>
          <w:tcPr>
            <w:tcW w:type="dxa" w:w="1656"/>
          </w:tcPr>
          <w:p>
            <w:pPr>
              <w:spacing w:after="20"/>
              <w:jc w:val="right"/>
            </w:pPr>
            <w:r>
              <w:rPr>
                <w:color w:val="1C3A36"/>
                <w:sz w:val="18"/>
              </w:rPr>
              <w:t>30 Nov 2026</w:t>
            </w:r>
          </w:p>
        </w:tc>
        <w:tc>
          <w:tcPr>
            <w:tcW w:type="dxa" w:w="1224"/>
          </w:tcPr>
          <w:p>
            <w:pPr>
              <w:spacing w:after="20"/>
              <w:jc w:val="right"/>
            </w:pPr>
            <w:r>
              <w:rPr>
                <w:color w:val="1C3A36"/>
                <w:sz w:val="18"/>
              </w:rPr>
              <w:t>39.3</w:t>
            </w:r>
          </w:p>
        </w:tc>
        <w:tc>
          <w:tcPr>
            <w:tcW w:type="dxa" w:w="1224"/>
          </w:tcPr>
          <w:p>
            <w:pPr>
              <w:spacing w:after="20"/>
              <w:jc w:val="right"/>
            </w:pPr>
            <w:r>
              <w:rPr>
                <w:color w:val="1C3A36"/>
                <w:sz w:val="18"/>
              </w:rPr>
              <w:t>42.9</w:t>
            </w:r>
          </w:p>
        </w:tc>
        <w:tc>
          <w:tcPr>
            <w:tcW w:type="dxa" w:w="1224"/>
          </w:tcPr>
          <w:p>
            <w:pPr>
              <w:spacing w:after="20"/>
              <w:jc w:val="right"/>
            </w:pPr>
            <w:r>
              <w:rPr>
                <w:color w:val="1C3A36"/>
                <w:sz w:val="18"/>
              </w:rPr>
              <w:t>45.3</w:t>
            </w:r>
          </w:p>
        </w:tc>
        <w:tc>
          <w:tcPr>
            <w:tcW w:type="dxa" w:w="1224"/>
          </w:tcPr>
          <w:p>
            <w:pPr>
              <w:spacing w:after="20"/>
              <w:jc w:val="right"/>
            </w:pPr>
            <w:r>
              <w:rPr>
                <w:color w:val="1C3A36"/>
                <w:sz w:val="18"/>
              </w:rPr>
              <w:t>47.9</w:t>
            </w:r>
          </w:p>
        </w:tc>
        <w:tc>
          <w:tcPr>
            <w:tcW w:type="dxa" w:w="1224"/>
          </w:tcPr>
          <w:p>
            <w:pPr>
              <w:spacing w:after="20"/>
              <w:jc w:val="right"/>
            </w:pPr>
            <w:r>
              <w:rPr>
                <w:color w:val="1C3A36"/>
                <w:sz w:val="18"/>
              </w:rPr>
              <w:t>52.2</w:t>
            </w:r>
          </w:p>
        </w:tc>
      </w:tr>
    </w:tbl>
    <w:p>
      <w:pPr>
        <w:spacing w:after="40"/>
      </w:pPr>
    </w:p>
    <w:p>
      <w:pPr>
        <w:spacing w:after="120" w:before="0"/>
      </w:pPr>
      <w:r>
        <w:rPr>
          <w:b w:val="0"/>
          <w:i w:val="0"/>
          <w:color w:val="1C3A36"/>
          <w:sz w:val="19"/>
        </w:rPr>
        <w:t>Lead with the 50% band, not the tails: three months out, half of all paths finish between roughly SAR 43 and 48 (-4.2% / +7.0%); at one month the band is about SAR 44–46. The 5th-to-95th cone is context rather than a forecast, and on this name it is 33% wide from end to end — the direct consequence of the calm regime the width estimator is reading.</w:t>
      </w:r>
    </w:p>
    <w:p>
      <w:pPr>
        <w:spacing w:after="40"/>
        <w:jc w:val="center"/>
      </w:pPr>
      <w:r>
        <w:drawing>
          <wp:inline xmlns:a="http://schemas.openxmlformats.org/drawingml/2006/main" xmlns:pic="http://schemas.openxmlformats.org/drawingml/2006/picture">
            <wp:extent cx="5852160" cy="2508069"/>
            <wp:docPr id="4" name="Picture 4"/>
            <wp:cNvGraphicFramePr>
              <a:graphicFrameLocks noChangeAspect="1"/>
            </wp:cNvGraphicFramePr>
            <a:graphic>
              <a:graphicData uri="http://schemas.openxmlformats.org/drawingml/2006/picture">
                <pic:pic>
                  <pic:nvPicPr>
                    <pic:cNvPr id="0" name="fig4_fan.png"/>
                    <pic:cNvPicPr/>
                  </pic:nvPicPr>
                  <pic:blipFill>
                    <a:blip r:embed="rId12"/>
                    <a:stretch>
                      <a:fillRect/>
                    </a:stretch>
                  </pic:blipFill>
                  <pic:spPr>
                    <a:xfrm>
                      <a:off x="0" y="0"/>
                      <a:ext cx="5852160" cy="2508069"/>
                    </a:xfrm>
                    <a:prstGeom prst="rect"/>
                  </pic:spPr>
                </pic:pic>
              </a:graphicData>
            </a:graphic>
          </wp:inline>
        </w:drawing>
      </w:r>
    </w:p>
    <w:p>
      <w:pPr>
        <w:spacing w:after="200" w:before="0"/>
      </w:pPr>
      <w:r>
        <w:rPr>
          <w:b w:val="0"/>
          <w:i/>
          <w:color w:val="6E7B77"/>
          <w:sz w:val="17"/>
        </w:rPr>
        <w:t>Figure 4 — The forward price cone over 3 months, from the anchor of SAR 44.72. The median carries at the cost of money plus the small momentum lean. The brass dashed line is this study’s fundamental central of SAR 36.06 — below every part of the cone, including its 5th percentile, which never falls under SAR 39.31. The two lenses disagree, and the study shows the disagreement rather than reconciling it.</w:t>
      </w:r>
    </w:p>
    <w:p>
      <w:pPr>
        <w:spacing w:after="40"/>
        <w:jc w:val="center"/>
      </w:pPr>
      <w:r>
        <w:drawing>
          <wp:inline xmlns:a="http://schemas.openxmlformats.org/drawingml/2006/main" xmlns:pic="http://schemas.openxmlformats.org/drawingml/2006/picture">
            <wp:extent cx="4754880" cy="2377440"/>
            <wp:docPr id="5" name="Picture 5"/>
            <wp:cNvGraphicFramePr>
              <a:graphicFrameLocks noChangeAspect="1"/>
            </wp:cNvGraphicFramePr>
            <a:graphic>
              <a:graphicData uri="http://schemas.openxmlformats.org/drawingml/2006/picture">
                <pic:pic>
                  <pic:nvPicPr>
                    <pic:cNvPr id="0" name="fig5_dist.png"/>
                    <pic:cNvPicPr/>
                  </pic:nvPicPr>
                  <pic:blipFill>
                    <a:blip r:embed="rId13"/>
                    <a:stretch>
                      <a:fillRect/>
                    </a:stretch>
                  </pic:blipFill>
                  <pic:spPr>
                    <a:xfrm>
                      <a:off x="0" y="0"/>
                      <a:ext cx="4754880" cy="2377440"/>
                    </a:xfrm>
                    <a:prstGeom prst="rect"/>
                  </pic:spPr>
                </pic:pic>
              </a:graphicData>
            </a:graphic>
          </wp:inline>
        </w:drawing>
      </w:r>
    </w:p>
    <w:p>
      <w:pPr>
        <w:spacing w:after="200" w:before="0"/>
      </w:pPr>
      <w:r>
        <w:rPr>
          <w:b w:val="0"/>
          <w:i/>
          <w:color w:val="6E7B77"/>
          <w:sz w:val="17"/>
        </w:rPr>
        <w:t>Figure 5 — Where the price lands after 1 month.</w:t>
      </w:r>
    </w:p>
    <w:p>
      <w:pPr>
        <w:spacing w:after="40"/>
        <w:jc w:val="center"/>
      </w:pPr>
      <w:r>
        <w:drawing>
          <wp:inline xmlns:a="http://schemas.openxmlformats.org/drawingml/2006/main" xmlns:pic="http://schemas.openxmlformats.org/drawingml/2006/picture">
            <wp:extent cx="4754880" cy="2377440"/>
            <wp:docPr id="6" name="Picture 6"/>
            <wp:cNvGraphicFramePr>
              <a:graphicFrameLocks noChangeAspect="1"/>
            </wp:cNvGraphicFramePr>
            <a:graphic>
              <a:graphicData uri="http://schemas.openxmlformats.org/drawingml/2006/picture">
                <pic:pic>
                  <pic:nvPicPr>
                    <pic:cNvPr id="0" name="fig6_dist.png"/>
                    <pic:cNvPicPr/>
                  </pic:nvPicPr>
                  <pic:blipFill>
                    <a:blip r:embed="rId14"/>
                    <a:stretch>
                      <a:fillRect/>
                    </a:stretch>
                  </pic:blipFill>
                  <pic:spPr>
                    <a:xfrm>
                      <a:off x="0" y="0"/>
                      <a:ext cx="4754880" cy="2377440"/>
                    </a:xfrm>
                    <a:prstGeom prst="rect"/>
                  </pic:spPr>
                </pic:pic>
              </a:graphicData>
            </a:graphic>
          </wp:inline>
        </w:drawing>
      </w:r>
    </w:p>
    <w:p>
      <w:pPr>
        <w:spacing w:after="200" w:before="0"/>
      </w:pPr>
      <w:r>
        <w:rPr>
          <w:b w:val="0"/>
          <w:i/>
          <w:color w:val="6E7B77"/>
          <w:sz w:val="17"/>
        </w:rPr>
        <w:t>Figure 6 — Where the price lands after 3 months.</w:t>
      </w:r>
    </w:p>
    <w:p>
      <w:pPr>
        <w:spacing w:after="80" w:before="200"/>
      </w:pPr>
      <w:r>
        <w:rPr>
          <w:b/>
          <w:i w:val="0"/>
          <w:color w:val="1C3A36"/>
          <w:sz w:val="24"/>
        </w:rPr>
        <w:t>Level-touch ladder</w:t>
      </w:r>
    </w:p>
    <w:p>
      <w:pPr>
        <w:spacing w:after="120" w:before="0"/>
      </w:pPr>
      <w:r>
        <w:rPr>
          <w:b w:val="0"/>
          <w:i w:val="0"/>
          <w:color w:val="1C3A36"/>
          <w:sz w:val="19"/>
        </w:rPr>
        <w:t>The chance that price reaches a level at any point before the horizon, rather than finishing there (a running maximum for levels above, a running minimum for those below):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9504" w:type="dxa"/>
      </w:tblPr>
      <w:tblGrid>
        <w:gridCol w:w="1728"/>
        <w:gridCol w:w="1728"/>
        <w:gridCol w:w="1728"/>
        <w:gridCol w:w="4320"/>
      </w:tblGrid>
      <w:tr>
        <w:tc>
          <w:tcPr>
            <w:tcW w:type="dxa" w:w="1728"/>
            <w:shd w:val="clear" w:color="auto" w:fill="EAF0EE"/>
          </w:tcPr>
          <w:p>
            <w:pPr>
              <w:spacing w:after="20"/>
            </w:pPr>
            <w:r>
              <w:rPr>
                <w:b/>
                <w:color w:val="1C3A36"/>
                <w:sz w:val="18"/>
              </w:rPr>
              <w:t>Level (SAR)</w:t>
            </w:r>
          </w:p>
        </w:tc>
        <w:tc>
          <w:tcPr>
            <w:tcW w:type="dxa" w:w="1728"/>
            <w:shd w:val="clear" w:color="auto" w:fill="EAF0EE"/>
          </w:tcPr>
          <w:p>
            <w:pPr>
              <w:spacing w:after="20"/>
            </w:pPr>
            <w:r>
              <w:rPr>
                <w:b/>
                <w:color w:val="1C3A36"/>
                <w:sz w:val="18"/>
              </w:rPr>
              <w:t>By 1 month</w:t>
            </w:r>
          </w:p>
        </w:tc>
        <w:tc>
          <w:tcPr>
            <w:tcW w:type="dxa" w:w="1728"/>
            <w:shd w:val="clear" w:color="auto" w:fill="EAF0EE"/>
          </w:tcPr>
          <w:p>
            <w:pPr>
              <w:spacing w:after="20"/>
            </w:pPr>
            <w:r>
              <w:rPr>
                <w:b/>
                <w:color w:val="1C3A36"/>
                <w:sz w:val="18"/>
              </w:rPr>
              <w:t>By 3 months</w:t>
            </w:r>
          </w:p>
        </w:tc>
        <w:tc>
          <w:tcPr>
            <w:tcW w:type="dxa" w:w="4320"/>
            <w:shd w:val="clear" w:color="auto" w:fill="EAF0EE"/>
          </w:tcPr>
          <w:p>
            <w:pPr>
              <w:spacing w:after="20"/>
            </w:pPr>
            <w:r>
              <w:rPr>
                <w:b/>
                <w:color w:val="1C3A36"/>
                <w:sz w:val="18"/>
              </w:rPr>
              <w:t>Note</w:t>
            </w:r>
          </w:p>
        </w:tc>
      </w:tr>
      <w:tr>
        <w:tc>
          <w:tcPr>
            <w:tcW w:type="dxa" w:w="1728"/>
          </w:tcPr>
          <w:p>
            <w:pPr>
              <w:spacing w:after="20"/>
            </w:pPr>
            <w:r>
              <w:rPr>
                <w:b/>
                <w:color w:val="1C3A36"/>
                <w:sz w:val="18"/>
              </w:rPr>
              <w:t>50</w:t>
            </w:r>
          </w:p>
        </w:tc>
        <w:tc>
          <w:tcPr>
            <w:tcW w:type="dxa" w:w="1728"/>
          </w:tcPr>
          <w:p>
            <w:pPr>
              <w:spacing w:after="20"/>
              <w:jc w:val="right"/>
            </w:pPr>
            <w:r>
              <w:rPr>
                <w:color w:val="1C3A36"/>
                <w:sz w:val="18"/>
              </w:rPr>
              <w:t>2%</w:t>
            </w:r>
          </w:p>
        </w:tc>
        <w:tc>
          <w:tcPr>
            <w:tcW w:type="dxa" w:w="1728"/>
          </w:tcPr>
          <w:p>
            <w:pPr>
              <w:spacing w:after="20"/>
              <w:jc w:val="right"/>
            </w:pPr>
            <w:r>
              <w:rPr>
                <w:color w:val="1C3A36"/>
                <w:sz w:val="18"/>
              </w:rPr>
              <w:t>20%</w:t>
            </w:r>
          </w:p>
        </w:tc>
        <w:tc>
          <w:tcPr>
            <w:tcW w:type="dxa" w:w="4320"/>
          </w:tcPr>
          <w:p>
            <w:pPr>
              <w:spacing w:after="20"/>
              <w:jc w:val="right"/>
            </w:pPr>
            <w:r>
              <w:rPr>
                <w:color w:val="1C3A36"/>
                <w:sz w:val="18"/>
              </w:rPr>
              <w:t>Round number; +11.8% on the anchor</w:t>
            </w:r>
          </w:p>
        </w:tc>
      </w:tr>
      <w:tr>
        <w:tc>
          <w:tcPr>
            <w:tcW w:type="dxa" w:w="1728"/>
          </w:tcPr>
          <w:p>
            <w:pPr>
              <w:spacing w:after="20"/>
            </w:pPr>
            <w:r>
              <w:rPr>
                <w:b/>
                <w:color w:val="1C3A36"/>
                <w:sz w:val="18"/>
              </w:rPr>
              <w:t>48</w:t>
            </w:r>
          </w:p>
        </w:tc>
        <w:tc>
          <w:tcPr>
            <w:tcW w:type="dxa" w:w="1728"/>
          </w:tcPr>
          <w:p>
            <w:pPr>
              <w:spacing w:after="20"/>
              <w:jc w:val="right"/>
            </w:pPr>
            <w:r>
              <w:rPr>
                <w:color w:val="1C3A36"/>
                <w:sz w:val="18"/>
              </w:rPr>
              <w:t>11%</w:t>
            </w:r>
          </w:p>
        </w:tc>
        <w:tc>
          <w:tcPr>
            <w:tcW w:type="dxa" w:w="1728"/>
          </w:tcPr>
          <w:p>
            <w:pPr>
              <w:spacing w:after="20"/>
              <w:jc w:val="right"/>
            </w:pPr>
            <w:r>
              <w:rPr>
                <w:color w:val="1C3A36"/>
                <w:sz w:val="18"/>
              </w:rPr>
              <w:t>41%</w:t>
            </w:r>
          </w:p>
        </w:tc>
        <w:tc>
          <w:tcPr>
            <w:tcW w:type="dxa" w:w="4320"/>
          </w:tcPr>
          <w:p>
            <w:pPr>
              <w:spacing w:after="20"/>
              <w:jc w:val="right"/>
            </w:pPr>
            <w:r>
              <w:rPr>
                <w:color w:val="1C3A36"/>
                <w:sz w:val="18"/>
              </w:rPr>
              <w:t>Above the 52-week high</w:t>
            </w:r>
          </w:p>
        </w:tc>
      </w:tr>
      <w:tr>
        <w:tc>
          <w:tcPr>
            <w:tcW w:type="dxa" w:w="1728"/>
          </w:tcPr>
          <w:p>
            <w:pPr>
              <w:spacing w:after="20"/>
            </w:pPr>
            <w:r>
              <w:rPr>
                <w:b/>
                <w:color w:val="1C3A36"/>
                <w:sz w:val="18"/>
              </w:rPr>
              <w:t>46</w:t>
            </w:r>
          </w:p>
        </w:tc>
        <w:tc>
          <w:tcPr>
            <w:tcW w:type="dxa" w:w="1728"/>
          </w:tcPr>
          <w:p>
            <w:pPr>
              <w:spacing w:after="20"/>
              <w:jc w:val="right"/>
            </w:pPr>
            <w:r>
              <w:rPr>
                <w:color w:val="1C3A36"/>
                <w:sz w:val="18"/>
              </w:rPr>
              <w:t>48%</w:t>
            </w:r>
          </w:p>
        </w:tc>
        <w:tc>
          <w:tcPr>
            <w:tcW w:type="dxa" w:w="1728"/>
          </w:tcPr>
          <w:p>
            <w:pPr>
              <w:spacing w:after="20"/>
              <w:jc w:val="right"/>
            </w:pPr>
            <w:r>
              <w:rPr>
                <w:color w:val="1C3A36"/>
                <w:sz w:val="18"/>
              </w:rPr>
              <w:t>72%</w:t>
            </w:r>
          </w:p>
        </w:tc>
        <w:tc>
          <w:tcPr>
            <w:tcW w:type="dxa" w:w="4320"/>
          </w:tcPr>
          <w:p>
            <w:pPr>
              <w:spacing w:after="20"/>
              <w:jc w:val="right"/>
            </w:pPr>
            <w:r>
              <w:rPr>
                <w:color w:val="1C3A36"/>
                <w:sz w:val="18"/>
              </w:rPr>
              <w:t>Just past the Oct-25 high zone</w:t>
            </w:r>
          </w:p>
        </w:tc>
      </w:tr>
      <w:tr>
        <w:tc>
          <w:tcPr>
            <w:tcW w:type="dxa" w:w="1728"/>
          </w:tcPr>
          <w:p>
            <w:pPr>
              <w:spacing w:after="20"/>
            </w:pPr>
            <w:r>
              <w:rPr>
                <w:b/>
                <w:color w:val="1C3A36"/>
                <w:sz w:val="18"/>
              </w:rPr>
              <w:t>44</w:t>
            </w:r>
          </w:p>
        </w:tc>
        <w:tc>
          <w:tcPr>
            <w:tcW w:type="dxa" w:w="1728"/>
          </w:tcPr>
          <w:p>
            <w:pPr>
              <w:spacing w:after="20"/>
              <w:jc w:val="right"/>
            </w:pPr>
            <w:r>
              <w:rPr>
                <w:color w:val="1C3A36"/>
                <w:sz w:val="18"/>
              </w:rPr>
              <w:t>60%</w:t>
            </w:r>
          </w:p>
        </w:tc>
        <w:tc>
          <w:tcPr>
            <w:tcW w:type="dxa" w:w="1728"/>
          </w:tcPr>
          <w:p>
            <w:pPr>
              <w:spacing w:after="20"/>
              <w:jc w:val="right"/>
            </w:pPr>
            <w:r>
              <w:rPr>
                <w:color w:val="1C3A36"/>
                <w:sz w:val="18"/>
              </w:rPr>
              <w:t>75%</w:t>
            </w:r>
          </w:p>
        </w:tc>
        <w:tc>
          <w:tcPr>
            <w:tcW w:type="dxa" w:w="4320"/>
          </w:tcPr>
          <w:p>
            <w:pPr>
              <w:spacing w:after="20"/>
              <w:jc w:val="right"/>
            </w:pPr>
            <w:r>
              <w:rPr>
                <w:color w:val="1C3A36"/>
                <w:sz w:val="18"/>
              </w:rPr>
              <w:t>The anchor itself</w:t>
            </w:r>
          </w:p>
        </w:tc>
      </w:tr>
      <w:tr>
        <w:tc>
          <w:tcPr>
            <w:tcW w:type="dxa" w:w="1728"/>
          </w:tcPr>
          <w:p>
            <w:pPr>
              <w:spacing w:after="20"/>
            </w:pPr>
            <w:r>
              <w:rPr>
                <w:b/>
                <w:color w:val="1C3A36"/>
                <w:sz w:val="18"/>
              </w:rPr>
              <w:t>42</w:t>
            </w:r>
          </w:p>
        </w:tc>
        <w:tc>
          <w:tcPr>
            <w:tcW w:type="dxa" w:w="1728"/>
          </w:tcPr>
          <w:p>
            <w:pPr>
              <w:spacing w:after="20"/>
              <w:jc w:val="right"/>
            </w:pPr>
            <w:r>
              <w:rPr>
                <w:color w:val="1C3A36"/>
                <w:sz w:val="18"/>
              </w:rPr>
              <w:t>12%</w:t>
            </w:r>
          </w:p>
        </w:tc>
        <w:tc>
          <w:tcPr>
            <w:tcW w:type="dxa" w:w="1728"/>
          </w:tcPr>
          <w:p>
            <w:pPr>
              <w:spacing w:after="20"/>
              <w:jc w:val="right"/>
            </w:pPr>
            <w:r>
              <w:rPr>
                <w:color w:val="1C3A36"/>
                <w:sz w:val="18"/>
              </w:rPr>
              <w:t>36%</w:t>
            </w:r>
          </w:p>
        </w:tc>
        <w:tc>
          <w:tcPr>
            <w:tcW w:type="dxa" w:w="4320"/>
          </w:tcPr>
          <w:p>
            <w:pPr>
              <w:spacing w:after="20"/>
              <w:jc w:val="right"/>
            </w:pPr>
            <w:r>
              <w:rPr>
                <w:color w:val="1C3A36"/>
                <w:sz w:val="18"/>
              </w:rPr>
              <w:t>The March base</w:t>
            </w:r>
          </w:p>
        </w:tc>
      </w:tr>
      <w:tr>
        <w:tc>
          <w:tcPr>
            <w:tcW w:type="dxa" w:w="1728"/>
          </w:tcPr>
          <w:p>
            <w:pPr>
              <w:spacing w:after="20"/>
            </w:pPr>
            <w:r>
              <w:rPr>
                <w:b/>
                <w:color w:val="1C3A36"/>
                <w:sz w:val="18"/>
              </w:rPr>
              <w:t>40</w:t>
            </w:r>
          </w:p>
        </w:tc>
        <w:tc>
          <w:tcPr>
            <w:tcW w:type="dxa" w:w="1728"/>
          </w:tcPr>
          <w:p>
            <w:pPr>
              <w:spacing w:after="20"/>
              <w:jc w:val="right"/>
            </w:pPr>
            <w:r>
              <w:rPr>
                <w:color w:val="1C3A36"/>
                <w:sz w:val="18"/>
              </w:rPr>
              <w:t>1%</w:t>
            </w:r>
          </w:p>
        </w:tc>
        <w:tc>
          <w:tcPr>
            <w:tcW w:type="dxa" w:w="1728"/>
          </w:tcPr>
          <w:p>
            <w:pPr>
              <w:spacing w:after="20"/>
              <w:jc w:val="right"/>
            </w:pPr>
            <w:r>
              <w:rPr>
                <w:color w:val="1C3A36"/>
                <w:sz w:val="18"/>
              </w:rPr>
              <w:t>14%</w:t>
            </w:r>
          </w:p>
        </w:tc>
        <w:tc>
          <w:tcPr>
            <w:tcW w:type="dxa" w:w="4320"/>
          </w:tcPr>
          <w:p>
            <w:pPr>
              <w:spacing w:after="20"/>
              <w:jc w:val="right"/>
            </w:pPr>
            <w:r>
              <w:rPr>
                <w:color w:val="1C3A36"/>
                <w:sz w:val="18"/>
              </w:rPr>
              <w:t>The 52-week-low shelf</w:t>
            </w:r>
          </w:p>
        </w:tc>
      </w:tr>
      <w:tr>
        <w:tc>
          <w:tcPr>
            <w:tcW w:type="dxa" w:w="1728"/>
          </w:tcPr>
          <w:p>
            <w:pPr>
              <w:spacing w:after="20"/>
            </w:pPr>
            <w:r>
              <w:rPr>
                <w:b/>
                <w:color w:val="1C3A36"/>
                <w:sz w:val="18"/>
              </w:rPr>
              <w:t>38</w:t>
            </w:r>
          </w:p>
        </w:tc>
        <w:tc>
          <w:tcPr>
            <w:tcW w:type="dxa" w:w="1728"/>
          </w:tcPr>
          <w:p>
            <w:pPr>
              <w:spacing w:after="20"/>
              <w:jc w:val="right"/>
            </w:pPr>
            <w:r>
              <w:rPr>
                <w:color w:val="1C3A36"/>
                <w:sz w:val="18"/>
              </w:rPr>
              <w:t>0%</w:t>
            </w:r>
          </w:p>
        </w:tc>
        <w:tc>
          <w:tcPr>
            <w:tcW w:type="dxa" w:w="1728"/>
          </w:tcPr>
          <w:p>
            <w:pPr>
              <w:spacing w:after="20"/>
              <w:jc w:val="right"/>
            </w:pPr>
            <w:r>
              <w:rPr>
                <w:color w:val="1C3A36"/>
                <w:sz w:val="18"/>
              </w:rPr>
              <w:t>4%</w:t>
            </w:r>
          </w:p>
        </w:tc>
        <w:tc>
          <w:tcPr>
            <w:tcW w:type="dxa" w:w="4320"/>
          </w:tcPr>
          <w:p>
            <w:pPr>
              <w:spacing w:after="20"/>
              <w:jc w:val="right"/>
            </w:pPr>
            <w:r>
              <w:rPr>
                <w:color w:val="1C3A36"/>
                <w:sz w:val="18"/>
              </w:rPr>
              <w:t>Stress zone</w:t>
            </w:r>
          </w:p>
        </w:tc>
      </w:tr>
      <w:tr>
        <w:tc>
          <w:tcPr>
            <w:tcW w:type="dxa" w:w="1728"/>
          </w:tcPr>
          <w:p>
            <w:pPr>
              <w:spacing w:after="20"/>
            </w:pPr>
            <w:r>
              <w:rPr>
                <w:b/>
                <w:color w:val="1C3A36"/>
                <w:sz w:val="18"/>
              </w:rPr>
              <w:t>36</w:t>
            </w:r>
          </w:p>
        </w:tc>
        <w:tc>
          <w:tcPr>
            <w:tcW w:type="dxa" w:w="1728"/>
          </w:tcPr>
          <w:p>
            <w:pPr>
              <w:spacing w:after="20"/>
              <w:jc w:val="right"/>
            </w:pPr>
            <w:r>
              <w:rPr>
                <w:color w:val="1C3A36"/>
                <w:sz w:val="18"/>
              </w:rPr>
              <w:t>0%</w:t>
            </w:r>
          </w:p>
        </w:tc>
        <w:tc>
          <w:tcPr>
            <w:tcW w:type="dxa" w:w="1728"/>
          </w:tcPr>
          <w:p>
            <w:pPr>
              <w:spacing w:after="20"/>
              <w:jc w:val="right"/>
            </w:pPr>
            <w:r>
              <w:rPr>
                <w:color w:val="1C3A36"/>
                <w:sz w:val="18"/>
              </w:rPr>
              <w:t>1%</w:t>
            </w:r>
          </w:p>
        </w:tc>
        <w:tc>
          <w:tcPr>
            <w:tcW w:type="dxa" w:w="4320"/>
          </w:tcPr>
          <w:p>
            <w:pPr>
              <w:spacing w:after="20"/>
              <w:jc w:val="right"/>
            </w:pPr>
            <w:r>
              <w:rPr>
                <w:color w:val="1C3A36"/>
                <w:sz w:val="18"/>
              </w:rPr>
              <w:t>Crisis zone</w:t>
            </w:r>
          </w:p>
        </w:tc>
      </w:tr>
    </w:tbl>
    <w:p>
      <w:pPr>
        <w:spacing w:after="40"/>
      </w:pPr>
    </w:p>
    <w:p>
      <w:pPr>
        <w:spacing w:after="120" w:before="280"/>
      </w:pPr>
      <w:r>
        <w:rPr>
          <w:b/>
          <w:i w:val="0"/>
          <w:color w:val="1C3A36"/>
          <w:sz w:val="30"/>
        </w:rPr>
        <w:t>4  Comparison of the lenses</w:t>
      </w:r>
    </w:p>
    <w:p>
      <w:pPr>
        <w:spacing w:after="120" w:before="0"/>
      </w:pPr>
      <w:r>
        <w:rPr>
          <w:b w:val="0"/>
          <w:i w:val="0"/>
          <w:color w:val="1C3A36"/>
          <w:sz w:val="21"/>
        </w:rPr>
        <w:t>Three lenses, read side by side and never averaged. The cash-flow model is the answer this study publishes — SAR 36.06 against a market price of SAR 43.86, -17.8% — and the others sit beside it as cross-checks rather than as weights in a blend. They do not agree, and the disagreement is the most useful thing on this page: the earnings-multiple read on this company's own trading history lands at SAR 48.08, +33% above the cash-flow answer, while the disclosed book value is SAR 17.02 — a floor, not a valuation. The technical picture is a firm tape trading above its whole moving-average stack. The price map says the market is likely to keep the stock within a few riyals of where it is over the quarter (50% band 43–48).</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9936" w:type="dxa"/>
      </w:tblPr>
      <w:tblGrid>
        <w:gridCol w:w="2664"/>
        <w:gridCol w:w="1655"/>
        <w:gridCol w:w="2880"/>
        <w:gridCol w:w="2736"/>
      </w:tblGrid>
      <w:tr>
        <w:tc>
          <w:tcPr>
            <w:tcW w:type="dxa" w:w="2664"/>
            <w:shd w:val="clear" w:color="auto" w:fill="EAF0EE"/>
          </w:tcPr>
          <w:p>
            <w:pPr>
              <w:spacing w:after="20"/>
            </w:pPr>
            <w:r>
              <w:rPr>
                <w:b/>
                <w:color w:val="1C3A36"/>
                <w:sz w:val="17"/>
              </w:rPr>
              <w:t>Lens</w:t>
            </w:r>
          </w:p>
        </w:tc>
        <w:tc>
          <w:tcPr>
            <w:tcW w:type="dxa" w:w="1656"/>
            <w:shd w:val="clear" w:color="auto" w:fill="EAF0EE"/>
          </w:tcPr>
          <w:p>
            <w:pPr>
              <w:spacing w:after="20"/>
            </w:pPr>
            <w:r>
              <w:rPr>
                <w:b/>
                <w:color w:val="1C3A36"/>
                <w:sz w:val="17"/>
              </w:rPr>
              <w:t>Role</w:t>
            </w:r>
          </w:p>
        </w:tc>
        <w:tc>
          <w:tcPr>
            <w:tcW w:type="dxa" w:w="2880"/>
            <w:shd w:val="clear" w:color="auto" w:fill="EAF0EE"/>
          </w:tcPr>
          <w:p>
            <w:pPr>
              <w:spacing w:after="20"/>
            </w:pPr>
            <w:r>
              <w:rPr>
                <w:b/>
                <w:color w:val="1C3A36"/>
                <w:sz w:val="17"/>
              </w:rPr>
              <w:t>Reads</w:t>
            </w:r>
          </w:p>
        </w:tc>
        <w:tc>
          <w:tcPr>
            <w:tcW w:type="dxa" w:w="2736"/>
            <w:shd w:val="clear" w:color="auto" w:fill="EAF0EE"/>
          </w:tcPr>
          <w:p>
            <w:pPr>
              <w:spacing w:after="20"/>
            </w:pPr>
            <w:r>
              <w:rPr>
                <w:b/>
                <w:color w:val="1C3A36"/>
                <w:sz w:val="17"/>
              </w:rPr>
              <w:t>Value per share</w:t>
            </w:r>
          </w:p>
        </w:tc>
      </w:tr>
      <w:tr>
        <w:tc>
          <w:tcPr>
            <w:tcW w:type="dxa" w:w="2664"/>
          </w:tcPr>
          <w:p>
            <w:pPr>
              <w:spacing w:after="20"/>
            </w:pPr>
            <w:r>
              <w:rPr>
                <w:b/>
                <w:color w:val="1C3A36"/>
                <w:sz w:val="17"/>
              </w:rPr>
              <w:t>Discounted cash flow</w:t>
            </w:r>
          </w:p>
        </w:tc>
        <w:tc>
          <w:tcPr>
            <w:tcW w:type="dxa" w:w="1656"/>
          </w:tcPr>
          <w:p>
            <w:pPr>
              <w:spacing w:after="20"/>
              <w:jc w:val="right"/>
            </w:pPr>
            <w:r>
              <w:rPr>
                <w:color w:val="1C3A36"/>
                <w:sz w:val="17"/>
              </w:rPr>
              <w:t>THE CENTRAL</w:t>
            </w:r>
          </w:p>
        </w:tc>
        <w:tc>
          <w:tcPr>
            <w:tcW w:type="dxa" w:w="2880"/>
          </w:tcPr>
          <w:p>
            <w:pPr>
              <w:spacing w:after="20"/>
              <w:jc w:val="right"/>
            </w:pPr>
            <w:r>
              <w:rPr>
                <w:color w:val="1C3A36"/>
                <w:sz w:val="17"/>
              </w:rPr>
              <w:t>Below the market</w:t>
            </w:r>
          </w:p>
        </w:tc>
        <w:tc>
          <w:tcPr>
            <w:tcW w:type="dxa" w:w="2736"/>
          </w:tcPr>
          <w:p>
            <w:pPr>
              <w:spacing w:after="20"/>
              <w:jc w:val="right"/>
            </w:pPr>
            <w:r>
              <w:rPr>
                <w:color w:val="1C3A36"/>
                <w:sz w:val="17"/>
              </w:rPr>
              <w:t>SAR 36.06 (-18%)</w:t>
            </w:r>
          </w:p>
        </w:tc>
      </w:tr>
      <w:tr>
        <w:tc>
          <w:tcPr>
            <w:tcW w:type="dxa" w:w="2664"/>
          </w:tcPr>
          <w:p>
            <w:pPr>
              <w:spacing w:after="20"/>
            </w:pPr>
            <w:r>
              <w:rPr>
                <w:b/>
                <w:color w:val="1C3A36"/>
                <w:sz w:val="17"/>
              </w:rPr>
              <w:t>Enterprise multiple on own history</w:t>
            </w:r>
          </w:p>
        </w:tc>
        <w:tc>
          <w:tcPr>
            <w:tcW w:type="dxa" w:w="1656"/>
          </w:tcPr>
          <w:p>
            <w:pPr>
              <w:spacing w:after="20"/>
              <w:jc w:val="right"/>
            </w:pPr>
            <w:r>
              <w:rPr>
                <w:color w:val="1C3A36"/>
                <w:sz w:val="17"/>
              </w:rPr>
              <w:t>Cross-check</w:t>
            </w:r>
          </w:p>
        </w:tc>
        <w:tc>
          <w:tcPr>
            <w:tcW w:type="dxa" w:w="2880"/>
          </w:tcPr>
          <w:p>
            <w:pPr>
              <w:spacing w:after="20"/>
              <w:jc w:val="right"/>
            </w:pPr>
            <w:r>
              <w:rPr>
                <w:color w:val="1C3A36"/>
                <w:sz w:val="17"/>
              </w:rPr>
              <w:t>Above the market</w:t>
            </w:r>
          </w:p>
        </w:tc>
        <w:tc>
          <w:tcPr>
            <w:tcW w:type="dxa" w:w="2736"/>
          </w:tcPr>
          <w:p>
            <w:pPr>
              <w:spacing w:after="20"/>
              <w:jc w:val="right"/>
            </w:pPr>
            <w:r>
              <w:rPr>
                <w:color w:val="1C3A36"/>
                <w:sz w:val="17"/>
              </w:rPr>
              <w:t>SAR 48.08 (+10%)</w:t>
            </w:r>
          </w:p>
        </w:tc>
      </w:tr>
      <w:tr>
        <w:tc>
          <w:tcPr>
            <w:tcW w:type="dxa" w:w="2664"/>
          </w:tcPr>
          <w:p>
            <w:pPr>
              <w:spacing w:after="20"/>
            </w:pPr>
            <w:r>
              <w:rPr>
                <w:b/>
                <w:color w:val="1C3A36"/>
                <w:sz w:val="17"/>
              </w:rPr>
              <w:t>Book value</w:t>
            </w:r>
          </w:p>
        </w:tc>
        <w:tc>
          <w:tcPr>
            <w:tcW w:type="dxa" w:w="1656"/>
          </w:tcPr>
          <w:p>
            <w:pPr>
              <w:spacing w:after="20"/>
              <w:jc w:val="right"/>
            </w:pPr>
            <w:r>
              <w:rPr>
                <w:color w:val="1C3A36"/>
                <w:sz w:val="17"/>
              </w:rPr>
              <w:t>Disclosed floor</w:t>
            </w:r>
          </w:p>
        </w:tc>
        <w:tc>
          <w:tcPr>
            <w:tcW w:type="dxa" w:w="2880"/>
          </w:tcPr>
          <w:p>
            <w:pPr>
              <w:spacing w:after="20"/>
              <w:jc w:val="right"/>
            </w:pPr>
            <w:r>
              <w:rPr>
                <w:color w:val="1C3A36"/>
                <w:sz w:val="17"/>
              </w:rPr>
              <w:t>Far below — as a floor should be</w:t>
            </w:r>
          </w:p>
        </w:tc>
        <w:tc>
          <w:tcPr>
            <w:tcW w:type="dxa" w:w="2736"/>
          </w:tcPr>
          <w:p>
            <w:pPr>
              <w:spacing w:after="20"/>
              <w:jc w:val="right"/>
            </w:pPr>
            <w:r>
              <w:rPr>
                <w:color w:val="1C3A36"/>
                <w:sz w:val="17"/>
              </w:rPr>
              <w:t>SAR 17.02</w:t>
            </w:r>
          </w:p>
        </w:tc>
      </w:tr>
      <w:tr>
        <w:tc>
          <w:tcPr>
            <w:tcW w:type="dxa" w:w="2664"/>
          </w:tcPr>
          <w:p>
            <w:pPr>
              <w:spacing w:after="20"/>
            </w:pPr>
            <w:r>
              <w:rPr>
                <w:b/>
                <w:color w:val="1C3A36"/>
                <w:sz w:val="17"/>
              </w:rPr>
              <w:t>Dividend discount</w:t>
            </w:r>
          </w:p>
        </w:tc>
        <w:tc>
          <w:tcPr>
            <w:tcW w:type="dxa" w:w="1656"/>
          </w:tcPr>
          <w:p>
            <w:pPr>
              <w:spacing w:after="20"/>
              <w:jc w:val="right"/>
            </w:pPr>
            <w:r>
              <w:rPr>
                <w:color w:val="1C3A36"/>
                <w:sz w:val="17"/>
              </w:rPr>
              <w:t>Cross-check</w:t>
            </w:r>
          </w:p>
        </w:tc>
        <w:tc>
          <w:tcPr>
            <w:tcW w:type="dxa" w:w="2880"/>
          </w:tcPr>
          <w:p>
            <w:pPr>
              <w:spacing w:after="20"/>
              <w:jc w:val="right"/>
            </w:pPr>
            <w:r>
              <w:rPr>
                <w:color w:val="1C3A36"/>
                <w:sz w:val="17"/>
              </w:rPr>
              <w:t>Below the market</w:t>
            </w:r>
          </w:p>
        </w:tc>
        <w:tc>
          <w:tcPr>
            <w:tcW w:type="dxa" w:w="2736"/>
          </w:tcPr>
          <w:p>
            <w:pPr>
              <w:spacing w:after="20"/>
              <w:jc w:val="right"/>
            </w:pPr>
            <w:r>
              <w:rPr>
                <w:color w:val="1C3A36"/>
                <w:sz w:val="17"/>
              </w:rPr>
              <w:t>SAR 34.20 (-22%)</w:t>
            </w:r>
          </w:p>
        </w:tc>
      </w:tr>
      <w:tr>
        <w:tc>
          <w:tcPr>
            <w:tcW w:type="dxa" w:w="2664"/>
          </w:tcPr>
          <w:p>
            <w:pPr>
              <w:spacing w:after="20"/>
            </w:pPr>
            <w:r>
              <w:rPr>
                <w:b/>
                <w:color w:val="1C3A36"/>
                <w:sz w:val="17"/>
              </w:rPr>
              <w:t>Normalised earnings power</w:t>
            </w:r>
          </w:p>
        </w:tc>
        <w:tc>
          <w:tcPr>
            <w:tcW w:type="dxa" w:w="1656"/>
          </w:tcPr>
          <w:p>
            <w:pPr>
              <w:spacing w:after="20"/>
              <w:jc w:val="right"/>
            </w:pPr>
            <w:r>
              <w:rPr>
                <w:color w:val="1C3A36"/>
                <w:sz w:val="17"/>
              </w:rPr>
              <w:t>Cross-check</w:t>
            </w:r>
          </w:p>
        </w:tc>
        <w:tc>
          <w:tcPr>
            <w:tcW w:type="dxa" w:w="2880"/>
          </w:tcPr>
          <w:p>
            <w:pPr>
              <w:spacing w:after="20"/>
              <w:jc w:val="right"/>
            </w:pPr>
            <w:r>
              <w:rPr>
                <w:color w:val="1C3A36"/>
                <w:sz w:val="17"/>
              </w:rPr>
              <w:t>Below the market</w:t>
            </w:r>
          </w:p>
        </w:tc>
        <w:tc>
          <w:tcPr>
            <w:tcW w:type="dxa" w:w="2736"/>
          </w:tcPr>
          <w:p>
            <w:pPr>
              <w:spacing w:after="20"/>
              <w:jc w:val="right"/>
            </w:pPr>
            <w:r>
              <w:rPr>
                <w:color w:val="1C3A36"/>
                <w:sz w:val="17"/>
              </w:rPr>
              <w:t>SAR 39.75 (-9%)</w:t>
            </w:r>
          </w:p>
        </w:tc>
      </w:tr>
      <w:tr>
        <w:tc>
          <w:tcPr>
            <w:tcW w:type="dxa" w:w="2664"/>
          </w:tcPr>
          <w:p>
            <w:pPr>
              <w:spacing w:after="20"/>
            </w:pPr>
            <w:r>
              <w:rPr>
                <w:b/>
                <w:color w:val="1C3A36"/>
                <w:sz w:val="17"/>
              </w:rPr>
              <w:t>Technical read</w:t>
            </w:r>
          </w:p>
        </w:tc>
        <w:tc>
          <w:tcPr>
            <w:tcW w:type="dxa" w:w="1656"/>
          </w:tcPr>
          <w:p>
            <w:pPr>
              <w:spacing w:after="20"/>
              <w:jc w:val="right"/>
            </w:pPr>
            <w:r>
              <w:rPr>
                <w:color w:val="1C3A36"/>
                <w:sz w:val="17"/>
              </w:rPr>
              <w:t>Context</w:t>
            </w:r>
          </w:p>
        </w:tc>
        <w:tc>
          <w:tcPr>
            <w:tcW w:type="dxa" w:w="2880"/>
          </w:tcPr>
          <w:p>
            <w:pPr>
              <w:spacing w:after="20"/>
              <w:jc w:val="right"/>
            </w:pPr>
            <w:r>
              <w:rPr>
                <w:color w:val="1C3A36"/>
                <w:sz w:val="17"/>
              </w:rPr>
              <w:t>Above the whole moving-average stack</w:t>
            </w:r>
          </w:p>
        </w:tc>
        <w:tc>
          <w:tcPr>
            <w:tcW w:type="dxa" w:w="2736"/>
          </w:tcPr>
          <w:p>
            <w:pPr>
              <w:spacing w:after="20"/>
              <w:jc w:val="right"/>
            </w:pPr>
            <w:r>
              <w:rPr>
                <w:color w:val="1C3A36"/>
                <w:sz w:val="17"/>
              </w:rPr>
              <w:t>See §2</w:t>
            </w:r>
          </w:p>
        </w:tc>
      </w:tr>
      <w:tr>
        <w:tc>
          <w:tcPr>
            <w:tcW w:type="dxa" w:w="2664"/>
          </w:tcPr>
          <w:p>
            <w:pPr>
              <w:spacing w:after="20"/>
            </w:pPr>
            <w:r>
              <w:rPr>
                <w:b/>
                <w:color w:val="1C3A36"/>
                <w:sz w:val="17"/>
              </w:rPr>
              <w:t>The price map (three months)</w:t>
            </w:r>
          </w:p>
        </w:tc>
        <w:tc>
          <w:tcPr>
            <w:tcW w:type="dxa" w:w="1656"/>
          </w:tcPr>
          <w:p>
            <w:pPr>
              <w:spacing w:after="20"/>
              <w:jc w:val="right"/>
            </w:pPr>
            <w:r>
              <w:rPr>
                <w:color w:val="1C3A36"/>
                <w:sz w:val="17"/>
              </w:rPr>
              <w:t>Context</w:t>
            </w:r>
          </w:p>
        </w:tc>
        <w:tc>
          <w:tcPr>
            <w:tcW w:type="dxa" w:w="2880"/>
          </w:tcPr>
          <w:p>
            <w:pPr>
              <w:spacing w:after="20"/>
              <w:jc w:val="right"/>
            </w:pPr>
            <w:r>
              <w:rPr>
                <w:color w:val="1C3A36"/>
                <w:sz w:val="17"/>
              </w:rPr>
              <w:t>Near-even, a small upward lean</w:t>
            </w:r>
          </w:p>
        </w:tc>
        <w:tc>
          <w:tcPr>
            <w:tcW w:type="dxa" w:w="2736"/>
          </w:tcPr>
          <w:p>
            <w:pPr>
              <w:spacing w:after="20"/>
              <w:jc w:val="right"/>
            </w:pPr>
            <w:r>
              <w:rPr>
                <w:color w:val="1C3A36"/>
                <w:sz w:val="17"/>
              </w:rPr>
              <w:t>Median 45.3; 5th–95th 39–52</w:t>
            </w:r>
          </w:p>
        </w:tc>
      </w:tr>
    </w:tbl>
    <w:p>
      <w:pPr>
        <w:spacing w:after="40"/>
      </w:pPr>
    </w:p>
    <w:p>
      <w:pPr>
        <w:spacing w:after="200" w:before="0"/>
      </w:pPr>
      <w:r>
        <w:rPr>
          <w:b w:val="0"/>
          <w:i/>
          <w:color w:val="6E7B77"/>
          <w:sz w:val="17"/>
        </w:rPr>
        <w:t>The envelope this study publishes is the RANGE of the present-value reads, not an average of them: SAR 35.29 to 48.08. No weights are applied anywhere, because a number produced by averaging several methods is a new method with parameters nobody tested — it imports the weakness of the weakest lens at whatever weight somebody typed.</w:t>
      </w:r>
    </w:p>
    <w:p>
      <w:pPr>
        <w:spacing w:after="120" w:before="0"/>
      </w:pPr>
      <w:r>
        <w:rPr>
          <w:b/>
          <w:i w:val="0"/>
          <w:color w:val="1C3A36"/>
          <w:sz w:val="21"/>
        </w:rPr>
        <w:t xml:space="preserve">What the price is paying for. </w:t>
      </w:r>
      <w:r>
        <w:rPr>
          <w:b w:val="0"/>
          <w:i w:val="0"/>
          <w:color w:val="1C3A36"/>
          <w:sz w:val="21"/>
        </w:rPr>
        <w:t>Read backwards, this model reproduces the market price of SAR 43.86 at an equity beta of about 0.37 — read straight off the grid in §1.9, between its 0.30 and 0.50 rows, so a reader can check it against what is printed there rather than taking it on trust. This stock's own 4.9-year weekly regression against its exchange's published index gives 0.7093 with a standard error of 0.1022, so the market is paying for a beta roughly 3.3 standard errors below the point estimate — inside what the regression cannot rule out, and not what it measures. THE DISAGREEMENT IS ABOUT THE PRICE OF RISK, NOT ABOUT THE BUSINESS, and that is worth stating because §1.7 says otherwise: the crux names capital intensity as the swing driver, and no capital-spending assumption inside this company's own history closes the gap. At two percentage points of revenue BELOW the modelled intensity — lighter than any of the three filed years ran — the model reaches SAR 37.37, still 15% short of the price. A reader who thinks this study too pessimistic should therefore be arguing about the discount rate rather than about the capital programme.</w:t>
      </w:r>
    </w:p>
    <w:p>
      <w:pPr>
        <w:spacing w:after="120" w:before="0"/>
      </w:pPr>
      <w:r>
        <w:rPr>
          <w:b/>
          <w:i w:val="0"/>
          <w:color w:val="1C3A36"/>
          <w:sz w:val="21"/>
        </w:rPr>
        <w:t xml:space="preserve">Where the lenses disagree, and what would settle it. </w:t>
      </w:r>
      <w:r>
        <w:rPr>
          <w:b w:val="0"/>
          <w:i w:val="0"/>
          <w:color w:val="1C3A36"/>
          <w:sz w:val="21"/>
        </w:rPr>
        <w:t>The gap between the cash-flow answer and the multiple read is not a modelling artefact — it is one question asked two ways. The multiple lens capitalises what this company earns today at what the market has paid for those earnings over the last three financial year ends; the cash-flow lens charges for the capital the company must keep spending to go on earning them. The whole difference sits in the capital expenditure cycle, and §1.7 prices it in real units: at the lowest capital intensity of the three filed years the cash-flow answer is SAR 35.29, at the highest it is lower still. So the honest statement is that this study reads stc below its market price BECAUSE it charges the company for the investment phase it is currently in, and a reader who believes that phase ends sooner, or earns more than the model credits, should hold the multiple read instead — the study publishes both rather than choosing for them. What would settle it is disclosed economics on the data-centre build and two more years of capital intensity: neither is available today, and neither is invented here.</w:t>
      </w:r>
    </w:p>
    <w:p>
      <w:pPr>
        <w:spacing w:after="120" w:before="280"/>
      </w:pPr>
      <w:r>
        <w:rPr>
          <w:b/>
          <w:i w:val="0"/>
          <w:color w:val="1C3A36"/>
          <w:sz w:val="30"/>
        </w:rPr>
        <w:t>5  Catalysts to watch</w:t>
      </w:r>
    </w:p>
    <w:p>
      <w:pPr>
        <w:pStyle w:val="ListBullet"/>
        <w:spacing w:after="60"/>
      </w:pPr>
      <w:r>
        <w:rPr>
          <w:b/>
          <w:color w:val="1C3A36"/>
          <w:sz w:val="21"/>
        </w:rPr>
        <w:t xml:space="preserve">Third-quarter 2026 results. </w:t>
      </w:r>
      <w:r>
        <w:rPr>
          <w:color w:val="1C3A36"/>
          <w:sz w:val="21"/>
        </w:rPr>
        <w:t>The reviewed half to 30 June 2026 is already in this model — it sets the base year, the bridge and the first forecast year — so the next disclosure is the first that can move the answer: watch enterprise revenue against mega-project phasing, and capital expenditure against the data-centre build.</w:t>
      </w:r>
    </w:p>
    <w:p>
      <w:pPr>
        <w:pStyle w:val="ListBullet"/>
        <w:spacing w:after="60"/>
      </w:pPr>
      <w:r>
        <w:rPr>
          <w:b/>
          <w:color w:val="1C3A36"/>
          <w:sz w:val="21"/>
        </w:rPr>
        <w:t xml:space="preserve">Quarterly dividend declarations. </w:t>
      </w:r>
      <w:r>
        <w:rPr>
          <w:color w:val="1C3A36"/>
          <w:sz w:val="21"/>
        </w:rPr>
        <w:t>SAR 0.55 is policy through Q3-2027 — the information is in any SPECIAL distribution (the policy explicitly allows quarterly assessment; FY24 paid SAR 2.00). A special would mechanically re-rate the DDM lens; its absence through 2026 keeps the balance sheet funding the build.</w:t>
      </w:r>
    </w:p>
    <w:p>
      <w:pPr>
        <w:pStyle w:val="ListBullet"/>
        <w:spacing w:after="60"/>
      </w:pPr>
      <w:r>
        <w:rPr>
          <w:b/>
          <w:color w:val="1C3A36"/>
          <w:sz w:val="21"/>
        </w:rPr>
        <w:t xml:space="preserve">SAMA/Fed decisions (Sep/Oct 2026). </w:t>
      </w:r>
      <w:r>
        <w:rPr>
          <w:color w:val="1C3A36"/>
          <w:sz w:val="21"/>
        </w:rPr>
        <w:t>Each 25–50 bp off the Saudi curve lowers this study’s discount rate and the marginal cost of the sukuk-funded infrastructure build — the single most mechanical catalyst.</w:t>
      </w:r>
    </w:p>
    <w:p>
      <w:pPr>
        <w:pStyle w:val="ListBullet"/>
        <w:spacing w:after="60"/>
      </w:pPr>
      <w:r>
        <w:rPr>
          <w:b/>
          <w:color w:val="1C3A36"/>
          <w:sz w:val="21"/>
        </w:rPr>
        <w:t xml:space="preserve">center3–HUMAIN milestones. </w:t>
      </w:r>
      <w:r>
        <w:rPr>
          <w:color w:val="1C3A36"/>
          <w:sz w:val="21"/>
        </w:rPr>
        <w:t>The 1 GW AI-data-centre ambition (framework Dec-2025) converts to value only as contracted megawatts and disclosed economics; any capacity/offtake announcement is the option going in-the-money.</w:t>
      </w:r>
    </w:p>
    <w:p>
      <w:pPr>
        <w:pStyle w:val="ListBullet"/>
        <w:spacing w:after="60"/>
      </w:pPr>
      <w:r>
        <w:rPr>
          <w:b/>
          <w:color w:val="1C3A36"/>
          <w:sz w:val="21"/>
        </w:rPr>
        <w:t xml:space="preserve">TAWAL/DIIC monetization. </w:t>
      </w:r>
      <w:r>
        <w:rPr>
          <w:color w:val="1C3A36"/>
          <w:sz w:val="21"/>
        </w:rPr>
        <w:t>stc still owns 43.06% of the region’s largest tower company; an IPO or stake sale would crystallize a mark this study carries at a conservative SAR 4.6 bn book. Speculation only — nothing announced.</w:t>
      </w:r>
    </w:p>
    <w:p>
      <w:pPr>
        <w:pStyle w:val="ListBullet"/>
        <w:spacing w:after="60"/>
      </w:pPr>
      <w:r>
        <w:rPr>
          <w:b/>
          <w:color w:val="1C3A36"/>
          <w:sz w:val="21"/>
        </w:rPr>
        <w:t xml:space="preserve">KSA mobile competitive prints. </w:t>
      </w:r>
      <w:r>
        <w:rPr>
          <w:color w:val="1C3A36"/>
          <w:sz w:val="21"/>
        </w:rPr>
        <w:t>Mobily’s subscriber momentum vs stc’s +5.3%; a price response from any of the three would show first in consumer ARPU-proxy (CBU revenue per sub).</w:t>
      </w:r>
    </w:p>
    <w:p>
      <w:pPr>
        <w:pStyle w:val="ListBullet"/>
        <w:spacing w:after="60"/>
      </w:pPr>
      <w:r>
        <w:rPr>
          <w:b/>
          <w:color w:val="1C3A36"/>
          <w:sz w:val="21"/>
        </w:rPr>
        <w:t xml:space="preserve">Telefónica. </w:t>
      </w:r>
      <w:r>
        <w:rPr>
          <w:color w:val="1C3A36"/>
          <w:sz w:val="21"/>
        </w:rPr>
        <w:t>The 9.97% stake (€2.1 bn cost) trades ≈7% below cost with a halved dividend; further deterioration is a mark-to-market drag, any Spanish-market recovery a small tailwind — the stake is ~3.5% of the DCF equity bridge.</w:t>
      </w:r>
    </w:p>
    <w:p>
      <w:pPr>
        <w:pStyle w:val="ListBullet"/>
        <w:spacing w:after="60"/>
      </w:pPr>
      <w:r>
        <w:rPr>
          <w:b/>
          <w:color w:val="1C3A36"/>
          <w:sz w:val="21"/>
        </w:rPr>
        <w:t xml:space="preserve">Index / flow events. </w:t>
      </w:r>
      <w:r>
        <w:rPr>
          <w:color w:val="1C3A36"/>
          <w:sz w:val="21"/>
        </w:rPr>
        <w:t>PIF sold 2% in Nov-2024 at SAR 38.6 (float now ~38%); any further sell-down is a supply event, any float-driven index-weight uplift a demand event.</w:t>
      </w:r>
    </w:p>
    <w:p>
      <w:pPr>
        <w:spacing w:after="120" w:before="280"/>
      </w:pPr>
      <w:r>
        <w:rPr>
          <w:b/>
          <w:i w:val="0"/>
          <w:color w:val="1C3A36"/>
          <w:sz w:val="30"/>
        </w:rPr>
        <w:t>6  Reading the probability zones</w:t>
      </w:r>
    </w:p>
    <w:p>
      <w:pPr>
        <w:spacing w:after="120" w:before="0"/>
      </w:pPr>
      <w:r>
        <w:rPr>
          <w:b w:val="0"/>
          <w:i w:val="0"/>
          <w:color w:val="1C3A36"/>
          <w:sz w:val="21"/>
        </w:rPr>
        <w:t>Translating the three-month distribution into plain zones, anchored on the cone's own origin of SAR 44.72 on 2026-08-31 — which is the last session in the price library and NOT the 2026-09-03 close of SAR 43.86 the valuation is measured against. Two clocks, and the study says which is which: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9936" w:type="dxa"/>
      </w:tblPr>
      <w:tblGrid>
        <w:gridCol w:w="2160"/>
        <w:gridCol w:w="1872"/>
        <w:gridCol w:w="2160"/>
        <w:gridCol w:w="3744"/>
      </w:tblGrid>
      <w:tr>
        <w:tc>
          <w:tcPr>
            <w:tcW w:type="dxa" w:w="2160"/>
            <w:shd w:val="clear" w:color="auto" w:fill="EAF0EE"/>
          </w:tcPr>
          <w:p>
            <w:pPr>
              <w:spacing w:after="20"/>
            </w:pPr>
            <w:r>
              <w:rPr>
                <w:b/>
                <w:color w:val="1C3A36"/>
                <w:sz w:val="18"/>
              </w:rPr>
              <w:t>Zone at 3 months</w:t>
            </w:r>
          </w:p>
        </w:tc>
        <w:tc>
          <w:tcPr>
            <w:tcW w:type="dxa" w:w="1872"/>
            <w:shd w:val="clear" w:color="auto" w:fill="EAF0EE"/>
          </w:tcPr>
          <w:p>
            <w:pPr>
              <w:spacing w:after="20"/>
            </w:pPr>
            <w:r>
              <w:rPr>
                <w:b/>
                <w:color w:val="1C3A36"/>
                <w:sz w:val="18"/>
              </w:rPr>
              <w:t>Range</w:t>
            </w:r>
          </w:p>
        </w:tc>
        <w:tc>
          <w:tcPr>
            <w:tcW w:type="dxa" w:w="2160"/>
            <w:shd w:val="clear" w:color="auto" w:fill="EAF0EE"/>
          </w:tcPr>
          <w:p>
            <w:pPr>
              <w:spacing w:after="20"/>
            </w:pPr>
            <w:r>
              <w:rPr>
                <w:b/>
                <w:color w:val="1C3A36"/>
                <w:sz w:val="18"/>
              </w:rPr>
              <w:t>Probability</w:t>
            </w:r>
          </w:p>
        </w:tc>
        <w:tc>
          <w:tcPr>
            <w:tcW w:type="dxa" w:w="3744"/>
            <w:shd w:val="clear" w:color="auto" w:fill="EAF0EE"/>
          </w:tcPr>
          <w:p>
            <w:pPr>
              <w:spacing w:after="20"/>
            </w:pPr>
            <w:r>
              <w:rPr>
                <w:b/>
                <w:color w:val="1C3A36"/>
                <w:sz w:val="18"/>
              </w:rPr>
              <w:t>What it would mean</w:t>
            </w:r>
          </w:p>
        </w:tc>
      </w:tr>
      <w:tr>
        <w:tc>
          <w:tcPr>
            <w:tcW w:type="dxa" w:w="2160"/>
          </w:tcPr>
          <w:p>
            <w:pPr>
              <w:spacing w:after="20"/>
            </w:pPr>
            <w:r>
              <w:rPr>
                <w:b/>
                <w:color w:val="1C3A36"/>
                <w:sz w:val="18"/>
              </w:rPr>
              <w:t>Deep downside</w:t>
            </w:r>
          </w:p>
        </w:tc>
        <w:tc>
          <w:tcPr>
            <w:tcW w:type="dxa" w:w="1872"/>
          </w:tcPr>
          <w:p>
            <w:pPr>
              <w:spacing w:after="20"/>
              <w:jc w:val="right"/>
            </w:pPr>
            <w:r>
              <w:rPr>
                <w:color w:val="1C3A36"/>
                <w:sz w:val="18"/>
              </w:rPr>
              <w:t>&lt; SAR 38</w:t>
            </w:r>
          </w:p>
        </w:tc>
        <w:tc>
          <w:tcPr>
            <w:tcW w:type="dxa" w:w="2160"/>
          </w:tcPr>
          <w:p>
            <w:pPr>
              <w:spacing w:after="20"/>
              <w:jc w:val="right"/>
            </w:pPr>
            <w:r>
              <w:rPr>
                <w:color w:val="1C3A36"/>
                <w:sz w:val="18"/>
              </w:rPr>
              <w:t>2%</w:t>
            </w:r>
          </w:p>
        </w:tc>
        <w:tc>
          <w:tcPr>
            <w:tcW w:type="dxa" w:w="3744"/>
          </w:tcPr>
          <w:p>
            <w:pPr>
              <w:spacing w:after="20"/>
              <w:jc w:val="right"/>
            </w:pPr>
            <w:r>
              <w:rPr>
                <w:color w:val="1C3A36"/>
                <w:sz w:val="18"/>
              </w:rPr>
              <w:t>A regional shock or a price war; below the 52-week low</w:t>
            </w:r>
          </w:p>
        </w:tc>
      </w:tr>
      <w:tr>
        <w:tc>
          <w:tcPr>
            <w:tcW w:type="dxa" w:w="2160"/>
          </w:tcPr>
          <w:p>
            <w:pPr>
              <w:spacing w:after="20"/>
            </w:pPr>
            <w:r>
              <w:rPr>
                <w:b/>
                <w:color w:val="1C3A36"/>
                <w:sz w:val="18"/>
              </w:rPr>
              <w:t>Lower band</w:t>
            </w:r>
          </w:p>
        </w:tc>
        <w:tc>
          <w:tcPr>
            <w:tcW w:type="dxa" w:w="1872"/>
          </w:tcPr>
          <w:p>
            <w:pPr>
              <w:spacing w:after="20"/>
              <w:jc w:val="right"/>
            </w:pPr>
            <w:r>
              <w:rPr>
                <w:color w:val="1C3A36"/>
                <w:sz w:val="18"/>
              </w:rPr>
              <w:t>SAR 38–42</w:t>
            </w:r>
          </w:p>
        </w:tc>
        <w:tc>
          <w:tcPr>
            <w:tcW w:type="dxa" w:w="2160"/>
          </w:tcPr>
          <w:p>
            <w:pPr>
              <w:spacing w:after="20"/>
              <w:jc w:val="right"/>
            </w:pPr>
            <w:r>
              <w:rPr>
                <w:color w:val="1C3A36"/>
                <w:sz w:val="18"/>
              </w:rPr>
              <w:t>16%</w:t>
            </w:r>
          </w:p>
        </w:tc>
        <w:tc>
          <w:tcPr>
            <w:tcW w:type="dxa" w:w="3744"/>
          </w:tcPr>
          <w:p>
            <w:pPr>
              <w:spacing w:after="20"/>
              <w:jc w:val="right"/>
            </w:pPr>
            <w:r>
              <w:rPr>
                <w:color w:val="1C3A36"/>
                <w:sz w:val="18"/>
              </w:rPr>
              <w:t>Capital spending runs hot and dividend cover stays below 1x; the March base is retested</w:t>
            </w:r>
          </w:p>
        </w:tc>
      </w:tr>
      <w:tr>
        <w:tc>
          <w:tcPr>
            <w:tcW w:type="dxa" w:w="2160"/>
          </w:tcPr>
          <w:p>
            <w:pPr>
              <w:spacing w:after="20"/>
            </w:pPr>
            <w:r>
              <w:rPr>
                <w:b/>
                <w:color w:val="1C3A36"/>
                <w:sz w:val="18"/>
              </w:rPr>
              <w:t>Around the anchor</w:t>
            </w:r>
          </w:p>
        </w:tc>
        <w:tc>
          <w:tcPr>
            <w:tcW w:type="dxa" w:w="1872"/>
          </w:tcPr>
          <w:p>
            <w:pPr>
              <w:spacing w:after="20"/>
              <w:jc w:val="right"/>
            </w:pPr>
            <w:r>
              <w:rPr>
                <w:color w:val="1C3A36"/>
                <w:sz w:val="18"/>
              </w:rPr>
              <w:t>SAR 42–46</w:t>
            </w:r>
          </w:p>
        </w:tc>
        <w:tc>
          <w:tcPr>
            <w:tcW w:type="dxa" w:w="2160"/>
          </w:tcPr>
          <w:p>
            <w:pPr>
              <w:spacing w:after="20"/>
              <w:jc w:val="right"/>
            </w:pPr>
            <w:r>
              <w:rPr>
                <w:color w:val="1C3A36"/>
                <w:sz w:val="18"/>
              </w:rPr>
              <w:t>39%</w:t>
            </w:r>
          </w:p>
        </w:tc>
        <w:tc>
          <w:tcPr>
            <w:tcW w:type="dxa" w:w="3744"/>
          </w:tcPr>
          <w:p>
            <w:pPr>
              <w:spacing w:after="20"/>
              <w:jc w:val="right"/>
            </w:pPr>
            <w:r>
              <w:rPr>
                <w:color w:val="1C3A36"/>
                <w:sz w:val="18"/>
              </w:rPr>
              <w:t>The status quo: the yield carries the return</w:t>
            </w:r>
          </w:p>
        </w:tc>
      </w:tr>
      <w:tr>
        <w:tc>
          <w:tcPr>
            <w:tcW w:type="dxa" w:w="2160"/>
          </w:tcPr>
          <w:p>
            <w:pPr>
              <w:spacing w:after="20"/>
            </w:pPr>
            <w:r>
              <w:rPr>
                <w:b/>
                <w:color w:val="1C3A36"/>
                <w:sz w:val="18"/>
              </w:rPr>
              <w:t>Upper band</w:t>
            </w:r>
          </w:p>
        </w:tc>
        <w:tc>
          <w:tcPr>
            <w:tcW w:type="dxa" w:w="1872"/>
          </w:tcPr>
          <w:p>
            <w:pPr>
              <w:spacing w:after="20"/>
              <w:jc w:val="right"/>
            </w:pPr>
            <w:r>
              <w:rPr>
                <w:color w:val="1C3A36"/>
                <w:sz w:val="18"/>
              </w:rPr>
              <w:t>SAR 46–50</w:t>
            </w:r>
          </w:p>
        </w:tc>
        <w:tc>
          <w:tcPr>
            <w:tcW w:type="dxa" w:w="2160"/>
          </w:tcPr>
          <w:p>
            <w:pPr>
              <w:spacing w:after="20"/>
              <w:jc w:val="right"/>
            </w:pPr>
            <w:r>
              <w:rPr>
                <w:color w:val="1C3A36"/>
                <w:sz w:val="18"/>
              </w:rPr>
              <w:t>31%</w:t>
            </w:r>
          </w:p>
        </w:tc>
        <w:tc>
          <w:tcPr>
            <w:tcW w:type="dxa" w:w="3744"/>
          </w:tcPr>
          <w:p>
            <w:pPr>
              <w:spacing w:after="20"/>
              <w:jc w:val="right"/>
            </w:pPr>
            <w:r>
              <w:rPr>
                <w:color w:val="1C3A36"/>
                <w:sz w:val="18"/>
              </w:rPr>
              <w:t>Cover proven or rate cuts delivered; the 52-week high is pressed</w:t>
            </w:r>
          </w:p>
        </w:tc>
      </w:tr>
      <w:tr>
        <w:tc>
          <w:tcPr>
            <w:tcW w:type="dxa" w:w="2160"/>
          </w:tcPr>
          <w:p>
            <w:pPr>
              <w:spacing w:after="20"/>
            </w:pPr>
            <w:r>
              <w:rPr>
                <w:b/>
                <w:color w:val="1C3A36"/>
                <w:sz w:val="18"/>
              </w:rPr>
              <w:t>Strong upside</w:t>
            </w:r>
          </w:p>
        </w:tc>
        <w:tc>
          <w:tcPr>
            <w:tcW w:type="dxa" w:w="1872"/>
          </w:tcPr>
          <w:p>
            <w:pPr>
              <w:spacing w:after="20"/>
              <w:jc w:val="right"/>
            </w:pPr>
            <w:r>
              <w:rPr>
                <w:color w:val="1C3A36"/>
                <w:sz w:val="18"/>
              </w:rPr>
              <w:t>&gt; SAR 50</w:t>
            </w:r>
          </w:p>
        </w:tc>
        <w:tc>
          <w:tcPr>
            <w:tcW w:type="dxa" w:w="2160"/>
          </w:tcPr>
          <w:p>
            <w:pPr>
              <w:spacing w:after="20"/>
              <w:jc w:val="right"/>
            </w:pPr>
            <w:r>
              <w:rPr>
                <w:color w:val="1C3A36"/>
                <w:sz w:val="18"/>
              </w:rPr>
              <w:t>12%</w:t>
            </w:r>
          </w:p>
        </w:tc>
        <w:tc>
          <w:tcPr>
            <w:tcW w:type="dxa" w:w="3744"/>
          </w:tcPr>
          <w:p>
            <w:pPr>
              <w:spacing w:after="20"/>
              <w:jc w:val="right"/>
            </w:pPr>
            <w:r>
              <w:rPr>
                <w:color w:val="1C3A36"/>
                <w:sz w:val="18"/>
              </w:rPr>
              <w:t>A special dividend, or the data-centre build credited with something</w:t>
            </w:r>
          </w:p>
        </w:tc>
      </w:tr>
    </w:tbl>
    <w:p>
      <w:pPr>
        <w:spacing w:after="40"/>
      </w:pPr>
    </w:p>
    <w:p>
      <w:pPr>
        <w:spacing w:after="120" w:before="0"/>
      </w:pPr>
      <w:r>
        <w:rPr>
          <w:b w:val="0"/>
          <w:i w:val="0"/>
          <w:color w:val="1C3A36"/>
          <w:sz w:val="21"/>
        </w:rPr>
        <w:t>The distribution leans mildly to the upside — the ladder above gives a 27% chance of tagging +10% at some point against 16% for −10% — but the mass is concentrated: 86% of all paths finish between SAR 38 and 50, and half of them inside the much narrower SAR 42.9–47.9. That concentration is what a calm tape produces mechanically; it is not a view about the company, and a shift in the volatility regime would widen the cone at the next re-strike without anybody deciding anything.</w:t>
      </w:r>
    </w:p>
    <w:p>
      <w:pPr>
        <w:spacing w:after="120" w:before="280"/>
      </w:pPr>
      <w:r>
        <w:rPr>
          <w:b/>
          <w:i w:val="0"/>
          <w:color w:val="1C3A36"/>
          <w:sz w:val="30"/>
        </w:rPr>
        <w:t>7  Caveats and what would change our mind</w:t>
      </w:r>
    </w:p>
    <w:p>
      <w:pPr>
        <w:pStyle w:val="ListBullet"/>
        <w:spacing w:after="60"/>
      </w:pPr>
      <w:r>
        <w:rPr>
          <w:b/>
          <w:color w:val="1C3A36"/>
          <w:sz w:val="21"/>
        </w:rPr>
        <w:t xml:space="preserve">The dividend-vs-capex tension is the model. </w:t>
      </w:r>
      <w:r>
        <w:rPr>
          <w:color w:val="1C3A36"/>
          <w:sz w:val="21"/>
        </w:rPr>
        <w:t>The first forecast year's dividend cover of 1.06–1.24x is an estimate built on the range of capital intensity this company’s own three filed years ran, and on a capital-intensity range and a margin path that is FLAT rather than improving — 32.06% in the first forecast year against 31.77% in the last. Two consecutive quarters of free cash flow below the quarterly dividend bill would push the DDM lens toward its bear case and the balance sheet toward releveraging — watch the quarterly FCF line, not the payout announcements.</w:t>
      </w:r>
    </w:p>
    <w:p>
      <w:pPr>
        <w:pStyle w:val="ListBullet"/>
        <w:spacing w:after="60"/>
      </w:pPr>
      <w:r>
        <w:rPr>
          <w:b/>
          <w:color w:val="1C3A36"/>
          <w:sz w:val="21"/>
        </w:rPr>
        <w:t xml:space="preserve">Terminal-value dependency. </w:t>
      </w:r>
      <w:r>
        <w:rPr>
          <w:color w:val="1C3A36"/>
          <w:sz w:val="21"/>
        </w:rPr>
        <w:t>70% of the cash-flow model's enterprise value sits beyond the fifth forecast year, at a spread of 6.5 points between the terminal discount rate and the 2.0% terminal growth. §1.9 is the honest statement that this valuation is substantially a judgement about the long-run price of money in Saudi Arabia. The terminal charge for keeping the asset base whole rests on the 21-year average life the company's own accounts imply for its plant, not on a life chosen here — but a network is a bundle of assets with very different lives, and a single average is the coarsest honest way to state it.</w:t>
      </w:r>
    </w:p>
    <w:p>
      <w:pPr>
        <w:pStyle w:val="ListBullet"/>
        <w:spacing w:after="60"/>
      </w:pPr>
      <w:r>
        <w:rPr>
          <w:b/>
          <w:color w:val="1C3A36"/>
          <w:sz w:val="21"/>
        </w:rPr>
        <w:t xml:space="preserve">The sovereign quote is older than the house bound. </w:t>
      </w:r>
      <w:r>
        <w:rPr>
          <w:color w:val="1C3A36"/>
          <w:sz w:val="21"/>
        </w:rPr>
        <w:t>The Saudi sovereign quote on the house macro path carries an as-of date of 31 July 2026 and this schedule is struck on 5 September 2026, so it is 36 days old against the 14-day bound. It is accepted DELIBERATELY and the age is disclosed here rather than used quietly; refreshing the path is a macro-path task that moves every Saudi study at once, not a lever inside this one.</w:t>
      </w:r>
    </w:p>
    <w:p>
      <w:pPr>
        <w:pStyle w:val="ListBullet"/>
        <w:spacing w:after="60"/>
      </w:pPr>
      <w:r>
        <w:rPr>
          <w:b/>
          <w:color w:val="1C3A36"/>
          <w:sz w:val="21"/>
        </w:rPr>
        <w:t xml:space="preserve">The method behind these forecasts has not yet been tested on this company’s own history. </w:t>
      </w:r>
      <w:r>
        <w:rPr>
          <w:color w:val="1C3A36"/>
          <w:sz w:val="21"/>
        </w:rPr>
        <w:t>This house walk-forward tests its forecasting method by rebuilding the driver model as it stood at a past date, projecting forward from there, and scoring each driver against what the company then reported. This company discloses 16 fiscal years reachable from its own archive, back to 2010, which is deep enough for the full test; the test has NOT been run here. Nothing in this study rests on a result from one — there is no bias correction, no calibrated range and no lesson drawn from a test that does not exist — and the practical consequence is that the forecast years three to five carry the uncertainty the sensitivities show and no measured error distribution behind it.</w:t>
      </w:r>
    </w:p>
    <w:p>
      <w:pPr>
        <w:pStyle w:val="ListBullet"/>
        <w:spacing w:after="60"/>
      </w:pPr>
      <w:r>
        <w:rPr>
          <w:b/>
          <w:color w:val="1C3A36"/>
          <w:sz w:val="21"/>
        </w:rPr>
        <w:t xml:space="preserve">The beta is a real regression, and it explains less than a third of the variance. </w:t>
      </w:r>
      <w:r>
        <w:rPr>
          <w:color w:val="1C3A36"/>
          <w:sz w:val="21"/>
        </w:rPr>
        <w:t>The 0.71 beta is a 4.9-year weekly regression of this stock against the published index of the exchange it is listed on (254 observations, standard error 0.10), which is the standard this house requires and not a stopgap. What it does NOT do is explain the stock: the regression accounts for 30% of the variance, so roughly 70% of what moves stc is specific to stc. A beta is a statement about how a stock moves with its market, and on this name that statement is weak. §1.9 shows the valuation at every beta up to 1.2 for exactly that reason.</w:t>
      </w:r>
    </w:p>
    <w:p>
      <w:pPr>
        <w:pStyle w:val="ListBullet"/>
        <w:spacing w:after="60"/>
      </w:pPr>
      <w:r>
        <w:rPr>
          <w:b/>
          <w:color w:val="1C3A36"/>
          <w:sz w:val="21"/>
        </w:rPr>
        <w:t xml:space="preserve">Competition is the slow leak. </w:t>
      </w:r>
      <w:r>
        <w:rPr>
          <w:color w:val="1C3A36"/>
          <w:sz w:val="21"/>
        </w:rPr>
        <w:t>stc’s consumer growth (+3%) already trails Mobily’s subscriber momentum; a price war in Saudi mobile — three players, one regulator, heavy capacity — is the scenario in which the flat margin path reverses and every lens compresses toward the normalized floor.</w:t>
      </w:r>
    </w:p>
    <w:p>
      <w:pPr>
        <w:pStyle w:val="ListBullet"/>
        <w:spacing w:after="60"/>
      </w:pPr>
      <w:r>
        <w:rPr>
          <w:b/>
          <w:color w:val="1C3A36"/>
          <w:sz w:val="21"/>
        </w:rPr>
        <w:t xml:space="preserve">The subsidiary portfolio is an investment phase, not yet a return. </w:t>
      </w:r>
      <w:r>
        <w:rPr>
          <w:color w:val="1C3A36"/>
          <w:sz w:val="21"/>
        </w:rPr>
        <w:t>stc bank (8 mn customers, SAMA-licensed Jan-2025), center3, SCCC and iot squared are guided to turn contribution-positive from 2026; if they stay dilutive through FY27, the 31.77% terminal-year margin this model carries is wrong by construction — and it is worth saying that this forecast assumes NO mix improvement at all, so the risk here is a margin that falls rather than one that fails to rise.</w:t>
      </w:r>
    </w:p>
    <w:p>
      <w:pPr>
        <w:pStyle w:val="ListBullet"/>
        <w:spacing w:after="60"/>
      </w:pPr>
      <w:r>
        <w:rPr>
          <w:b/>
          <w:color w:val="1C3A36"/>
          <w:sz w:val="21"/>
        </w:rPr>
        <w:t xml:space="preserve">The stake marks are point-in-time. </w:t>
      </w:r>
      <w:r>
        <w:rPr>
          <w:color w:val="1C3A36"/>
          <w:sz w:val="21"/>
        </w:rPr>
        <w:t>Telefónica (9.97%) is marked at market (≈SAR 8.6 bn, ~7% below cost) and the tower stake at carrying value (SAR 4.6 bn) — the former moves daily, the latter is conservative against any transaction mark; together they are ~5% of the bridge.</w:t>
      </w:r>
    </w:p>
    <w:p>
      <w:pPr>
        <w:pStyle w:val="ListBullet"/>
        <w:spacing w:after="60"/>
      </w:pPr>
      <w:r>
        <w:rPr>
          <w:b/>
          <w:color w:val="1C3A36"/>
          <w:sz w:val="21"/>
        </w:rPr>
        <w:t xml:space="preserve">OCF conversion. </w:t>
      </w:r>
      <w:r>
        <w:rPr>
          <w:color w:val="1C3A36"/>
          <w:sz w:val="21"/>
        </w:rPr>
        <w:t>Reported FY25 FCF (6.5 bn) ran well below model FCFF on receivables build and one-off cash items; we model an explicit conversion drag, but a government-receivables cycle that widens rather than narrows would make even the 1.06x heaviest-spending cover optimistic.</w:t>
      </w:r>
    </w:p>
    <w:p>
      <w:pPr>
        <w:pStyle w:val="ListBullet"/>
        <w:spacing w:after="60"/>
      </w:pPr>
      <w:r>
        <w:rPr>
          <w:b/>
          <w:color w:val="1C3A36"/>
          <w:sz w:val="21"/>
        </w:rPr>
        <w:t xml:space="preserve">Technical reminder. </w:t>
      </w:r>
      <w:r>
        <w:rPr>
          <w:color w:val="1C3A36"/>
          <w:sz w:val="21"/>
        </w:rPr>
        <w:t>A compressed, low-volatility tape can break either way; the narrow cone in §3 is a regime read, not a promise. The technical section is context, not a trigger.</w:t>
      </w:r>
    </w:p>
    <w:p>
      <w:pPr>
        <w:spacing w:after="120" w:before="280"/>
      </w:pPr>
      <w:r>
        <w:rPr>
          <w:b/>
          <w:i w:val="0"/>
          <w:color w:val="1C3A36"/>
          <w:sz w:val="30"/>
        </w:rPr>
        <w:t>Appendix A  Financial statements</w:t>
      </w:r>
    </w:p>
    <w:p>
      <w:pPr>
        <w:spacing w:after="120" w:before="0"/>
      </w:pPr>
      <w:r>
        <w:rPr>
          <w:b w:val="0"/>
          <w:i w:val="0"/>
          <w:color w:val="1C3A36"/>
          <w:sz w:val="21"/>
        </w:rPr>
        <w:t>Consolidated figures as disclosed by stc — the audited statements for FY2023 to FY2025 on the restated continuing-operations basis (TAWAL and Digital Infrastructure Co reclassified to discontinued operations) and the reviewed interim for the six months to 30 June 2026 — all from the company’s own investor-relations archive, per the study’s sourcing rule. SAR million. The five-year forecast is the model build (companion Excel, formula-linked to Assumptions).</w:t>
      </w:r>
    </w:p>
    <w:p>
      <w:pPr>
        <w:spacing w:after="80" w:before="200"/>
      </w:pPr>
      <w:r>
        <w:rPr>
          <w:b/>
          <w:i w:val="0"/>
          <w:color w:val="1C3A36"/>
          <w:sz w:val="24"/>
        </w:rPr>
        <w:t>A.1  Income statement — 3-year historical + 5-year forecast (consolidated, SAR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10085" w:type="dxa"/>
      </w:tblPr>
      <w:tblGrid>
        <w:gridCol w:w="1967"/>
        <w:gridCol w:w="1014"/>
        <w:gridCol w:w="1014"/>
        <w:gridCol w:w="1014"/>
        <w:gridCol w:w="1014"/>
        <w:gridCol w:w="1014"/>
        <w:gridCol w:w="1014"/>
        <w:gridCol w:w="1014"/>
        <w:gridCol w:w="1014"/>
      </w:tblGrid>
      <w:tr>
        <w:tc>
          <w:tcPr>
            <w:tcW w:type="dxa" w:w="1967"/>
            <w:shd w:val="clear" w:color="auto" w:fill="EAF0EE"/>
          </w:tcPr>
          <w:p>
            <w:pPr>
              <w:spacing w:after="20"/>
            </w:pPr>
            <w:r>
              <w:rPr>
                <w:b/>
                <w:color w:val="1C3A36"/>
                <w:sz w:val="16"/>
              </w:rPr>
              <w:t>Line</w:t>
            </w:r>
          </w:p>
        </w:tc>
        <w:tc>
          <w:tcPr>
            <w:tcW w:type="dxa" w:w="1015"/>
            <w:shd w:val="clear" w:color="auto" w:fill="EAF0EE"/>
          </w:tcPr>
          <w:p>
            <w:pPr>
              <w:spacing w:after="20"/>
            </w:pPr>
            <w:r>
              <w:rPr>
                <w:b/>
                <w:color w:val="1C3A36"/>
                <w:sz w:val="16"/>
              </w:rPr>
              <w:t>FY23</w:t>
            </w:r>
          </w:p>
        </w:tc>
        <w:tc>
          <w:tcPr>
            <w:tcW w:type="dxa" w:w="1015"/>
            <w:shd w:val="clear" w:color="auto" w:fill="EAF0EE"/>
          </w:tcPr>
          <w:p>
            <w:pPr>
              <w:spacing w:after="20"/>
            </w:pPr>
            <w:r>
              <w:rPr>
                <w:b/>
                <w:color w:val="1C3A36"/>
                <w:sz w:val="16"/>
              </w:rPr>
              <w:t>FY24</w:t>
            </w:r>
          </w:p>
        </w:tc>
        <w:tc>
          <w:tcPr>
            <w:tcW w:type="dxa" w:w="1015"/>
            <w:shd w:val="clear" w:color="auto" w:fill="EAF0EE"/>
          </w:tcPr>
          <w:p>
            <w:pPr>
              <w:spacing w:after="20"/>
            </w:pPr>
            <w:r>
              <w:rPr>
                <w:b/>
                <w:color w:val="1C3A36"/>
                <w:sz w:val="16"/>
              </w:rPr>
              <w:t>FY25</w:t>
            </w:r>
          </w:p>
        </w:tc>
        <w:tc>
          <w:tcPr>
            <w:tcW w:type="dxa" w:w="1015"/>
            <w:shd w:val="clear" w:color="auto" w:fill="EAF0EE"/>
          </w:tcPr>
          <w:p>
            <w:pPr>
              <w:spacing w:after="20"/>
            </w:pPr>
            <w:r>
              <w:rPr>
                <w:b/>
                <w:color w:val="1C3A36"/>
                <w:sz w:val="16"/>
              </w:rPr>
              <w:t>FY26E</w:t>
            </w:r>
          </w:p>
        </w:tc>
        <w:tc>
          <w:tcPr>
            <w:tcW w:type="dxa" w:w="1015"/>
            <w:shd w:val="clear" w:color="auto" w:fill="EAF0EE"/>
          </w:tcPr>
          <w:p>
            <w:pPr>
              <w:spacing w:after="20"/>
            </w:pPr>
            <w:r>
              <w:rPr>
                <w:b/>
                <w:color w:val="1C3A36"/>
                <w:sz w:val="16"/>
              </w:rPr>
              <w:t>FY27E</w:t>
            </w:r>
          </w:p>
        </w:tc>
        <w:tc>
          <w:tcPr>
            <w:tcW w:type="dxa" w:w="1015"/>
            <w:shd w:val="clear" w:color="auto" w:fill="EAF0EE"/>
          </w:tcPr>
          <w:p>
            <w:pPr>
              <w:spacing w:after="20"/>
            </w:pPr>
            <w:r>
              <w:rPr>
                <w:b/>
                <w:color w:val="1C3A36"/>
                <w:sz w:val="16"/>
              </w:rPr>
              <w:t>FY28E</w:t>
            </w:r>
          </w:p>
        </w:tc>
        <w:tc>
          <w:tcPr>
            <w:tcW w:type="dxa" w:w="1015"/>
            <w:shd w:val="clear" w:color="auto" w:fill="EAF0EE"/>
          </w:tcPr>
          <w:p>
            <w:pPr>
              <w:spacing w:after="20"/>
            </w:pPr>
            <w:r>
              <w:rPr>
                <w:b/>
                <w:color w:val="1C3A36"/>
                <w:sz w:val="16"/>
              </w:rPr>
              <w:t>FY29E</w:t>
            </w:r>
          </w:p>
        </w:tc>
        <w:tc>
          <w:tcPr>
            <w:tcW w:type="dxa" w:w="1015"/>
            <w:shd w:val="clear" w:color="auto" w:fill="EAF0EE"/>
          </w:tcPr>
          <w:p>
            <w:pPr>
              <w:spacing w:after="20"/>
            </w:pPr>
            <w:r>
              <w:rPr>
                <w:b/>
                <w:color w:val="1C3A36"/>
                <w:sz w:val="16"/>
              </w:rPr>
              <w:t>FY30E</w:t>
            </w:r>
          </w:p>
        </w:tc>
      </w:tr>
      <w:tr>
        <w:tc>
          <w:tcPr>
            <w:tcW w:type="dxa" w:w="1967"/>
          </w:tcPr>
          <w:p>
            <w:pPr>
              <w:spacing w:after="20"/>
            </w:pPr>
            <w:r>
              <w:rPr>
                <w:b/>
                <w:color w:val="1C3A36"/>
                <w:sz w:val="16"/>
              </w:rPr>
              <w:t>Revenue</w:t>
            </w:r>
          </w:p>
        </w:tc>
        <w:tc>
          <w:tcPr>
            <w:tcW w:type="dxa" w:w="1015"/>
          </w:tcPr>
          <w:p>
            <w:pPr>
              <w:spacing w:after="20"/>
              <w:jc w:val="right"/>
            </w:pPr>
            <w:r>
              <w:rPr>
                <w:color w:val="1C3A36"/>
                <w:sz w:val="16"/>
              </w:rPr>
              <w:t>71,777</w:t>
            </w:r>
          </w:p>
        </w:tc>
        <w:tc>
          <w:tcPr>
            <w:tcW w:type="dxa" w:w="1015"/>
          </w:tcPr>
          <w:p>
            <w:pPr>
              <w:spacing w:after="20"/>
              <w:jc w:val="right"/>
            </w:pPr>
            <w:r>
              <w:rPr>
                <w:color w:val="1C3A36"/>
                <w:sz w:val="16"/>
              </w:rPr>
              <w:t>75,893</w:t>
            </w:r>
          </w:p>
        </w:tc>
        <w:tc>
          <w:tcPr>
            <w:tcW w:type="dxa" w:w="1015"/>
          </w:tcPr>
          <w:p>
            <w:pPr>
              <w:spacing w:after="20"/>
              <w:jc w:val="right"/>
            </w:pPr>
            <w:r>
              <w:rPr>
                <w:color w:val="1C3A36"/>
                <w:sz w:val="16"/>
              </w:rPr>
              <w:t>77,819</w:t>
            </w:r>
          </w:p>
        </w:tc>
        <w:tc>
          <w:tcPr>
            <w:tcW w:type="dxa" w:w="1015"/>
          </w:tcPr>
          <w:p>
            <w:pPr>
              <w:spacing w:after="20"/>
              <w:jc w:val="right"/>
            </w:pPr>
            <w:r>
              <w:rPr>
                <w:color w:val="1C3A36"/>
                <w:sz w:val="16"/>
              </w:rPr>
              <w:t>80,737</w:t>
            </w:r>
          </w:p>
        </w:tc>
        <w:tc>
          <w:tcPr>
            <w:tcW w:type="dxa" w:w="1015"/>
          </w:tcPr>
          <w:p>
            <w:pPr>
              <w:spacing w:after="20"/>
              <w:jc w:val="right"/>
            </w:pPr>
            <w:r>
              <w:rPr>
                <w:color w:val="1C3A36"/>
                <w:sz w:val="16"/>
              </w:rPr>
              <w:t>82,985</w:t>
            </w:r>
          </w:p>
        </w:tc>
        <w:tc>
          <w:tcPr>
            <w:tcW w:type="dxa" w:w="1015"/>
          </w:tcPr>
          <w:p>
            <w:pPr>
              <w:spacing w:after="20"/>
              <w:jc w:val="right"/>
            </w:pPr>
            <w:r>
              <w:rPr>
                <w:color w:val="1C3A36"/>
                <w:sz w:val="16"/>
              </w:rPr>
              <w:t>85,056</w:t>
            </w:r>
          </w:p>
        </w:tc>
        <w:tc>
          <w:tcPr>
            <w:tcW w:type="dxa" w:w="1015"/>
          </w:tcPr>
          <w:p>
            <w:pPr>
              <w:spacing w:after="20"/>
              <w:jc w:val="right"/>
            </w:pPr>
            <w:r>
              <w:rPr>
                <w:color w:val="1C3A36"/>
                <w:sz w:val="16"/>
              </w:rPr>
              <w:t>86,982</w:t>
            </w:r>
          </w:p>
        </w:tc>
        <w:tc>
          <w:tcPr>
            <w:tcW w:type="dxa" w:w="1015"/>
          </w:tcPr>
          <w:p>
            <w:pPr>
              <w:spacing w:after="20"/>
              <w:jc w:val="right"/>
            </w:pPr>
            <w:r>
              <w:rPr>
                <w:color w:val="1C3A36"/>
                <w:sz w:val="16"/>
              </w:rPr>
              <w:t>88,722</w:t>
            </w:r>
          </w:p>
        </w:tc>
      </w:tr>
      <w:tr>
        <w:tc>
          <w:tcPr>
            <w:tcW w:type="dxa" w:w="1967"/>
          </w:tcPr>
          <w:p>
            <w:pPr>
              <w:spacing w:after="20"/>
            </w:pPr>
            <w:r>
              <w:rPr>
                <w:b/>
                <w:color w:val="1C3A36"/>
                <w:sz w:val="16"/>
              </w:rPr>
              <w:t>Gross profit</w:t>
            </w:r>
          </w:p>
        </w:tc>
        <w:tc>
          <w:tcPr>
            <w:tcW w:type="dxa" w:w="1015"/>
          </w:tcPr>
          <w:p>
            <w:pPr>
              <w:spacing w:after="20"/>
              <w:jc w:val="right"/>
            </w:pPr>
            <w:r>
              <w:rPr>
                <w:color w:val="1C3A36"/>
                <w:sz w:val="16"/>
              </w:rPr>
              <w:t>34,740</w:t>
            </w:r>
          </w:p>
        </w:tc>
        <w:tc>
          <w:tcPr>
            <w:tcW w:type="dxa" w:w="1015"/>
          </w:tcPr>
          <w:p>
            <w:pPr>
              <w:spacing w:after="20"/>
              <w:jc w:val="right"/>
            </w:pPr>
            <w:r>
              <w:rPr>
                <w:color w:val="1C3A36"/>
                <w:sz w:val="16"/>
              </w:rPr>
              <w:t>37,326</w:t>
            </w:r>
          </w:p>
        </w:tc>
        <w:tc>
          <w:tcPr>
            <w:tcW w:type="dxa" w:w="1015"/>
          </w:tcPr>
          <w:p>
            <w:pPr>
              <w:spacing w:after="20"/>
              <w:jc w:val="right"/>
            </w:pPr>
            <w:r>
              <w:rPr>
                <w:color w:val="1C3A36"/>
                <w:sz w:val="16"/>
              </w:rPr>
              <w:t>37,700</w:t>
            </w:r>
          </w:p>
        </w:tc>
        <w:tc>
          <w:tcPr>
            <w:tcW w:type="dxa" w:w="1015"/>
          </w:tcPr>
          <w:p>
            <w:pPr>
              <w:spacing w:after="20"/>
              <w:jc w:val="right"/>
            </w:pPr>
            <w:r>
              <w:rPr>
                <w:color w:val="1C3A36"/>
                <w:sz w:val="16"/>
              </w:rPr>
              <w:t>39,737</w:t>
            </w:r>
          </w:p>
        </w:tc>
        <w:tc>
          <w:tcPr>
            <w:tcW w:type="dxa" w:w="1015"/>
          </w:tcPr>
          <w:p>
            <w:pPr>
              <w:spacing w:after="20"/>
              <w:jc w:val="right"/>
            </w:pPr>
            <w:r>
              <w:rPr>
                <w:color w:val="1C3A36"/>
                <w:sz w:val="16"/>
              </w:rPr>
              <w:t>40,778</w:t>
            </w:r>
          </w:p>
        </w:tc>
        <w:tc>
          <w:tcPr>
            <w:tcW w:type="dxa" w:w="1015"/>
          </w:tcPr>
          <w:p>
            <w:pPr>
              <w:spacing w:after="20"/>
              <w:jc w:val="right"/>
            </w:pPr>
            <w:r>
              <w:rPr>
                <w:color w:val="1C3A36"/>
                <w:sz w:val="16"/>
              </w:rPr>
              <w:t>41,734</w:t>
            </w:r>
          </w:p>
        </w:tc>
        <w:tc>
          <w:tcPr>
            <w:tcW w:type="dxa" w:w="1015"/>
          </w:tcPr>
          <w:p>
            <w:pPr>
              <w:spacing w:after="20"/>
              <w:jc w:val="right"/>
            </w:pPr>
            <w:r>
              <w:rPr>
                <w:color w:val="1C3A36"/>
                <w:sz w:val="16"/>
              </w:rPr>
              <w:t>42,620</w:t>
            </w:r>
          </w:p>
        </w:tc>
        <w:tc>
          <w:tcPr>
            <w:tcW w:type="dxa" w:w="1015"/>
          </w:tcPr>
          <w:p>
            <w:pPr>
              <w:spacing w:after="20"/>
              <w:jc w:val="right"/>
            </w:pPr>
            <w:r>
              <w:rPr>
                <w:color w:val="1C3A36"/>
                <w:sz w:val="16"/>
              </w:rPr>
              <w:t>43,415</w:t>
            </w:r>
          </w:p>
        </w:tc>
      </w:tr>
      <w:tr>
        <w:tc>
          <w:tcPr>
            <w:tcW w:type="dxa" w:w="1967"/>
          </w:tcPr>
          <w:p>
            <w:pPr>
              <w:spacing w:after="20"/>
            </w:pPr>
            <w:r>
              <w:rPr>
                <w:b/>
                <w:color w:val="1C3A36"/>
                <w:sz w:val="16"/>
              </w:rPr>
              <w:t>EBITDA</w:t>
            </w:r>
          </w:p>
        </w:tc>
        <w:tc>
          <w:tcPr>
            <w:tcW w:type="dxa" w:w="1015"/>
          </w:tcPr>
          <w:p>
            <w:pPr>
              <w:spacing w:after="20"/>
              <w:jc w:val="right"/>
            </w:pPr>
            <w:r>
              <w:rPr>
                <w:color w:val="1C3A36"/>
                <w:sz w:val="16"/>
              </w:rPr>
              <w:t>22,445</w:t>
            </w:r>
          </w:p>
        </w:tc>
        <w:tc>
          <w:tcPr>
            <w:tcW w:type="dxa" w:w="1015"/>
          </w:tcPr>
          <w:p>
            <w:pPr>
              <w:spacing w:after="20"/>
              <w:jc w:val="right"/>
            </w:pPr>
            <w:r>
              <w:rPr>
                <w:color w:val="1C3A36"/>
                <w:sz w:val="16"/>
              </w:rPr>
              <w:t>23,951</w:t>
            </w:r>
          </w:p>
        </w:tc>
        <w:tc>
          <w:tcPr>
            <w:tcW w:type="dxa" w:w="1015"/>
          </w:tcPr>
          <w:p>
            <w:pPr>
              <w:spacing w:after="20"/>
              <w:jc w:val="right"/>
            </w:pPr>
            <w:r>
              <w:rPr>
                <w:color w:val="1C3A36"/>
                <w:sz w:val="16"/>
              </w:rPr>
              <w:t>24,469</w:t>
            </w:r>
          </w:p>
        </w:tc>
        <w:tc>
          <w:tcPr>
            <w:tcW w:type="dxa" w:w="1015"/>
          </w:tcPr>
          <w:p>
            <w:pPr>
              <w:spacing w:after="20"/>
              <w:jc w:val="right"/>
            </w:pPr>
            <w:r>
              <w:rPr>
                <w:color w:val="1C3A36"/>
                <w:sz w:val="16"/>
              </w:rPr>
              <w:t>25,882</w:t>
            </w:r>
          </w:p>
        </w:tc>
        <w:tc>
          <w:tcPr>
            <w:tcW w:type="dxa" w:w="1015"/>
          </w:tcPr>
          <w:p>
            <w:pPr>
              <w:spacing w:after="20"/>
              <w:jc w:val="right"/>
            </w:pPr>
            <w:r>
              <w:rPr>
                <w:color w:val="1C3A36"/>
                <w:sz w:val="16"/>
              </w:rPr>
              <w:t>26,537</w:t>
            </w:r>
          </w:p>
        </w:tc>
        <w:tc>
          <w:tcPr>
            <w:tcW w:type="dxa" w:w="1015"/>
          </w:tcPr>
          <w:p>
            <w:pPr>
              <w:spacing w:after="20"/>
              <w:jc w:val="right"/>
            </w:pPr>
            <w:r>
              <w:rPr>
                <w:color w:val="1C3A36"/>
                <w:sz w:val="16"/>
              </w:rPr>
              <w:t>27,138</w:t>
            </w:r>
          </w:p>
        </w:tc>
        <w:tc>
          <w:tcPr>
            <w:tcW w:type="dxa" w:w="1015"/>
          </w:tcPr>
          <w:p>
            <w:pPr>
              <w:spacing w:after="20"/>
              <w:jc w:val="right"/>
            </w:pPr>
            <w:r>
              <w:rPr>
                <w:color w:val="1C3A36"/>
                <w:sz w:val="16"/>
              </w:rPr>
              <w:t>27,694</w:t>
            </w:r>
          </w:p>
        </w:tc>
        <w:tc>
          <w:tcPr>
            <w:tcW w:type="dxa" w:w="1015"/>
          </w:tcPr>
          <w:p>
            <w:pPr>
              <w:spacing w:after="20"/>
              <w:jc w:val="right"/>
            </w:pPr>
            <w:r>
              <w:rPr>
                <w:color w:val="1C3A36"/>
                <w:sz w:val="16"/>
              </w:rPr>
              <w:t>28,190</w:t>
            </w:r>
          </w:p>
        </w:tc>
      </w:tr>
      <w:tr>
        <w:tc>
          <w:tcPr>
            <w:tcW w:type="dxa" w:w="1967"/>
          </w:tcPr>
          <w:p>
            <w:pPr>
              <w:spacing w:after="20"/>
            </w:pPr>
            <w:r>
              <w:rPr>
                <w:b/>
                <w:color w:val="1C3A36"/>
                <w:sz w:val="16"/>
              </w:rPr>
              <w:t>Depreciation, amortisation and impairment</w:t>
            </w:r>
          </w:p>
        </w:tc>
        <w:tc>
          <w:tcPr>
            <w:tcW w:type="dxa" w:w="1015"/>
          </w:tcPr>
          <w:p>
            <w:pPr>
              <w:spacing w:after="20"/>
              <w:jc w:val="right"/>
            </w:pPr>
            <w:r>
              <w:rPr>
                <w:color w:val="1C3A36"/>
                <w:sz w:val="16"/>
              </w:rPr>
              <w:t>(9,284)</w:t>
            </w:r>
          </w:p>
        </w:tc>
        <w:tc>
          <w:tcPr>
            <w:tcW w:type="dxa" w:w="1015"/>
          </w:tcPr>
          <w:p>
            <w:pPr>
              <w:spacing w:after="20"/>
              <w:jc w:val="right"/>
            </w:pPr>
            <w:r>
              <w:rPr>
                <w:color w:val="1C3A36"/>
                <w:sz w:val="16"/>
              </w:rPr>
              <w:t>(9,525)</w:t>
            </w:r>
          </w:p>
        </w:tc>
        <w:tc>
          <w:tcPr>
            <w:tcW w:type="dxa" w:w="1015"/>
          </w:tcPr>
          <w:p>
            <w:pPr>
              <w:spacing w:after="20"/>
              <w:jc w:val="right"/>
            </w:pPr>
            <w:r>
              <w:rPr>
                <w:color w:val="1C3A36"/>
                <w:sz w:val="16"/>
              </w:rPr>
              <w:t>(10,031)</w:t>
            </w:r>
          </w:p>
        </w:tc>
        <w:tc>
          <w:tcPr>
            <w:tcW w:type="dxa" w:w="1015"/>
          </w:tcPr>
          <w:p>
            <w:pPr>
              <w:spacing w:after="20"/>
              <w:jc w:val="right"/>
            </w:pPr>
            <w:r>
              <w:rPr>
                <w:color w:val="1C3A36"/>
                <w:sz w:val="16"/>
              </w:rPr>
              <w:t>(10,407)</w:t>
            </w:r>
          </w:p>
        </w:tc>
        <w:tc>
          <w:tcPr>
            <w:tcW w:type="dxa" w:w="1015"/>
          </w:tcPr>
          <w:p>
            <w:pPr>
              <w:spacing w:after="20"/>
              <w:jc w:val="right"/>
            </w:pPr>
            <w:r>
              <w:rPr>
                <w:color w:val="1C3A36"/>
                <w:sz w:val="16"/>
              </w:rPr>
              <w:t>(10,697)</w:t>
            </w:r>
          </w:p>
        </w:tc>
        <w:tc>
          <w:tcPr>
            <w:tcW w:type="dxa" w:w="1015"/>
          </w:tcPr>
          <w:p>
            <w:pPr>
              <w:spacing w:after="20"/>
              <w:jc w:val="right"/>
            </w:pPr>
            <w:r>
              <w:rPr>
                <w:color w:val="1C3A36"/>
                <w:sz w:val="16"/>
              </w:rPr>
              <w:t>(10,964)</w:t>
            </w:r>
          </w:p>
        </w:tc>
        <w:tc>
          <w:tcPr>
            <w:tcW w:type="dxa" w:w="1015"/>
          </w:tcPr>
          <w:p>
            <w:pPr>
              <w:spacing w:after="20"/>
              <w:jc w:val="right"/>
            </w:pPr>
            <w:r>
              <w:rPr>
                <w:color w:val="1C3A36"/>
                <w:sz w:val="16"/>
              </w:rPr>
              <w:t>(11,212)</w:t>
            </w:r>
          </w:p>
        </w:tc>
        <w:tc>
          <w:tcPr>
            <w:tcW w:type="dxa" w:w="1015"/>
          </w:tcPr>
          <w:p>
            <w:pPr>
              <w:spacing w:after="20"/>
              <w:jc w:val="right"/>
            </w:pPr>
            <w:r>
              <w:rPr>
                <w:color w:val="1C3A36"/>
                <w:sz w:val="16"/>
              </w:rPr>
              <w:t>(11,437)</w:t>
            </w:r>
          </w:p>
        </w:tc>
      </w:tr>
      <w:tr>
        <w:tc>
          <w:tcPr>
            <w:tcW w:type="dxa" w:w="1967"/>
          </w:tcPr>
          <w:p>
            <w:pPr>
              <w:spacing w:after="20"/>
            </w:pPr>
            <w:r>
              <w:rPr>
                <w:b/>
                <w:color w:val="1C3A36"/>
                <w:sz w:val="16"/>
              </w:rPr>
              <w:t>Operating profit (EBIT)</w:t>
            </w:r>
          </w:p>
        </w:tc>
        <w:tc>
          <w:tcPr>
            <w:tcW w:type="dxa" w:w="1015"/>
          </w:tcPr>
          <w:p>
            <w:pPr>
              <w:spacing w:after="20"/>
              <w:jc w:val="right"/>
            </w:pPr>
            <w:r>
              <w:rPr>
                <w:color w:val="1C3A36"/>
                <w:sz w:val="16"/>
              </w:rPr>
              <w:t>13,161</w:t>
            </w:r>
          </w:p>
        </w:tc>
        <w:tc>
          <w:tcPr>
            <w:tcW w:type="dxa" w:w="1015"/>
          </w:tcPr>
          <w:p>
            <w:pPr>
              <w:spacing w:after="20"/>
              <w:jc w:val="right"/>
            </w:pPr>
            <w:r>
              <w:rPr>
                <w:color w:val="1C3A36"/>
                <w:sz w:val="16"/>
              </w:rPr>
              <w:t>14,426</w:t>
            </w:r>
          </w:p>
        </w:tc>
        <w:tc>
          <w:tcPr>
            <w:tcW w:type="dxa" w:w="1015"/>
          </w:tcPr>
          <w:p>
            <w:pPr>
              <w:spacing w:after="20"/>
              <w:jc w:val="right"/>
            </w:pPr>
            <w:r>
              <w:rPr>
                <w:color w:val="1C3A36"/>
                <w:sz w:val="16"/>
              </w:rPr>
              <w:t>14,438</w:t>
            </w:r>
          </w:p>
        </w:tc>
        <w:tc>
          <w:tcPr>
            <w:tcW w:type="dxa" w:w="1015"/>
          </w:tcPr>
          <w:p>
            <w:pPr>
              <w:spacing w:after="20"/>
              <w:jc w:val="right"/>
            </w:pPr>
            <w:r>
              <w:rPr>
                <w:color w:val="1C3A36"/>
                <w:sz w:val="16"/>
              </w:rPr>
              <w:t>15,475</w:t>
            </w:r>
          </w:p>
        </w:tc>
        <w:tc>
          <w:tcPr>
            <w:tcW w:type="dxa" w:w="1015"/>
          </w:tcPr>
          <w:p>
            <w:pPr>
              <w:spacing w:after="20"/>
              <w:jc w:val="right"/>
            </w:pPr>
            <w:r>
              <w:rPr>
                <w:color w:val="1C3A36"/>
                <w:sz w:val="16"/>
              </w:rPr>
              <w:t>15,840</w:t>
            </w:r>
          </w:p>
        </w:tc>
        <w:tc>
          <w:tcPr>
            <w:tcW w:type="dxa" w:w="1015"/>
          </w:tcPr>
          <w:p>
            <w:pPr>
              <w:spacing w:after="20"/>
              <w:jc w:val="right"/>
            </w:pPr>
            <w:r>
              <w:rPr>
                <w:color w:val="1C3A36"/>
                <w:sz w:val="16"/>
              </w:rPr>
              <w:t>16,174</w:t>
            </w:r>
          </w:p>
        </w:tc>
        <w:tc>
          <w:tcPr>
            <w:tcW w:type="dxa" w:w="1015"/>
          </w:tcPr>
          <w:p>
            <w:pPr>
              <w:spacing w:after="20"/>
              <w:jc w:val="right"/>
            </w:pPr>
            <w:r>
              <w:rPr>
                <w:color w:val="1C3A36"/>
                <w:sz w:val="16"/>
              </w:rPr>
              <w:t>16,481</w:t>
            </w:r>
          </w:p>
        </w:tc>
        <w:tc>
          <w:tcPr>
            <w:tcW w:type="dxa" w:w="1015"/>
          </w:tcPr>
          <w:p>
            <w:pPr>
              <w:spacing w:after="20"/>
              <w:jc w:val="right"/>
            </w:pPr>
            <w:r>
              <w:rPr>
                <w:color w:val="1C3A36"/>
                <w:sz w:val="16"/>
              </w:rPr>
              <w:t>16,753</w:t>
            </w:r>
          </w:p>
        </w:tc>
      </w:tr>
      <w:tr>
        <w:tc>
          <w:tcPr>
            <w:tcW w:type="dxa" w:w="1967"/>
          </w:tcPr>
          <w:p>
            <w:pPr>
              <w:spacing w:after="20"/>
            </w:pPr>
            <w:r>
              <w:rPr>
                <w:b/>
                <w:color w:val="1C3A36"/>
                <w:sz w:val="16"/>
              </w:rPr>
              <w:t>Cost of the early retirement programme</w:t>
            </w:r>
          </w:p>
        </w:tc>
        <w:tc>
          <w:tcPr>
            <w:tcW w:type="dxa" w:w="1015"/>
          </w:tcPr>
          <w:p>
            <w:pPr>
              <w:spacing w:after="20"/>
              <w:jc w:val="right"/>
            </w:pPr>
            <w:r>
              <w:rPr>
                <w:color w:val="1C3A36"/>
                <w:sz w:val="16"/>
              </w:rPr>
              <w:t>(863)</w:t>
            </w:r>
          </w:p>
        </w:tc>
        <w:tc>
          <w:tcPr>
            <w:tcW w:type="dxa" w:w="1015"/>
          </w:tcPr>
          <w:p>
            <w:pPr>
              <w:spacing w:after="20"/>
              <w:jc w:val="right"/>
            </w:pPr>
            <w:r>
              <w:rPr>
                <w:color w:val="1C3A36"/>
                <w:sz w:val="16"/>
              </w:rPr>
              <w:t>(2,577)</w:t>
            </w:r>
          </w:p>
        </w:tc>
        <w:tc>
          <w:tcPr>
            <w:tcW w:type="dxa" w:w="1015"/>
          </w:tcPr>
          <w:p>
            <w:pPr>
              <w:spacing w:after="20"/>
              <w:jc w:val="right"/>
            </w:pPr>
            <w:r>
              <w:rPr>
                <w:color w:val="1C3A36"/>
                <w:sz w:val="16"/>
              </w:rPr>
              <w:t>(824)</w:t>
            </w:r>
          </w:p>
        </w:tc>
        <w:tc>
          <w:tcPr>
            <w:tcW w:type="dxa" w:w="1015"/>
          </w:tcPr>
          <w:p>
            <w:pPr>
              <w:spacing w:after="20"/>
              <w:jc w:val="right"/>
            </w:pPr>
            <w:r>
              <w:rPr>
                <w:color w:val="1C3A36"/>
                <w:sz w:val="16"/>
              </w:rPr>
              <w:t>(1,421)</w:t>
            </w:r>
          </w:p>
        </w:tc>
        <w:tc>
          <w:tcPr>
            <w:tcW w:type="dxa" w:w="1015"/>
          </w:tcPr>
          <w:p>
            <w:pPr>
              <w:spacing w:after="20"/>
              <w:jc w:val="right"/>
            </w:pPr>
            <w:r>
              <w:rPr>
                <w:color w:val="1C3A36"/>
                <w:sz w:val="16"/>
              </w:rPr>
              <w:t>(1,451)</w:t>
            </w:r>
          </w:p>
        </w:tc>
        <w:tc>
          <w:tcPr>
            <w:tcW w:type="dxa" w:w="1015"/>
          </w:tcPr>
          <w:p>
            <w:pPr>
              <w:spacing w:after="20"/>
              <w:jc w:val="right"/>
            </w:pPr>
            <w:r>
              <w:rPr>
                <w:color w:val="1C3A36"/>
                <w:sz w:val="16"/>
              </w:rPr>
              <w:t>(1,480)</w:t>
            </w:r>
          </w:p>
        </w:tc>
        <w:tc>
          <w:tcPr>
            <w:tcW w:type="dxa" w:w="1015"/>
          </w:tcPr>
          <w:p>
            <w:pPr>
              <w:spacing w:after="20"/>
              <w:jc w:val="right"/>
            </w:pPr>
            <w:r>
              <w:rPr>
                <w:color w:val="1C3A36"/>
                <w:sz w:val="16"/>
              </w:rPr>
              <w:t>(1,510)</w:t>
            </w:r>
          </w:p>
        </w:tc>
        <w:tc>
          <w:tcPr>
            <w:tcW w:type="dxa" w:w="1015"/>
          </w:tcPr>
          <w:p>
            <w:pPr>
              <w:spacing w:after="20"/>
              <w:jc w:val="right"/>
            </w:pPr>
            <w:r>
              <w:rPr>
                <w:color w:val="1C3A36"/>
                <w:sz w:val="16"/>
              </w:rPr>
              <w:t>(1,540)</w:t>
            </w:r>
          </w:p>
        </w:tc>
      </w:tr>
      <w:tr>
        <w:tc>
          <w:tcPr>
            <w:tcW w:type="dxa" w:w="1967"/>
          </w:tcPr>
          <w:p>
            <w:pPr>
              <w:spacing w:after="20"/>
            </w:pPr>
            <w:r>
              <w:rPr>
                <w:b/>
                <w:color w:val="1C3A36"/>
                <w:sz w:val="16"/>
              </w:rPr>
              <w:t>Finance income</w:t>
            </w:r>
          </w:p>
        </w:tc>
        <w:tc>
          <w:tcPr>
            <w:tcW w:type="dxa" w:w="1015"/>
          </w:tcPr>
          <w:p>
            <w:pPr>
              <w:spacing w:after="20"/>
              <w:jc w:val="right"/>
            </w:pPr>
            <w:r>
              <w:rPr>
                <w:color w:val="1C3A36"/>
                <w:sz w:val="16"/>
              </w:rPr>
              <w:t>1,482</w:t>
            </w:r>
          </w:p>
        </w:tc>
        <w:tc>
          <w:tcPr>
            <w:tcW w:type="dxa" w:w="1015"/>
          </w:tcPr>
          <w:p>
            <w:pPr>
              <w:spacing w:after="20"/>
              <w:jc w:val="right"/>
            </w:pPr>
            <w:r>
              <w:rPr>
                <w:color w:val="1C3A36"/>
                <w:sz w:val="16"/>
              </w:rPr>
              <w:t>1,718</w:t>
            </w:r>
          </w:p>
        </w:tc>
        <w:tc>
          <w:tcPr>
            <w:tcW w:type="dxa" w:w="1015"/>
          </w:tcPr>
          <w:p>
            <w:pPr>
              <w:spacing w:after="20"/>
              <w:jc w:val="right"/>
            </w:pPr>
            <w:r>
              <w:rPr>
                <w:color w:val="1C3A36"/>
                <w:sz w:val="16"/>
              </w:rPr>
              <w:t>1,276</w:t>
            </w:r>
          </w:p>
        </w:tc>
        <w:tc>
          <w:tcPr>
            <w:tcW w:type="dxa" w:w="1015"/>
          </w:tcPr>
          <w:p>
            <w:pPr>
              <w:spacing w:after="20"/>
              <w:jc w:val="right"/>
            </w:pPr>
            <w:r>
              <w:rPr>
                <w:color w:val="1C3A36"/>
                <w:sz w:val="16"/>
              </w:rPr>
              <w:t>952</w:t>
            </w:r>
          </w:p>
        </w:tc>
        <w:tc>
          <w:tcPr>
            <w:tcW w:type="dxa" w:w="1015"/>
          </w:tcPr>
          <w:p>
            <w:pPr>
              <w:spacing w:after="20"/>
              <w:jc w:val="right"/>
            </w:pPr>
            <w:r>
              <w:rPr>
                <w:color w:val="1C3A36"/>
                <w:sz w:val="16"/>
              </w:rPr>
              <w:t>972</w:t>
            </w:r>
          </w:p>
        </w:tc>
        <w:tc>
          <w:tcPr>
            <w:tcW w:type="dxa" w:w="1015"/>
          </w:tcPr>
          <w:p>
            <w:pPr>
              <w:spacing w:after="20"/>
              <w:jc w:val="right"/>
            </w:pPr>
            <w:r>
              <w:rPr>
                <w:color w:val="1C3A36"/>
                <w:sz w:val="16"/>
              </w:rPr>
              <w:t>991</w:t>
            </w:r>
          </w:p>
        </w:tc>
        <w:tc>
          <w:tcPr>
            <w:tcW w:type="dxa" w:w="1015"/>
          </w:tcPr>
          <w:p>
            <w:pPr>
              <w:spacing w:after="20"/>
              <w:jc w:val="right"/>
            </w:pPr>
            <w:r>
              <w:rPr>
                <w:color w:val="1C3A36"/>
                <w:sz w:val="16"/>
              </w:rPr>
              <w:t>1,011</w:t>
            </w:r>
          </w:p>
        </w:tc>
        <w:tc>
          <w:tcPr>
            <w:tcW w:type="dxa" w:w="1015"/>
          </w:tcPr>
          <w:p>
            <w:pPr>
              <w:spacing w:after="20"/>
              <w:jc w:val="right"/>
            </w:pPr>
            <w:r>
              <w:rPr>
                <w:color w:val="1C3A36"/>
                <w:sz w:val="16"/>
              </w:rPr>
              <w:t>1,031</w:t>
            </w:r>
          </w:p>
        </w:tc>
      </w:tr>
      <w:tr>
        <w:tc>
          <w:tcPr>
            <w:tcW w:type="dxa" w:w="1967"/>
          </w:tcPr>
          <w:p>
            <w:pPr>
              <w:spacing w:after="20"/>
            </w:pPr>
            <w:r>
              <w:rPr>
                <w:b/>
                <w:color w:val="1C3A36"/>
                <w:sz w:val="16"/>
              </w:rPr>
              <w:t>Finance cost</w:t>
            </w:r>
          </w:p>
        </w:tc>
        <w:tc>
          <w:tcPr>
            <w:tcW w:type="dxa" w:w="1015"/>
          </w:tcPr>
          <w:p>
            <w:pPr>
              <w:spacing w:after="20"/>
              <w:jc w:val="right"/>
            </w:pPr>
            <w:r>
              <w:rPr>
                <w:color w:val="1C3A36"/>
                <w:sz w:val="16"/>
              </w:rPr>
              <w:t>(1,068)</w:t>
            </w:r>
          </w:p>
        </w:tc>
        <w:tc>
          <w:tcPr>
            <w:tcW w:type="dxa" w:w="1015"/>
          </w:tcPr>
          <w:p>
            <w:pPr>
              <w:spacing w:after="20"/>
              <w:jc w:val="right"/>
            </w:pPr>
            <w:r>
              <w:rPr>
                <w:color w:val="1C3A36"/>
                <w:sz w:val="16"/>
              </w:rPr>
              <w:t>(1,234)</w:t>
            </w:r>
          </w:p>
        </w:tc>
        <w:tc>
          <w:tcPr>
            <w:tcW w:type="dxa" w:w="1015"/>
          </w:tcPr>
          <w:p>
            <w:pPr>
              <w:spacing w:after="20"/>
              <w:jc w:val="right"/>
            </w:pPr>
            <w:r>
              <w:rPr>
                <w:color w:val="1C3A36"/>
                <w:sz w:val="16"/>
              </w:rPr>
              <w:t>(1,125)</w:t>
            </w:r>
          </w:p>
        </w:tc>
        <w:tc>
          <w:tcPr>
            <w:tcW w:type="dxa" w:w="1015"/>
          </w:tcPr>
          <w:p>
            <w:pPr>
              <w:spacing w:after="20"/>
              <w:jc w:val="right"/>
            </w:pPr>
            <w:r>
              <w:rPr>
                <w:color w:val="1C3A36"/>
                <w:sz w:val="16"/>
              </w:rPr>
              <w:t>(1,444)</w:t>
            </w:r>
          </w:p>
        </w:tc>
        <w:tc>
          <w:tcPr>
            <w:tcW w:type="dxa" w:w="1015"/>
          </w:tcPr>
          <w:p>
            <w:pPr>
              <w:spacing w:after="20"/>
              <w:jc w:val="right"/>
            </w:pPr>
            <w:r>
              <w:rPr>
                <w:color w:val="1C3A36"/>
                <w:sz w:val="16"/>
              </w:rPr>
              <w:t>(1,474)</w:t>
            </w:r>
          </w:p>
        </w:tc>
        <w:tc>
          <w:tcPr>
            <w:tcW w:type="dxa" w:w="1015"/>
          </w:tcPr>
          <w:p>
            <w:pPr>
              <w:spacing w:after="20"/>
              <w:jc w:val="right"/>
            </w:pPr>
            <w:r>
              <w:rPr>
                <w:color w:val="1C3A36"/>
                <w:sz w:val="16"/>
              </w:rPr>
              <w:t>(1,503)</w:t>
            </w:r>
          </w:p>
        </w:tc>
        <w:tc>
          <w:tcPr>
            <w:tcW w:type="dxa" w:w="1015"/>
          </w:tcPr>
          <w:p>
            <w:pPr>
              <w:spacing w:after="20"/>
              <w:jc w:val="right"/>
            </w:pPr>
            <w:r>
              <w:rPr>
                <w:color w:val="1C3A36"/>
                <w:sz w:val="16"/>
              </w:rPr>
              <w:t>(1,533)</w:t>
            </w:r>
          </w:p>
        </w:tc>
        <w:tc>
          <w:tcPr>
            <w:tcW w:type="dxa" w:w="1015"/>
          </w:tcPr>
          <w:p>
            <w:pPr>
              <w:spacing w:after="20"/>
              <w:jc w:val="right"/>
            </w:pPr>
            <w:r>
              <w:rPr>
                <w:color w:val="1C3A36"/>
                <w:sz w:val="16"/>
              </w:rPr>
              <w:t>(1,564)</w:t>
            </w:r>
          </w:p>
        </w:tc>
      </w:tr>
      <w:tr>
        <w:tc>
          <w:tcPr>
            <w:tcW w:type="dxa" w:w="1967"/>
          </w:tcPr>
          <w:p>
            <w:pPr>
              <w:spacing w:after="20"/>
            </w:pPr>
            <w:r>
              <w:rPr>
                <w:b/>
                <w:color w:val="1C3A36"/>
                <w:sz w:val="16"/>
              </w:rPr>
              <w:t>Other income, associates and other gains</w:t>
            </w:r>
          </w:p>
        </w:tc>
        <w:tc>
          <w:tcPr>
            <w:tcW w:type="dxa" w:w="1015"/>
          </w:tcPr>
          <w:p>
            <w:pPr>
              <w:spacing w:after="20"/>
              <w:jc w:val="right"/>
            </w:pPr>
            <w:r>
              <w:rPr>
                <w:color w:val="1C3A36"/>
                <w:sz w:val="16"/>
              </w:rPr>
              <w:t>1,275</w:t>
            </w:r>
          </w:p>
        </w:tc>
        <w:tc>
          <w:tcPr>
            <w:tcW w:type="dxa" w:w="1015"/>
          </w:tcPr>
          <w:p>
            <w:pPr>
              <w:spacing w:after="20"/>
              <w:jc w:val="right"/>
            </w:pPr>
            <w:r>
              <w:rPr>
                <w:color w:val="1C3A36"/>
                <w:sz w:val="16"/>
              </w:rPr>
              <w:t>-198</w:t>
            </w:r>
          </w:p>
        </w:tc>
        <w:tc>
          <w:tcPr>
            <w:tcW w:type="dxa" w:w="1015"/>
          </w:tcPr>
          <w:p>
            <w:pPr>
              <w:spacing w:after="20"/>
              <w:jc w:val="right"/>
            </w:pPr>
            <w:r>
              <w:rPr>
                <w:color w:val="1C3A36"/>
                <w:sz w:val="16"/>
              </w:rPr>
              <w:t>957</w:t>
            </w:r>
          </w:p>
        </w:tc>
        <w:tc>
          <w:tcPr>
            <w:tcW w:type="dxa" w:w="1015"/>
          </w:tcPr>
          <w:p>
            <w:pPr>
              <w:spacing w:after="20"/>
              <w:jc w:val="right"/>
            </w:pPr>
            <w:r>
              <w:rPr>
                <w:color w:val="1C3A36"/>
                <w:sz w:val="16"/>
              </w:rPr>
              <w:t>not forecast</w:t>
            </w:r>
          </w:p>
        </w:tc>
        <w:tc>
          <w:tcPr>
            <w:tcW w:type="dxa" w:w="1015"/>
          </w:tcPr>
          <w:p>
            <w:pPr>
              <w:spacing w:after="20"/>
              <w:jc w:val="right"/>
            </w:pPr>
            <w:r>
              <w:rPr>
                <w:color w:val="1C3A36"/>
                <w:sz w:val="16"/>
              </w:rPr>
              <w:t>not forecast</w:t>
            </w:r>
          </w:p>
        </w:tc>
        <w:tc>
          <w:tcPr>
            <w:tcW w:type="dxa" w:w="1015"/>
          </w:tcPr>
          <w:p>
            <w:pPr>
              <w:spacing w:after="20"/>
              <w:jc w:val="right"/>
            </w:pPr>
            <w:r>
              <w:rPr>
                <w:color w:val="1C3A36"/>
                <w:sz w:val="16"/>
              </w:rPr>
              <w:t>not forecast</w:t>
            </w:r>
          </w:p>
        </w:tc>
        <w:tc>
          <w:tcPr>
            <w:tcW w:type="dxa" w:w="1015"/>
          </w:tcPr>
          <w:p>
            <w:pPr>
              <w:spacing w:after="20"/>
              <w:jc w:val="right"/>
            </w:pPr>
            <w:r>
              <w:rPr>
                <w:color w:val="1C3A36"/>
                <w:sz w:val="16"/>
              </w:rPr>
              <w:t>not forecast</w:t>
            </w:r>
          </w:p>
        </w:tc>
        <w:tc>
          <w:tcPr>
            <w:tcW w:type="dxa" w:w="1015"/>
          </w:tcPr>
          <w:p>
            <w:pPr>
              <w:spacing w:after="20"/>
              <w:jc w:val="right"/>
            </w:pPr>
            <w:r>
              <w:rPr>
                <w:color w:val="1C3A36"/>
                <w:sz w:val="16"/>
              </w:rPr>
              <w:t>not forecast</w:t>
            </w:r>
          </w:p>
        </w:tc>
      </w:tr>
      <w:tr>
        <w:tc>
          <w:tcPr>
            <w:tcW w:type="dxa" w:w="1967"/>
          </w:tcPr>
          <w:p>
            <w:pPr>
              <w:spacing w:after="20"/>
            </w:pPr>
            <w:r>
              <w:rPr>
                <w:b/>
                <w:color w:val="1C3A36"/>
                <w:sz w:val="16"/>
              </w:rPr>
              <w:t>Profit before zakat and income tax</w:t>
            </w:r>
          </w:p>
        </w:tc>
        <w:tc>
          <w:tcPr>
            <w:tcW w:type="dxa" w:w="1015"/>
          </w:tcPr>
          <w:p>
            <w:pPr>
              <w:spacing w:after="20"/>
              <w:jc w:val="right"/>
            </w:pPr>
            <w:r>
              <w:rPr>
                <w:color w:val="1C3A36"/>
                <w:sz w:val="16"/>
              </w:rPr>
              <w:t>13,987</w:t>
            </w:r>
          </w:p>
        </w:tc>
        <w:tc>
          <w:tcPr>
            <w:tcW w:type="dxa" w:w="1015"/>
          </w:tcPr>
          <w:p>
            <w:pPr>
              <w:spacing w:after="20"/>
              <w:jc w:val="right"/>
            </w:pPr>
            <w:r>
              <w:rPr>
                <w:color w:val="1C3A36"/>
                <w:sz w:val="16"/>
              </w:rPr>
              <w:t>12,134</w:t>
            </w:r>
          </w:p>
        </w:tc>
        <w:tc>
          <w:tcPr>
            <w:tcW w:type="dxa" w:w="1015"/>
          </w:tcPr>
          <w:p>
            <w:pPr>
              <w:spacing w:after="20"/>
              <w:jc w:val="right"/>
            </w:pPr>
            <w:r>
              <w:rPr>
                <w:color w:val="1C3A36"/>
                <w:sz w:val="16"/>
              </w:rPr>
              <w:t>14,723</w:t>
            </w:r>
          </w:p>
        </w:tc>
        <w:tc>
          <w:tcPr>
            <w:tcW w:type="dxa" w:w="1015"/>
          </w:tcPr>
          <w:p>
            <w:pPr>
              <w:spacing w:after="20"/>
              <w:jc w:val="right"/>
            </w:pPr>
            <w:r>
              <w:rPr>
                <w:color w:val="1C3A36"/>
                <w:sz w:val="16"/>
              </w:rPr>
              <w:t>13,562</w:t>
            </w:r>
          </w:p>
        </w:tc>
        <w:tc>
          <w:tcPr>
            <w:tcW w:type="dxa" w:w="1015"/>
          </w:tcPr>
          <w:p>
            <w:pPr>
              <w:spacing w:after="20"/>
              <w:jc w:val="right"/>
            </w:pPr>
            <w:r>
              <w:rPr>
                <w:color w:val="1C3A36"/>
                <w:sz w:val="16"/>
              </w:rPr>
              <w:t>13,887</w:t>
            </w:r>
          </w:p>
        </w:tc>
        <w:tc>
          <w:tcPr>
            <w:tcW w:type="dxa" w:w="1015"/>
          </w:tcPr>
          <w:p>
            <w:pPr>
              <w:spacing w:after="20"/>
              <w:jc w:val="right"/>
            </w:pPr>
            <w:r>
              <w:rPr>
                <w:color w:val="1C3A36"/>
                <w:sz w:val="16"/>
              </w:rPr>
              <w:t>14,181</w:t>
            </w:r>
          </w:p>
        </w:tc>
        <w:tc>
          <w:tcPr>
            <w:tcW w:type="dxa" w:w="1015"/>
          </w:tcPr>
          <w:p>
            <w:pPr>
              <w:spacing w:after="20"/>
              <w:jc w:val="right"/>
            </w:pPr>
            <w:r>
              <w:rPr>
                <w:color w:val="1C3A36"/>
                <w:sz w:val="16"/>
              </w:rPr>
              <w:t>14,449</w:t>
            </w:r>
          </w:p>
        </w:tc>
        <w:tc>
          <w:tcPr>
            <w:tcW w:type="dxa" w:w="1015"/>
          </w:tcPr>
          <w:p>
            <w:pPr>
              <w:spacing w:after="20"/>
              <w:jc w:val="right"/>
            </w:pPr>
            <w:r>
              <w:rPr>
                <w:color w:val="1C3A36"/>
                <w:sz w:val="16"/>
              </w:rPr>
              <w:t>14,680</w:t>
            </w:r>
          </w:p>
        </w:tc>
      </w:tr>
      <w:tr>
        <w:tc>
          <w:tcPr>
            <w:tcW w:type="dxa" w:w="1967"/>
          </w:tcPr>
          <w:p>
            <w:pPr>
              <w:spacing w:after="20"/>
            </w:pPr>
            <w:r>
              <w:rPr>
                <w:b/>
                <w:color w:val="1C3A36"/>
                <w:sz w:val="16"/>
              </w:rPr>
              <w:t>Zakat and income tax</w:t>
            </w:r>
          </w:p>
        </w:tc>
        <w:tc>
          <w:tcPr>
            <w:tcW w:type="dxa" w:w="1015"/>
          </w:tcPr>
          <w:p>
            <w:pPr>
              <w:spacing w:after="20"/>
              <w:jc w:val="right"/>
            </w:pPr>
            <w:r>
              <w:rPr>
                <w:color w:val="1C3A36"/>
                <w:sz w:val="16"/>
              </w:rPr>
              <w:t>(1,327)</w:t>
            </w:r>
          </w:p>
        </w:tc>
        <w:tc>
          <w:tcPr>
            <w:tcW w:type="dxa" w:w="1015"/>
          </w:tcPr>
          <w:p>
            <w:pPr>
              <w:spacing w:after="20"/>
              <w:jc w:val="right"/>
            </w:pPr>
            <w:r>
              <w:rPr>
                <w:color w:val="1C3A36"/>
                <w:sz w:val="16"/>
              </w:rPr>
              <w:t>(1,192)</w:t>
            </w:r>
          </w:p>
        </w:tc>
        <w:tc>
          <w:tcPr>
            <w:tcW w:type="dxa" w:w="1015"/>
          </w:tcPr>
          <w:p>
            <w:pPr>
              <w:spacing w:after="20"/>
              <w:jc w:val="right"/>
            </w:pPr>
            <w:r>
              <w:rPr>
                <w:color w:val="1C3A36"/>
                <w:sz w:val="16"/>
              </w:rPr>
              <w:t>466</w:t>
            </w:r>
          </w:p>
        </w:tc>
        <w:tc>
          <w:tcPr>
            <w:tcW w:type="dxa" w:w="1015"/>
          </w:tcPr>
          <w:p>
            <w:pPr>
              <w:spacing w:after="20"/>
              <w:jc w:val="right"/>
            </w:pPr>
            <w:r>
              <w:rPr>
                <w:color w:val="1C3A36"/>
                <w:sz w:val="16"/>
              </w:rPr>
              <w:t>(1,121)</w:t>
            </w:r>
          </w:p>
        </w:tc>
        <w:tc>
          <w:tcPr>
            <w:tcW w:type="dxa" w:w="1015"/>
          </w:tcPr>
          <w:p>
            <w:pPr>
              <w:spacing w:after="20"/>
              <w:jc w:val="right"/>
            </w:pPr>
            <w:r>
              <w:rPr>
                <w:color w:val="1C3A36"/>
                <w:sz w:val="16"/>
              </w:rPr>
              <w:t>(1,148)</w:t>
            </w:r>
          </w:p>
        </w:tc>
        <w:tc>
          <w:tcPr>
            <w:tcW w:type="dxa" w:w="1015"/>
          </w:tcPr>
          <w:p>
            <w:pPr>
              <w:spacing w:after="20"/>
              <w:jc w:val="right"/>
            </w:pPr>
            <w:r>
              <w:rPr>
                <w:color w:val="1C3A36"/>
                <w:sz w:val="16"/>
              </w:rPr>
              <w:t>(1,172)</w:t>
            </w:r>
          </w:p>
        </w:tc>
        <w:tc>
          <w:tcPr>
            <w:tcW w:type="dxa" w:w="1015"/>
          </w:tcPr>
          <w:p>
            <w:pPr>
              <w:spacing w:after="20"/>
              <w:jc w:val="right"/>
            </w:pPr>
            <w:r>
              <w:rPr>
                <w:color w:val="1C3A36"/>
                <w:sz w:val="16"/>
              </w:rPr>
              <w:t>(1,194)</w:t>
            </w:r>
          </w:p>
        </w:tc>
        <w:tc>
          <w:tcPr>
            <w:tcW w:type="dxa" w:w="1015"/>
          </w:tcPr>
          <w:p>
            <w:pPr>
              <w:spacing w:after="20"/>
              <w:jc w:val="right"/>
            </w:pPr>
            <w:r>
              <w:rPr>
                <w:color w:val="1C3A36"/>
                <w:sz w:val="16"/>
              </w:rPr>
              <w:t>(1,214)</w:t>
            </w:r>
          </w:p>
        </w:tc>
      </w:tr>
      <w:tr>
        <w:tc>
          <w:tcPr>
            <w:tcW w:type="dxa" w:w="1967"/>
          </w:tcPr>
          <w:p>
            <w:pPr>
              <w:spacing w:after="20"/>
            </w:pPr>
            <w:r>
              <w:rPr>
                <w:b/>
                <w:color w:val="1C3A36"/>
                <w:sz w:val="16"/>
              </w:rPr>
              <w:t>Profit from continuing operations</w:t>
            </w:r>
          </w:p>
        </w:tc>
        <w:tc>
          <w:tcPr>
            <w:tcW w:type="dxa" w:w="1015"/>
          </w:tcPr>
          <w:p>
            <w:pPr>
              <w:spacing w:after="20"/>
              <w:jc w:val="right"/>
            </w:pPr>
            <w:r>
              <w:rPr>
                <w:color w:val="1C3A36"/>
                <w:sz w:val="16"/>
              </w:rPr>
              <w:t>12,660</w:t>
            </w:r>
          </w:p>
        </w:tc>
        <w:tc>
          <w:tcPr>
            <w:tcW w:type="dxa" w:w="1015"/>
          </w:tcPr>
          <w:p>
            <w:pPr>
              <w:spacing w:after="20"/>
              <w:jc w:val="right"/>
            </w:pPr>
            <w:r>
              <w:rPr>
                <w:color w:val="1C3A36"/>
                <w:sz w:val="16"/>
              </w:rPr>
              <w:t>10,943</w:t>
            </w:r>
          </w:p>
        </w:tc>
        <w:tc>
          <w:tcPr>
            <w:tcW w:type="dxa" w:w="1015"/>
          </w:tcPr>
          <w:p>
            <w:pPr>
              <w:spacing w:after="20"/>
              <w:jc w:val="right"/>
            </w:pPr>
            <w:r>
              <w:rPr>
                <w:color w:val="1C3A36"/>
                <w:sz w:val="16"/>
              </w:rPr>
              <w:t>15,189</w:t>
            </w:r>
          </w:p>
        </w:tc>
        <w:tc>
          <w:tcPr>
            <w:tcW w:type="dxa" w:w="1015"/>
          </w:tcPr>
          <w:p>
            <w:pPr>
              <w:spacing w:after="20"/>
              <w:jc w:val="right"/>
            </w:pPr>
            <w:r>
              <w:rPr>
                <w:color w:val="1C3A36"/>
                <w:sz w:val="16"/>
              </w:rPr>
              <w:t>12,440</w:t>
            </w:r>
          </w:p>
        </w:tc>
        <w:tc>
          <w:tcPr>
            <w:tcW w:type="dxa" w:w="1015"/>
          </w:tcPr>
          <w:p>
            <w:pPr>
              <w:spacing w:after="20"/>
              <w:jc w:val="right"/>
            </w:pPr>
            <w:r>
              <w:rPr>
                <w:color w:val="1C3A36"/>
                <w:sz w:val="16"/>
              </w:rPr>
              <w:t>12,739</w:t>
            </w:r>
          </w:p>
        </w:tc>
        <w:tc>
          <w:tcPr>
            <w:tcW w:type="dxa" w:w="1015"/>
          </w:tcPr>
          <w:p>
            <w:pPr>
              <w:spacing w:after="20"/>
              <w:jc w:val="right"/>
            </w:pPr>
            <w:r>
              <w:rPr>
                <w:color w:val="1C3A36"/>
                <w:sz w:val="16"/>
              </w:rPr>
              <w:t>13,009</w:t>
            </w:r>
          </w:p>
        </w:tc>
        <w:tc>
          <w:tcPr>
            <w:tcW w:type="dxa" w:w="1015"/>
          </w:tcPr>
          <w:p>
            <w:pPr>
              <w:spacing w:after="20"/>
              <w:jc w:val="right"/>
            </w:pPr>
            <w:r>
              <w:rPr>
                <w:color w:val="1C3A36"/>
                <w:sz w:val="16"/>
              </w:rPr>
              <w:t>13,254</w:t>
            </w:r>
          </w:p>
        </w:tc>
        <w:tc>
          <w:tcPr>
            <w:tcW w:type="dxa" w:w="1015"/>
          </w:tcPr>
          <w:p>
            <w:pPr>
              <w:spacing w:after="20"/>
              <w:jc w:val="right"/>
            </w:pPr>
            <w:r>
              <w:rPr>
                <w:color w:val="1C3A36"/>
                <w:sz w:val="16"/>
              </w:rPr>
              <w:t>13,467</w:t>
            </w:r>
          </w:p>
        </w:tc>
      </w:tr>
    </w:tbl>
    <w:p>
      <w:pPr>
        <w:spacing w:after="40"/>
      </w:pPr>
    </w:p>
    <w:p>
      <w:pPr>
        <w:spacing w:after="200" w:before="0"/>
      </w:pPr>
      <w:r>
        <w:rPr>
          <w:b w:val="0"/>
          <w:i/>
          <w:color w:val="6E7B77"/>
          <w:sz w:val="17"/>
        </w:rPr>
        <w:t>The three filed years are note 9's own reconciliation of segment revenue to profit from continuing operations, and they foot to the riyal in every column. THREE LINES ARE NOT FORECAST AND THE TABLE SAYS SO RATHER THAN LEAVING A READER TO NOTICE: net other income, the share of associates and net other gains have no disclosed driver between them and were worth 957 million in FY2025 alone, so the projected profit is BELOW what the same company would report if they recurred. Zakat is the rate the three years imply on profit before zakat, 8.27 per cent, with the reversal of prior years' provision that note 33(a) names put back — carrying that reversal forward would read 5.02 per cent and assume the company keeps finding it has over-provided.</w:t>
      </w:r>
    </w:p>
    <w:p>
      <w:pPr>
        <w:spacing w:after="80" w:before="200"/>
      </w:pPr>
      <w:r>
        <w:rPr>
          <w:b/>
          <w:i w:val="0"/>
          <w:color w:val="1C3A36"/>
          <w:sz w:val="24"/>
        </w:rPr>
        <w:t>A.2  Balance sheet — the filed years, and why there is no forecast column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8712" w:type="dxa"/>
      </w:tblPr>
      <w:tblGrid>
        <w:gridCol w:w="4608"/>
        <w:gridCol w:w="1368"/>
        <w:gridCol w:w="1368"/>
        <w:gridCol w:w="1368"/>
      </w:tblGrid>
      <w:tr>
        <w:tc>
          <w:tcPr>
            <w:tcW w:type="dxa" w:w="4608"/>
            <w:shd w:val="clear" w:color="auto" w:fill="EAF0EE"/>
          </w:tcPr>
          <w:p>
            <w:pPr>
              <w:spacing w:after="20"/>
            </w:pPr>
            <w:r>
              <w:rPr>
                <w:b/>
                <w:color w:val="1C3A36"/>
                <w:sz w:val="16"/>
              </w:rPr>
              <w:t>Line</w:t>
            </w:r>
          </w:p>
        </w:tc>
        <w:tc>
          <w:tcPr>
            <w:tcW w:type="dxa" w:w="1368"/>
            <w:shd w:val="clear" w:color="auto" w:fill="EAF0EE"/>
          </w:tcPr>
          <w:p>
            <w:pPr>
              <w:spacing w:after="20"/>
            </w:pPr>
            <w:r>
              <w:rPr>
                <w:b/>
                <w:color w:val="1C3A36"/>
                <w:sz w:val="16"/>
              </w:rPr>
              <w:t>FY23</w:t>
            </w:r>
          </w:p>
        </w:tc>
        <w:tc>
          <w:tcPr>
            <w:tcW w:type="dxa" w:w="1368"/>
            <w:shd w:val="clear" w:color="auto" w:fill="EAF0EE"/>
          </w:tcPr>
          <w:p>
            <w:pPr>
              <w:spacing w:after="20"/>
            </w:pPr>
            <w:r>
              <w:rPr>
                <w:b/>
                <w:color w:val="1C3A36"/>
                <w:sz w:val="16"/>
              </w:rPr>
              <w:t>FY24</w:t>
            </w:r>
          </w:p>
        </w:tc>
        <w:tc>
          <w:tcPr>
            <w:tcW w:type="dxa" w:w="1368"/>
            <w:shd w:val="clear" w:color="auto" w:fill="EAF0EE"/>
          </w:tcPr>
          <w:p>
            <w:pPr>
              <w:spacing w:after="20"/>
            </w:pPr>
            <w:r>
              <w:rPr>
                <w:b/>
                <w:color w:val="1C3A36"/>
                <w:sz w:val="16"/>
              </w:rPr>
              <w:t>FY25</w:t>
            </w:r>
          </w:p>
        </w:tc>
      </w:tr>
      <w:tr>
        <w:tc>
          <w:tcPr>
            <w:tcW w:type="dxa" w:w="4608"/>
          </w:tcPr>
          <w:p>
            <w:pPr>
              <w:spacing w:after="20"/>
            </w:pPr>
            <w:r>
              <w:rPr>
                <w:b/>
                <w:color w:val="1C3A36"/>
                <w:sz w:val="16"/>
              </w:rPr>
              <w:t>Total assets</w:t>
            </w:r>
          </w:p>
        </w:tc>
        <w:tc>
          <w:tcPr>
            <w:tcW w:type="dxa" w:w="1368"/>
          </w:tcPr>
          <w:p>
            <w:pPr>
              <w:spacing w:after="20"/>
              <w:jc w:val="right"/>
            </w:pPr>
            <w:r>
              <w:rPr>
                <w:color w:val="1C3A36"/>
                <w:sz w:val="16"/>
              </w:rPr>
              <w:t>159,646</w:t>
            </w:r>
          </w:p>
        </w:tc>
        <w:tc>
          <w:tcPr>
            <w:tcW w:type="dxa" w:w="1368"/>
          </w:tcPr>
          <w:p>
            <w:pPr>
              <w:spacing w:after="20"/>
              <w:jc w:val="right"/>
            </w:pPr>
            <w:r>
              <w:rPr>
                <w:color w:val="1C3A36"/>
                <w:sz w:val="16"/>
              </w:rPr>
              <w:t>160,638</w:t>
            </w:r>
          </w:p>
        </w:tc>
        <w:tc>
          <w:tcPr>
            <w:tcW w:type="dxa" w:w="1368"/>
          </w:tcPr>
          <w:p>
            <w:pPr>
              <w:spacing w:after="20"/>
              <w:jc w:val="right"/>
            </w:pPr>
            <w:r>
              <w:rPr>
                <w:color w:val="1C3A36"/>
                <w:sz w:val="16"/>
              </w:rPr>
              <w:t>157,477</w:t>
            </w:r>
          </w:p>
        </w:tc>
      </w:tr>
      <w:tr>
        <w:tc>
          <w:tcPr>
            <w:tcW w:type="dxa" w:w="4608"/>
          </w:tcPr>
          <w:p>
            <w:pPr>
              <w:spacing w:after="20"/>
            </w:pPr>
            <w:r>
              <w:rPr>
                <w:b/>
                <w:color w:val="1C3A36"/>
                <w:sz w:val="16"/>
              </w:rPr>
              <w:t>Cash and equivalents</w:t>
            </w:r>
          </w:p>
        </w:tc>
        <w:tc>
          <w:tcPr>
            <w:tcW w:type="dxa" w:w="1368"/>
          </w:tcPr>
          <w:p>
            <w:pPr>
              <w:spacing w:after="20"/>
              <w:jc w:val="right"/>
            </w:pPr>
            <w:r>
              <w:rPr>
                <w:color w:val="1C3A36"/>
                <w:sz w:val="16"/>
              </w:rPr>
              <w:t>28,138</w:t>
            </w:r>
          </w:p>
        </w:tc>
        <w:tc>
          <w:tcPr>
            <w:tcW w:type="dxa" w:w="1368"/>
          </w:tcPr>
          <w:p>
            <w:pPr>
              <w:spacing w:after="20"/>
              <w:jc w:val="right"/>
            </w:pPr>
            <w:r>
              <w:rPr>
                <w:color w:val="1C3A36"/>
                <w:sz w:val="16"/>
              </w:rPr>
              <w:t>30,755</w:t>
            </w:r>
          </w:p>
        </w:tc>
        <w:tc>
          <w:tcPr>
            <w:tcW w:type="dxa" w:w="1368"/>
          </w:tcPr>
          <w:p>
            <w:pPr>
              <w:spacing w:after="20"/>
              <w:jc w:val="right"/>
            </w:pPr>
            <w:r>
              <w:rPr>
                <w:color w:val="1C3A36"/>
                <w:sz w:val="16"/>
              </w:rPr>
              <w:t>15,080</w:t>
            </w:r>
          </w:p>
        </w:tc>
      </w:tr>
      <w:tr>
        <w:tc>
          <w:tcPr>
            <w:tcW w:type="dxa" w:w="4608"/>
          </w:tcPr>
          <w:p>
            <w:pPr>
              <w:spacing w:after="20"/>
            </w:pPr>
            <w:r>
              <w:rPr>
                <w:b/>
                <w:color w:val="1C3A36"/>
                <w:sz w:val="16"/>
              </w:rPr>
              <w:t>Borrowings</w:t>
            </w:r>
          </w:p>
        </w:tc>
        <w:tc>
          <w:tcPr>
            <w:tcW w:type="dxa" w:w="1368"/>
          </w:tcPr>
          <w:p>
            <w:pPr>
              <w:spacing w:after="20"/>
              <w:jc w:val="right"/>
            </w:pPr>
            <w:r>
              <w:rPr>
                <w:color w:val="1C3A36"/>
                <w:sz w:val="16"/>
              </w:rPr>
              <w:t>(21,958)</w:t>
            </w:r>
          </w:p>
        </w:tc>
        <w:tc>
          <w:tcPr>
            <w:tcW w:type="dxa" w:w="1368"/>
          </w:tcPr>
          <w:p>
            <w:pPr>
              <w:spacing w:after="20"/>
              <w:jc w:val="right"/>
            </w:pPr>
            <w:r>
              <w:rPr>
                <w:color w:val="1C3A36"/>
                <w:sz w:val="16"/>
              </w:rPr>
              <w:t>(15,132)</w:t>
            </w:r>
          </w:p>
        </w:tc>
        <w:tc>
          <w:tcPr>
            <w:tcW w:type="dxa" w:w="1368"/>
          </w:tcPr>
          <w:p>
            <w:pPr>
              <w:spacing w:after="20"/>
              <w:jc w:val="right"/>
            </w:pPr>
            <w:r>
              <w:rPr>
                <w:color w:val="1C3A36"/>
                <w:sz w:val="16"/>
              </w:rPr>
              <w:t>(15,191)</w:t>
            </w:r>
          </w:p>
        </w:tc>
      </w:tr>
      <w:tr>
        <w:tc>
          <w:tcPr>
            <w:tcW w:type="dxa" w:w="4608"/>
          </w:tcPr>
          <w:p>
            <w:pPr>
              <w:spacing w:after="20"/>
            </w:pPr>
            <w:r>
              <w:rPr>
                <w:b/>
                <w:color w:val="1C3A36"/>
                <w:sz w:val="16"/>
              </w:rPr>
              <w:t>Equity attributable to the parent</w:t>
            </w:r>
          </w:p>
        </w:tc>
        <w:tc>
          <w:tcPr>
            <w:tcW w:type="dxa" w:w="1368"/>
          </w:tcPr>
          <w:p>
            <w:pPr>
              <w:spacing w:after="20"/>
              <w:jc w:val="right"/>
            </w:pPr>
            <w:r>
              <w:rPr>
                <w:color w:val="1C3A36"/>
                <w:sz w:val="16"/>
              </w:rPr>
              <w:t>78,985</w:t>
            </w:r>
          </w:p>
        </w:tc>
        <w:tc>
          <w:tcPr>
            <w:tcW w:type="dxa" w:w="1368"/>
          </w:tcPr>
          <w:p>
            <w:pPr>
              <w:spacing w:after="20"/>
              <w:jc w:val="right"/>
            </w:pPr>
            <w:r>
              <w:rPr>
                <w:color w:val="1C3A36"/>
                <w:sz w:val="16"/>
              </w:rPr>
              <w:t>89,417</w:t>
            </w:r>
          </w:p>
        </w:tc>
        <w:tc>
          <w:tcPr>
            <w:tcW w:type="dxa" w:w="1368"/>
          </w:tcPr>
          <w:p>
            <w:pPr>
              <w:spacing w:after="20"/>
              <w:jc w:val="right"/>
            </w:pPr>
            <w:r>
              <w:rPr>
                <w:color w:val="1C3A36"/>
                <w:sz w:val="16"/>
              </w:rPr>
              <w:t>83,414</w:t>
            </w:r>
          </w:p>
        </w:tc>
      </w:tr>
      <w:tr>
        <w:tc>
          <w:tcPr>
            <w:tcW w:type="dxa" w:w="4608"/>
          </w:tcPr>
          <w:p>
            <w:pPr>
              <w:spacing w:after="20"/>
            </w:pPr>
            <w:r>
              <w:rPr>
                <w:b/>
                <w:color w:val="1C3A36"/>
                <w:sz w:val="16"/>
              </w:rPr>
              <w:t>Non-controlling interests</w:t>
            </w:r>
          </w:p>
        </w:tc>
        <w:tc>
          <w:tcPr>
            <w:tcW w:type="dxa" w:w="1368"/>
          </w:tcPr>
          <w:p>
            <w:pPr>
              <w:spacing w:after="20"/>
              <w:jc w:val="right"/>
            </w:pPr>
            <w:r>
              <w:rPr>
                <w:color w:val="1C3A36"/>
                <w:sz w:val="16"/>
              </w:rPr>
              <w:t>2,530</w:t>
            </w:r>
          </w:p>
        </w:tc>
        <w:tc>
          <w:tcPr>
            <w:tcW w:type="dxa" w:w="1368"/>
          </w:tcPr>
          <w:p>
            <w:pPr>
              <w:spacing w:after="20"/>
              <w:jc w:val="right"/>
            </w:pPr>
            <w:r>
              <w:rPr>
                <w:color w:val="1C3A36"/>
                <w:sz w:val="16"/>
              </w:rPr>
              <w:t>3,069</w:t>
            </w:r>
          </w:p>
        </w:tc>
        <w:tc>
          <w:tcPr>
            <w:tcW w:type="dxa" w:w="1368"/>
          </w:tcPr>
          <w:p>
            <w:pPr>
              <w:spacing w:after="20"/>
              <w:jc w:val="right"/>
            </w:pPr>
            <w:r>
              <w:rPr>
                <w:color w:val="1C3A36"/>
                <w:sz w:val="16"/>
              </w:rPr>
              <w:t>3,482</w:t>
            </w:r>
          </w:p>
        </w:tc>
      </w:tr>
    </w:tbl>
    <w:p>
      <w:pPr>
        <w:spacing w:after="40"/>
      </w:pPr>
    </w:p>
    <w:p>
      <w:pPr>
        <w:spacing w:after="200" w:before="0"/>
      </w:pPr>
      <w:r>
        <w:rPr>
          <w:b w:val="0"/>
          <w:i/>
          <w:color w:val="6E7B77"/>
          <w:sz w:val="17"/>
        </w:rPr>
        <w:t>THERE IS NO FORECAST BALANCE SHEET IN THIS EDITION AND THE REASON IS A DEFECT IN THE FILING RATHER THAN A GAP IN THE MODEL. The latest reviewed balance sheet does not add up in its own current column — four subtotals and both totals — while every prior-year column foots exactly. That was not assumed to be an extraction problem: the file was re-fetched from the company's own site, re-extracted, and re-read by optical character recognition off the page rendered at 300 dots per inch, and both routes return the same figures. A statement is used only if it foots against its own arithmetic, and solving for the six figures that would make it foot would be inventing them. The lines this study's valuation does use are corroborated instead by the same interim's CASH FLOW statement, to the riyal. The previous edition printed a forecast balance sheet whose gaps were filled with grouped estimates chosen to make a balance-check row read zero; a check that cannot fail is not a check, and it is not reprinted here.</w:t>
      </w:r>
    </w:p>
    <w:p>
      <w:pPr>
        <w:spacing w:after="80" w:before="200"/>
      </w:pPr>
      <w:r>
        <w:rPr>
          <w:b/>
          <w:i w:val="0"/>
          <w:color w:val="1C3A36"/>
          <w:sz w:val="24"/>
        </w:rPr>
        <w:t>A.3  Cash flow, the two free-cash-flow framings, and the dividend schedule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10080" w:type="dxa"/>
      </w:tblPr>
      <w:tblGrid>
        <w:gridCol w:w="3600"/>
        <w:gridCol w:w="1080"/>
        <w:gridCol w:w="1080"/>
        <w:gridCol w:w="1080"/>
        <w:gridCol w:w="1080"/>
        <w:gridCol w:w="1080"/>
        <w:gridCol w:w="1080"/>
      </w:tblGrid>
      <w:tr>
        <w:tc>
          <w:tcPr>
            <w:tcW w:type="dxa" w:w="3600"/>
            <w:shd w:val="clear" w:color="auto" w:fill="EAF0EE"/>
          </w:tcPr>
          <w:p>
            <w:pPr>
              <w:spacing w:after="20"/>
            </w:pPr>
            <w:r>
              <w:rPr>
                <w:b/>
                <w:color w:val="1C3A36"/>
                <w:sz w:val="17"/>
              </w:rPr>
              <w:t>Cash flow (SAR mn)</w:t>
            </w:r>
          </w:p>
        </w:tc>
        <w:tc>
          <w:tcPr>
            <w:tcW w:type="dxa" w:w="1080"/>
            <w:shd w:val="clear" w:color="auto" w:fill="EAF0EE"/>
          </w:tcPr>
          <w:p>
            <w:pPr>
              <w:spacing w:after="20"/>
            </w:pPr>
            <w:r>
              <w:rPr>
                <w:b/>
                <w:color w:val="1C3A36"/>
                <w:sz w:val="17"/>
              </w:rPr>
              <w:t>FY23</w:t>
            </w:r>
          </w:p>
        </w:tc>
        <w:tc>
          <w:tcPr>
            <w:tcW w:type="dxa" w:w="1080"/>
            <w:shd w:val="clear" w:color="auto" w:fill="EAF0EE"/>
          </w:tcPr>
          <w:p>
            <w:pPr>
              <w:spacing w:after="20"/>
            </w:pPr>
            <w:r>
              <w:rPr>
                <w:b/>
                <w:color w:val="1C3A36"/>
                <w:sz w:val="17"/>
              </w:rPr>
              <w:t>FY24</w:t>
            </w:r>
          </w:p>
        </w:tc>
        <w:tc>
          <w:tcPr>
            <w:tcW w:type="dxa" w:w="1080"/>
            <w:shd w:val="clear" w:color="auto" w:fill="EAF0EE"/>
          </w:tcPr>
          <w:p>
            <w:pPr>
              <w:spacing w:after="20"/>
            </w:pPr>
            <w:r>
              <w:rPr>
                <w:b/>
                <w:color w:val="1C3A36"/>
                <w:sz w:val="17"/>
              </w:rPr>
              <w:t>FY25</w:t>
            </w:r>
          </w:p>
        </w:tc>
        <w:tc>
          <w:tcPr>
            <w:tcW w:type="dxa" w:w="1080"/>
            <w:shd w:val="clear" w:color="auto" w:fill="EAF0EE"/>
          </w:tcPr>
          <w:p>
            <w:pPr>
              <w:spacing w:after="20"/>
            </w:pPr>
            <w:r>
              <w:rPr>
                <w:b/>
                <w:color w:val="1C3A36"/>
                <w:sz w:val="17"/>
              </w:rPr>
              <w:t>FY26E</w:t>
            </w:r>
          </w:p>
        </w:tc>
        <w:tc>
          <w:tcPr>
            <w:tcW w:type="dxa" w:w="1080"/>
            <w:shd w:val="clear" w:color="auto" w:fill="EAF0EE"/>
          </w:tcPr>
          <w:p>
            <w:pPr>
              <w:spacing w:after="20"/>
            </w:pPr>
            <w:r>
              <w:rPr>
                <w:b/>
                <w:color w:val="1C3A36"/>
                <w:sz w:val="17"/>
              </w:rPr>
              <w:t>FY28E</w:t>
            </w:r>
          </w:p>
        </w:tc>
        <w:tc>
          <w:tcPr>
            <w:tcW w:type="dxa" w:w="1080"/>
            <w:shd w:val="clear" w:color="auto" w:fill="EAF0EE"/>
          </w:tcPr>
          <w:p>
            <w:pPr>
              <w:spacing w:after="20"/>
            </w:pPr>
            <w:r>
              <w:rPr>
                <w:b/>
                <w:color w:val="1C3A36"/>
                <w:sz w:val="17"/>
              </w:rPr>
              <w:t>FY30E</w:t>
            </w:r>
          </w:p>
        </w:tc>
      </w:tr>
      <w:tr>
        <w:tc>
          <w:tcPr>
            <w:tcW w:type="dxa" w:w="3600"/>
          </w:tcPr>
          <w:p>
            <w:pPr>
              <w:spacing w:after="20"/>
            </w:pPr>
            <w:r>
              <w:rPr>
                <w:b/>
                <w:color w:val="1C3A36"/>
                <w:sz w:val="17"/>
              </w:rPr>
              <w:t>Operating cash flow (disclosed / model)</w:t>
            </w:r>
          </w:p>
        </w:tc>
        <w:tc>
          <w:tcPr>
            <w:tcW w:type="dxa" w:w="1080"/>
          </w:tcPr>
          <w:p>
            <w:pPr>
              <w:spacing w:after="20"/>
              <w:jc w:val="right"/>
            </w:pPr>
            <w:r>
              <w:rPr>
                <w:color w:val="1C3A36"/>
                <w:sz w:val="17"/>
              </w:rPr>
              <w:t>22,418</w:t>
            </w:r>
          </w:p>
        </w:tc>
        <w:tc>
          <w:tcPr>
            <w:tcW w:type="dxa" w:w="1080"/>
          </w:tcPr>
          <w:p>
            <w:pPr>
              <w:spacing w:after="20"/>
              <w:jc w:val="right"/>
            </w:pPr>
            <w:r>
              <w:rPr>
                <w:color w:val="1C3A36"/>
                <w:sz w:val="17"/>
              </w:rPr>
              <w:t>19,885</w:t>
            </w:r>
          </w:p>
        </w:tc>
        <w:tc>
          <w:tcPr>
            <w:tcW w:type="dxa" w:w="1080"/>
          </w:tcPr>
          <w:p>
            <w:pPr>
              <w:spacing w:after="20"/>
              <w:jc w:val="right"/>
            </w:pPr>
            <w:r>
              <w:rPr>
                <w:color w:val="1C3A36"/>
                <w:sz w:val="17"/>
              </w:rPr>
              <w:t>18,283</w:t>
            </w:r>
          </w:p>
        </w:tc>
        <w:tc>
          <w:tcPr>
            <w:tcW w:type="dxa" w:w="1080"/>
          </w:tcPr>
          <w:p>
            <w:pPr>
              <w:spacing w:after="20"/>
              <w:jc w:val="right"/>
            </w:pPr>
            <w:r>
              <w:rPr>
                <w:color w:val="1C3A36"/>
                <w:sz w:val="17"/>
              </w:rPr>
              <w:t>23,647</w:t>
            </w:r>
          </w:p>
        </w:tc>
        <w:tc>
          <w:tcPr>
            <w:tcW w:type="dxa" w:w="1080"/>
          </w:tcPr>
          <w:p>
            <w:pPr>
              <w:spacing w:after="20"/>
              <w:jc w:val="right"/>
            </w:pPr>
            <w:r>
              <w:rPr>
                <w:color w:val="1C3A36"/>
                <w:sz w:val="17"/>
              </w:rPr>
              <w:t>26,155</w:t>
            </w:r>
          </w:p>
        </w:tc>
        <w:tc>
          <w:tcPr>
            <w:tcW w:type="dxa" w:w="1080"/>
          </w:tcPr>
          <w:p>
            <w:pPr>
              <w:spacing w:after="20"/>
              <w:jc w:val="right"/>
            </w:pPr>
            <w:r>
              <w:rPr>
                <w:color w:val="1C3A36"/>
                <w:sz w:val="17"/>
              </w:rPr>
              <w:t>28,441</w:t>
            </w:r>
          </w:p>
        </w:tc>
      </w:tr>
      <w:tr>
        <w:tc>
          <w:tcPr>
            <w:tcW w:type="dxa" w:w="3600"/>
          </w:tcPr>
          <w:p>
            <w:pPr>
              <w:spacing w:after="20"/>
            </w:pPr>
            <w:r>
              <w:rPr>
                <w:b/>
                <w:color w:val="1C3A36"/>
                <w:sz w:val="17"/>
              </w:rPr>
              <w:t>Capex (disclosed / model)</w:t>
            </w:r>
          </w:p>
        </w:tc>
        <w:tc>
          <w:tcPr>
            <w:tcW w:type="dxa" w:w="1080"/>
          </w:tcPr>
          <w:p>
            <w:pPr>
              <w:spacing w:after="20"/>
              <w:jc w:val="right"/>
            </w:pPr>
            <w:r>
              <w:rPr>
                <w:color w:val="1C3A36"/>
                <w:sz w:val="17"/>
              </w:rPr>
              <w:t>(9,790)</w:t>
            </w:r>
          </w:p>
        </w:tc>
        <w:tc>
          <w:tcPr>
            <w:tcW w:type="dxa" w:w="1080"/>
          </w:tcPr>
          <w:p>
            <w:pPr>
              <w:spacing w:after="20"/>
              <w:jc w:val="right"/>
            </w:pPr>
            <w:r>
              <w:rPr>
                <w:color w:val="1C3A36"/>
                <w:sz w:val="17"/>
              </w:rPr>
              <w:t>(11,927)</w:t>
            </w:r>
          </w:p>
        </w:tc>
        <w:tc>
          <w:tcPr>
            <w:tcW w:type="dxa" w:w="1080"/>
          </w:tcPr>
          <w:p>
            <w:pPr>
              <w:spacing w:after="20"/>
              <w:jc w:val="right"/>
            </w:pPr>
            <w:r>
              <w:rPr>
                <w:color w:val="1C3A36"/>
                <w:sz w:val="17"/>
              </w:rPr>
              <w:t>(11,795)</w:t>
            </w:r>
          </w:p>
        </w:tc>
        <w:tc>
          <w:tcPr>
            <w:tcW w:type="dxa" w:w="1080"/>
          </w:tcPr>
          <w:p>
            <w:pPr>
              <w:spacing w:after="20"/>
              <w:jc w:val="right"/>
            </w:pPr>
            <w:r>
              <w:rPr>
                <w:color w:val="1C3A36"/>
                <w:sz w:val="17"/>
              </w:rPr>
              <w:t>(13,359)</w:t>
            </w:r>
          </w:p>
        </w:tc>
        <w:tc>
          <w:tcPr>
            <w:tcW w:type="dxa" w:w="1080"/>
          </w:tcPr>
          <w:p>
            <w:pPr>
              <w:spacing w:after="20"/>
              <w:jc w:val="right"/>
            </w:pPr>
            <w:r>
              <w:rPr>
                <w:color w:val="1C3A36"/>
                <w:sz w:val="17"/>
              </w:rPr>
              <w:t>(14,000)</w:t>
            </w:r>
          </w:p>
        </w:tc>
        <w:tc>
          <w:tcPr>
            <w:tcW w:type="dxa" w:w="1080"/>
          </w:tcPr>
          <w:p>
            <w:pPr>
              <w:spacing w:after="20"/>
              <w:jc w:val="right"/>
            </w:pPr>
            <w:r>
              <w:rPr>
                <w:color w:val="1C3A36"/>
                <w:sz w:val="17"/>
              </w:rPr>
              <w:t>(14,006)</w:t>
            </w:r>
          </w:p>
        </w:tc>
      </w:tr>
      <w:tr>
        <w:tc>
          <w:tcPr>
            <w:tcW w:type="dxa" w:w="3600"/>
          </w:tcPr>
          <w:p>
            <w:pPr>
              <w:spacing w:after="20"/>
            </w:pPr>
            <w:r>
              <w:rPr>
                <w:b/>
                <w:color w:val="1C3A36"/>
                <w:sz w:val="17"/>
              </w:rPr>
              <w:t>Free cash flow</w:t>
            </w:r>
          </w:p>
        </w:tc>
        <w:tc>
          <w:tcPr>
            <w:tcW w:type="dxa" w:w="1080"/>
          </w:tcPr>
          <w:p>
            <w:pPr>
              <w:spacing w:after="20"/>
              <w:jc w:val="right"/>
            </w:pPr>
            <w:r>
              <w:rPr>
                <w:color w:val="1C3A36"/>
                <w:sz w:val="17"/>
              </w:rPr>
              <w:t>12,628</w:t>
            </w:r>
          </w:p>
        </w:tc>
        <w:tc>
          <w:tcPr>
            <w:tcW w:type="dxa" w:w="1080"/>
          </w:tcPr>
          <w:p>
            <w:pPr>
              <w:spacing w:after="20"/>
              <w:jc w:val="right"/>
            </w:pPr>
            <w:r>
              <w:rPr>
                <w:color w:val="1C3A36"/>
                <w:sz w:val="17"/>
              </w:rPr>
              <w:t>7,959</w:t>
            </w:r>
          </w:p>
        </w:tc>
        <w:tc>
          <w:tcPr>
            <w:tcW w:type="dxa" w:w="1080"/>
          </w:tcPr>
          <w:p>
            <w:pPr>
              <w:spacing w:after="20"/>
              <w:jc w:val="right"/>
            </w:pPr>
            <w:r>
              <w:rPr>
                <w:color w:val="1C3A36"/>
                <w:sz w:val="17"/>
              </w:rPr>
              <w:t>6,488</w:t>
            </w:r>
          </w:p>
        </w:tc>
        <w:tc>
          <w:tcPr>
            <w:tcW w:type="dxa" w:w="1080"/>
          </w:tcPr>
          <w:p>
            <w:pPr>
              <w:spacing w:after="20"/>
              <w:jc w:val="right"/>
            </w:pPr>
            <w:r>
              <w:rPr>
                <w:color w:val="1C3A36"/>
                <w:sz w:val="17"/>
              </w:rPr>
              <w:t>10,287</w:t>
            </w:r>
          </w:p>
        </w:tc>
        <w:tc>
          <w:tcPr>
            <w:tcW w:type="dxa" w:w="1080"/>
          </w:tcPr>
          <w:p>
            <w:pPr>
              <w:spacing w:after="20"/>
              <w:jc w:val="right"/>
            </w:pPr>
            <w:r>
              <w:rPr>
                <w:color w:val="1C3A36"/>
                <w:sz w:val="17"/>
              </w:rPr>
              <w:t>12,156</w:t>
            </w:r>
          </w:p>
        </w:tc>
        <w:tc>
          <w:tcPr>
            <w:tcW w:type="dxa" w:w="1080"/>
          </w:tcPr>
          <w:p>
            <w:pPr>
              <w:spacing w:after="20"/>
              <w:jc w:val="right"/>
            </w:pPr>
            <w:r>
              <w:rPr>
                <w:color w:val="1C3A36"/>
                <w:sz w:val="17"/>
              </w:rPr>
              <w:t>14,435</w:t>
            </w:r>
          </w:p>
        </w:tc>
      </w:tr>
      <w:tr>
        <w:tc>
          <w:tcPr>
            <w:tcW w:type="dxa" w:w="3600"/>
          </w:tcPr>
          <w:p>
            <w:pPr>
              <w:spacing w:after="20"/>
            </w:pPr>
            <w:r>
              <w:rPr>
                <w:b/>
                <w:color w:val="1C3A36"/>
                <w:sz w:val="17"/>
              </w:rPr>
              <w:t>Dividends paid (attributable)</w:t>
            </w:r>
          </w:p>
        </w:tc>
        <w:tc>
          <w:tcPr>
            <w:tcW w:type="dxa" w:w="1080"/>
          </w:tcPr>
          <w:p>
            <w:pPr>
              <w:spacing w:after="20"/>
              <w:jc w:val="right"/>
            </w:pPr>
            <w:r>
              <w:rPr>
                <w:color w:val="1C3A36"/>
                <w:sz w:val="17"/>
              </w:rPr>
              <w:t>(8,000)</w:t>
            </w:r>
          </w:p>
        </w:tc>
        <w:tc>
          <w:tcPr>
            <w:tcW w:type="dxa" w:w="1080"/>
          </w:tcPr>
          <w:p>
            <w:pPr>
              <w:spacing w:after="20"/>
              <w:jc w:val="right"/>
            </w:pPr>
            <w:r>
              <w:rPr>
                <w:color w:val="1C3A36"/>
                <w:sz w:val="17"/>
              </w:rPr>
              <w:t>(18,712)</w:t>
            </w:r>
          </w:p>
        </w:tc>
        <w:tc>
          <w:tcPr>
            <w:tcW w:type="dxa" w:w="1080"/>
          </w:tcPr>
          <w:p>
            <w:pPr>
              <w:spacing w:after="20"/>
              <w:jc w:val="right"/>
            </w:pPr>
            <w:r>
              <w:rPr>
                <w:color w:val="1C3A36"/>
                <w:sz w:val="17"/>
              </w:rPr>
              <w:t>(10,978)</w:t>
            </w:r>
          </w:p>
        </w:tc>
        <w:tc>
          <w:tcPr>
            <w:tcW w:type="dxa" w:w="1080"/>
          </w:tcPr>
          <w:p>
            <w:pPr>
              <w:spacing w:after="20"/>
              <w:jc w:val="right"/>
            </w:pPr>
            <w:r>
              <w:rPr>
                <w:color w:val="1C3A36"/>
                <w:sz w:val="17"/>
              </w:rPr>
              <w:t>(10,978)</w:t>
            </w:r>
          </w:p>
        </w:tc>
        <w:tc>
          <w:tcPr>
            <w:tcW w:type="dxa" w:w="1080"/>
          </w:tcPr>
          <w:p>
            <w:pPr>
              <w:spacing w:after="20"/>
              <w:jc w:val="right"/>
            </w:pPr>
            <w:r>
              <w:rPr>
                <w:color w:val="1C3A36"/>
                <w:sz w:val="17"/>
              </w:rPr>
              <w:t>(11,477)</w:t>
            </w:r>
          </w:p>
        </w:tc>
        <w:tc>
          <w:tcPr>
            <w:tcW w:type="dxa" w:w="1080"/>
          </w:tcPr>
          <w:p>
            <w:pPr>
              <w:spacing w:after="20"/>
              <w:jc w:val="right"/>
            </w:pPr>
            <w:r>
              <w:rPr>
                <w:color w:val="1C3A36"/>
                <w:sz w:val="17"/>
              </w:rPr>
              <w:t>(12,724)</w:t>
            </w:r>
          </w:p>
        </w:tc>
      </w:tr>
    </w:tbl>
    <w:p>
      <w:pPr>
        <w:spacing w:after="40"/>
      </w:pPr>
    </w:p>
    <w:p>
      <w:pPr>
        <w:spacing w:after="200" w:before="0"/>
      </w:pPr>
      <w:r>
        <w:rPr>
          <w:b w:val="0"/>
          <w:i/>
          <w:color w:val="6E7B77"/>
          <w:sz w:val="17"/>
        </w:rPr>
        <w:t>FY23–FY25 disclosed (stc IR); FY24 dividends-paid include the FY24 quarterly schedule; calendar-2025 cash dividends ≈ SAR 20.9 bn including the SAR 2.00/share special. Model OCF is a NOPAT-based construct and runs richer than the disclosed series — the conversion gap (receivables, ERP cash, zakat timing) is modelled as an explicit drag and discussed in §1.1; both framings shown per house rule.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10079" w:type="dxa"/>
      </w:tblPr>
      <w:tblGrid>
        <w:gridCol w:w="2736"/>
        <w:gridCol w:w="1224"/>
        <w:gridCol w:w="1224"/>
        <w:gridCol w:w="1224"/>
        <w:gridCol w:w="1224"/>
        <w:gridCol w:w="1224"/>
        <w:gridCol w:w="1224"/>
      </w:tblGrid>
      <w:tr>
        <w:tc>
          <w:tcPr>
            <w:tcW w:type="dxa" w:w="2736"/>
            <w:shd w:val="clear" w:color="auto" w:fill="EAF0EE"/>
          </w:tcPr>
          <w:p>
            <w:pPr>
              <w:spacing w:after="20"/>
            </w:pPr>
            <w:r>
              <w:rPr>
                <w:b/>
                <w:color w:val="1C3A36"/>
                <w:sz w:val="17"/>
              </w:rPr>
              <w:t>Dividend schedule</w:t>
            </w:r>
          </w:p>
        </w:tc>
        <w:tc>
          <w:tcPr>
            <w:tcW w:type="dxa" w:w="1224"/>
            <w:shd w:val="clear" w:color="auto" w:fill="EAF0EE"/>
          </w:tcPr>
          <w:p>
            <w:pPr>
              <w:spacing w:after="20"/>
            </w:pPr>
            <w:r>
              <w:rPr>
                <w:b/>
                <w:color w:val="1C3A36"/>
                <w:sz w:val="17"/>
              </w:rPr>
              <w:t>FY25A</w:t>
            </w:r>
          </w:p>
        </w:tc>
        <w:tc>
          <w:tcPr>
            <w:tcW w:type="dxa" w:w="1224"/>
            <w:shd w:val="clear" w:color="auto" w:fill="EAF0EE"/>
          </w:tcPr>
          <w:p>
            <w:pPr>
              <w:spacing w:after="20"/>
            </w:pPr>
            <w:r>
              <w:rPr>
                <w:b/>
                <w:color w:val="1C3A36"/>
                <w:sz w:val="17"/>
              </w:rPr>
              <w:t>FY26E</w:t>
            </w:r>
          </w:p>
        </w:tc>
        <w:tc>
          <w:tcPr>
            <w:tcW w:type="dxa" w:w="1224"/>
            <w:shd w:val="clear" w:color="auto" w:fill="EAF0EE"/>
          </w:tcPr>
          <w:p>
            <w:pPr>
              <w:spacing w:after="20"/>
            </w:pPr>
            <w:r>
              <w:rPr>
                <w:b/>
                <w:color w:val="1C3A36"/>
                <w:sz w:val="17"/>
              </w:rPr>
              <w:t>FY27E</w:t>
            </w:r>
          </w:p>
        </w:tc>
        <w:tc>
          <w:tcPr>
            <w:tcW w:type="dxa" w:w="1224"/>
            <w:shd w:val="clear" w:color="auto" w:fill="EAF0EE"/>
          </w:tcPr>
          <w:p>
            <w:pPr>
              <w:spacing w:after="20"/>
            </w:pPr>
            <w:r>
              <w:rPr>
                <w:b/>
                <w:color w:val="1C3A36"/>
                <w:sz w:val="17"/>
              </w:rPr>
              <w:t>FY28E</w:t>
            </w:r>
          </w:p>
        </w:tc>
        <w:tc>
          <w:tcPr>
            <w:tcW w:type="dxa" w:w="1224"/>
            <w:shd w:val="clear" w:color="auto" w:fill="EAF0EE"/>
          </w:tcPr>
          <w:p>
            <w:pPr>
              <w:spacing w:after="20"/>
            </w:pPr>
            <w:r>
              <w:rPr>
                <w:b/>
                <w:color w:val="1C3A36"/>
                <w:sz w:val="17"/>
              </w:rPr>
              <w:t>FY29E</w:t>
            </w:r>
          </w:p>
        </w:tc>
        <w:tc>
          <w:tcPr>
            <w:tcW w:type="dxa" w:w="1224"/>
            <w:shd w:val="clear" w:color="auto" w:fill="EAF0EE"/>
          </w:tcPr>
          <w:p>
            <w:pPr>
              <w:spacing w:after="20"/>
            </w:pPr>
            <w:r>
              <w:rPr>
                <w:b/>
                <w:color w:val="1C3A36"/>
                <w:sz w:val="17"/>
              </w:rPr>
              <w:t>FY30E</w:t>
            </w:r>
          </w:p>
        </w:tc>
      </w:tr>
      <w:tr>
        <w:tc>
          <w:tcPr>
            <w:tcW w:type="dxa" w:w="2736"/>
          </w:tcPr>
          <w:p>
            <w:pPr>
              <w:spacing w:after="20"/>
            </w:pPr>
            <w:r>
              <w:rPr>
                <w:b/>
                <w:color w:val="1C3A36"/>
                <w:sz w:val="17"/>
              </w:rPr>
              <w:t>DPS declared (SAR)</w:t>
            </w:r>
          </w:p>
        </w:tc>
        <w:tc>
          <w:tcPr>
            <w:tcW w:type="dxa" w:w="1224"/>
          </w:tcPr>
          <w:p>
            <w:pPr>
              <w:spacing w:after="20"/>
              <w:jc w:val="right"/>
            </w:pPr>
            <w:r>
              <w:rPr>
                <w:color w:val="1C3A36"/>
                <w:sz w:val="17"/>
              </w:rPr>
              <w:t>2.20</w:t>
            </w:r>
          </w:p>
        </w:tc>
        <w:tc>
          <w:tcPr>
            <w:tcW w:type="dxa" w:w="1224"/>
          </w:tcPr>
          <w:p>
            <w:pPr>
              <w:spacing w:after="20"/>
              <w:jc w:val="right"/>
            </w:pPr>
            <w:r>
              <w:rPr>
                <w:color w:val="1C3A36"/>
                <w:sz w:val="17"/>
              </w:rPr>
              <w:t>2.20</w:t>
            </w:r>
          </w:p>
        </w:tc>
        <w:tc>
          <w:tcPr>
            <w:tcW w:type="dxa" w:w="1224"/>
          </w:tcPr>
          <w:p>
            <w:pPr>
              <w:spacing w:after="20"/>
              <w:jc w:val="right"/>
            </w:pPr>
            <w:r>
              <w:rPr>
                <w:color w:val="1C3A36"/>
                <w:sz w:val="17"/>
              </w:rPr>
              <w:t>2.20</w:t>
            </w:r>
          </w:p>
        </w:tc>
        <w:tc>
          <w:tcPr>
            <w:tcW w:type="dxa" w:w="1224"/>
          </w:tcPr>
          <w:p>
            <w:pPr>
              <w:spacing w:after="20"/>
              <w:jc w:val="right"/>
            </w:pPr>
            <w:r>
              <w:rPr>
                <w:color w:val="1C3A36"/>
                <w:sz w:val="17"/>
              </w:rPr>
              <w:t>2.30</w:t>
            </w:r>
          </w:p>
        </w:tc>
        <w:tc>
          <w:tcPr>
            <w:tcW w:type="dxa" w:w="1224"/>
          </w:tcPr>
          <w:p>
            <w:pPr>
              <w:spacing w:after="20"/>
              <w:jc w:val="right"/>
            </w:pPr>
            <w:r>
              <w:rPr>
                <w:color w:val="1C3A36"/>
                <w:sz w:val="17"/>
              </w:rPr>
              <w:t>2.40</w:t>
            </w:r>
          </w:p>
        </w:tc>
        <w:tc>
          <w:tcPr>
            <w:tcW w:type="dxa" w:w="1224"/>
          </w:tcPr>
          <w:p>
            <w:pPr>
              <w:spacing w:after="20"/>
              <w:jc w:val="right"/>
            </w:pPr>
            <w:r>
              <w:rPr>
                <w:color w:val="1C3A36"/>
                <w:sz w:val="17"/>
              </w:rPr>
              <w:t>2.55</w:t>
            </w:r>
          </w:p>
        </w:tc>
      </w:tr>
      <w:tr>
        <w:tc>
          <w:tcPr>
            <w:tcW w:type="dxa" w:w="2736"/>
          </w:tcPr>
          <w:p>
            <w:pPr>
              <w:spacing w:after="20"/>
            </w:pPr>
            <w:r>
              <w:rPr>
                <w:b/>
                <w:color w:val="1C3A36"/>
                <w:sz w:val="17"/>
              </w:rPr>
              <w:t>Dividend bill (SAR bn)</w:t>
            </w:r>
          </w:p>
        </w:tc>
        <w:tc>
          <w:tcPr>
            <w:tcW w:type="dxa" w:w="1224"/>
          </w:tcPr>
          <w:p>
            <w:pPr>
              <w:spacing w:after="20"/>
              <w:jc w:val="right"/>
            </w:pPr>
            <w:r>
              <w:rPr>
                <w:color w:val="1C3A36"/>
                <w:sz w:val="17"/>
              </w:rPr>
              <w:t>11.0</w:t>
            </w:r>
          </w:p>
        </w:tc>
        <w:tc>
          <w:tcPr>
            <w:tcW w:type="dxa" w:w="1224"/>
          </w:tcPr>
          <w:p>
            <w:pPr>
              <w:spacing w:after="20"/>
              <w:jc w:val="right"/>
            </w:pPr>
            <w:r>
              <w:rPr>
                <w:color w:val="1C3A36"/>
                <w:sz w:val="17"/>
              </w:rPr>
              <w:t>11.0</w:t>
            </w:r>
          </w:p>
        </w:tc>
        <w:tc>
          <w:tcPr>
            <w:tcW w:type="dxa" w:w="1224"/>
          </w:tcPr>
          <w:p>
            <w:pPr>
              <w:spacing w:after="20"/>
              <w:jc w:val="right"/>
            </w:pPr>
            <w:r>
              <w:rPr>
                <w:color w:val="1C3A36"/>
                <w:sz w:val="17"/>
              </w:rPr>
              <w:t>11.0</w:t>
            </w:r>
          </w:p>
        </w:tc>
        <w:tc>
          <w:tcPr>
            <w:tcW w:type="dxa" w:w="1224"/>
          </w:tcPr>
          <w:p>
            <w:pPr>
              <w:spacing w:after="20"/>
              <w:jc w:val="right"/>
            </w:pPr>
            <w:r>
              <w:rPr>
                <w:color w:val="1C3A36"/>
                <w:sz w:val="17"/>
              </w:rPr>
              <w:t>11.5</w:t>
            </w:r>
          </w:p>
        </w:tc>
        <w:tc>
          <w:tcPr>
            <w:tcW w:type="dxa" w:w="1224"/>
          </w:tcPr>
          <w:p>
            <w:pPr>
              <w:spacing w:after="20"/>
              <w:jc w:val="right"/>
            </w:pPr>
            <w:r>
              <w:rPr>
                <w:color w:val="1C3A36"/>
                <w:sz w:val="17"/>
              </w:rPr>
              <w:t>12.0</w:t>
            </w:r>
          </w:p>
        </w:tc>
        <w:tc>
          <w:tcPr>
            <w:tcW w:type="dxa" w:w="1224"/>
          </w:tcPr>
          <w:p>
            <w:pPr>
              <w:spacing w:after="20"/>
              <w:jc w:val="right"/>
            </w:pPr>
            <w:r>
              <w:rPr>
                <w:color w:val="1C3A36"/>
                <w:sz w:val="17"/>
              </w:rPr>
              <w:t>12.7</w:t>
            </w:r>
          </w:p>
        </w:tc>
      </w:tr>
      <w:tr>
        <w:tc>
          <w:tcPr>
            <w:tcW w:type="dxa" w:w="2736"/>
          </w:tcPr>
          <w:p>
            <w:pPr>
              <w:spacing w:after="20"/>
            </w:pPr>
            <w:r>
              <w:rPr>
                <w:b/>
                <w:color w:val="1C3A36"/>
                <w:sz w:val="17"/>
              </w:rPr>
              <w:t>Payout of attributable NP</w:t>
            </w:r>
          </w:p>
        </w:tc>
        <w:tc>
          <w:tcPr>
            <w:tcW w:type="dxa" w:w="1224"/>
          </w:tcPr>
          <w:p>
            <w:pPr>
              <w:spacing w:after="20"/>
              <w:jc w:val="right"/>
            </w:pPr>
            <w:r>
              <w:rPr>
                <w:color w:val="1C3A36"/>
                <w:sz w:val="17"/>
              </w:rPr>
              <w:t>74%</w:t>
            </w:r>
          </w:p>
        </w:tc>
        <w:tc>
          <w:tcPr>
            <w:tcW w:type="dxa" w:w="1224"/>
          </w:tcPr>
          <w:p>
            <w:pPr>
              <w:spacing w:after="20"/>
              <w:jc w:val="right"/>
            </w:pPr>
            <w:r>
              <w:rPr>
                <w:color w:val="1C3A36"/>
                <w:sz w:val="17"/>
              </w:rPr>
              <w:t>78%</w:t>
            </w:r>
          </w:p>
        </w:tc>
        <w:tc>
          <w:tcPr>
            <w:tcW w:type="dxa" w:w="1224"/>
          </w:tcPr>
          <w:p>
            <w:pPr>
              <w:spacing w:after="20"/>
              <w:jc w:val="right"/>
            </w:pPr>
            <w:r>
              <w:rPr>
                <w:color w:val="1C3A36"/>
                <w:sz w:val="17"/>
              </w:rPr>
              <w:t>75%</w:t>
            </w:r>
          </w:p>
        </w:tc>
        <w:tc>
          <w:tcPr>
            <w:tcW w:type="dxa" w:w="1224"/>
          </w:tcPr>
          <w:p>
            <w:pPr>
              <w:spacing w:after="20"/>
              <w:jc w:val="right"/>
            </w:pPr>
            <w:r>
              <w:rPr>
                <w:color w:val="1C3A36"/>
                <w:sz w:val="17"/>
              </w:rPr>
              <w:t>75%</w:t>
            </w:r>
          </w:p>
        </w:tc>
        <w:tc>
          <w:tcPr>
            <w:tcW w:type="dxa" w:w="1224"/>
          </w:tcPr>
          <w:p>
            <w:pPr>
              <w:spacing w:after="20"/>
              <w:jc w:val="right"/>
            </w:pPr>
            <w:r>
              <w:rPr>
                <w:color w:val="1C3A36"/>
                <w:sz w:val="17"/>
              </w:rPr>
              <w:t>74%</w:t>
            </w:r>
          </w:p>
        </w:tc>
        <w:tc>
          <w:tcPr>
            <w:tcW w:type="dxa" w:w="1224"/>
          </w:tcPr>
          <w:p>
            <w:pPr>
              <w:spacing w:after="20"/>
              <w:jc w:val="right"/>
            </w:pPr>
            <w:r>
              <w:rPr>
                <w:color w:val="1C3A36"/>
                <w:sz w:val="17"/>
              </w:rPr>
              <w:t>74%</w:t>
            </w:r>
          </w:p>
        </w:tc>
      </w:tr>
      <w:tr>
        <w:tc>
          <w:tcPr>
            <w:tcW w:type="dxa" w:w="2736"/>
          </w:tcPr>
          <w:p>
            <w:pPr>
              <w:spacing w:after="20"/>
            </w:pPr>
            <w:r>
              <w:rPr>
                <w:b/>
                <w:color w:val="1C3A36"/>
                <w:sz w:val="17"/>
              </w:rPr>
              <w:t>Yield at spot (declared)</w:t>
            </w:r>
          </w:p>
        </w:tc>
        <w:tc>
          <w:tcPr>
            <w:tcW w:type="dxa" w:w="1224"/>
          </w:tcPr>
          <w:p>
            <w:pPr>
              <w:spacing w:after="20"/>
              <w:jc w:val="right"/>
            </w:pPr>
            <w:r>
              <w:rPr>
                <w:color w:val="1C3A36"/>
                <w:sz w:val="17"/>
              </w:rPr>
              <w:t>5.0%</w:t>
            </w:r>
          </w:p>
        </w:tc>
        <w:tc>
          <w:tcPr>
            <w:tcW w:type="dxa" w:w="1224"/>
          </w:tcPr>
          <w:p>
            <w:pPr>
              <w:spacing w:after="20"/>
              <w:jc w:val="right"/>
            </w:pPr>
            <w:r>
              <w:rPr>
                <w:color w:val="1C3A36"/>
                <w:sz w:val="17"/>
              </w:rPr>
              <w:t>5.0%</w:t>
            </w:r>
          </w:p>
        </w:tc>
        <w:tc>
          <w:tcPr>
            <w:tcW w:type="dxa" w:w="1224"/>
          </w:tcPr>
          <w:p>
            <w:pPr>
              <w:spacing w:after="20"/>
              <w:jc w:val="right"/>
            </w:pPr>
            <w:r>
              <w:rPr>
                <w:color w:val="1C3A36"/>
                <w:sz w:val="17"/>
              </w:rPr>
              <w:t>5.0%</w:t>
            </w:r>
          </w:p>
        </w:tc>
        <w:tc>
          <w:tcPr>
            <w:tcW w:type="dxa" w:w="1224"/>
          </w:tcPr>
          <w:p>
            <w:pPr>
              <w:spacing w:after="20"/>
              <w:jc w:val="right"/>
            </w:pPr>
            <w:r>
              <w:rPr>
                <w:color w:val="1C3A36"/>
                <w:sz w:val="17"/>
              </w:rPr>
              <w:t>5.3%</w:t>
            </w:r>
          </w:p>
        </w:tc>
        <w:tc>
          <w:tcPr>
            <w:tcW w:type="dxa" w:w="1224"/>
          </w:tcPr>
          <w:p>
            <w:pPr>
              <w:spacing w:after="20"/>
              <w:jc w:val="right"/>
            </w:pPr>
            <w:r>
              <w:rPr>
                <w:color w:val="1C3A36"/>
                <w:sz w:val="17"/>
              </w:rPr>
              <w:t>5.5%</w:t>
            </w:r>
          </w:p>
        </w:tc>
        <w:tc>
          <w:tcPr>
            <w:tcW w:type="dxa" w:w="1224"/>
          </w:tcPr>
          <w:p>
            <w:pPr>
              <w:spacing w:after="20"/>
              <w:jc w:val="right"/>
            </w:pPr>
            <w:r>
              <w:rPr>
                <w:color w:val="1C3A36"/>
                <w:sz w:val="17"/>
              </w:rPr>
              <w:t>5.9%</w:t>
            </w:r>
          </w:p>
        </w:tc>
      </w:tr>
    </w:tbl>
    <w:p>
      <w:pPr>
        <w:spacing w:after="40"/>
      </w:pPr>
    </w:p>
    <w:p>
      <w:pPr>
        <w:spacing w:after="200" w:before="0"/>
      </w:pPr>
      <w:r>
        <w:rPr>
          <w:b w:val="0"/>
          <w:i/>
          <w:color w:val="6E7B77"/>
          <w:sz w:val="17"/>
        </w:rPr>
        <w:t>Stress check: at the heaviest capital spending of the three filed years the dividend is 1.06x covered by model free cash flow in the first forecast year, and at the lightest 1.24x — covered throughout the range this company has actually operated in. What the cover table asks is whether the data-centre build takes intensity ABOVE anything it has yet run; the core cash pile funds a shortfall for years before leverage becomes a constraint.</w:t>
      </w:r>
    </w:p>
    <w:p>
      <w:pPr>
        <w:spacing w:after="200" w:before="0"/>
      </w:pPr>
      <w:r>
        <w:rPr>
          <w:b w:val="0"/>
          <w:i/>
          <w:color w:val="6E7B77"/>
          <w:sz w:val="17"/>
        </w:rPr>
        <w:t>Two yield framings (house rule): declared-regular 2.20/sh = 5.0%; cash paid during calendar-2025 incl. the FY24 special = 4.20/sh = 9.6%. A forecast-versus-actual scorecard and a new-versus-old reconciliation: not applicable on an initiation; both become standing sections from the first 3-month update.</w:t>
      </w:r>
    </w:p>
    <w:p>
      <w:pPr>
        <w:spacing w:after="120" w:before="280"/>
      </w:pPr>
      <w:r>
        <w:rPr>
          <w:b/>
          <w:i w:val="0"/>
          <w:color w:val="1C3A36"/>
          <w:sz w:val="30"/>
        </w:rPr>
        <w:t>Appendix B  Peer frame, risk register, and the research register</w:t>
      </w:r>
    </w:p>
    <w:p>
      <w:pPr>
        <w:spacing w:after="80" w:before="200"/>
      </w:pPr>
      <w:r>
        <w:rPr>
          <w:b/>
          <w:i w:val="0"/>
          <w:color w:val="1C3A36"/>
          <w:sz w:val="24"/>
        </w:rPr>
        <w:t>B.1  The peer frame and the sector</w:t>
      </w:r>
    </w:p>
    <w:p>
      <w:pPr>
        <w:spacing w:after="120" w:before="0"/>
      </w:pPr>
      <w:r>
        <w:rPr>
          <w:b w:val="0"/>
          <w:i w:val="0"/>
          <w:color w:val="1C3A36"/>
          <w:sz w:val="21"/>
        </w:rPr>
        <w:t>stc is the premium name in a three-player Saudi market inside a GCC cohort where telecom equity is increasingly a yield-plus-digital-infrastructure asset class.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10080" w:type="dxa"/>
      </w:tblPr>
      <w:tblGrid>
        <w:gridCol w:w="2232"/>
        <w:gridCol w:w="1512"/>
        <w:gridCol w:w="1944"/>
        <w:gridCol w:w="4392"/>
      </w:tblGrid>
      <w:tr>
        <w:tc>
          <w:tcPr>
            <w:tcW w:type="dxa" w:w="2232"/>
            <w:shd w:val="clear" w:color="auto" w:fill="EAF0EE"/>
          </w:tcPr>
          <w:p>
            <w:pPr>
              <w:spacing w:after="20"/>
            </w:pPr>
            <w:r>
              <w:rPr>
                <w:b/>
                <w:color w:val="1C3A36"/>
                <w:sz w:val="17"/>
              </w:rPr>
              <w:t>Name</w:t>
            </w:r>
          </w:p>
        </w:tc>
        <w:tc>
          <w:tcPr>
            <w:tcW w:type="dxa" w:w="1512"/>
            <w:shd w:val="clear" w:color="auto" w:fill="EAF0EE"/>
          </w:tcPr>
          <w:p>
            <w:pPr>
              <w:spacing w:after="20"/>
            </w:pPr>
            <w:r>
              <w:rPr>
                <w:b/>
                <w:color w:val="1C3A36"/>
                <w:sz w:val="17"/>
              </w:rPr>
              <w:t>P/E (t)</w:t>
            </w:r>
          </w:p>
        </w:tc>
        <w:tc>
          <w:tcPr>
            <w:tcW w:type="dxa" w:w="1944"/>
            <w:shd w:val="clear" w:color="auto" w:fill="EAF0EE"/>
          </w:tcPr>
          <w:p>
            <w:pPr>
              <w:spacing w:after="20"/>
            </w:pPr>
            <w:r>
              <w:rPr>
                <w:b/>
                <w:color w:val="1C3A36"/>
                <w:sz w:val="17"/>
              </w:rPr>
              <w:t>Div yield</w:t>
            </w:r>
          </w:p>
        </w:tc>
        <w:tc>
          <w:tcPr>
            <w:tcW w:type="dxa" w:w="4392"/>
            <w:shd w:val="clear" w:color="auto" w:fill="EAF0EE"/>
          </w:tcPr>
          <w:p>
            <w:pPr>
              <w:spacing w:after="20"/>
            </w:pPr>
            <w:r>
              <w:rPr>
                <w:b/>
                <w:color w:val="1C3A36"/>
                <w:sz w:val="17"/>
              </w:rPr>
              <w:t>One-line profile</w:t>
            </w:r>
          </w:p>
        </w:tc>
      </w:tr>
      <w:tr>
        <w:tc>
          <w:tcPr>
            <w:tcW w:type="dxa" w:w="2232"/>
          </w:tcPr>
          <w:p>
            <w:pPr>
              <w:spacing w:after="20"/>
            </w:pPr>
            <w:r>
              <w:rPr>
                <w:b/>
                <w:color w:val="1C3A36"/>
                <w:sz w:val="17"/>
              </w:rPr>
              <w:t>stc (7010)</w:t>
            </w:r>
          </w:p>
        </w:tc>
        <w:tc>
          <w:tcPr>
            <w:tcW w:type="dxa" w:w="1512"/>
          </w:tcPr>
          <w:p>
            <w:pPr>
              <w:spacing w:after="20"/>
              <w:jc w:val="right"/>
            </w:pPr>
            <w:r>
              <w:rPr>
                <w:color w:val="1C3A36"/>
                <w:sz w:val="17"/>
              </w:rPr>
              <w:t>~14.7×</w:t>
            </w:r>
          </w:p>
        </w:tc>
        <w:tc>
          <w:tcPr>
            <w:tcW w:type="dxa" w:w="1944"/>
          </w:tcPr>
          <w:p>
            <w:pPr>
              <w:spacing w:after="20"/>
              <w:jc w:val="right"/>
            </w:pPr>
            <w:r>
              <w:rPr>
                <w:color w:val="1C3A36"/>
                <w:sz w:val="17"/>
              </w:rPr>
              <w:t>5.0% (9.6% incl. special)</w:t>
            </w:r>
          </w:p>
        </w:tc>
        <w:tc>
          <w:tcPr>
            <w:tcW w:type="dxa" w:w="4392"/>
          </w:tcPr>
          <w:p>
            <w:pPr>
              <w:spacing w:after="20"/>
              <w:jc w:val="right"/>
            </w:pPr>
            <w:r>
              <w:rPr>
                <w:color w:val="1C3A36"/>
                <w:sz w:val="17"/>
              </w:rPr>
              <w:t>Incumbent; ~57% mobile share; net debt ~0; AI-DC and fintech options</w:t>
            </w:r>
          </w:p>
        </w:tc>
      </w:tr>
      <w:tr>
        <w:tc>
          <w:tcPr>
            <w:tcW w:type="dxa" w:w="2232"/>
          </w:tcPr>
          <w:p>
            <w:pPr>
              <w:spacing w:after="20"/>
            </w:pPr>
            <w:r>
              <w:rPr>
                <w:b/>
                <w:color w:val="1C3A36"/>
                <w:sz w:val="17"/>
              </w:rPr>
              <w:t>Mobily (7020)</w:t>
            </w:r>
          </w:p>
        </w:tc>
        <w:tc>
          <w:tcPr>
            <w:tcW w:type="dxa" w:w="1512"/>
          </w:tcPr>
          <w:p>
            <w:pPr>
              <w:spacing w:after="20"/>
              <w:jc w:val="right"/>
            </w:pPr>
            <w:r>
              <w:rPr>
                <w:color w:val="1C3A36"/>
                <w:sz w:val="17"/>
              </w:rPr>
              <w:t>~13.5×</w:t>
            </w:r>
          </w:p>
        </w:tc>
        <w:tc>
          <w:tcPr>
            <w:tcW w:type="dxa" w:w="1944"/>
          </w:tcPr>
          <w:p>
            <w:pPr>
              <w:spacing w:after="20"/>
              <w:jc w:val="right"/>
            </w:pPr>
            <w:r>
              <w:rPr>
                <w:color w:val="1C3A36"/>
                <w:sz w:val="17"/>
              </w:rPr>
              <w:t>4.5%</w:t>
            </w:r>
          </w:p>
        </w:tc>
        <w:tc>
          <w:tcPr>
            <w:tcW w:type="dxa" w:w="4392"/>
          </w:tcPr>
          <w:p>
            <w:pPr>
              <w:spacing w:after="20"/>
              <w:jc w:val="right"/>
            </w:pPr>
            <w:r>
              <w:rPr>
                <w:color w:val="1C3A36"/>
                <w:sz w:val="17"/>
              </w:rPr>
              <w:t>No.2; e&amp; anchor (~28%); fastest subscriber momentum</w:t>
            </w:r>
          </w:p>
        </w:tc>
      </w:tr>
      <w:tr>
        <w:tc>
          <w:tcPr>
            <w:tcW w:type="dxa" w:w="2232"/>
          </w:tcPr>
          <w:p>
            <w:pPr>
              <w:spacing w:after="20"/>
            </w:pPr>
            <w:r>
              <w:rPr>
                <w:b/>
                <w:color w:val="1C3A36"/>
                <w:sz w:val="17"/>
              </w:rPr>
              <w:t>Zain KSA (7030)</w:t>
            </w:r>
          </w:p>
        </w:tc>
        <w:tc>
          <w:tcPr>
            <w:tcW w:type="dxa" w:w="1512"/>
          </w:tcPr>
          <w:p>
            <w:pPr>
              <w:spacing w:after="20"/>
              <w:jc w:val="right"/>
            </w:pPr>
            <w:r>
              <w:rPr>
                <w:color w:val="1C3A36"/>
                <w:sz w:val="17"/>
              </w:rPr>
              <w:t>~12.8×</w:t>
            </w:r>
          </w:p>
        </w:tc>
        <w:tc>
          <w:tcPr>
            <w:tcW w:type="dxa" w:w="1944"/>
          </w:tcPr>
          <w:p>
            <w:pPr>
              <w:spacing w:after="20"/>
              <w:jc w:val="right"/>
            </w:pPr>
            <w:r>
              <w:rPr>
                <w:color w:val="1C3A36"/>
                <w:sz w:val="17"/>
              </w:rPr>
              <w:t>4.9%</w:t>
            </w:r>
          </w:p>
        </w:tc>
        <w:tc>
          <w:tcPr>
            <w:tcW w:type="dxa" w:w="4392"/>
          </w:tcPr>
          <w:p>
            <w:pPr>
              <w:spacing w:after="20"/>
              <w:jc w:val="right"/>
            </w:pPr>
            <w:r>
              <w:rPr>
                <w:color w:val="1C3A36"/>
                <w:sz w:val="17"/>
              </w:rPr>
              <w:t>No.3; tower-light; balance-sheet repair done</w:t>
            </w:r>
          </w:p>
        </w:tc>
      </w:tr>
      <w:tr>
        <w:tc>
          <w:tcPr>
            <w:tcW w:type="dxa" w:w="2232"/>
          </w:tcPr>
          <w:p>
            <w:pPr>
              <w:spacing w:after="20"/>
            </w:pPr>
            <w:r>
              <w:rPr>
                <w:b/>
                <w:color w:val="1C3A36"/>
                <w:sz w:val="17"/>
              </w:rPr>
              <w:t>e&amp; (UAE)</w:t>
            </w:r>
          </w:p>
        </w:tc>
        <w:tc>
          <w:tcPr>
            <w:tcW w:type="dxa" w:w="1512"/>
          </w:tcPr>
          <w:p>
            <w:pPr>
              <w:spacing w:after="20"/>
              <w:jc w:val="right"/>
            </w:pPr>
            <w:r>
              <w:rPr>
                <w:color w:val="1C3A36"/>
                <w:sz w:val="17"/>
              </w:rPr>
              <w:t>~13.2×</w:t>
            </w:r>
          </w:p>
        </w:tc>
        <w:tc>
          <w:tcPr>
            <w:tcW w:type="dxa" w:w="1944"/>
          </w:tcPr>
          <w:p>
            <w:pPr>
              <w:spacing w:after="20"/>
              <w:jc w:val="right"/>
            </w:pPr>
            <w:r>
              <w:rPr>
                <w:color w:val="1C3A36"/>
                <w:sz w:val="17"/>
              </w:rPr>
              <w:t>5.1%</w:t>
            </w:r>
          </w:p>
        </w:tc>
        <w:tc>
          <w:tcPr>
            <w:tcW w:type="dxa" w:w="4392"/>
          </w:tcPr>
          <w:p>
            <w:pPr>
              <w:spacing w:after="20"/>
              <w:jc w:val="right"/>
            </w:pPr>
            <w:r>
              <w:rPr>
                <w:color w:val="1C3A36"/>
                <w:sz w:val="17"/>
              </w:rPr>
              <w:t>UAE incumbent + Vodafone/PPF international portfolio</w:t>
            </w:r>
          </w:p>
        </w:tc>
      </w:tr>
      <w:tr>
        <w:tc>
          <w:tcPr>
            <w:tcW w:type="dxa" w:w="2232"/>
          </w:tcPr>
          <w:p>
            <w:pPr>
              <w:spacing w:after="20"/>
            </w:pPr>
            <w:r>
              <w:rPr>
                <w:b/>
                <w:color w:val="1C3A36"/>
                <w:sz w:val="17"/>
              </w:rPr>
              <w:t>Ooredoo (Qatar)</w:t>
            </w:r>
          </w:p>
        </w:tc>
        <w:tc>
          <w:tcPr>
            <w:tcW w:type="dxa" w:w="1512"/>
          </w:tcPr>
          <w:p>
            <w:pPr>
              <w:spacing w:after="20"/>
              <w:jc w:val="right"/>
            </w:pPr>
            <w:r>
              <w:rPr>
                <w:color w:val="1C3A36"/>
                <w:sz w:val="17"/>
              </w:rPr>
              <w:t>~10.7×</w:t>
            </w:r>
          </w:p>
        </w:tc>
        <w:tc>
          <w:tcPr>
            <w:tcW w:type="dxa" w:w="1944"/>
          </w:tcPr>
          <w:p>
            <w:pPr>
              <w:spacing w:after="20"/>
              <w:jc w:val="right"/>
            </w:pPr>
            <w:r>
              <w:rPr>
                <w:color w:val="1C3A36"/>
                <w:sz w:val="17"/>
              </w:rPr>
              <w:t>5.7%</w:t>
            </w:r>
          </w:p>
        </w:tc>
        <w:tc>
          <w:tcPr>
            <w:tcW w:type="dxa" w:w="4392"/>
          </w:tcPr>
          <w:p>
            <w:pPr>
              <w:spacing w:after="20"/>
              <w:jc w:val="right"/>
            </w:pPr>
            <w:r>
              <w:rPr>
                <w:color w:val="1C3A36"/>
                <w:sz w:val="17"/>
              </w:rPr>
              <w:t>Multi-market; MENA data-centre pivot</w:t>
            </w:r>
          </w:p>
        </w:tc>
      </w:tr>
      <w:tr>
        <w:tc>
          <w:tcPr>
            <w:tcW w:type="dxa" w:w="2232"/>
          </w:tcPr>
          <w:p>
            <w:pPr>
              <w:spacing w:after="20"/>
            </w:pPr>
            <w:r>
              <w:rPr>
                <w:b/>
                <w:color w:val="1C3A36"/>
                <w:sz w:val="17"/>
              </w:rPr>
              <w:t>du (UAE)</w:t>
            </w:r>
          </w:p>
        </w:tc>
        <w:tc>
          <w:tcPr>
            <w:tcW w:type="dxa" w:w="1512"/>
          </w:tcPr>
          <w:p>
            <w:pPr>
              <w:spacing w:after="20"/>
              <w:jc w:val="right"/>
            </w:pPr>
            <w:r>
              <w:rPr>
                <w:color w:val="1C3A36"/>
                <w:sz w:val="17"/>
              </w:rPr>
              <w:t>~17.6×</w:t>
            </w:r>
          </w:p>
        </w:tc>
        <w:tc>
          <w:tcPr>
            <w:tcW w:type="dxa" w:w="1944"/>
          </w:tcPr>
          <w:p>
            <w:pPr>
              <w:spacing w:after="20"/>
              <w:jc w:val="right"/>
            </w:pPr>
            <w:r>
              <w:rPr>
                <w:color w:val="1C3A36"/>
                <w:sz w:val="17"/>
              </w:rPr>
              <w:t>5.5%</w:t>
            </w:r>
          </w:p>
        </w:tc>
        <w:tc>
          <w:tcPr>
            <w:tcW w:type="dxa" w:w="4392"/>
          </w:tcPr>
          <w:p>
            <w:pPr>
              <w:spacing w:after="20"/>
              <w:jc w:val="right"/>
            </w:pPr>
            <w:r>
              <w:rPr>
                <w:color w:val="1C3A36"/>
                <w:sz w:val="17"/>
              </w:rPr>
              <w:t>No.2 UAE; hyperscale data-centre momentum — the multiple stc’s DC build aspires to</w:t>
            </w:r>
          </w:p>
        </w:tc>
      </w:tr>
      <w:tr>
        <w:tc>
          <w:tcPr>
            <w:tcW w:type="dxa" w:w="2232"/>
          </w:tcPr>
          <w:p>
            <w:pPr>
              <w:spacing w:after="20"/>
            </w:pPr>
            <w:r>
              <w:rPr>
                <w:b/>
                <w:color w:val="1C3A36"/>
                <w:sz w:val="17"/>
              </w:rPr>
              <w:t>Omantel / Beyon / Telecom Egypt</w:t>
            </w:r>
          </w:p>
        </w:tc>
        <w:tc>
          <w:tcPr>
            <w:tcW w:type="dxa" w:w="1512"/>
          </w:tcPr>
          <w:p>
            <w:pPr>
              <w:spacing w:after="20"/>
              <w:jc w:val="right"/>
            </w:pPr>
            <w:r>
              <w:rPr>
                <w:color w:val="1C3A36"/>
                <w:sz w:val="17"/>
              </w:rPr>
              <w:t>11.5× / 11.1× / 8.8×</w:t>
            </w:r>
          </w:p>
        </w:tc>
        <w:tc>
          <w:tcPr>
            <w:tcW w:type="dxa" w:w="1944"/>
          </w:tcPr>
          <w:p>
            <w:pPr>
              <w:spacing w:after="20"/>
              <w:jc w:val="right"/>
            </w:pPr>
            <w:r>
              <w:rPr>
                <w:color w:val="1C3A36"/>
                <w:sz w:val="17"/>
              </w:rPr>
              <w:t>3.9% / 7.1% / 1.5%</w:t>
            </w:r>
          </w:p>
        </w:tc>
        <w:tc>
          <w:tcPr>
            <w:tcW w:type="dxa" w:w="4392"/>
          </w:tcPr>
          <w:p>
            <w:pPr>
              <w:spacing w:after="20"/>
              <w:jc w:val="right"/>
            </w:pPr>
            <w:r>
              <w:rPr>
                <w:color w:val="1C3A36"/>
                <w:sz w:val="17"/>
              </w:rPr>
              <w:t>Regional context</w:t>
            </w:r>
          </w:p>
        </w:tc>
      </w:tr>
    </w:tbl>
    <w:p>
      <w:pPr>
        <w:spacing w:after="40"/>
      </w:pPr>
    </w:p>
    <w:p>
      <w:pPr>
        <w:spacing w:after="200" w:before="0"/>
      </w:pPr>
      <w:r>
        <w:rPr>
          <w:b w:val="0"/>
          <w:i/>
          <w:color w:val="6E7B77"/>
          <w:sz w:val="17"/>
        </w:rPr>
        <w:t>Multiples approximate, mixed as-of dates (May–Jul 2026), secondary aggregators — context only, never model inputs.</w:t>
      </w:r>
    </w:p>
    <w:p>
      <w:pPr>
        <w:spacing w:after="120" w:before="0"/>
      </w:pPr>
      <w:r>
        <w:rPr>
          <w:b w:val="0"/>
          <w:i w:val="0"/>
          <w:color w:val="1C3A36"/>
          <w:sz w:val="21"/>
        </w:rPr>
        <w:t>Sector structure. Saudi mobile is a disciplined three-player market (~57/27/16 stc/Mobily/Zain) under CST regulation, with spectrum freshly allocated (Nov-2024 auction: stc took 600 MHz + 3.8 GHz), 5G at 63% populated coverage for stc and FWA adoption among the highest globally — FWA is both an opportunity (4.1 mn of stc’s 6.0 mn fixed lines) and the competitive vector through which mobile capacity attacks fixed pricing. Fibre stays an stc moat (3.75 mn FTTH, 258k km). The Kingdom’s AI push (HUMAIN, sovereign compute, the center3 1 GW ambition) is turning telecom capex into a national-strategy line item. Principal risks: a mobile price war; capex overshoot on the AI build; government-receivables cycles; subsidiary execution (stc bank credit costs as it scales); the Telefónica mark; regional geopolitics; and the rate path staying higher for longer.</w:t>
      </w:r>
    </w:p>
    <w:p>
      <w:pPr>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8784" w:type="dxa"/>
      </w:tblPr>
      <w:tblGrid>
        <w:gridCol w:w="2736"/>
        <w:gridCol w:w="3311"/>
        <w:gridCol w:w="2736"/>
      </w:tblGrid>
      <w:tr>
        <w:tc>
          <w:tcPr>
            <w:tcW w:type="dxa" w:w="2736"/>
            <w:shd w:val="clear" w:color="auto" w:fill="EAF0EE"/>
          </w:tcPr>
          <w:p>
            <w:pPr>
              <w:spacing w:after="20"/>
            </w:pPr>
            <w:r>
              <w:rPr>
                <w:b/>
                <w:color w:val="1C3A36"/>
                <w:sz w:val="17"/>
              </w:rPr>
              <w:t>Risk</w:t>
            </w:r>
          </w:p>
        </w:tc>
        <w:tc>
          <w:tcPr>
            <w:tcW w:type="dxa" w:w="3312"/>
            <w:shd w:val="clear" w:color="auto" w:fill="EAF0EE"/>
          </w:tcPr>
          <w:p>
            <w:pPr>
              <w:spacing w:after="20"/>
            </w:pPr>
            <w:r>
              <w:rPr>
                <w:b/>
                <w:color w:val="1C3A36"/>
                <w:sz w:val="17"/>
              </w:rPr>
              <w:t>How it would show up first</w:t>
            </w:r>
          </w:p>
        </w:tc>
        <w:tc>
          <w:tcPr>
            <w:tcW w:type="dxa" w:w="2736"/>
            <w:shd w:val="clear" w:color="auto" w:fill="EAF0EE"/>
          </w:tcPr>
          <w:p>
            <w:pPr>
              <w:spacing w:after="20"/>
            </w:pPr>
            <w:r>
              <w:rPr>
                <w:b/>
                <w:color w:val="1C3A36"/>
                <w:sz w:val="17"/>
              </w:rPr>
              <w:t>What it is worth</w:t>
            </w:r>
          </w:p>
        </w:tc>
      </w:tr>
      <w:tr>
        <w:tc>
          <w:tcPr>
            <w:tcW w:type="dxa" w:w="2736"/>
          </w:tcPr>
          <w:p>
            <w:pPr>
              <w:spacing w:after="20"/>
            </w:pPr>
            <w:r>
              <w:rPr>
                <w:b/>
                <w:color w:val="1C3A36"/>
                <w:sz w:val="17"/>
              </w:rPr>
              <w:t>A price war in Saudi mobile</w:t>
            </w:r>
          </w:p>
        </w:tc>
        <w:tc>
          <w:tcPr>
            <w:tcW w:type="dxa" w:w="3312"/>
          </w:tcPr>
          <w:p>
            <w:pPr>
              <w:spacing w:after="20"/>
              <w:jc w:val="right"/>
            </w:pPr>
            <w:r>
              <w:rPr>
                <w:color w:val="1C3A36"/>
                <w:sz w:val="17"/>
              </w:rPr>
              <w:t>Consumer revenue per subscriber, before it reaches the margin</w:t>
            </w:r>
          </w:p>
        </w:tc>
        <w:tc>
          <w:tcPr>
            <w:tcW w:type="dxa" w:w="2736"/>
          </w:tcPr>
          <w:p>
            <w:pPr>
              <w:spacing w:after="20"/>
              <w:jc w:val="right"/>
            </w:pPr>
            <w:r>
              <w:rPr>
                <w:color w:val="1C3A36"/>
                <w:sz w:val="17"/>
              </w:rPr>
              <w:t>The single largest downside: this model assumes NO margin improvement, so a price war breaks it downward from a path that has nothing built in to give back</w:t>
            </w:r>
          </w:p>
        </w:tc>
      </w:tr>
      <w:tr>
        <w:tc>
          <w:tcPr>
            <w:tcW w:type="dxa" w:w="2736"/>
          </w:tcPr>
          <w:p>
            <w:pPr>
              <w:spacing w:after="20"/>
            </w:pPr>
            <w:r>
              <w:rPr>
                <w:b/>
                <w:color w:val="1C3A36"/>
                <w:sz w:val="17"/>
              </w:rPr>
              <w:t>Capital expenditure overshoot on the data-centre build</w:t>
            </w:r>
          </w:p>
        </w:tc>
        <w:tc>
          <w:tcPr>
            <w:tcW w:type="dxa" w:w="3312"/>
          </w:tcPr>
          <w:p>
            <w:pPr>
              <w:spacing w:after="20"/>
              <w:jc w:val="right"/>
            </w:pPr>
            <w:r>
              <w:rPr>
                <w:color w:val="1C3A36"/>
                <w:sz w:val="17"/>
              </w:rPr>
              <w:t>Capital intensity against the three filed years (1.05x to 1.25x depreciation)</w:t>
            </w:r>
          </w:p>
        </w:tc>
        <w:tc>
          <w:tcPr>
            <w:tcW w:type="dxa" w:w="2736"/>
          </w:tcPr>
          <w:p>
            <w:pPr>
              <w:spacing w:after="20"/>
              <w:jc w:val="right"/>
            </w:pPr>
            <w:r>
              <w:rPr>
                <w:color w:val="1C3A36"/>
                <w:sz w:val="17"/>
              </w:rPr>
              <w:t>The bear-to-bull span of the central: SAR 35.29 to the cash-flow bull</w:t>
            </w:r>
          </w:p>
        </w:tc>
      </w:tr>
      <w:tr>
        <w:tc>
          <w:tcPr>
            <w:tcW w:type="dxa" w:w="2736"/>
          </w:tcPr>
          <w:p>
            <w:pPr>
              <w:spacing w:after="20"/>
            </w:pPr>
            <w:r>
              <w:rPr>
                <w:b/>
                <w:color w:val="1C3A36"/>
                <w:sz w:val="17"/>
              </w:rPr>
              <w:t>Government receivables cycles</w:t>
            </w:r>
          </w:p>
        </w:tc>
        <w:tc>
          <w:tcPr>
            <w:tcW w:type="dxa" w:w="3312"/>
          </w:tcPr>
          <w:p>
            <w:pPr>
              <w:spacing w:after="20"/>
              <w:jc w:val="right"/>
            </w:pPr>
            <w:r>
              <w:rPr>
                <w:color w:val="1C3A36"/>
                <w:sz w:val="17"/>
              </w:rPr>
              <w:t>Operating cash conversion, not the income statement</w:t>
            </w:r>
          </w:p>
        </w:tc>
        <w:tc>
          <w:tcPr>
            <w:tcW w:type="dxa" w:w="2736"/>
          </w:tcPr>
          <w:p>
            <w:pPr>
              <w:spacing w:after="20"/>
              <w:jc w:val="right"/>
            </w:pPr>
            <w:r>
              <w:rPr>
                <w:color w:val="1C3A36"/>
                <w:sz w:val="17"/>
              </w:rPr>
              <w:t>A cash-flow timing risk rather than a value risk, unless it persists</w:t>
            </w:r>
          </w:p>
        </w:tc>
      </w:tr>
      <w:tr>
        <w:tc>
          <w:tcPr>
            <w:tcW w:type="dxa" w:w="2736"/>
          </w:tcPr>
          <w:p>
            <w:pPr>
              <w:spacing w:after="20"/>
            </w:pPr>
            <w:r>
              <w:rPr>
                <w:b/>
                <w:color w:val="1C3A36"/>
                <w:sz w:val="17"/>
              </w:rPr>
              <w:t>Subsidiary execution as the portfolio scales</w:t>
            </w:r>
          </w:p>
        </w:tc>
        <w:tc>
          <w:tcPr>
            <w:tcW w:type="dxa" w:w="3312"/>
          </w:tcPr>
          <w:p>
            <w:pPr>
              <w:spacing w:after="20"/>
              <w:jc w:val="right"/>
            </w:pPr>
            <w:r>
              <w:rPr>
                <w:color w:val="1C3A36"/>
                <w:sz w:val="17"/>
              </w:rPr>
              <w:t>Contribution turning positive on the guided schedule, or not</w:t>
            </w:r>
          </w:p>
        </w:tc>
        <w:tc>
          <w:tcPr>
            <w:tcW w:type="dxa" w:w="2736"/>
          </w:tcPr>
          <w:p>
            <w:pPr>
              <w:spacing w:after="20"/>
              <w:jc w:val="right"/>
            </w:pPr>
            <w:r>
              <w:rPr>
                <w:color w:val="1C3A36"/>
                <w:sz w:val="17"/>
              </w:rPr>
              <w:t>The flat margin carried to the terminal depends on it</w:t>
            </w:r>
          </w:p>
        </w:tc>
      </w:tr>
      <w:tr>
        <w:tc>
          <w:tcPr>
            <w:tcW w:type="dxa" w:w="2736"/>
          </w:tcPr>
          <w:p>
            <w:pPr>
              <w:spacing w:after="20"/>
            </w:pPr>
            <w:r>
              <w:rPr>
                <w:b/>
                <w:color w:val="1C3A36"/>
                <w:sz w:val="17"/>
              </w:rPr>
              <w:t>The rate path staying higher for longer</w:t>
            </w:r>
          </w:p>
        </w:tc>
        <w:tc>
          <w:tcPr>
            <w:tcW w:type="dxa" w:w="3312"/>
          </w:tcPr>
          <w:p>
            <w:pPr>
              <w:spacing w:after="20"/>
              <w:jc w:val="right"/>
            </w:pPr>
            <w:r>
              <w:rPr>
                <w:color w:val="1C3A36"/>
                <w:sz w:val="17"/>
              </w:rPr>
              <w:t>The discount rate directly</w:t>
            </w:r>
          </w:p>
        </w:tc>
        <w:tc>
          <w:tcPr>
            <w:tcW w:type="dxa" w:w="2736"/>
          </w:tcPr>
          <w:p>
            <w:pPr>
              <w:spacing w:after="20"/>
              <w:jc w:val="right"/>
            </w:pPr>
            <w:r>
              <w:rPr>
                <w:color w:val="1C3A36"/>
                <w:sz w:val="17"/>
              </w:rPr>
              <w:t>70% of enterprise value sits beyond year five</w:t>
            </w:r>
          </w:p>
        </w:tc>
      </w:tr>
      <w:tr>
        <w:tc>
          <w:tcPr>
            <w:tcW w:type="dxa" w:w="2736"/>
          </w:tcPr>
          <w:p>
            <w:pPr>
              <w:spacing w:after="20"/>
            </w:pPr>
            <w:r>
              <w:rPr>
                <w:b/>
                <w:color w:val="1C3A36"/>
                <w:sz w:val="17"/>
              </w:rPr>
              <w:t>The overseas listed stake</w:t>
            </w:r>
          </w:p>
        </w:tc>
        <w:tc>
          <w:tcPr>
            <w:tcW w:type="dxa" w:w="3312"/>
          </w:tcPr>
          <w:p>
            <w:pPr>
              <w:spacing w:after="20"/>
              <w:jc w:val="right"/>
            </w:pPr>
            <w:r>
              <w:rPr>
                <w:color w:val="1C3A36"/>
                <w:sz w:val="17"/>
              </w:rPr>
              <w:t>A mark that moves daily and is carried at market</w:t>
            </w:r>
          </w:p>
        </w:tc>
        <w:tc>
          <w:tcPr>
            <w:tcW w:type="dxa" w:w="2736"/>
          </w:tcPr>
          <w:p>
            <w:pPr>
              <w:spacing w:after="20"/>
              <w:jc w:val="right"/>
            </w:pPr>
            <w:r>
              <w:rPr>
                <w:color w:val="1C3A36"/>
                <w:sz w:val="17"/>
              </w:rPr>
              <w:t>A few per cent of the bridge; disclosed, not modelled</w:t>
            </w:r>
          </w:p>
        </w:tc>
      </w:tr>
    </w:tbl>
    <w:p>
      <w:pPr>
        <w:spacing w:after="40"/>
      </w:pPr>
    </w:p>
    <w:p>
      <w:pPr>
        <w:spacing w:after="80" w:before="200"/>
      </w:pPr>
      <w:r>
        <w:rPr>
          <w:b/>
          <w:i w:val="0"/>
          <w:color w:val="1C3A36"/>
          <w:sz w:val="24"/>
        </w:rPr>
        <w:t>B.3  The research register — what was searched, and what came back empty</w:t>
      </w:r>
    </w:p>
    <w:p>
      <w:pPr>
        <w:spacing w:after="120" w:before="0"/>
      </w:pPr>
      <w:r>
        <w:rPr>
          <w:b w:val="0"/>
          <w:i w:val="0"/>
          <w:color w:val="1C3A36"/>
          <w:sz w:val="19"/>
        </w:rPr>
        <w:t>Before any forecast driver was set, the research ran at four levels — the world, the country, the industry and the company — and every finding was recorded with its source and that source’s own date. The table below is that register in summary; the standalone bibliography carries every line of it, together with the full register of the 176 inputs this study consumes, each with its value, its source and its date.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8784" w:type="dxa"/>
      </w:tblPr>
      <w:tblGrid>
        <w:gridCol w:w="1655"/>
        <w:gridCol w:w="1224"/>
        <w:gridCol w:w="2736"/>
        <w:gridCol w:w="3168"/>
      </w:tblGrid>
      <w:tr>
        <w:tc>
          <w:tcPr>
            <w:tcW w:type="dxa" w:w="1656"/>
            <w:shd w:val="clear" w:color="auto" w:fill="EAF0EE"/>
          </w:tcPr>
          <w:p>
            <w:pPr>
              <w:spacing w:after="20"/>
            </w:pPr>
            <w:r>
              <w:rPr>
                <w:b/>
                <w:color w:val="1C3A36"/>
                <w:sz w:val="17"/>
              </w:rPr>
              <w:t>Level</w:t>
            </w:r>
          </w:p>
        </w:tc>
        <w:tc>
          <w:tcPr>
            <w:tcW w:type="dxa" w:w="1224"/>
            <w:shd w:val="clear" w:color="auto" w:fill="EAF0EE"/>
          </w:tcPr>
          <w:p>
            <w:pPr>
              <w:spacing w:after="20"/>
            </w:pPr>
            <w:r>
              <w:rPr>
                <w:b/>
                <w:color w:val="1C3A36"/>
                <w:sz w:val="17"/>
              </w:rPr>
              <w:t>Findings</w:t>
            </w:r>
          </w:p>
        </w:tc>
        <w:tc>
          <w:tcPr>
            <w:tcW w:type="dxa" w:w="2736"/>
            <w:shd w:val="clear" w:color="auto" w:fill="EAF0EE"/>
          </w:tcPr>
          <w:p>
            <w:pPr>
              <w:spacing w:after="20"/>
            </w:pPr>
            <w:r>
              <w:rPr>
                <w:b/>
                <w:color w:val="1C3A36"/>
                <w:sz w:val="17"/>
              </w:rPr>
              <w:t>Of which searches that came back empty</w:t>
            </w:r>
          </w:p>
        </w:tc>
        <w:tc>
          <w:tcPr>
            <w:tcW w:type="dxa" w:w="3168"/>
            <w:shd w:val="clear" w:color="auto" w:fill="EAF0EE"/>
          </w:tcPr>
          <w:p>
            <w:pPr>
              <w:spacing w:after="20"/>
            </w:pPr>
            <w:r>
              <w:rPr>
                <w:b/>
                <w:color w:val="1C3A36"/>
                <w:sz w:val="17"/>
              </w:rPr>
              <w:t>The sources they rest on</w:t>
            </w:r>
          </w:p>
        </w:tc>
      </w:tr>
      <w:tr>
        <w:tc>
          <w:tcPr>
            <w:tcW w:type="dxa" w:w="1656"/>
          </w:tcPr>
          <w:p>
            <w:pPr>
              <w:spacing w:after="20"/>
            </w:pPr>
            <w:r>
              <w:rPr>
                <w:b/>
                <w:color w:val="1C3A36"/>
                <w:sz w:val="17"/>
              </w:rPr>
              <w:t>Global</w:t>
            </w:r>
          </w:p>
        </w:tc>
        <w:tc>
          <w:tcPr>
            <w:tcW w:type="dxa" w:w="1224"/>
          </w:tcPr>
          <w:p>
            <w:pPr>
              <w:spacing w:after="20"/>
              <w:jc w:val="right"/>
            </w:pPr>
            <w:r>
              <w:rPr>
                <w:color w:val="1C3A36"/>
                <w:sz w:val="17"/>
              </w:rPr>
              <w:t>4</w:t>
            </w:r>
          </w:p>
        </w:tc>
        <w:tc>
          <w:tcPr>
            <w:tcW w:type="dxa" w:w="2736"/>
          </w:tcPr>
          <w:p>
            <w:pPr>
              <w:spacing w:after="20"/>
              <w:jc w:val="right"/>
            </w:pPr>
            <w:r>
              <w:rPr>
                <w:color w:val="1C3A36"/>
                <w:sz w:val="17"/>
              </w:rPr>
              <w:t>1</w:t>
            </w:r>
          </w:p>
        </w:tc>
        <w:tc>
          <w:tcPr>
            <w:tcW w:type="dxa" w:w="3168"/>
          </w:tcPr>
          <w:p>
            <w:pPr>
              <w:spacing w:after="20"/>
              <w:jc w:val="right"/>
            </w:pPr>
            <w:r>
              <w:rPr>
                <w:color w:val="1C3A36"/>
                <w:sz w:val="17"/>
              </w:rPr>
              <w:t>company ir, company official, regulator official, search</w:t>
            </w:r>
          </w:p>
        </w:tc>
      </w:tr>
      <w:tr>
        <w:tc>
          <w:tcPr>
            <w:tcW w:type="dxa" w:w="1656"/>
          </w:tcPr>
          <w:p>
            <w:pPr>
              <w:spacing w:after="20"/>
            </w:pPr>
            <w:r>
              <w:rPr>
                <w:b/>
                <w:color w:val="1C3A36"/>
                <w:sz w:val="17"/>
              </w:rPr>
              <w:t>Country</w:t>
            </w:r>
          </w:p>
        </w:tc>
        <w:tc>
          <w:tcPr>
            <w:tcW w:type="dxa" w:w="1224"/>
          </w:tcPr>
          <w:p>
            <w:pPr>
              <w:spacing w:after="20"/>
              <w:jc w:val="right"/>
            </w:pPr>
            <w:r>
              <w:rPr>
                <w:color w:val="1C3A36"/>
                <w:sz w:val="17"/>
              </w:rPr>
              <w:t>3</w:t>
            </w:r>
          </w:p>
        </w:tc>
        <w:tc>
          <w:tcPr>
            <w:tcW w:type="dxa" w:w="2736"/>
          </w:tcPr>
          <w:p>
            <w:pPr>
              <w:spacing w:after="20"/>
              <w:jc w:val="right"/>
            </w:pPr>
            <w:r>
              <w:rPr>
                <w:color w:val="1C3A36"/>
                <w:sz w:val="17"/>
              </w:rPr>
              <w:t>1</w:t>
            </w:r>
          </w:p>
        </w:tc>
        <w:tc>
          <w:tcPr>
            <w:tcW w:type="dxa" w:w="3168"/>
          </w:tcPr>
          <w:p>
            <w:pPr>
              <w:spacing w:after="20"/>
              <w:jc w:val="right"/>
            </w:pPr>
            <w:r>
              <w:rPr>
                <w:color w:val="1C3A36"/>
                <w:sz w:val="17"/>
              </w:rPr>
              <w:t>company official, regulator official, search</w:t>
            </w:r>
          </w:p>
        </w:tc>
      </w:tr>
      <w:tr>
        <w:tc>
          <w:tcPr>
            <w:tcW w:type="dxa" w:w="1656"/>
          </w:tcPr>
          <w:p>
            <w:pPr>
              <w:spacing w:after="20"/>
            </w:pPr>
            <w:r>
              <w:rPr>
                <w:b/>
                <w:color w:val="1C3A36"/>
                <w:sz w:val="17"/>
              </w:rPr>
              <w:t>Industry</w:t>
            </w:r>
          </w:p>
        </w:tc>
        <w:tc>
          <w:tcPr>
            <w:tcW w:type="dxa" w:w="1224"/>
          </w:tcPr>
          <w:p>
            <w:pPr>
              <w:spacing w:after="20"/>
              <w:jc w:val="right"/>
            </w:pPr>
            <w:r>
              <w:rPr>
                <w:color w:val="1C3A36"/>
                <w:sz w:val="17"/>
              </w:rPr>
              <w:t>5</w:t>
            </w:r>
          </w:p>
        </w:tc>
        <w:tc>
          <w:tcPr>
            <w:tcW w:type="dxa" w:w="2736"/>
          </w:tcPr>
          <w:p>
            <w:pPr>
              <w:spacing w:after="20"/>
              <w:jc w:val="right"/>
            </w:pPr>
            <w:r>
              <w:rPr>
                <w:color w:val="1C3A36"/>
                <w:sz w:val="17"/>
              </w:rPr>
              <w:t>2</w:t>
            </w:r>
          </w:p>
        </w:tc>
        <w:tc>
          <w:tcPr>
            <w:tcW w:type="dxa" w:w="3168"/>
          </w:tcPr>
          <w:p>
            <w:pPr>
              <w:spacing w:after="20"/>
              <w:jc w:val="right"/>
            </w:pPr>
            <w:r>
              <w:rPr>
                <w:color w:val="1C3A36"/>
                <w:sz w:val="17"/>
              </w:rPr>
              <w:t>company ir, search</w:t>
            </w:r>
          </w:p>
        </w:tc>
      </w:tr>
      <w:tr>
        <w:tc>
          <w:tcPr>
            <w:tcW w:type="dxa" w:w="1656"/>
          </w:tcPr>
          <w:p>
            <w:pPr>
              <w:spacing w:after="20"/>
            </w:pPr>
            <w:r>
              <w:rPr>
                <w:b/>
                <w:color w:val="1C3A36"/>
                <w:sz w:val="17"/>
              </w:rPr>
              <w:t>Company</w:t>
            </w:r>
          </w:p>
        </w:tc>
        <w:tc>
          <w:tcPr>
            <w:tcW w:type="dxa" w:w="1224"/>
          </w:tcPr>
          <w:p>
            <w:pPr>
              <w:spacing w:after="20"/>
              <w:jc w:val="right"/>
            </w:pPr>
            <w:r>
              <w:rPr>
                <w:color w:val="1C3A36"/>
                <w:sz w:val="17"/>
              </w:rPr>
              <w:t>7</w:t>
            </w:r>
          </w:p>
        </w:tc>
        <w:tc>
          <w:tcPr>
            <w:tcW w:type="dxa" w:w="2736"/>
          </w:tcPr>
          <w:p>
            <w:pPr>
              <w:spacing w:after="20"/>
              <w:jc w:val="right"/>
            </w:pPr>
            <w:r>
              <w:rPr>
                <w:color w:val="1C3A36"/>
                <w:sz w:val="17"/>
              </w:rPr>
              <w:t>0</w:t>
            </w:r>
          </w:p>
        </w:tc>
        <w:tc>
          <w:tcPr>
            <w:tcW w:type="dxa" w:w="3168"/>
          </w:tcPr>
          <w:p>
            <w:pPr>
              <w:spacing w:after="20"/>
              <w:jc w:val="right"/>
            </w:pPr>
            <w:r>
              <w:rPr>
                <w:color w:val="1C3A36"/>
                <w:sz w:val="17"/>
              </w:rPr>
              <w:t>company ir, company official</w:t>
            </w:r>
          </w:p>
        </w:tc>
      </w:tr>
      <w:tr>
        <w:tc>
          <w:tcPr>
            <w:tcW w:type="dxa" w:w="1656"/>
            <w:shd w:val="clear" w:color="auto" w:fill="F6F1E6"/>
          </w:tcPr>
          <w:p>
            <w:pPr>
              <w:spacing w:after="20"/>
            </w:pPr>
            <w:r>
              <w:rPr>
                <w:b/>
                <w:color w:val="1C3A36"/>
                <w:sz w:val="17"/>
              </w:rPr>
              <w:t>All four</w:t>
            </w:r>
          </w:p>
        </w:tc>
        <w:tc>
          <w:tcPr>
            <w:tcW w:type="dxa" w:w="1224"/>
            <w:shd w:val="clear" w:color="auto" w:fill="F6F1E6"/>
          </w:tcPr>
          <w:p>
            <w:pPr>
              <w:spacing w:after="20"/>
              <w:jc w:val="right"/>
            </w:pPr>
            <w:r>
              <w:rPr>
                <w:b/>
                <w:color w:val="1C3A36"/>
                <w:sz w:val="17"/>
              </w:rPr>
              <w:t>19</w:t>
            </w:r>
          </w:p>
        </w:tc>
        <w:tc>
          <w:tcPr>
            <w:tcW w:type="dxa" w:w="2736"/>
            <w:shd w:val="clear" w:color="auto" w:fill="F6F1E6"/>
          </w:tcPr>
          <w:p>
            <w:pPr>
              <w:spacing w:after="20"/>
              <w:jc w:val="right"/>
            </w:pPr>
            <w:r>
              <w:rPr>
                <w:b/>
                <w:color w:val="1C3A36"/>
                <w:sz w:val="17"/>
              </w:rPr>
              <w:t>4</w:t>
            </w:r>
          </w:p>
        </w:tc>
        <w:tc>
          <w:tcPr>
            <w:tcW w:type="dxa" w:w="3168"/>
            <w:shd w:val="clear" w:color="auto" w:fill="F6F1E6"/>
          </w:tcPr>
          <w:p>
            <w:pPr>
              <w:spacing w:after="20"/>
              <w:jc w:val="right"/>
            </w:pPr>
            <w:r>
              <w:rPr>
                <w:b/>
                <w:color w:val="1C3A36"/>
                <w:sz w:val="17"/>
              </w:rPr>
              <w:t>sweep dated 2026-09-05</w:t>
            </w:r>
          </w:p>
        </w:tc>
      </w:tr>
    </w:tbl>
    <w:p>
      <w:pPr>
        <w:spacing w:after="40"/>
      </w:pPr>
    </w:p>
    <w:p>
      <w:pPr>
        <w:spacing w:after="120" w:before="0"/>
      </w:pPr>
      <w:r>
        <w:rPr>
          <w:b w:val="0"/>
          <w:i w:val="0"/>
          <w:color w:val="1C3A36"/>
          <w:sz w:val="19"/>
        </w:rPr>
        <w:t>A NEGATIVE RESULT IS A RESULT, and this study records four of them. They are printed here rather than left out, because a question asked and answered with nothing is evidence, while a question never asked looks identical to one that found nothing:</w:t>
      </w:r>
    </w:p>
    <w:p>
      <w:pPr>
        <w:pStyle w:val="ListBullet"/>
        <w:spacing w:after="60"/>
      </w:pPr>
      <w:r>
        <w:rPr>
          <w:b/>
          <w:color w:val="1C3A36"/>
          <w:sz w:val="21"/>
        </w:rPr>
        <w:t xml:space="preserve">Global — trade / sanctions / supply chains. </w:t>
      </w:r>
      <w:r>
        <w:rPr>
          <w:color w:val="1C3A36"/>
          <w:sz w:val="21"/>
        </w:rPr>
        <w:t>Searched the FY2025 audited statements and the FY2025 and H1-2026 earnings presentations for sanctions, export controls, supply-chain disruption or tariffs. Two hits in the statements, neither a risk disclosure: one lists 'supply chain and other related services' among a subsidiary's permitted activities, and one records a 2017 Kuwaiti court ruling on a regulatory tariff decree. No supply-chain or sanctions exposure is disclosed anywhere in the three documents.</w:t>
      </w:r>
    </w:p>
    <w:p>
      <w:pPr>
        <w:pStyle w:val="ListBullet"/>
        <w:spacing w:after="60"/>
      </w:pPr>
      <w:r>
        <w:rPr>
          <w:b/>
          <w:color w:val="1C3A36"/>
          <w:sz w:val="21"/>
        </w:rPr>
        <w:t xml:space="preserve">Country — fiscal / political events with sector read-through. </w:t>
      </w:r>
      <w:r>
        <w:rPr>
          <w:color w:val="1C3A36"/>
          <w:sz w:val="21"/>
        </w:rPr>
        <w:t>Searched the FY2025 audited statements and both 2026 interim sets for any fiscal or political event with a stated effect on this company — a change in the zakat or income-tax basis, a subsidy, a state directive. The tax note records ordinary zakat and income tax and a FY2025 CREDIT of SAR 466,436 thousand against a FY2024 charge of 1,191,564, a swing of 1.66bn that the statements do not attribute to a policy change. Nothing else is disclosed.</w:t>
      </w:r>
    </w:p>
    <w:p>
      <w:pPr>
        <w:pStyle w:val="ListBullet"/>
        <w:spacing w:after="60"/>
      </w:pPr>
      <w:r>
        <w:rPr>
          <w:b/>
          <w:color w:val="1C3A36"/>
          <w:sz w:val="21"/>
        </w:rPr>
        <w:t xml:space="preserve">Industry — new entrants (named-competitor level). </w:t>
      </w:r>
      <w:r>
        <w:rPr>
          <w:color w:val="1C3A36"/>
          <w:sz w:val="21"/>
        </w:rPr>
        <w:t>Searched the FY2025 audited statements and the FY2025 and H1-2026 earnings presentations for any named competitor, market-share figure or new entrant. ZERO hits across all three documents for 'competitor', 'market share', 'Mobily' or 'Zain'. This company does not disclose its competitive position in any document this study holds, and no peer multiple or share figure is therefore used anywhere in the model.</w:t>
      </w:r>
    </w:p>
    <w:p>
      <w:pPr>
        <w:pStyle w:val="ListBullet"/>
        <w:spacing w:after="60"/>
      </w:pPr>
      <w:r>
        <w:rPr>
          <w:b/>
          <w:color w:val="1C3A36"/>
          <w:sz w:val="21"/>
        </w:rPr>
        <w:t xml:space="preserve">Industry — competitor capacity / price moves (named). </w:t>
      </w:r>
      <w:r>
        <w:rPr>
          <w:color w:val="1C3A36"/>
          <w:sz w:val="21"/>
        </w:rPr>
        <w:t>The same search as the new-entrants category and with the same result: no named competitor appears in any of the three documents, so no competitor capacity or price move can be cited. Recorded as an evidenced absence rather than closed by moving a finding about this company's own operations into a row about its competitors.</w:t>
      </w:r>
    </w:p>
    <w:p>
      <w:pPr>
        <w:spacing w:after="120" w:before="0"/>
      </w:pPr>
      <w:r>
        <w:rPr>
          <w:b w:val="0"/>
          <w:i w:val="0"/>
          <w:color w:val="1C3A36"/>
          <w:sz w:val="19"/>
        </w:rPr>
        <w:t>The company’s own investor-relations channel was attempted first, before any aggregator, and the attempt is logged whether or not it succeeded. It was reached on 2026-09-05 — and the route matters: four direct address guesses each returned the site’s own error page under a success code, which reads as a working page to anything that only checks the status. The sitemap found it. Every historical figure in this study comes from the company’s own audited statements or its own investor material, and none from a data vendor, a broker or a press report.</w:t>
      </w:r>
    </w:p>
    <w:p>
      <w:pPr>
        <w:spacing w:after="120" w:before="280"/>
      </w:pPr>
      <w:r>
        <w:rPr>
          <w:b/>
          <w:i w:val="0"/>
          <w:color w:val="1C3A36"/>
          <w:sz w:val="30"/>
        </w:rPr>
        <w:t>Appendix C  The expert valuation panel</w:t>
      </w:r>
    </w:p>
    <w:p>
      <w:pPr>
        <w:spacing w:after="120" w:before="0"/>
      </w:pPr>
      <w:r>
        <w:rPr>
          <w:b w:val="0"/>
          <w:i w:val="0"/>
          <w:color w:val="1C3A36"/>
          <w:sz w:val="21"/>
        </w:rPr>
        <w:t>Every Testahil study closes with a panel of standing expert personas — drawn from the house Expert Persona Library, not invented for the occasion, so each accumulates a track record across studies and a quarterly update is a re-run, not a re-training. For stc we cast the telecom trio from the library’s coverage map — cash-returns (DCF + returns on capital against WACC), earnings-power (normalized through-cycle earnings + multiples), and macro-policy (scenario-weighted policy options) — labelled Expert 1 / 2 / 3. Each runs a genuinely different method, derives its fair value from shown workings, and states a falsification condition.</w:t>
      </w:r>
    </w:p>
    <w:p>
      <w:pPr>
        <w:spacing w:after="80" w:before="200"/>
      </w:pPr>
      <w:r>
        <w:rPr>
          <w:b/>
          <w:i w:val="0"/>
          <w:color w:val="1C3A36"/>
          <w:sz w:val="24"/>
        </w:rPr>
        <w:t>C.1  Expert 1 — cash returns: ROIC against the cost of capital</w:t>
      </w:r>
    </w:p>
    <w:p>
      <w:pPr>
        <w:spacing w:after="120" w:before="0"/>
      </w:pPr>
      <w:r>
        <w:rPr>
          <w:b w:val="0"/>
          <w:i w:val="0"/>
          <w:color w:val="1C3A36"/>
          <w:sz w:val="19"/>
        </w:rPr>
        <w:t>Worldview and tradition. A business is worth the cash it returns over its life, and it creates value only when each riyal of capital earns above its cost. He looks past accounting earnings to free cash flow and to the economic-profit spread — and he is temperamentally suspicious of capex programs described with the word “vision.”</w:t>
      </w:r>
    </w:p>
    <w:p>
      <w:pPr>
        <w:spacing w:after="120" w:before="0"/>
      </w:pPr>
      <w:r>
        <w:rPr>
          <w:b w:val="0"/>
          <w:i w:val="0"/>
          <w:color w:val="1C3A36"/>
          <w:sz w:val="19"/>
        </w:rPr>
        <w:t>When it works / fails. Best for capital-intensive businesses where returns on capital are the crux — precisely a telecom. Fails where reinvestment economics are genuinely improving (past ROIC misleads a new-moat story) — his risk here if the AI-data-centre build earns structurally above telecom returns.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8784" w:type="dxa"/>
      </w:tblPr>
      <w:tblGrid>
        <w:gridCol w:w="6336"/>
        <w:gridCol w:w="2448"/>
      </w:tblGrid>
      <w:tr>
        <w:tc>
          <w:tcPr>
            <w:tcW w:type="dxa" w:w="6336"/>
            <w:shd w:val="clear" w:color="auto" w:fill="EAF0EE"/>
          </w:tcPr>
          <w:p>
            <w:pPr>
              <w:spacing w:after="20"/>
            </w:pPr>
            <w:r>
              <w:rPr>
                <w:b/>
                <w:color w:val="1C3A36"/>
                <w:sz w:val="18"/>
              </w:rPr>
              <w:t>Expert 1’s economic-profit test</w:t>
            </w:r>
          </w:p>
        </w:tc>
        <w:tc>
          <w:tcPr>
            <w:tcW w:type="dxa" w:w="2448"/>
            <w:shd w:val="clear" w:color="auto" w:fill="EAF0EE"/>
          </w:tcPr>
          <w:p>
            <w:pPr>
              <w:spacing w:after="20"/>
            </w:pPr>
            <w:r>
              <w:rPr>
                <w:b/>
                <w:color w:val="1C3A36"/>
                <w:sz w:val="18"/>
              </w:rPr>
              <w:t>Value</w:t>
            </w:r>
          </w:p>
        </w:tc>
      </w:tr>
      <w:tr>
        <w:tc>
          <w:tcPr>
            <w:tcW w:type="dxa" w:w="6336"/>
          </w:tcPr>
          <w:p>
            <w:pPr>
              <w:spacing w:after="20"/>
            </w:pPr>
            <w:r>
              <w:rPr>
                <w:b/>
                <w:color w:val="1C3A36"/>
                <w:sz w:val="18"/>
              </w:rPr>
              <w:t>Invested capital (parent equity 85.0 bn plus net debt 8.4 bn)</w:t>
            </w:r>
          </w:p>
        </w:tc>
        <w:tc>
          <w:tcPr>
            <w:tcW w:type="dxa" w:w="2448"/>
          </w:tcPr>
          <w:p>
            <w:pPr>
              <w:spacing w:after="20"/>
              <w:jc w:val="right"/>
            </w:pPr>
            <w:r>
              <w:rPr>
                <w:color w:val="1C3A36"/>
                <w:sz w:val="18"/>
              </w:rPr>
              <w:t>SAR 93.4 bn</w:t>
            </w:r>
          </w:p>
        </w:tc>
      </w:tr>
      <w:tr>
        <w:tc>
          <w:tcPr>
            <w:tcW w:type="dxa" w:w="6336"/>
          </w:tcPr>
          <w:p>
            <w:pPr>
              <w:spacing w:after="20"/>
            </w:pPr>
            <w:r>
              <w:rPr>
                <w:b/>
                <w:color w:val="1C3A36"/>
                <w:sz w:val="18"/>
              </w:rPr>
              <w:t>FY26E operating profit after tax, over that capital</w:t>
            </w:r>
          </w:p>
        </w:tc>
        <w:tc>
          <w:tcPr>
            <w:tcW w:type="dxa" w:w="2448"/>
          </w:tcPr>
          <w:p>
            <w:pPr>
              <w:spacing w:after="20"/>
              <w:jc w:val="right"/>
            </w:pPr>
            <w:r>
              <w:rPr>
                <w:color w:val="1C3A36"/>
                <w:sz w:val="18"/>
              </w:rPr>
              <w:t>SAR 14.2 bn → 15.2%</w:t>
            </w:r>
          </w:p>
        </w:tc>
      </w:tr>
      <w:tr>
        <w:tc>
          <w:tcPr>
            <w:tcW w:type="dxa" w:w="6336"/>
          </w:tcPr>
          <w:p>
            <w:pPr>
              <w:spacing w:after="20"/>
            </w:pPr>
            <w:r>
              <w:rPr>
                <w:b/>
                <w:color w:val="1C3A36"/>
                <w:sz w:val="18"/>
              </w:rPr>
              <w:t>Cost of capital (he accepts the §1.8 build)</w:t>
            </w:r>
          </w:p>
        </w:tc>
        <w:tc>
          <w:tcPr>
            <w:tcW w:type="dxa" w:w="2448"/>
          </w:tcPr>
          <w:p>
            <w:pPr>
              <w:spacing w:after="20"/>
              <w:jc w:val="right"/>
            </w:pPr>
            <w:r>
              <w:rPr>
                <w:color w:val="1C3A36"/>
                <w:sz w:val="18"/>
              </w:rPr>
              <w:t>8.53%</w:t>
            </w:r>
          </w:p>
        </w:tc>
      </w:tr>
      <w:tr>
        <w:tc>
          <w:tcPr>
            <w:tcW w:type="dxa" w:w="6336"/>
          </w:tcPr>
          <w:p>
            <w:pPr>
              <w:spacing w:after="20"/>
            </w:pPr>
            <w:r>
              <w:rPr>
                <w:b/>
                <w:color w:val="1C3A36"/>
                <w:sz w:val="18"/>
              </w:rPr>
              <w:t>Economic profit = (return − cost) × capital</w:t>
            </w:r>
          </w:p>
        </w:tc>
        <w:tc>
          <w:tcPr>
            <w:tcW w:type="dxa" w:w="2448"/>
          </w:tcPr>
          <w:p>
            <w:pPr>
              <w:spacing w:after="20"/>
              <w:jc w:val="right"/>
            </w:pPr>
            <w:r>
              <w:rPr>
                <w:color w:val="1C3A36"/>
                <w:sz w:val="18"/>
              </w:rPr>
              <w:t>SAR 6.3 bn/yr</w:t>
            </w:r>
          </w:p>
        </w:tc>
      </w:tr>
      <w:tr>
        <w:tc>
          <w:tcPr>
            <w:tcW w:type="dxa" w:w="6336"/>
          </w:tcPr>
          <w:p>
            <w:pPr>
              <w:spacing w:after="20"/>
            </w:pPr>
            <w:r>
              <w:rPr>
                <w:b/>
                <w:color w:val="1C3A36"/>
                <w:sz w:val="18"/>
              </w:rPr>
              <w:t>Fade: excess returns decay 2.5%/yr toward the cost of capital</w:t>
            </w:r>
          </w:p>
        </w:tc>
        <w:tc>
          <w:tcPr>
            <w:tcW w:type="dxa" w:w="2448"/>
          </w:tcPr>
          <w:p>
            <w:pPr>
              <w:spacing w:after="20"/>
              <w:jc w:val="right"/>
            </w:pPr>
            <w:r>
              <w:rPr>
                <w:color w:val="1C3A36"/>
                <w:sz w:val="18"/>
              </w:rPr>
              <w:t>Multiple on economic profit 11.1x</w:t>
            </w:r>
          </w:p>
        </w:tc>
      </w:tr>
      <w:tr>
        <w:tc>
          <w:tcPr>
            <w:tcW w:type="dxa" w:w="6336"/>
          </w:tcPr>
          <w:p>
            <w:pPr>
              <w:spacing w:after="20"/>
            </w:pPr>
            <w:r>
              <w:rPr>
                <w:b/>
                <w:color w:val="1C3A36"/>
                <w:sz w:val="18"/>
              </w:rPr>
              <w:t>Core enterprise value = capital + present value of the fading economic profit</w:t>
            </w:r>
          </w:p>
        </w:tc>
        <w:tc>
          <w:tcPr>
            <w:tcW w:type="dxa" w:w="2448"/>
          </w:tcPr>
          <w:p>
            <w:pPr>
              <w:spacing w:after="20"/>
              <w:jc w:val="right"/>
            </w:pPr>
            <w:r>
              <w:rPr>
                <w:color w:val="1C3A36"/>
                <w:sz w:val="18"/>
              </w:rPr>
              <w:t>SAR 163 bn</w:t>
            </w:r>
          </w:p>
        </w:tc>
      </w:tr>
      <w:tr>
        <w:tc>
          <w:tcPr>
            <w:tcW w:type="dxa" w:w="6336"/>
          </w:tcPr>
          <w:p>
            <w:pPr>
              <w:spacing w:after="20"/>
            </w:pPr>
            <w:r>
              <w:rPr>
                <w:b/>
                <w:color w:val="1C3A36"/>
                <w:sz w:val="18"/>
              </w:rPr>
              <w:t>+ stakes less net debt less the minority, divided by 4,993.0 mn shares</w:t>
            </w:r>
          </w:p>
        </w:tc>
        <w:tc>
          <w:tcPr>
            <w:tcW w:type="dxa" w:w="2448"/>
          </w:tcPr>
          <w:p>
            <w:pPr>
              <w:spacing w:after="20"/>
              <w:jc w:val="right"/>
            </w:pPr>
            <w:r>
              <w:rPr>
                <w:color w:val="1C3A36"/>
                <w:sz w:val="18"/>
              </w:rPr>
              <w:t>→ SAR 35.5 per share</w:t>
            </w:r>
          </w:p>
        </w:tc>
      </w:tr>
    </w:tbl>
    <w:p>
      <w:pPr>
        <w:spacing w:after="40"/>
      </w:pPr>
    </w:p>
    <w:p>
      <w:pPr>
        <w:spacing w:after="120" w:before="0"/>
      </w:pPr>
      <w:r>
        <w:rPr>
          <w:b w:val="0"/>
          <w:i w:val="0"/>
          <w:color w:val="1C3A36"/>
          <w:sz w:val="19"/>
        </w:rPr>
        <w:t>Sensitivity, and the swing really is the fade rate alone — the cost of capital has its own grid in §1.9 and is held here: at 1% a year, a durable moat, his value rises to SAR 38.22; at 4%, where competition and technology churn eat the spread, it falls to SAR 33.57. Cross-examination: he tells Expert 2 that a 15× multiple on normalized earnings quietly capitalizes today’s ROIC forever without charging for the capital that sustains it — his fade does explicitly what the multiple hides. He tells Expert 3 that scenario trees on the policy rate are fine, but the bigger lever is inside the company: each percentage point of capex intensity is SAR 0.8 bn of cash that either earns the spread or doesn’t.</w:t>
      </w:r>
    </w:p>
    <w:p>
      <w:pPr>
        <w:spacing w:after="120" w:before="0"/>
      </w:pPr>
      <w:r>
        <w:rPr>
          <w:b/>
          <w:i w:val="0"/>
          <w:color w:val="1C3A36"/>
          <w:sz w:val="21"/>
        </w:rPr>
        <w:t xml:space="preserve">Verdict, falsification, market-implied. </w:t>
      </w:r>
      <w:r>
        <w:rPr>
          <w:b w:val="0"/>
          <w:i w:val="0"/>
          <w:color w:val="1C3A36"/>
          <w:sz w:val="21"/>
        </w:rPr>
        <w:t>Fair SAR 35.5 (range 34–38) — the panel’s conservative anchor, below spot: on his arithmetic the market already pays for the excess returns to persist a decade-plus. Falsified by disclosed data-centre economics showing contracted returns above telecom ROIC (the fade would then be too harsh), or by return on capital holding above 15% through FY2028 while capital intensity normalises. What the price implies: at SAR 43.86 the market discounts a gentler fade than his 2.5% a year, i.e. it believes in the moat slightly more than he does.</w:t>
      </w:r>
    </w:p>
    <w:p>
      <w:pPr>
        <w:spacing w:after="80" w:before="200"/>
      </w:pPr>
      <w:r>
        <w:rPr>
          <w:b/>
          <w:i w:val="0"/>
          <w:color w:val="1C3A36"/>
          <w:sz w:val="24"/>
        </w:rPr>
        <w:t>C.2  Expert 2 — normalized earnings power</w:t>
      </w:r>
    </w:p>
    <w:p>
      <w:pPr>
        <w:spacing w:after="120" w:before="0"/>
      </w:pPr>
      <w:r>
        <w:rPr>
          <w:b w:val="0"/>
          <w:i w:val="0"/>
          <w:color w:val="1C3A36"/>
          <w:sz w:val="19"/>
        </w:rPr>
        <w:t>Worldview and tradition. An operating company is worth a fair multiple of its sustainable, mid-cycle earnings power; peaks, troughs and one-off gains are noise to be stripped before anything is capitalized.</w:t>
      </w:r>
    </w:p>
    <w:p>
      <w:pPr>
        <w:spacing w:after="120" w:before="0"/>
      </w:pPr>
      <w:r>
        <w:rPr>
          <w:b w:val="0"/>
          <w:i w:val="0"/>
          <w:color w:val="1C3A36"/>
          <w:sz w:val="19"/>
        </w:rPr>
        <w:t>When it works / fails. Best for stable operating businesses with a track record — a fit for stc, whose underlying earnings have grown 12–13% (adjusted) for two straight years. Fails at structural breaks: if the subsidiary portfolio re-rates the growth profile, his through-cycle multiple is too low; if a price war breaks the margin, too high.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8784" w:type="dxa"/>
      </w:tblPr>
      <w:tblGrid>
        <w:gridCol w:w="6336"/>
        <w:gridCol w:w="2448"/>
      </w:tblGrid>
      <w:tr>
        <w:tc>
          <w:tcPr>
            <w:tcW w:type="dxa" w:w="6336"/>
            <w:shd w:val="clear" w:color="auto" w:fill="EAF0EE"/>
          </w:tcPr>
          <w:p>
            <w:pPr>
              <w:spacing w:after="20"/>
            </w:pPr>
            <w:r>
              <w:rPr>
                <w:b/>
                <w:color w:val="1C3A36"/>
                <w:sz w:val="18"/>
              </w:rPr>
              <w:t>Expert 2’s normalisation</w:t>
            </w:r>
          </w:p>
        </w:tc>
        <w:tc>
          <w:tcPr>
            <w:tcW w:type="dxa" w:w="2448"/>
            <w:shd w:val="clear" w:color="auto" w:fill="EAF0EE"/>
          </w:tcPr>
          <w:p>
            <w:pPr>
              <w:spacing w:after="20"/>
            </w:pPr>
            <w:r>
              <w:rPr>
                <w:b/>
                <w:color w:val="1C3A36"/>
                <w:sz w:val="18"/>
              </w:rPr>
              <w:t>SAR mn</w:t>
            </w:r>
          </w:p>
        </w:tc>
      </w:tr>
      <w:tr>
        <w:tc>
          <w:tcPr>
            <w:tcW w:type="dxa" w:w="6336"/>
          </w:tcPr>
          <w:p>
            <w:pPr>
              <w:spacing w:after="20"/>
            </w:pPr>
            <w:r>
              <w:rPr>
                <w:b/>
                <w:color w:val="1C3A36"/>
                <w:sz w:val="18"/>
              </w:rPr>
              <w:t>FY2025 profit before zakat, as filed</w:t>
            </w:r>
          </w:p>
        </w:tc>
        <w:tc>
          <w:tcPr>
            <w:tcW w:type="dxa" w:w="2448"/>
          </w:tcPr>
          <w:p>
            <w:pPr>
              <w:spacing w:after="20"/>
              <w:jc w:val="right"/>
            </w:pPr>
            <w:r>
              <w:rPr>
                <w:color w:val="1C3A36"/>
                <w:sz w:val="18"/>
              </w:rPr>
              <w:t>14,723</w:t>
            </w:r>
          </w:p>
        </w:tc>
      </w:tr>
      <w:tr>
        <w:tc>
          <w:tcPr>
            <w:tcW w:type="dxa" w:w="6336"/>
          </w:tcPr>
          <w:p>
            <w:pPr>
              <w:spacing w:after="20"/>
            </w:pPr>
            <w:r>
              <w:rPr>
                <w:b/>
                <w:color w:val="1C3A36"/>
                <w:sz w:val="18"/>
              </w:rPr>
              <w:t>less zakat at the rate the three filed years imply</w:t>
            </w:r>
          </w:p>
        </w:tc>
        <w:tc>
          <w:tcPr>
            <w:tcW w:type="dxa" w:w="2448"/>
          </w:tcPr>
          <w:p>
            <w:pPr>
              <w:spacing w:after="20"/>
              <w:jc w:val="right"/>
            </w:pPr>
            <w:r>
              <w:rPr>
                <w:color w:val="1C3A36"/>
                <w:sz w:val="18"/>
              </w:rPr>
              <w:t>(1,217)</w:t>
            </w:r>
          </w:p>
        </w:tc>
      </w:tr>
      <w:tr>
        <w:tc>
          <w:tcPr>
            <w:tcW w:type="dxa" w:w="6336"/>
          </w:tcPr>
          <w:p>
            <w:pPr>
              <w:spacing w:after="20"/>
            </w:pPr>
            <w:r>
              <w:rPr>
                <w:b/>
                <w:color w:val="1C3A36"/>
                <w:sz w:val="18"/>
              </w:rPr>
              <w:t>less the minority interest</w:t>
            </w:r>
          </w:p>
        </w:tc>
        <w:tc>
          <w:tcPr>
            <w:tcW w:type="dxa" w:w="2448"/>
          </w:tcPr>
          <w:p>
            <w:pPr>
              <w:spacing w:after="20"/>
              <w:jc w:val="right"/>
            </w:pPr>
            <w:r>
              <w:rPr>
                <w:color w:val="1C3A36"/>
                <w:sz w:val="18"/>
              </w:rPr>
              <w:t>(273)</w:t>
            </w:r>
          </w:p>
        </w:tc>
      </w:tr>
      <w:tr>
        <w:tc>
          <w:tcPr>
            <w:tcW w:type="dxa" w:w="6336"/>
          </w:tcPr>
          <w:p>
            <w:pPr>
              <w:spacing w:after="20"/>
            </w:pPr>
            <w:r>
              <w:rPr>
                <w:b/>
                <w:color w:val="1C3A36"/>
                <w:sz w:val="18"/>
              </w:rPr>
              <w:t>Normalised profit attributable</w:t>
            </w:r>
          </w:p>
        </w:tc>
        <w:tc>
          <w:tcPr>
            <w:tcW w:type="dxa" w:w="2448"/>
          </w:tcPr>
          <w:p>
            <w:pPr>
              <w:spacing w:after="20"/>
              <w:jc w:val="right"/>
            </w:pPr>
            <w:r>
              <w:rPr>
                <w:color w:val="1C3A36"/>
                <w:sz w:val="18"/>
              </w:rPr>
              <w:t>13,233</w:t>
            </w:r>
          </w:p>
        </w:tc>
      </w:tr>
      <w:tr>
        <w:tc>
          <w:tcPr>
            <w:tcW w:type="dxa" w:w="6336"/>
          </w:tcPr>
          <w:p>
            <w:pPr>
              <w:spacing w:after="20"/>
            </w:pPr>
            <w:r>
              <w:rPr>
                <w:b/>
                <w:color w:val="1C3A36"/>
                <w:sz w:val="18"/>
              </w:rPr>
              <w:t>Divided by shares in issue (4,993.0 million)</w:t>
            </w:r>
          </w:p>
        </w:tc>
        <w:tc>
          <w:tcPr>
            <w:tcW w:type="dxa" w:w="2448"/>
          </w:tcPr>
          <w:p>
            <w:pPr>
              <w:spacing w:after="20"/>
              <w:jc w:val="right"/>
            </w:pPr>
            <w:r>
              <w:rPr>
                <w:color w:val="1C3A36"/>
                <w:sz w:val="18"/>
              </w:rPr>
              <w:t>SAR 2.65 per share</w:t>
            </w:r>
          </w:p>
        </w:tc>
      </w:tr>
      <w:tr>
        <w:tc>
          <w:tcPr>
            <w:tcW w:type="dxa" w:w="6336"/>
          </w:tcPr>
          <w:p>
            <w:pPr>
              <w:spacing w:after="20"/>
            </w:pPr>
            <w:r>
              <w:rPr>
                <w:b/>
                <w:color w:val="1C3A36"/>
                <w:sz w:val="18"/>
              </w:rPr>
              <w:t>Justified through-cycle price-to-earnings</w:t>
            </w:r>
          </w:p>
        </w:tc>
        <w:tc>
          <w:tcPr>
            <w:tcW w:type="dxa" w:w="2448"/>
          </w:tcPr>
          <w:p>
            <w:pPr>
              <w:spacing w:after="20"/>
              <w:jc w:val="right"/>
            </w:pPr>
            <w:r>
              <w:rPr>
                <w:color w:val="1C3A36"/>
                <w:sz w:val="18"/>
              </w:rPr>
              <w:t>15.0x</w:t>
            </w:r>
          </w:p>
        </w:tc>
      </w:tr>
      <w:tr>
        <w:tc>
          <w:tcPr>
            <w:tcW w:type="dxa" w:w="6336"/>
          </w:tcPr>
          <w:p>
            <w:pPr>
              <w:spacing w:after="20"/>
            </w:pPr>
            <w:r>
              <w:rPr>
                <w:b/>
                <w:color w:val="1C3A36"/>
                <w:sz w:val="18"/>
              </w:rPr>
              <w:t>Fair value</w:t>
            </w:r>
          </w:p>
        </w:tc>
        <w:tc>
          <w:tcPr>
            <w:tcW w:type="dxa" w:w="2448"/>
          </w:tcPr>
          <w:p>
            <w:pPr>
              <w:spacing w:after="20"/>
              <w:jc w:val="right"/>
            </w:pPr>
            <w:r>
              <w:rPr>
                <w:color w:val="1C3A36"/>
                <w:sz w:val="18"/>
              </w:rPr>
              <w:t>SAR 39.8 per share</w:t>
            </w:r>
          </w:p>
        </w:tc>
      </w:tr>
    </w:tbl>
    <w:p>
      <w:pPr>
        <w:spacing w:after="40"/>
      </w:pPr>
    </w:p>
    <w:p>
      <w:pPr>
        <w:spacing w:after="120" w:before="0"/>
      </w:pPr>
      <w:r>
        <w:rPr>
          <w:b w:val="0"/>
          <w:i w:val="0"/>
          <w:color w:val="1C3A36"/>
          <w:sz w:val="19"/>
        </w:rPr>
        <w:t>Sensitivity (the swing is the multiple): every turn of the price-to-earnings ratio is worth exactly his normalised earnings per share, SAR 2.65 — so at 13.5x he reads SAR 35.8 and at 16.5x SAR 43.7. His published range of SAR 36.8 to 50.2 spans 13.9x to 19.0x. Cross-examination: he tells Expert 1 that a fade model is a multiple wearing a lab coat — the honest disagreement is the number. He tells Expert 3 that the dividend lens undervalues whatever the board chooses not to distribute.</w:t>
      </w:r>
    </w:p>
    <w:p>
      <w:pPr>
        <w:spacing w:after="120" w:before="0"/>
      </w:pPr>
      <w:r>
        <w:rPr>
          <w:b/>
          <w:i w:val="0"/>
          <w:color w:val="1C3A36"/>
          <w:sz w:val="21"/>
        </w:rPr>
        <w:t xml:space="preserve">Verdict, falsification, market-implied. </w:t>
      </w:r>
      <w:r>
        <w:rPr>
          <w:b w:val="0"/>
          <w:i w:val="0"/>
          <w:color w:val="1C3A36"/>
          <w:sz w:val="21"/>
        </w:rPr>
        <w:t>Fair SAR 39.8 (range 37–50), -9% against the market. On clean current earnings the stock is priced above his read: the market pays 16.5x his normalised earnings against the 15.0x he will justify, and the difference is growth not yet printed. Falsified by two consecutive years of double-digit adjusted earnings growth, which would make his base stale, or by the flat margin path turning down.</w:t>
      </w:r>
    </w:p>
    <w:p>
      <w:pPr>
        <w:spacing w:after="80" w:before="200"/>
      </w:pPr>
      <w:r>
        <w:rPr>
          <w:b/>
          <w:i w:val="0"/>
          <w:color w:val="1C3A36"/>
          <w:sz w:val="24"/>
        </w:rPr>
        <w:t>C.3  Expert 3 — macro-policy: the scenario tree</w:t>
      </w:r>
    </w:p>
    <w:p>
      <w:pPr>
        <w:spacing w:after="120" w:before="0"/>
      </w:pPr>
      <w:r>
        <w:rPr>
          <w:b w:val="0"/>
          <w:i w:val="0"/>
          <w:color w:val="1C3A36"/>
          <w:sz w:val="19"/>
        </w:rPr>
        <w:t>Worldview and tradition. In a policy-driven market, policy outranks fundamentals: the Fed/SAMA rate path, the oil-funded fiscal impulse, and sovereign strategic priorities (Vision 2030, the AI build, PIF’s portfolio choices) move this stock more than management execution does. He prices the equity as a probability-weighted set of policy worlds, expressed through the dividend stream — the one cash flow a policy-anchored shareholder actually receives.</w:t>
      </w:r>
    </w:p>
    <w:p>
      <w:pPr>
        <w:spacing w:after="120" w:before="0"/>
      </w:pPr>
      <w:r>
        <w:rPr>
          <w:b w:val="0"/>
          <w:i w:val="0"/>
          <w:color w:val="1C3A36"/>
          <w:sz w:val="19"/>
        </w:rPr>
        <w:t>When it works / fails. Best where binary policy catalysts dominate — rate cuts, sovereign flows, national-champion capex mandates. Fails through false precision: the probabilities are judgments, and the tree can miss the branch that grows (his own flag: a KSA price war appears in nobody’s policy scenario, yet would dominate all of them).</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9648" w:type="dxa"/>
      </w:tblPr>
      <w:tblGrid>
        <w:gridCol w:w="3168"/>
        <w:gridCol w:w="1007"/>
        <w:gridCol w:w="3888"/>
        <w:gridCol w:w="1584"/>
      </w:tblGrid>
      <w:tr>
        <w:tc>
          <w:tcPr>
            <w:tcW w:type="dxa" w:w="3168"/>
            <w:shd w:val="clear" w:color="auto" w:fill="EAF0EE"/>
          </w:tcPr>
          <w:p>
            <w:pPr>
              <w:spacing w:after="20"/>
            </w:pPr>
            <w:r>
              <w:rPr>
                <w:b/>
                <w:color w:val="1C3A36"/>
                <w:sz w:val="17"/>
              </w:rPr>
              <w:t>Scenario (through 2027)</w:t>
            </w:r>
          </w:p>
        </w:tc>
        <w:tc>
          <w:tcPr>
            <w:tcW w:type="dxa" w:w="1008"/>
            <w:shd w:val="clear" w:color="auto" w:fill="EAF0EE"/>
          </w:tcPr>
          <w:p>
            <w:pPr>
              <w:spacing w:after="20"/>
            </w:pPr>
            <w:r>
              <w:rPr>
                <w:b/>
                <w:color w:val="1C3A36"/>
                <w:sz w:val="17"/>
              </w:rPr>
              <w:t>Prob.</w:t>
            </w:r>
          </w:p>
        </w:tc>
        <w:tc>
          <w:tcPr>
            <w:tcW w:type="dxa" w:w="3888"/>
            <w:shd w:val="clear" w:color="auto" w:fill="EAF0EE"/>
          </w:tcPr>
          <w:p>
            <w:pPr>
              <w:spacing w:after="20"/>
            </w:pPr>
            <w:r>
              <w:rPr>
                <w:b/>
                <w:color w:val="1C3A36"/>
                <w:sz w:val="17"/>
              </w:rPr>
              <w:t>World</w:t>
            </w:r>
          </w:p>
        </w:tc>
        <w:tc>
          <w:tcPr>
            <w:tcW w:type="dxa" w:w="1584"/>
            <w:shd w:val="clear" w:color="auto" w:fill="EAF0EE"/>
          </w:tcPr>
          <w:p>
            <w:pPr>
              <w:spacing w:after="20"/>
            </w:pPr>
            <w:r>
              <w:rPr>
                <w:b/>
                <w:color w:val="1C3A36"/>
                <w:sz w:val="17"/>
              </w:rPr>
              <w:t>DDM value</w:t>
            </w:r>
          </w:p>
        </w:tc>
      </w:tr>
      <w:tr>
        <w:tc>
          <w:tcPr>
            <w:tcW w:type="dxa" w:w="3168"/>
          </w:tcPr>
          <w:p>
            <w:pPr>
              <w:spacing w:after="20"/>
            </w:pPr>
            <w:r>
              <w:rPr>
                <w:b/>
                <w:color w:val="1C3A36"/>
                <w:sz w:val="17"/>
              </w:rPr>
              <w:t>Easing + special dividends</w:t>
            </w:r>
          </w:p>
        </w:tc>
        <w:tc>
          <w:tcPr>
            <w:tcW w:type="dxa" w:w="1008"/>
          </w:tcPr>
          <w:p>
            <w:pPr>
              <w:spacing w:after="20"/>
              <w:jc w:val="right"/>
            </w:pPr>
            <w:r>
              <w:rPr>
                <w:color w:val="1C3A36"/>
                <w:sz w:val="17"/>
              </w:rPr>
              <w:t>30%</w:t>
            </w:r>
          </w:p>
        </w:tc>
        <w:tc>
          <w:tcPr>
            <w:tcW w:type="dxa" w:w="3888"/>
          </w:tcPr>
          <w:p>
            <w:pPr>
              <w:spacing w:after="20"/>
              <w:jc w:val="right"/>
            </w:pPr>
            <w:r>
              <w:rPr>
                <w:color w:val="1C3A36"/>
                <w:sz w:val="17"/>
              </w:rPr>
              <w:t>Fed/SAMA cut 75–100 bp; cover proven; a special repeats</w:t>
            </w:r>
          </w:p>
        </w:tc>
        <w:tc>
          <w:tcPr>
            <w:tcW w:type="dxa" w:w="1584"/>
          </w:tcPr>
          <w:p>
            <w:pPr>
              <w:spacing w:after="20"/>
              <w:jc w:val="right"/>
            </w:pPr>
            <w:r>
              <w:rPr>
                <w:color w:val="1C3A36"/>
                <w:sz w:val="17"/>
              </w:rPr>
              <w:t>SAR 48</w:t>
            </w:r>
          </w:p>
        </w:tc>
      </w:tr>
      <w:tr>
        <w:tc>
          <w:tcPr>
            <w:tcW w:type="dxa" w:w="3168"/>
          </w:tcPr>
          <w:p>
            <w:pPr>
              <w:spacing w:after="20"/>
            </w:pPr>
            <w:r>
              <w:rPr>
                <w:b/>
                <w:color w:val="1C3A36"/>
                <w:sz w:val="17"/>
              </w:rPr>
              <w:t>Base: policy held, dividend locked</w:t>
            </w:r>
          </w:p>
        </w:tc>
        <w:tc>
          <w:tcPr>
            <w:tcW w:type="dxa" w:w="1008"/>
          </w:tcPr>
          <w:p>
            <w:pPr>
              <w:spacing w:after="20"/>
              <w:jc w:val="right"/>
            </w:pPr>
            <w:r>
              <w:rPr>
                <w:color w:val="1C3A36"/>
                <w:sz w:val="17"/>
              </w:rPr>
              <w:t>45%</w:t>
            </w:r>
          </w:p>
        </w:tc>
        <w:tc>
          <w:tcPr>
            <w:tcW w:type="dxa" w:w="3888"/>
          </w:tcPr>
          <w:p>
            <w:pPr>
              <w:spacing w:after="20"/>
              <w:jc w:val="right"/>
            </w:pPr>
            <w:r>
              <w:rPr>
                <w:color w:val="1C3A36"/>
                <w:sz w:val="17"/>
              </w:rPr>
              <w:t>Gradual cuts; capex mid-band; SAR 2.20 through 2027 then +3%</w:t>
            </w:r>
          </w:p>
        </w:tc>
        <w:tc>
          <w:tcPr>
            <w:tcW w:type="dxa" w:w="1584"/>
          </w:tcPr>
          <w:p>
            <w:pPr>
              <w:spacing w:after="20"/>
              <w:jc w:val="right"/>
            </w:pPr>
            <w:r>
              <w:rPr>
                <w:color w:val="1C3A36"/>
                <w:sz w:val="17"/>
              </w:rPr>
              <w:t>SAR 34</w:t>
            </w:r>
          </w:p>
        </w:tc>
      </w:tr>
      <w:tr>
        <w:tc>
          <w:tcPr>
            <w:tcW w:type="dxa" w:w="3168"/>
          </w:tcPr>
          <w:p>
            <w:pPr>
              <w:spacing w:after="20"/>
            </w:pPr>
            <w:r>
              <w:rPr>
                <w:b/>
                <w:color w:val="1C3A36"/>
                <w:sz w:val="17"/>
              </w:rPr>
              <w:t>Higher-for-longer + capex overrun</w:t>
            </w:r>
          </w:p>
        </w:tc>
        <w:tc>
          <w:tcPr>
            <w:tcW w:type="dxa" w:w="1008"/>
          </w:tcPr>
          <w:p>
            <w:pPr>
              <w:spacing w:after="20"/>
              <w:jc w:val="right"/>
            </w:pPr>
            <w:r>
              <w:rPr>
                <w:color w:val="1C3A36"/>
                <w:sz w:val="17"/>
              </w:rPr>
              <w:t>25%</w:t>
            </w:r>
          </w:p>
        </w:tc>
        <w:tc>
          <w:tcPr>
            <w:tcW w:type="dxa" w:w="3888"/>
          </w:tcPr>
          <w:p>
            <w:pPr>
              <w:spacing w:after="20"/>
              <w:jc w:val="right"/>
            </w:pPr>
            <w:r>
              <w:rPr>
                <w:color w:val="1C3A36"/>
                <w:sz w:val="17"/>
              </w:rPr>
              <w:t>No cuts to mid-2027; capex at 17.5%; no specials</w:t>
            </w:r>
          </w:p>
        </w:tc>
        <w:tc>
          <w:tcPr>
            <w:tcW w:type="dxa" w:w="1584"/>
          </w:tcPr>
          <w:p>
            <w:pPr>
              <w:spacing w:after="20"/>
              <w:jc w:val="right"/>
            </w:pPr>
            <w:r>
              <w:rPr>
                <w:color w:val="1C3A36"/>
                <w:sz w:val="17"/>
              </w:rPr>
              <w:t>SAR 27</w:t>
            </w:r>
          </w:p>
        </w:tc>
      </w:tr>
      <w:tr>
        <w:tc>
          <w:tcPr>
            <w:tcW w:type="dxa" w:w="3168"/>
            <w:shd w:val="clear" w:color="auto" w:fill="F6F1E6"/>
          </w:tcPr>
          <w:p>
            <w:pPr>
              <w:spacing w:after="20"/>
            </w:pPr>
            <w:r>
              <w:rPr>
                <w:b/>
                <w:color w:val="1C3A36"/>
                <w:sz w:val="17"/>
              </w:rPr>
              <w:t>His answer across the three policy worlds</w:t>
            </w:r>
          </w:p>
        </w:tc>
        <w:tc>
          <w:tcPr>
            <w:tcW w:type="dxa" w:w="1008"/>
            <w:shd w:val="clear" w:color="auto" w:fill="F6F1E6"/>
          </w:tcPr>
          <w:p>
            <w:pPr>
              <w:spacing w:after="20"/>
              <w:jc w:val="right"/>
            </w:pPr>
            <w:r>
              <w:rPr>
                <w:b/>
                <w:color w:val="1C3A36"/>
                <w:sz w:val="17"/>
              </w:rPr>
            </w:r>
          </w:p>
        </w:tc>
        <w:tc>
          <w:tcPr>
            <w:tcW w:type="dxa" w:w="3888"/>
            <w:shd w:val="clear" w:color="auto" w:fill="F6F1E6"/>
          </w:tcPr>
          <w:p>
            <w:pPr>
              <w:spacing w:after="20"/>
              <w:jc w:val="right"/>
            </w:pPr>
            <w:r>
              <w:rPr>
                <w:b/>
                <w:color w:val="1C3A36"/>
                <w:sz w:val="17"/>
              </w:rPr>
            </w:r>
          </w:p>
        </w:tc>
        <w:tc>
          <w:tcPr>
            <w:tcW w:type="dxa" w:w="1584"/>
            <w:shd w:val="clear" w:color="auto" w:fill="F6F1E6"/>
          </w:tcPr>
          <w:p>
            <w:pPr>
              <w:spacing w:after="20"/>
              <w:jc w:val="right"/>
            </w:pPr>
            <w:r>
              <w:rPr>
                <w:b/>
                <w:color w:val="1C3A36"/>
                <w:sz w:val="17"/>
              </w:rPr>
              <w:t>SAR 36.6</w:t>
            </w:r>
          </w:p>
        </w:tc>
      </w:tr>
    </w:tbl>
    <w:p>
      <w:pPr>
        <w:spacing w:after="40"/>
      </w:pPr>
    </w:p>
    <w:p>
      <w:pPr>
        <w:spacing w:after="120" w:before="0"/>
      </w:pPr>
      <w:r>
        <w:rPr>
          <w:b w:val="0"/>
          <w:i w:val="0"/>
          <w:color w:val="1C3A36"/>
          <w:sz w:val="19"/>
        </w:rPr>
        <w:t>Sensitivity (swing = the scenario weights): shifting 10 points from base to bear moves him ≈SAR 1.5; his answer is more stable than either colleague’s because the dividend floor does most of the work in every branch. Cross-examination: he tells Expert 1 that a fade rate is unknowable to the decimal while the policy calendar is published — model what is scheduled. He tells Expert 2 that a through-cycle multiple assumes a cycle; Saudi rates are pegged to a foreign central bank, so the local 'cycle' is imported and can stay dislocated from local fundamentals for years.</w:t>
      </w:r>
    </w:p>
    <w:p>
      <w:pPr>
        <w:spacing w:after="120" w:before="0"/>
      </w:pPr>
      <w:r>
        <w:rPr>
          <w:b/>
          <w:i w:val="0"/>
          <w:color w:val="1C3A36"/>
          <w:sz w:val="21"/>
        </w:rPr>
        <w:t xml:space="preserve">Verdict, falsification, market-implied. </w:t>
      </w:r>
      <w:r>
        <w:rPr>
          <w:b w:val="0"/>
          <w:i w:val="0"/>
          <w:color w:val="1C3A36"/>
          <w:sz w:val="21"/>
        </w:rPr>
        <w:t>Fair SAR 36.6 — the dividend model with its eyes open, and between his two colleagues, with Expert 2 the nearer to the market. Falsified by the board breaking the policy (either direction: a cut dividend or a step-change up), or by a Fed path outside his tree (no cuts through 2027, or emergency easing). What the price implies: the market is pricing roughly his base case with a small weight on the bear — i.e. the locked dividend at a ~5% yield, and near-zero credit for specials or the AI build.</w:t>
      </w:r>
    </w:p>
    <w:p>
      <w:pPr>
        <w:spacing w:after="80" w:before="200"/>
      </w:pPr>
      <w:r>
        <w:rPr>
          <w:b/>
          <w:i w:val="0"/>
          <w:color w:val="1C3A36"/>
          <w:sz w:val="24"/>
        </w:rPr>
        <w:t>C.4  Cross-examination — each challenge conceded or rejected</w:t>
      </w:r>
    </w:p>
    <w:p>
      <w:pPr>
        <w:spacing w:after="120" w:before="0"/>
      </w:pPr>
      <w:r>
        <w:rPr>
          <w:b w:val="0"/>
          <w:i w:val="0"/>
          <w:color w:val="1C3A36"/>
          <w:sz w:val="19"/>
        </w:rPr>
        <w:t>Each expert puts a challenge to each colleague above. A challenge is worth nothing until somebody says whether it lands, so each is answered here, and two of the four are conceded.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8784" w:type="dxa"/>
      </w:tblPr>
      <w:tblGrid>
        <w:gridCol w:w="3600"/>
        <w:gridCol w:w="1080"/>
        <w:gridCol w:w="4104"/>
      </w:tblGrid>
      <w:tr>
        <w:tc>
          <w:tcPr>
            <w:tcW w:type="dxa" w:w="3600"/>
            <w:shd w:val="clear" w:color="auto" w:fill="EAF0EE"/>
          </w:tcPr>
          <w:p>
            <w:pPr>
              <w:spacing w:after="20"/>
            </w:pPr>
            <w:r>
              <w:rPr>
                <w:b/>
                <w:color w:val="1C3A36"/>
                <w:sz w:val="16"/>
              </w:rPr>
              <w:t>Challenge</w:t>
            </w:r>
          </w:p>
        </w:tc>
        <w:tc>
          <w:tcPr>
            <w:tcW w:type="dxa" w:w="1080"/>
            <w:shd w:val="clear" w:color="auto" w:fill="EAF0EE"/>
          </w:tcPr>
          <w:p>
            <w:pPr>
              <w:spacing w:after="20"/>
            </w:pPr>
            <w:r>
              <w:rPr>
                <w:b/>
                <w:color w:val="1C3A36"/>
                <w:sz w:val="16"/>
              </w:rPr>
              <w:t>From → to</w:t>
            </w:r>
          </w:p>
        </w:tc>
        <w:tc>
          <w:tcPr>
            <w:tcW w:type="dxa" w:w="4104"/>
            <w:shd w:val="clear" w:color="auto" w:fill="EAF0EE"/>
          </w:tcPr>
          <w:p>
            <w:pPr>
              <w:spacing w:after="20"/>
            </w:pPr>
            <w:r>
              <w:rPr>
                <w:b/>
                <w:color w:val="1C3A36"/>
                <w:sz w:val="16"/>
              </w:rPr>
              <w:t>Answer</w:t>
            </w:r>
          </w:p>
        </w:tc>
      </w:tr>
      <w:tr>
        <w:tc>
          <w:tcPr>
            <w:tcW w:type="dxa" w:w="3600"/>
          </w:tcPr>
          <w:p>
            <w:pPr>
              <w:spacing w:after="20"/>
            </w:pPr>
            <w:r>
              <w:rPr>
                <w:color w:val="1C3A36"/>
                <w:sz w:val="16"/>
              </w:rPr>
              <w:t>A fade model is a multiple wearing a lab coat — the honest disagreement is the number, not the machinery.</w:t>
            </w:r>
          </w:p>
        </w:tc>
        <w:tc>
          <w:tcPr>
            <w:tcW w:type="dxa" w:w="1080"/>
          </w:tcPr>
          <w:p>
            <w:pPr>
              <w:spacing w:after="20"/>
              <w:jc w:val="right"/>
            </w:pPr>
            <w:r>
              <w:rPr>
                <w:color w:val="1C3A36"/>
                <w:sz w:val="16"/>
              </w:rPr>
              <w:t>2 → 1</w:t>
            </w:r>
          </w:p>
        </w:tc>
        <w:tc>
          <w:tcPr>
            <w:tcW w:type="dxa" w:w="4104"/>
          </w:tcPr>
          <w:p>
            <w:pPr>
              <w:spacing w:after="20"/>
              <w:jc w:val="right"/>
            </w:pPr>
            <w:r>
              <w:rPr>
                <w:color w:val="1C3A36"/>
                <w:sz w:val="16"/>
              </w:rPr>
              <w:t>CONCEDED, partly. Both capitalise the same earnings; the fade makes the capital charge explicit and the multiple buries it. That is a real difference in what is visible, not in what is assumed — and it means Expert 1 owns his fade rate where Expert 2 does not own his multiple.</w:t>
            </w:r>
          </w:p>
        </w:tc>
      </w:tr>
      <w:tr>
        <w:tc>
          <w:tcPr>
            <w:tcW w:type="dxa" w:w="3600"/>
          </w:tcPr>
          <w:p>
            <w:pPr>
              <w:spacing w:after="20"/>
            </w:pPr>
            <w:r>
              <w:rPr>
                <w:color w:val="1C3A36"/>
                <w:sz w:val="16"/>
              </w:rPr>
              <w:t>A through-cycle multiple assumes a cycle, and the Saudi rate cycle is imported from a foreign central bank.</w:t>
            </w:r>
          </w:p>
        </w:tc>
        <w:tc>
          <w:tcPr>
            <w:tcW w:type="dxa" w:w="1080"/>
          </w:tcPr>
          <w:p>
            <w:pPr>
              <w:spacing w:after="20"/>
              <w:jc w:val="right"/>
            </w:pPr>
            <w:r>
              <w:rPr>
                <w:color w:val="1C3A36"/>
                <w:sz w:val="16"/>
              </w:rPr>
              <w:t>3 → 2</w:t>
            </w:r>
          </w:p>
        </w:tc>
        <w:tc>
          <w:tcPr>
            <w:tcW w:type="dxa" w:w="4104"/>
          </w:tcPr>
          <w:p>
            <w:pPr>
              <w:spacing w:after="20"/>
              <w:jc w:val="right"/>
            </w:pPr>
            <w:r>
              <w:rPr>
                <w:color w:val="1C3A36"/>
                <w:sz w:val="16"/>
              </w:rPr>
              <w:t>CONCEDED. The riyal is pegged, so the local discount rate is set abroad and can stay dislocated from local fundamentals for years. Expert 2’s multiple is a claim about the average of a cycle whose length he does not control.</w:t>
            </w:r>
          </w:p>
        </w:tc>
      </w:tr>
      <w:tr>
        <w:tc>
          <w:tcPr>
            <w:tcW w:type="dxa" w:w="3600"/>
          </w:tcPr>
          <w:p>
            <w:pPr>
              <w:spacing w:after="20"/>
            </w:pPr>
            <w:r>
              <w:rPr>
                <w:color w:val="1C3A36"/>
                <w:sz w:val="16"/>
              </w:rPr>
              <w:t>Scenario trees on the policy rate are fine, but the bigger lever is inside the company: each point of capital intensity is real cash that either earns the spread or does not.</w:t>
            </w:r>
          </w:p>
        </w:tc>
        <w:tc>
          <w:tcPr>
            <w:tcW w:type="dxa" w:w="1080"/>
          </w:tcPr>
          <w:p>
            <w:pPr>
              <w:spacing w:after="20"/>
              <w:jc w:val="right"/>
            </w:pPr>
            <w:r>
              <w:rPr>
                <w:color w:val="1C3A36"/>
                <w:sz w:val="16"/>
              </w:rPr>
              <w:t>1 → 3</w:t>
            </w:r>
          </w:p>
        </w:tc>
        <w:tc>
          <w:tcPr>
            <w:tcW w:type="dxa" w:w="4104"/>
          </w:tcPr>
          <w:p>
            <w:pPr>
              <w:spacing w:after="20"/>
              <w:jc w:val="right"/>
            </w:pPr>
            <w:r>
              <w:rPr>
                <w:color w:val="1C3A36"/>
                <w:sz w:val="16"/>
              </w:rPr>
              <w:t>REJECTED, on this company’s own numbers. The three filed years span a capital intensity of 1.05 to 1.25 times the depreciation of the base being renewed, and that whole span is worth less to the answer than the discount rate is. The policy lever is the larger one here; it is simply the one nobody controls.</w:t>
            </w:r>
          </w:p>
        </w:tc>
      </w:tr>
      <w:tr>
        <w:tc>
          <w:tcPr>
            <w:tcW w:type="dxa" w:w="3600"/>
          </w:tcPr>
          <w:p>
            <w:pPr>
              <w:spacing w:after="20"/>
            </w:pPr>
            <w:r>
              <w:rPr>
                <w:color w:val="1C3A36"/>
                <w:sz w:val="16"/>
              </w:rPr>
              <w:t>The dividend lens undervalues whatever the board chooses not to distribute.</w:t>
            </w:r>
          </w:p>
        </w:tc>
        <w:tc>
          <w:tcPr>
            <w:tcW w:type="dxa" w:w="1080"/>
          </w:tcPr>
          <w:p>
            <w:pPr>
              <w:spacing w:after="20"/>
              <w:jc w:val="right"/>
            </w:pPr>
            <w:r>
              <w:rPr>
                <w:color w:val="1C3A36"/>
                <w:sz w:val="16"/>
              </w:rPr>
              <w:t>2 → 3</w:t>
            </w:r>
          </w:p>
        </w:tc>
        <w:tc>
          <w:tcPr>
            <w:tcW w:type="dxa" w:w="4104"/>
          </w:tcPr>
          <w:p>
            <w:pPr>
              <w:spacing w:after="20"/>
              <w:jc w:val="right"/>
            </w:pPr>
            <w:r>
              <w:rPr>
                <w:color w:val="1C3A36"/>
                <w:sz w:val="16"/>
              </w:rPr>
              <w:t>REJECTED, with a caveat. Retained cash shows up as future dividends in the same model, so it is not lost — but only if it earns its cost of capital on the way. That is Expert 1’s question, not Expert 2’s, and it is the one the data-centre build actually turns on.</w:t>
            </w:r>
          </w:p>
        </w:tc>
      </w:tr>
    </w:tbl>
    <w:p>
      <w:pPr>
        <w:spacing w:after="40"/>
      </w:pPr>
    </w:p>
    <w:p>
      <w:pPr>
        <w:spacing w:after="200" w:before="0"/>
      </w:pPr>
      <w:r>
        <w:rPr>
          <w:b w:val="0"/>
          <w:i/>
          <w:color w:val="6E7B77"/>
          <w:sz w:val="17"/>
        </w:rPr>
        <w:t>Two conceded, two rejected. Nothing here changes any expert’s number: a concession about what a method makes visible is not a concession about what it computes, and the panel is published with its disagreement intact rather than talked into a consensus.</w:t>
      </w:r>
    </w:p>
    <w:p>
      <w:pPr>
        <w:spacing w:after="80" w:before="200"/>
      </w:pPr>
      <w:r>
        <w:rPr>
          <w:b/>
          <w:i w:val="0"/>
          <w:color w:val="1C3A36"/>
          <w:sz w:val="24"/>
        </w:rPr>
        <w:t>C.5  The three in one room</w:t>
      </w:r>
    </w:p>
    <w:p>
      <w:pPr>
        <w:spacing w:after="120" w:before="0"/>
      </w:pPr>
      <w:r>
        <w:rPr>
          <w:b w:val="0"/>
          <w:i w:val="0"/>
          <w:color w:val="1C3A36"/>
          <w:sz w:val="19"/>
        </w:rPr>
        <w:t>Put the three in a room and the argument is about one thing: what happens to stc’s return on capital as the Kingdom’s AI-infrastructure build runs through its income statement.</w:t>
      </w:r>
    </w:p>
    <w:p>
      <w:pPr>
        <w:spacing w:after="120" w:before="0"/>
      </w:pPr>
      <w:r>
        <w:rPr>
          <w:b w:val="0"/>
          <w:i w:val="0"/>
          <w:color w:val="1C3A36"/>
          <w:sz w:val="19"/>
        </w:rPr>
        <w:t>Expert 1: “15 per cent returns on 93 billion of capital, fading as every telecom’s returns have always faded. The data centres are capital expenditure with a press release until somebody shows me contracted economics. I pay SAR 36.”</w:t>
      </w:r>
    </w:p>
    <w:p>
      <w:pPr>
        <w:spacing w:after="120" w:before="0"/>
      </w:pPr>
      <w:r>
        <w:rPr>
          <w:b w:val="0"/>
          <w:i w:val="0"/>
          <w:color w:val="1C3A36"/>
          <w:sz w:val="19"/>
        </w:rPr>
        <w:t>Expert 3: “Your fade rate is a guess dressed as physics. What is not a guess: the board has signed a cheque for SAR 2.20 a year through 2027, the central bank’s next moves are the Federal Reserve’s, and the sovereign has made this company its digital-infrastructure champion. Price the policy, not the physics — SAR 37.”</w:t>
      </w:r>
    </w:p>
    <w:p>
      <w:pPr>
        <w:spacing w:after="120" w:before="0"/>
      </w:pPr>
      <w:r>
        <w:rPr>
          <w:b w:val="0"/>
          <w:i w:val="0"/>
          <w:color w:val="1C3A36"/>
          <w:sz w:val="19"/>
        </w:rPr>
        <w:t>Expert 2: “You are both reaching. Clean earnings are SAR 2.65 a share; the market pays 15 times that across the Gulf. Everything else — fades, scenario trees, gigawatts — is a story about the next turn of the multiple. SAR 40, and note that the market is paying 16.5 times, which is 10 per cent more than I will justify — so I am not agreeing with the price, I am naming the gap.”</w:t>
      </w:r>
    </w:p>
    <w:p>
      <w:pPr>
        <w:spacing w:after="80" w:before="200"/>
      </w:pPr>
      <w:r>
        <w:rPr>
          <w:b/>
          <w:i w:val="0"/>
          <w:color w:val="1C3A36"/>
          <w:sz w:val="24"/>
        </w:rPr>
        <w:t>C.6  Reading the divergence</w:t>
      </w:r>
    </w:p>
    <w:p>
      <w:pPr>
        <w:spacing w:after="40"/>
        <w:jc w:val="center"/>
      </w:pPr>
      <w:r>
        <w:drawing>
          <wp:inline xmlns:a="http://schemas.openxmlformats.org/drawingml/2006/main" xmlns:pic="http://schemas.openxmlformats.org/drawingml/2006/picture">
            <wp:extent cx="5486400" cy="1866507"/>
            <wp:docPr id="7" name="Picture 7"/>
            <wp:cNvGraphicFramePr>
              <a:graphicFrameLocks noChangeAspect="1"/>
            </wp:cNvGraphicFramePr>
            <a:graphic>
              <a:graphicData uri="http://schemas.openxmlformats.org/drawingml/2006/picture">
                <pic:pic>
                  <pic:nvPicPr>
                    <pic:cNvPr id="0" name="figD1_experts.png"/>
                    <pic:cNvPicPr/>
                  </pic:nvPicPr>
                  <pic:blipFill>
                    <a:blip r:embed="rId15"/>
                    <a:stretch>
                      <a:fillRect/>
                    </a:stretch>
                  </pic:blipFill>
                  <pic:spPr>
                    <a:xfrm>
                      <a:off x="0" y="0"/>
                      <a:ext cx="5486400" cy="1866507"/>
                    </a:xfrm>
                    <a:prstGeom prst="rect"/>
                  </pic:spPr>
                </pic:pic>
              </a:graphicData>
            </a:graphic>
          </wp:inline>
        </w:drawing>
      </w:r>
    </w:p>
    <w:p>
      <w:pPr>
        <w:spacing w:after="200" w:before="0"/>
      </w:pPr>
      <w:r>
        <w:rPr>
          <w:b w:val="0"/>
          <w:i/>
          <w:color w:val="6E7B77"/>
          <w:sz w:val="17"/>
        </w:rPr>
        <w:t>Figure C-1 — The three experts’ fair-value ranges. Brass ticks are base cases; the gold band is the panel centre; the ink line is spot. The spread is the return-fade question.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10080" w:type="dxa"/>
      </w:tblPr>
      <w:tblGrid>
        <w:gridCol w:w="1440"/>
        <w:gridCol w:w="3168"/>
        <w:gridCol w:w="3600"/>
        <w:gridCol w:w="1872"/>
      </w:tblGrid>
      <w:tr>
        <w:tc>
          <w:tcPr>
            <w:tcW w:type="dxa" w:w="1440"/>
            <w:shd w:val="clear" w:color="auto" w:fill="EAF0EE"/>
          </w:tcPr>
          <w:p>
            <w:pPr>
              <w:spacing w:after="20"/>
            </w:pPr>
            <w:r>
              <w:rPr>
                <w:b/>
                <w:color w:val="1C3A36"/>
                <w:sz w:val="18"/>
              </w:rPr>
              <w:t>Expert</w:t>
            </w:r>
          </w:p>
        </w:tc>
        <w:tc>
          <w:tcPr>
            <w:tcW w:type="dxa" w:w="3168"/>
            <w:shd w:val="clear" w:color="auto" w:fill="EAF0EE"/>
          </w:tcPr>
          <w:p>
            <w:pPr>
              <w:spacing w:after="20"/>
            </w:pPr>
            <w:r>
              <w:rPr>
                <w:b/>
                <w:color w:val="1C3A36"/>
                <w:sz w:val="18"/>
              </w:rPr>
              <w:t>Method</w:t>
            </w:r>
          </w:p>
        </w:tc>
        <w:tc>
          <w:tcPr>
            <w:tcW w:type="dxa" w:w="3600"/>
            <w:shd w:val="clear" w:color="auto" w:fill="EAF0EE"/>
          </w:tcPr>
          <w:p>
            <w:pPr>
              <w:spacing w:after="20"/>
            </w:pPr>
            <w:r>
              <w:rPr>
                <w:b/>
                <w:color w:val="1C3A36"/>
                <w:sz w:val="18"/>
              </w:rPr>
              <w:t>Single swing assumption</w:t>
            </w:r>
          </w:p>
        </w:tc>
        <w:tc>
          <w:tcPr>
            <w:tcW w:type="dxa" w:w="1872"/>
            <w:shd w:val="clear" w:color="auto" w:fill="EAF0EE"/>
          </w:tcPr>
          <w:p>
            <w:pPr>
              <w:spacing w:after="20"/>
            </w:pPr>
            <w:r>
              <w:rPr>
                <w:b/>
                <w:color w:val="1C3A36"/>
                <w:sz w:val="18"/>
              </w:rPr>
              <w:t>Base fair value</w:t>
            </w:r>
          </w:p>
        </w:tc>
      </w:tr>
      <w:tr>
        <w:tc>
          <w:tcPr>
            <w:tcW w:type="dxa" w:w="1440"/>
          </w:tcPr>
          <w:p>
            <w:pPr>
              <w:spacing w:after="20"/>
            </w:pPr>
            <w:r>
              <w:rPr>
                <w:b/>
                <w:color w:val="1C3A36"/>
                <w:sz w:val="18"/>
              </w:rPr>
              <w:t>Expert 1</w:t>
            </w:r>
          </w:p>
        </w:tc>
        <w:tc>
          <w:tcPr>
            <w:tcW w:type="dxa" w:w="3168"/>
          </w:tcPr>
          <w:p>
            <w:pPr>
              <w:spacing w:after="20"/>
              <w:jc w:val="right"/>
            </w:pPr>
            <w:r>
              <w:rPr>
                <w:color w:val="1C3A36"/>
                <w:sz w:val="18"/>
              </w:rPr>
              <w:t>Cash returns / economic profit</w:t>
            </w:r>
          </w:p>
        </w:tc>
        <w:tc>
          <w:tcPr>
            <w:tcW w:type="dxa" w:w="3600"/>
          </w:tcPr>
          <w:p>
            <w:pPr>
              <w:spacing w:after="20"/>
              <w:jc w:val="right"/>
            </w:pPr>
            <w:r>
              <w:rPr>
                <w:color w:val="1C3A36"/>
                <w:sz w:val="18"/>
              </w:rPr>
              <w:t>The fade rate on excess returns (2.5%/yr)</w:t>
            </w:r>
          </w:p>
        </w:tc>
        <w:tc>
          <w:tcPr>
            <w:tcW w:type="dxa" w:w="1872"/>
          </w:tcPr>
          <w:p>
            <w:pPr>
              <w:spacing w:after="20"/>
              <w:jc w:val="right"/>
            </w:pPr>
            <w:r>
              <w:rPr>
                <w:color w:val="1C3A36"/>
                <w:sz w:val="18"/>
              </w:rPr>
              <w:t>SAR 35.5</w:t>
            </w:r>
          </w:p>
        </w:tc>
      </w:tr>
      <w:tr>
        <w:tc>
          <w:tcPr>
            <w:tcW w:type="dxa" w:w="1440"/>
          </w:tcPr>
          <w:p>
            <w:pPr>
              <w:spacing w:after="20"/>
            </w:pPr>
            <w:r>
              <w:rPr>
                <w:b/>
                <w:color w:val="1C3A36"/>
                <w:sz w:val="18"/>
              </w:rPr>
              <w:t>Expert 2</w:t>
            </w:r>
          </w:p>
        </w:tc>
        <w:tc>
          <w:tcPr>
            <w:tcW w:type="dxa" w:w="3168"/>
          </w:tcPr>
          <w:p>
            <w:pPr>
              <w:spacing w:after="20"/>
              <w:jc w:val="right"/>
            </w:pPr>
            <w:r>
              <w:rPr>
                <w:color w:val="1C3A36"/>
                <w:sz w:val="18"/>
              </w:rPr>
              <w:t>Normalized earnings power</w:t>
            </w:r>
          </w:p>
        </w:tc>
        <w:tc>
          <w:tcPr>
            <w:tcW w:type="dxa" w:w="3600"/>
          </w:tcPr>
          <w:p>
            <w:pPr>
              <w:spacing w:after="20"/>
              <w:jc w:val="right"/>
            </w:pPr>
            <w:r>
              <w:rPr>
                <w:color w:val="1C3A36"/>
                <w:sz w:val="18"/>
              </w:rPr>
              <w:t>The through-cycle multiple (15x)</w:t>
            </w:r>
          </w:p>
        </w:tc>
        <w:tc>
          <w:tcPr>
            <w:tcW w:type="dxa" w:w="1872"/>
          </w:tcPr>
          <w:p>
            <w:pPr>
              <w:spacing w:after="20"/>
              <w:jc w:val="right"/>
            </w:pPr>
            <w:r>
              <w:rPr>
                <w:color w:val="1C3A36"/>
                <w:sz w:val="18"/>
              </w:rPr>
              <w:t>SAR 39.8</w:t>
            </w:r>
          </w:p>
        </w:tc>
      </w:tr>
      <w:tr>
        <w:tc>
          <w:tcPr>
            <w:tcW w:type="dxa" w:w="1440"/>
          </w:tcPr>
          <w:p>
            <w:pPr>
              <w:spacing w:after="20"/>
            </w:pPr>
            <w:r>
              <w:rPr>
                <w:b/>
                <w:color w:val="1C3A36"/>
                <w:sz w:val="18"/>
              </w:rPr>
              <w:t>Expert 3</w:t>
            </w:r>
          </w:p>
        </w:tc>
        <w:tc>
          <w:tcPr>
            <w:tcW w:type="dxa" w:w="3168"/>
          </w:tcPr>
          <w:p>
            <w:pPr>
              <w:spacing w:after="20"/>
              <w:jc w:val="right"/>
            </w:pPr>
            <w:r>
              <w:rPr>
                <w:color w:val="1C3A36"/>
                <w:sz w:val="18"/>
              </w:rPr>
              <w:t>Macro-policy scenario tree</w:t>
            </w:r>
          </w:p>
        </w:tc>
        <w:tc>
          <w:tcPr>
            <w:tcW w:type="dxa" w:w="3600"/>
          </w:tcPr>
          <w:p>
            <w:pPr>
              <w:spacing w:after="20"/>
              <w:jc w:val="right"/>
            </w:pPr>
            <w:r>
              <w:rPr>
                <w:color w:val="1C3A36"/>
                <w:sz w:val="18"/>
              </w:rPr>
              <w:t>The scenario weights on the rate/payout path</w:t>
            </w:r>
          </w:p>
        </w:tc>
        <w:tc>
          <w:tcPr>
            <w:tcW w:type="dxa" w:w="1872"/>
          </w:tcPr>
          <w:p>
            <w:pPr>
              <w:spacing w:after="20"/>
              <w:jc w:val="right"/>
            </w:pPr>
            <w:r>
              <w:rPr>
                <w:color w:val="1C3A36"/>
                <w:sz w:val="18"/>
              </w:rPr>
              <w:t>SAR 36.6</w:t>
            </w:r>
          </w:p>
        </w:tc>
      </w:tr>
    </w:tbl>
    <w:p>
      <w:pPr>
        <w:spacing w:after="40"/>
      </w:pPr>
    </w:p>
    <w:p>
      <w:pPr>
        <w:spacing w:after="120" w:before="0"/>
      </w:pPr>
      <w:r>
        <w:rPr>
          <w:b w:val="0"/>
          <w:i w:val="0"/>
          <w:color w:val="1C3A36"/>
          <w:sz w:val="21"/>
        </w:rPr>
        <w:t>The spread — SAR 35.5 to 39.8, 12% of the low — is narrow by this series’ standards, and it measures one thing cleanly: how much of stc’s current 15% return on capital survives the next decade of competition, technology churn and nation-scale capital spending. On that question the three barely disagree, and all three land below the market price: Expert 1 charges for the erosion explicitly, Expert 2 freezes today’s clean earnings at a multiple he will defend, and Expert 3 prices the policy floor — three different routes to the same neighbourhood. The study’s own central of SAR 36.06 sits inside that band, SAR 1.24 below the panel’s own average, which is worth saying plainly: the cash-flow model and three independently-constructed methods arrive within a riyal or two of each other, and all of them below the price. An investor’s position on this stock reduces to a position on one axis: if the data-centre build earns telecom-plus returns, the cash-flow model understates it; if it earns telecom-minus, Expert 1 is right and today’s price already flatters it.</w:t>
      </w:r>
    </w:p>
    <w:p>
      <w:pPr>
        <w:spacing w:after="200" w:before="0"/>
      </w:pPr>
      <w:r>
        <w:rPr>
          <w:b w:val="0"/>
          <w:i/>
          <w:color w:val="6E7B77"/>
          <w:sz w:val="17"/>
        </w:rPr>
        <w:t>Each expert’s point fair value, and its range where the method produces one, is recorded with the price it was struck against: SAR 43.86 on 2026-09-03.</w:t>
      </w:r>
    </w:p>
    <w:p>
      <w:pPr>
        <w:spacing w:after="120" w:before="280"/>
      </w:pPr>
      <w:r>
        <w:rPr>
          <w:b/>
          <w:i w:val="0"/>
          <w:color w:val="1C3A36"/>
          <w:sz w:val="30"/>
        </w:rPr>
        <w:t>About this series</w:t>
      </w:r>
    </w:p>
    <w:p>
      <w:pPr>
        <w:spacing w:after="120" w:before="0"/>
      </w:pPr>
      <w:r>
        <w:rPr>
          <w:b w:val="0"/>
          <w:i w:val="0"/>
          <w:color w:val="1C3A36"/>
          <w:sz w:val="21"/>
        </w:rPr>
        <w:t>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spacing w:after="120" w:before="280"/>
      </w:pPr>
      <w:r>
        <w:rPr>
          <w:b/>
          <w:i w:val="0"/>
          <w:color w:val="1C3A36"/>
          <w:sz w:val="30"/>
        </w:rPr>
        <w:t>Disclosure &amp; Disclaimer</w:t>
      </w:r>
    </w:p>
    <w:p>
      <w:pPr>
        <w:spacing w:after="100" w:before="0"/>
      </w:pPr>
      <w:r>
        <w:rPr>
          <w:b/>
          <w:i/>
          <w:color w:val="1C3A36"/>
          <w:sz w:val="19"/>
        </w:rPr>
        <w:t xml:space="preserve">Not investment advice. </w:t>
      </w:r>
      <w:r>
        <w:rPr>
          <w:b w:val="0"/>
          <w:i w:val="0"/>
          <w:color w:val="1C3A36"/>
          <w:sz w:val="19"/>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00" w:before="0"/>
      </w:pPr>
      <w:r>
        <w:rPr>
          <w:b/>
          <w:i/>
          <w:color w:val="1C3A36"/>
          <w:sz w:val="19"/>
        </w:rPr>
        <w:t xml:space="preserve">No licence; no advisory relationship. </w:t>
      </w:r>
      <w:r>
        <w:rPr>
          <w:b w:val="0"/>
          <w:i w:val="0"/>
          <w:color w:val="1C3A36"/>
          <w:sz w:val="19"/>
        </w:rPr>
        <w:t>The preparer is not registered or licensed with any securities or financial regulator in any jurisdiction — including the Saudi Capital Market Authority (CMA) — holds no brokerage or investment-advisory authorisation, and is not acting as your adviser or fiduciary. Nothing here is personalised to your circumstances.</w:t>
      </w:r>
    </w:p>
    <w:p>
      <w:pPr>
        <w:spacing w:after="100" w:before="0"/>
      </w:pPr>
      <w:r>
        <w:rPr>
          <w:b/>
          <w:i/>
          <w:color w:val="1C3A36"/>
          <w:sz w:val="19"/>
        </w:rPr>
        <w:t xml:space="preserve">Holdings disclosure. </w:t>
      </w:r>
      <w:r>
        <w:rPr>
          <w:b w:val="0"/>
          <w:i w:val="0"/>
          <w:color w:val="1C3A36"/>
          <w:sz w:val="19"/>
        </w:rPr>
        <w:t>The preparer may hold, and may in the future take or dispose of, a position in the security discussed in this report, and may transact at any time without notice. This is a potential conflict of interest you should weigh.</w:t>
      </w:r>
    </w:p>
    <w:p>
      <w:pPr>
        <w:spacing w:after="100" w:before="0"/>
      </w:pPr>
      <w:r>
        <w:rPr>
          <w:b/>
          <w:i/>
          <w:color w:val="1C3A36"/>
          <w:sz w:val="19"/>
        </w:rPr>
        <w:t xml:space="preserve">Sources &amp; accuracy. </w:t>
      </w:r>
      <w:r>
        <w:rPr>
          <w:b w:val="0"/>
          <w:i w:val="0"/>
          <w:color w:val="1C3A36"/>
          <w:sz w:val="19"/>
        </w:rPr>
        <w:t>Reported financial and operating figures are drawn from the company’s public disclosure (stc.com IR releases and interim financial statements) and other public sources believed reliable but not independently verified; they may contain errors or be superseded. Forward-looking inputs — the segment growth and margin paths, capex intensity, the derived risk-free rate and regressed beta, terminal growth, the multiples, the stake marks and the Monte-Carlo factor probabilities — are the preparer’s own judgments and are inherently uncertain. Some balance-sheet detail lines are grouped estimates tying to disclosed totals.</w:t>
      </w:r>
    </w:p>
    <w:p>
      <w:pPr>
        <w:spacing w:after="100" w:before="0"/>
      </w:pPr>
      <w:r>
        <w:rPr>
          <w:b/>
          <w:i/>
          <w:color w:val="1C3A36"/>
          <w:sz w:val="19"/>
        </w:rPr>
        <w:t xml:space="preserve">Forward-looking statements. </w:t>
      </w:r>
      <w:r>
        <w:rPr>
          <w:b w:val="0"/>
          <w:i w:val="0"/>
          <w:color w:val="1C3A36"/>
          <w:sz w:val="19"/>
        </w:rPr>
        <w:t>Any statements about the future are estimates subject to risks and uncertainties; actual results may differ materially. The Monte Carlo models price, not value, and encodes subjective probabilities for events that have not occurred.</w:t>
      </w:r>
    </w:p>
    <w:p>
      <w:pPr>
        <w:spacing w:after="100" w:before="0"/>
      </w:pPr>
      <w:r>
        <w:rPr>
          <w:b/>
          <w:i/>
          <w:color w:val="1C3A36"/>
          <w:sz w:val="19"/>
        </w:rPr>
        <w:t xml:space="preserve">No reliance; your responsibility. </w:t>
      </w:r>
      <w:r>
        <w:rPr>
          <w:b w:val="0"/>
          <w:i w:val="0"/>
          <w:color w:val="1C3A36"/>
          <w:sz w:val="19"/>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00" w:before="0"/>
      </w:pPr>
      <w:r>
        <w:rPr>
          <w:b/>
          <w:i/>
          <w:color w:val="1C3A36"/>
          <w:sz w:val="19"/>
        </w:rPr>
        <w:t xml:space="preserve">Currency &amp; figures. </w:t>
      </w:r>
      <w:r>
        <w:rPr>
          <w:b w:val="0"/>
          <w:i w:val="0"/>
          <w:color w:val="1C3A36"/>
          <w:sz w:val="19"/>
        </w:rPr>
        <w:t>Figures are in Saudi riyals (SAR), millions unless stated; bn denotes billion. The riyal is pegged to the US dollar at 3.75. Rounding may cause totals to differ slightly. The market price this study is measured against is the close of 2026-09-03; the price map is struck on 2026-08-31, the last session in the price library, and both change continuously.</w:t>
      </w:r>
    </w:p>
    <w:p>
      <w:pPr>
        <w:spacing w:after="120" w:before="200"/>
        <w:jc w:val="center"/>
      </w:pPr>
      <w:r>
        <w:rPr>
          <w:b w:val="0"/>
          <w:i w:val="0"/>
          <w:color w:val="6E7B77"/>
          <w:sz w:val="17"/>
        </w:rPr>
        <w:t>TESTAHIL · Independent Valuation Study · Educational Analysis · Saudi Telecom Company (Tadawul: 7010) · edition 05-09-2026 · reporting currency SAR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