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32.37% in the first year to 21.93%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63.70 and EGP 123.03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32.37% on the credit-default-swap premium — the rating-based premium runs 3.42% higher in the first year — and settling at 21.93%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35.79%</w:t>
            </w:r>
          </w:p>
        </w:tc>
        <w:tc>
          <w:tcPr>
            <w:tcW w:type="dxa" w:w="1378"/>
          </w:tcPr>
          <w:p>
            <w:pPr>
              <w:jc w:val="right"/>
            </w:pPr>
            <w:r/>
            <w:r>
              <w:rPr>
                <w:color w:val="1A1D21"/>
                <w:sz w:val="17"/>
              </w:rPr>
              <w:t>221,706</w:t>
            </w:r>
          </w:p>
        </w:tc>
        <w:tc>
          <w:tcPr>
            <w:tcW w:type="dxa" w:w="1202"/>
          </w:tcPr>
          <w:p>
            <w:pPr>
              <w:jc w:val="right"/>
            </w:pPr>
            <w:r/>
            <w:r>
              <w:rPr>
                <w:color w:val="1A1D21"/>
                <w:sz w:val="17"/>
              </w:rPr>
              <w:t>244,183</w:t>
            </w:r>
          </w:p>
        </w:tc>
        <w:tc>
          <w:tcPr>
            <w:tcW w:type="dxa" w:w="1151"/>
          </w:tcPr>
          <w:p>
            <w:pPr>
              <w:jc w:val="right"/>
            </w:pPr>
            <w:r/>
            <w:r>
              <w:rPr>
                <w:color w:val="1A1D21"/>
                <w:sz w:val="17"/>
              </w:rPr>
              <w:t>118.50</w:t>
            </w:r>
          </w:p>
        </w:tc>
        <w:tc>
          <w:tcPr>
            <w:tcW w:type="dxa" w:w="867"/>
          </w:tcPr>
          <w:p>
            <w:pPr>
              <w:jc w:val="right"/>
            </w:pPr>
            <w:r/>
            <w:r>
              <w:rPr>
                <w:color w:val="1A1D21"/>
                <w:sz w:val="17"/>
              </w:rPr>
              <w:t>113.24</w:t>
            </w:r>
          </w:p>
        </w:tc>
        <w:tc>
          <w:tcPr>
            <w:tcW w:type="dxa" w:w="867"/>
          </w:tcPr>
          <w:p>
            <w:pPr>
              <w:jc w:val="right"/>
            </w:pPr>
            <w:r/>
            <w:r>
              <w:rPr>
                <w:color w:val="1A1D21"/>
                <w:sz w:val="17"/>
              </w:rPr>
              <w:t>82.15</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35.79%</w:t>
            </w:r>
          </w:p>
        </w:tc>
        <w:tc>
          <w:tcPr>
            <w:tcW w:type="dxa" w:w="1378"/>
          </w:tcPr>
          <w:p>
            <w:pPr>
              <w:jc w:val="right"/>
            </w:pPr>
            <w:r/>
            <w:r>
              <w:rPr>
                <w:color w:val="1A1D21"/>
                <w:sz w:val="17"/>
              </w:rPr>
              <w:t>78,802</w:t>
            </w:r>
          </w:p>
        </w:tc>
        <w:tc>
          <w:tcPr>
            <w:tcW w:type="dxa" w:w="1202"/>
          </w:tcPr>
          <w:p>
            <w:pPr>
              <w:jc w:val="right"/>
            </w:pPr>
            <w:r/>
            <w:r>
              <w:rPr>
                <w:color w:val="1A1D21"/>
                <w:sz w:val="17"/>
              </w:rPr>
              <w:t>131,255</w:t>
            </w:r>
          </w:p>
        </w:tc>
        <w:tc>
          <w:tcPr>
            <w:tcW w:type="dxa" w:w="1151"/>
          </w:tcPr>
          <w:p>
            <w:pPr>
              <w:jc w:val="right"/>
            </w:pPr>
            <w:r/>
            <w:r>
              <w:rPr>
                <w:color w:val="1A1D21"/>
                <w:sz w:val="17"/>
              </w:rPr>
              <w:t>63.70</w:t>
            </w:r>
          </w:p>
        </w:tc>
        <w:tc>
          <w:tcPr>
            <w:tcW w:type="dxa" w:w="867"/>
          </w:tcPr>
          <w:p>
            <w:pPr>
              <w:jc w:val="right"/>
            </w:pPr>
            <w:r/>
            <w:r>
              <w:rPr>
                <w:color w:val="1A1D21"/>
                <w:sz w:val="17"/>
              </w:rPr>
              <w:t>43.89</w:t>
            </w:r>
          </w:p>
        </w:tc>
        <w:tc>
          <w:tcPr>
            <w:tcW w:type="dxa" w:w="867"/>
          </w:tcPr>
          <w:p>
            <w:pPr>
              <w:jc w:val="right"/>
            </w:pPr>
            <w:r/>
            <w:r>
              <w:rPr>
                <w:color w:val="1A1D21"/>
                <w:sz w:val="17"/>
              </w:rPr>
              <w:t>44.16</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32.37%</w:t>
            </w:r>
          </w:p>
        </w:tc>
        <w:tc>
          <w:tcPr>
            <w:tcW w:type="dxa" w:w="1378"/>
          </w:tcPr>
          <w:p>
            <w:pPr>
              <w:jc w:val="right"/>
            </w:pPr>
            <w:r/>
            <w:r>
              <w:rPr>
                <w:color w:val="1A1D21"/>
                <w:sz w:val="17"/>
              </w:rPr>
              <w:t>233,520</w:t>
            </w:r>
          </w:p>
        </w:tc>
        <w:tc>
          <w:tcPr>
            <w:tcW w:type="dxa" w:w="1202"/>
          </w:tcPr>
          <w:p>
            <w:pPr>
              <w:jc w:val="right"/>
            </w:pPr>
            <w:r/>
            <w:r>
              <w:rPr>
                <w:color w:val="1A1D21"/>
                <w:sz w:val="17"/>
              </w:rPr>
              <w:t>253,519</w:t>
            </w:r>
          </w:p>
        </w:tc>
        <w:tc>
          <w:tcPr>
            <w:tcW w:type="dxa" w:w="1151"/>
          </w:tcPr>
          <w:p>
            <w:pPr>
              <w:jc w:val="right"/>
            </w:pPr>
            <w:r/>
            <w:r>
              <w:rPr>
                <w:color w:val="1A1D21"/>
                <w:sz w:val="17"/>
              </w:rPr>
              <w:t>123.03</w:t>
            </w:r>
          </w:p>
        </w:tc>
        <w:tc>
          <w:tcPr>
            <w:tcW w:type="dxa" w:w="867"/>
          </w:tcPr>
          <w:p>
            <w:pPr>
              <w:jc w:val="right"/>
            </w:pPr>
            <w:r/>
            <w:r>
              <w:rPr>
                <w:color w:val="1A1D21"/>
                <w:sz w:val="17"/>
              </w:rPr>
              <w:t>118.97</w:t>
            </w:r>
          </w:p>
        </w:tc>
        <w:tc>
          <w:tcPr>
            <w:tcW w:type="dxa" w:w="867"/>
          </w:tcPr>
          <w:p>
            <w:pPr>
              <w:jc w:val="right"/>
            </w:pPr>
            <w:r/>
            <w:r>
              <w:rPr>
                <w:color w:val="1A1D21"/>
                <w:sz w:val="17"/>
              </w:rPr>
              <w:t>85.29</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32.37%</w:t>
            </w:r>
          </w:p>
        </w:tc>
        <w:tc>
          <w:tcPr>
            <w:tcW w:type="dxa" w:w="1378"/>
          </w:tcPr>
          <w:p>
            <w:pPr>
              <w:jc w:val="right"/>
            </w:pPr>
            <w:r/>
            <w:r>
              <w:rPr>
                <w:color w:val="1A1D21"/>
                <w:sz w:val="17"/>
              </w:rPr>
              <w:t>82,629</w:t>
            </w:r>
          </w:p>
        </w:tc>
        <w:tc>
          <w:tcPr>
            <w:tcW w:type="dxa" w:w="1202"/>
          </w:tcPr>
          <w:p>
            <w:pPr>
              <w:jc w:val="right"/>
            </w:pPr>
            <w:r/>
            <w:r>
              <w:rPr>
                <w:color w:val="1A1D21"/>
                <w:sz w:val="17"/>
              </w:rPr>
              <w:t>134,279</w:t>
            </w:r>
          </w:p>
        </w:tc>
        <w:tc>
          <w:tcPr>
            <w:tcW w:type="dxa" w:w="1151"/>
          </w:tcPr>
          <w:p>
            <w:pPr>
              <w:jc w:val="right"/>
            </w:pPr>
            <w:r/>
            <w:r>
              <w:rPr>
                <w:color w:val="1A1D21"/>
                <w:sz w:val="17"/>
              </w:rPr>
              <w:t>65.16</w:t>
            </w:r>
          </w:p>
        </w:tc>
        <w:tc>
          <w:tcPr>
            <w:tcW w:type="dxa" w:w="867"/>
          </w:tcPr>
          <w:p>
            <w:pPr>
              <w:jc w:val="right"/>
            </w:pPr>
            <w:r/>
            <w:r>
              <w:rPr>
                <w:color w:val="1A1D21"/>
                <w:sz w:val="17"/>
              </w:rPr>
              <w:t>45.75</w:t>
            </w:r>
          </w:p>
        </w:tc>
        <w:tc>
          <w:tcPr>
            <w:tcW w:type="dxa" w:w="867"/>
          </w:tcPr>
          <w:p>
            <w:pPr>
              <w:jc w:val="right"/>
            </w:pPr>
            <w:r/>
            <w:r>
              <w:rPr>
                <w:color w:val="1A1D21"/>
                <w:sz w:val="17"/>
              </w:rPr>
              <w:t>45.18</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0.5628</w:t>
            </w:r>
          </w:p>
        </w:tc>
        <w:tc>
          <w:tcPr>
            <w:tcW w:type="dxa" w:w="1134"/>
          </w:tcPr>
          <w:p>
            <w:pPr>
              <w:jc w:val="right"/>
            </w:pPr>
            <w:r/>
            <w:r>
              <w:rPr>
                <w:color w:val="1A1D21"/>
                <w:sz w:val="17"/>
              </w:rPr>
              <w:t>0.4436</w:t>
            </w:r>
          </w:p>
        </w:tc>
        <w:tc>
          <w:tcPr>
            <w:tcW w:type="dxa" w:w="1134"/>
          </w:tcPr>
          <w:p>
            <w:pPr>
              <w:jc w:val="right"/>
            </w:pPr>
            <w:r/>
            <w:r>
              <w:rPr>
                <w:color w:val="1A1D21"/>
                <w:sz w:val="17"/>
              </w:rPr>
              <w:t>0.3580</w:t>
            </w:r>
          </w:p>
        </w:tc>
        <w:tc>
          <w:tcPr>
            <w:tcW w:type="dxa" w:w="1134"/>
          </w:tcPr>
          <w:p>
            <w:pPr>
              <w:jc w:val="right"/>
            </w:pPr>
            <w:r/>
            <w:r>
              <w:rPr>
                <w:color w:val="1A1D21"/>
                <w:sz w:val="17"/>
              </w:rPr>
              <w:t>0.2936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20,833</w:t>
            </w:r>
          </w:p>
        </w:tc>
        <w:tc>
          <w:tcPr>
            <w:tcW w:type="dxa" w:w="1134"/>
          </w:tcPr>
          <w:p>
            <w:pPr>
              <w:jc w:val="right"/>
            </w:pPr>
            <w:r/>
            <w:r>
              <w:rPr>
                <w:color w:val="1A1D21"/>
                <w:sz w:val="17"/>
              </w:rPr>
              <w:t>20,999</w:t>
            </w:r>
          </w:p>
        </w:tc>
        <w:tc>
          <w:tcPr>
            <w:tcW w:type="dxa" w:w="1134"/>
          </w:tcPr>
          <w:p>
            <w:pPr>
              <w:jc w:val="right"/>
            </w:pPr>
            <w:r/>
            <w:r>
              <w:rPr>
                <w:color w:val="1A1D21"/>
                <w:sz w:val="17"/>
              </w:rPr>
              <w:t>20,384</w:t>
            </w:r>
          </w:p>
        </w:tc>
        <w:tc>
          <w:tcPr>
            <w:tcW w:type="dxa" w:w="1134"/>
          </w:tcPr>
          <w:p>
            <w:pPr>
              <w:jc w:val="right"/>
            </w:pPr>
            <w:r/>
            <w:r>
              <w:rPr>
                <w:color w:val="1A1D21"/>
                <w:sz w:val="17"/>
              </w:rPr>
              <w:t>19,572</w:t>
            </w:r>
          </w:p>
        </w:tc>
      </w:tr>
    </w:tbl>
    <w:p>
      <w:pPr>
        <w:spacing w:after="200"/>
      </w:pPr>
      <w:r>
        <w:rPr>
          <w:b w:val="0"/>
          <w:i/>
          <w:color w:val="5B6570"/>
          <w:sz w:val="16"/>
        </w:rPr>
        <w:t>The first five of the ten explicit years, on the case built on the rating-based equity risk premium, slower conversion, whose first-year rate is 35.79%;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183,703</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14,029</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23,974</w:t>
            </w:r>
          </w:p>
        </w:tc>
      </w:tr>
      <w:tr>
        <w:trPr>
          <w:cantSplit/>
        </w:trPr>
        <w:tc>
          <w:tcPr>
            <w:tcW w:type="dxa" w:w="6236"/>
          </w:tcPr>
          <w:p>
            <w:r/>
            <w:r>
              <w:rPr>
                <w:color w:val="1A1D21"/>
                <w:sz w:val="17"/>
              </w:rPr>
              <w:t>Enterprise value</w:t>
            </w:r>
          </w:p>
        </w:tc>
        <w:tc>
          <w:tcPr>
            <w:tcW w:type="dxa" w:w="2948"/>
          </w:tcPr>
          <w:p>
            <w:pPr>
              <w:jc w:val="right"/>
            </w:pPr>
            <w:r/>
            <w:r>
              <w:rPr>
                <w:color w:val="1A1D21"/>
                <w:sz w:val="17"/>
              </w:rPr>
              <w:t>221,706</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309,000</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(64,817)</w:t>
            </w:r>
          </w:p>
        </w:tc>
      </w:tr>
      <w:tr>
        <w:trPr>
          <w:cantSplit/>
        </w:trPr>
        <w:tc>
          <w:tcPr>
            <w:tcW w:type="dxa" w:w="6236"/>
          </w:tcPr>
          <w:p>
            <w:r/>
            <w:r>
              <w:rPr>
                <w:color w:val="1A1D21"/>
                <w:sz w:val="17"/>
              </w:rPr>
              <w:t xml:space="preserve">  for reference: at book 75,653; pro rata to book 139,709</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244,183</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118.50</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+0.26</w:t>
            </w:r>
          </w:p>
        </w:tc>
        <w:tc>
          <w:tcPr>
            <w:tcW w:type="dxa" w:w="1032"/>
          </w:tcPr>
          <w:p>
            <w:pPr>
              <w:jc w:val="right"/>
            </w:pPr>
            <w:r/>
            <w:r>
              <w:rPr>
                <w:color w:val="1A1D21"/>
                <w:sz w:val="17"/>
              </w:rPr>
              <w:t>0.68</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-0.25</w:t>
            </w:r>
          </w:p>
        </w:tc>
        <w:tc>
          <w:tcPr>
            <w:tcW w:type="dxa" w:w="1032"/>
          </w:tcPr>
          <w:p>
            <w:pPr>
              <w:jc w:val="right"/>
            </w:pPr>
            <w:r/>
            <w:r>
              <w:rPr>
                <w:color w:val="1A1D21"/>
                <w:sz w:val="17"/>
              </w:rPr>
              <w:t>0.44</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118.50 a share and the faster one EGP 63.70.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35.79% / 32.37%</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21.93%</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32.4%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32.4%</w:t>
            </w:r>
          </w:p>
        </w:tc>
        <w:tc>
          <w:tcPr>
            <w:tcW w:type="dxa" w:w="794"/>
          </w:tcPr>
          <w:p>
            <w:pPr>
              <w:jc w:val="right"/>
            </w:pPr>
            <w:r/>
            <w:r>
              <w:rPr>
                <w:color w:val="1A1D21"/>
                <w:sz w:val="17"/>
              </w:rPr>
              <w:t>28.6%</w:t>
            </w:r>
          </w:p>
        </w:tc>
        <w:tc>
          <w:tcPr>
            <w:tcW w:type="dxa" w:w="794"/>
          </w:tcPr>
          <w:p>
            <w:pPr>
              <w:jc w:val="right"/>
            </w:pPr>
            <w:r/>
            <w:r>
              <w:rPr>
                <w:color w:val="1A1D21"/>
                <w:sz w:val="17"/>
              </w:rPr>
              <w:t>25.7%</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0.755</w:t>
            </w:r>
          </w:p>
        </w:tc>
        <w:tc>
          <w:tcPr>
            <w:tcW w:type="dxa" w:w="794"/>
          </w:tcPr>
          <w:p>
            <w:pPr>
              <w:jc w:val="right"/>
            </w:pPr>
            <w:r/>
            <w:r>
              <w:rPr>
                <w:color w:val="1A1D21"/>
                <w:sz w:val="17"/>
              </w:rPr>
              <w:t>0.587</w:t>
            </w:r>
          </w:p>
        </w:tc>
        <w:tc>
          <w:tcPr>
            <w:tcW w:type="dxa" w:w="794"/>
          </w:tcPr>
          <w:p>
            <w:pPr>
              <w:jc w:val="right"/>
            </w:pPr>
            <w:r/>
            <w:r>
              <w:rPr>
                <w:color w:val="1A1D21"/>
                <w:sz w:val="17"/>
              </w:rPr>
              <w:t>0.467</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0.171</w:t>
            </w:r>
          </w:p>
        </w:tc>
        <w:tc>
          <w:tcPr>
            <w:tcW w:type="dxa" w:w="794"/>
          </w:tcPr>
          <w:p>
            <w:pPr>
              <w:jc w:val="right"/>
            </w:pPr>
            <w:r/>
            <w:r>
              <w:rPr>
                <w:color w:val="1A1D21"/>
                <w:sz w:val="17"/>
              </w:rPr>
              <w:t>0.140</w:t>
            </w:r>
          </w:p>
        </w:tc>
        <w:tc>
          <w:tcPr>
            <w:tcW w:type="dxa" w:w="794"/>
          </w:tcPr>
          <w:p>
            <w:pPr>
              <w:jc w:val="right"/>
            </w:pPr>
            <w:r/>
            <w:r>
              <w:rPr>
                <w:color w:val="1A1D21"/>
                <w:sz w:val="17"/>
              </w:rPr>
              <w:t>0.115</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0.115.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101%</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53%</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38%</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26%</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16%</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8%</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-4%</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63.70 – 123.03</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32.37% to 21.93%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11.53</w:t>
            </w:r>
          </w:p>
        </w:tc>
        <w:tc>
          <w:tcPr>
            <w:tcW w:type="dxa" w:w="1247"/>
          </w:tcPr>
          <w:p>
            <w:pPr>
              <w:jc w:val="right"/>
            </w:pPr>
            <w:r/>
            <w:r>
              <w:rPr>
                <w:color w:val="1A1D21"/>
                <w:sz w:val="17"/>
              </w:rPr>
              <w:t>2026-07-28</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27.48</w:t>
            </w:r>
          </w:p>
        </w:tc>
        <w:tc>
          <w:tcPr>
            <w:tcW w:type="dxa" w:w="1247"/>
          </w:tcPr>
          <w:p>
            <w:pPr>
              <w:jc w:val="right"/>
            </w:pPr>
            <w:r/>
            <w:r>
              <w:rPr>
                <w:color w:val="1A1D21"/>
                <w:sz w:val="17"/>
              </w:rPr>
              <w:t>2026-07-27</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40.16</w:t>
            </w:r>
          </w:p>
        </w:tc>
        <w:tc>
          <w:tcPr>
            <w:tcW w:type="dxa" w:w="1247"/>
          </w:tcPr>
          <w:p>
            <w:pPr>
              <w:jc w:val="right"/>
            </w:pPr>
            <w:r/>
            <w:r>
              <w:rPr>
                <w:color w:val="1A1D21"/>
                <w:sz w:val="17"/>
              </w:rPr>
              <w:t>2026-07-27</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