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Calibri" w:cs="Calibri" w:eastAsia="Calibri" w:hAnsi="Calibri"/>
          <w:caps/>
          <w:color w:val="697687"/>
          <w:spacing w:val="24"/>
          <w:sz w:val="15"/>
          <w:szCs w:val="15"/>
        </w:rPr>
        <w:t xml:space="preserve">TESTAHIL · STANDING RESEARCH PROTOCOL · 23 AUGUST 2026</w:t>
      </w:r>
    </w:p>
    <w:p>
      <w:pPr>
        <w:pStyle w:val="Title"/>
        <w:spacing w:after="100" w:before="0"/>
      </w:pPr>
      <w:r>
        <w:rPr>
          <w:rFonts w:ascii="Georgia" w:cs="Georgia" w:eastAsia="Georgia" w:hAnsi="Georgia"/>
          <w:b/>
          <w:bCs/>
          <w:color w:val="141C26"/>
          <w:sz w:val="52"/>
          <w:szCs w:val="52"/>
        </w:rPr>
        <w:t xml:space="preserve">The Rebuild Queue</w:t>
      </w:r>
    </w:p>
    <w:p>
      <w:pPr>
        <w:pBdr>
          <w:bottom w:val="single" w:color="D8DDE5" w:sz="4" w:space="6"/>
        </w:pBdr>
        <w:spacing w:after="200" w:before="120"/>
      </w:pPr>
      <w:r>
        <w:rPr>
          <w:rFonts w:ascii="Calibri" w:cs="Calibri" w:eastAsia="Calibri" w:hAnsi="Calibri"/>
          <w:i/>
          <w:iCs/>
          <w:color w:val="697687"/>
          <w:sz w:val="24"/>
          <w:szCs w:val="24"/>
        </w:rPr>
        <w:t xml:space="preserve">The 86 studies to redo, in working order.</w:t>
      </w:r>
    </w:p>
    <w:p>
      <w:pPr>
        <w:spacing w:after="120" w:before="120"/>
      </w:pPr>
      <w:r>
        <w:rPr>
          <w:rFonts w:ascii="Calibri" w:cs="Calibri" w:eastAsia="Calibri" w:hAnsi="Calibri"/>
          <w:color w:val="141C26"/>
          <w:sz w:val="21"/>
          <w:szCs w:val="21"/>
        </w:rPr>
        <w:t xml:space="preserve">Every covered stock except the 4 already done properly, arranged so the cheapest work comes first and each country’s cost-of-capital homework is done once instead of once per company.</w:t>
      </w:r>
    </w:p>
    <w:p>
      <w:pPr>
        <w:spacing w:after="60" w:before="200"/>
      </w:pPr>
      <w:r>
        <w:rPr>
          <w:rFonts w:ascii="Calibri" w:cs="Calibri" w:eastAsia="Calibri" w:hAnsi="Calibri"/>
          <w:b/>
          <w:bCs/>
          <w:color w:val="141C26"/>
          <w:sz w:val="21"/>
          <w:szCs w:val="21"/>
        </w:rPr>
        <w:t xml:space="preserve">Two terms, plainly.</w:t>
      </w:r>
    </w:p>
    <w:p>
      <w:pPr>
        <w:spacing w:after="60" w:before="120"/>
      </w:pPr>
      <w:r>
        <w:rPr>
          <w:rFonts w:ascii="Calibri" w:cs="Calibri" w:eastAsia="Calibri" w:hAnsi="Calibri"/>
          <w:color w:val="141C26"/>
          <w:sz w:val="19"/>
          <w:szCs w:val="19"/>
        </w:rPr>
        <w:t xml:space="preserve">The risk number — how risky a company is, used to turn future profits into a value today. It is meant to be measured against the company’s own stock market index. In most of these studies it was chosen, not measured.</w:t>
      </w:r>
    </w:p>
    <w:p>
      <w:pPr>
        <w:spacing w:after="120" w:before="120"/>
      </w:pPr>
      <w:r>
        <w:rPr>
          <w:rFonts w:ascii="Calibri" w:cs="Calibri" w:eastAsia="Calibri" w:hAnsi="Calibri"/>
          <w:color w:val="141C26"/>
          <w:sz w:val="19"/>
          <w:szCs w:val="19"/>
        </w:rPr>
        <w:t xml:space="preserve">Ground-up rebuild — forecasting revenue as units sold × price each, and cost as cost per unit, rather than growing last year’s total by a percentage.</w:t>
      </w:r>
    </w:p>
    <w:p>
      <w:pPr>
        <w:spacing w:after="120" w:before="160"/>
      </w:pPr>
      <w:r>
        <w:rPr>
          <w:rFonts w:ascii="Calibri" w:cs="Calibri" w:eastAsia="Calibri" w:hAnsi="Calibri"/>
          <w:color w:val="141C26"/>
          <w:sz w:val="21"/>
          <w:szCs w:val="21"/>
        </w:rPr>
        <w:t xml:space="preserve">Of the 86: 23 need only the risk number fixed, because they are already built from the ground up. The other 63 need both, and each of those is a full model rebuild rather than an edit.</w:t>
      </w:r>
    </w:p>
    <w:p>
      <w:pPr>
        <w:pBdr>
          <w:bottom w:val="single" w:color="D8DDE5" w:sz="4" w:space="6"/>
        </w:pBdr>
        <w:spacing w:after="120" w:before="320"/>
      </w:pPr>
      <w:r>
        <w:rPr>
          <w:rFonts w:ascii="Calibri" w:cs="Calibri" w:eastAsia="Calibri" w:hAnsi="Calibri"/>
          <w:b/>
          <w:bCs/>
          <w:color w:val="141C26"/>
          <w:sz w:val="28"/>
          <w:szCs w:val="28"/>
        </w:rPr>
        <w:t xml:space="preserve">Before study number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0E6B5E"/>
                <w:sz w:val="22"/>
                <w:szCs w:val="22"/>
              </w:rPr>
              <w:t xml:space="preserve">☑</w:t>
            </w:r>
          </w:p>
        </w:tc>
        <w:tc>
          <w:tcPr>
            <w:tcW w:type="dxa" w:w="8526"/>
            <w:tcBorders>
              <w:top w:val="none"/>
              <w:left w:val="none"/>
              <w:bottom w:val="single" w:color="D8DDE5" w:sz="2"/>
              <w:right w:val="none"/>
            </w:tcBorders>
            <w:tcMar>
              <w:top w:type="dxa" w:w="60"/>
              <w:left w:type="dxa" w:w="90"/>
              <w:bottom w:type="dxa" w:w="60"/>
              <w:right w:type="dxa" w:w="90"/>
            </w:tcMar>
            <w:vAlign w:val="center"/>
          </w:tcPr>
          <w:p>
            <w:pPr>
              <w:spacing w:after="40" w:before="0"/>
            </w:pPr>
            <w:r>
              <w:rPr>
                <w:rFonts w:ascii="Calibri" w:cs="Calibri" w:eastAsia="Calibri" w:hAnsi="Calibri"/>
                <w:b/>
                <w:bCs/>
                <w:color w:val="0E6B5E"/>
                <w:sz w:val="19"/>
                <w:szCs w:val="19"/>
              </w:rPr>
              <w:t xml:space="preserve">Dubai index — decided 23 Aug 2026.</w:t>
            </w:r>
          </w:p>
          <w:p>
            <w:pPr>
              <w:spacing w:after="0" w:before="0"/>
            </w:pPr>
            <w:r>
              <w:rPr>
                <w:rFonts w:ascii="Calibri" w:cs="Calibri" w:eastAsia="Calibri" w:hAnsi="Calibri"/>
                <w:color w:val="141C26"/>
                <w:sz w:val="18"/>
                <w:szCs w:val="18"/>
              </w:rPr>
              <w:t xml:space="preserve">The eight Dubai-listed names stay on the Abu Dhabi index. Recorded in both protocol files, in the code note and in the index README, so a later session will not switch it back. Condition: every Dubai study must quote the interim disclosure, and none may be called conforming. Wave 3 is unblocked.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8526"/>
            <w:tcBorders>
              <w:top w:val="none"/>
              <w:left w:val="none"/>
              <w:bottom w:val="single" w:color="D8DDE5" w:sz="2"/>
              <w:right w:val="none"/>
            </w:tcBorders>
            <w:tcMar>
              <w:top w:type="dxa" w:w="60"/>
              <w:left w:type="dxa" w:w="90"/>
              <w:bottom w:type="dxa" w:w="60"/>
              <w:right w:type="dxa" w:w="90"/>
            </w:tcMar>
            <w:vAlign w:val="center"/>
          </w:tcPr>
          <w:p>
            <w:pPr>
              <w:spacing w:after="40" w:before="0"/>
            </w:pPr>
            <w:r>
              <w:rPr>
                <w:rFonts w:ascii="Calibri" w:cs="Calibri" w:eastAsia="Calibri" w:hAnsi="Calibri"/>
                <w:b/>
                <w:bCs/>
                <w:color w:val="141C26"/>
                <w:sz w:val="19"/>
                <w:szCs w:val="19"/>
              </w:rPr>
              <w:t xml:space="preserve">Remove the duplicate index file.</w:t>
            </w:r>
          </w:p>
          <w:p>
            <w:pPr>
              <w:spacing w:after="0" w:before="0"/>
            </w:pPr>
            <w:r>
              <w:rPr>
                <w:rFonts w:ascii="Calibri" w:cs="Calibri" w:eastAsia="Calibri" w:hAnsi="Calibri"/>
                <w:color w:val="141C26"/>
                <w:sz w:val="18"/>
                <w:szCs w:val="18"/>
              </w:rPr>
              <w:t xml:space="preserve">ADXGENERAL.csv is byte-identical to FADGI.csv. Two studies point at the copy the resolver does not recognise, so their work cannot be verified even though the numbers are right. Delete it and repoint ADNOCDIST and ADNOCDRILL.</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8526"/>
            <w:tcBorders>
              <w:top w:val="none"/>
              <w:left w:val="none"/>
              <w:bottom w:val="single" w:color="D8DDE5" w:sz="2"/>
              <w:right w:val="none"/>
            </w:tcBorders>
            <w:tcMar>
              <w:top w:type="dxa" w:w="60"/>
              <w:left w:type="dxa" w:w="90"/>
              <w:bottom w:type="dxa" w:w="60"/>
              <w:right w:type="dxa" w:w="90"/>
            </w:tcMar>
            <w:vAlign w:val="center"/>
          </w:tcPr>
          <w:p>
            <w:pPr>
              <w:spacing w:after="40" w:before="0"/>
            </w:pPr>
            <w:r>
              <w:rPr>
                <w:rFonts w:ascii="Calibri" w:cs="Calibri" w:eastAsia="Calibri" w:hAnsi="Calibri"/>
                <w:b/>
                <w:bCs/>
                <w:color w:val="141C26"/>
                <w:sz w:val="19"/>
                <w:szCs w:val="19"/>
              </w:rPr>
              <w:t xml:space="preserve">Decide the ARCC / SCEM fallback.</w:t>
            </w:r>
          </w:p>
          <w:p>
            <w:pPr>
              <w:spacing w:after="0" w:before="0"/>
            </w:pPr>
            <w:r>
              <w:rPr>
                <w:rFonts w:ascii="Calibri" w:cs="Calibri" w:eastAsia="Calibri" w:hAnsi="Calibri"/>
                <w:color w:val="141C26"/>
                <w:sz w:val="18"/>
                <w:szCs w:val="18"/>
              </w:rPr>
              <w:t xml:space="preserve">Neither tracks the Egyptian market closely enough for the measurement to hold. The rules allow a comparison with similar Egyptian companies, or a neutral value. Whichever you choose becomes the precedent for every thinly-traded Egyptian name behind them — so decide once, now, rather than eight times inside Wave 2.</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8526"/>
            <w:tcBorders>
              <w:top w:val="none"/>
              <w:left w:val="none"/>
              <w:bottom w:val="single" w:color="D8DDE5" w:sz="2"/>
              <w:right w:val="none"/>
            </w:tcBorders>
            <w:tcMar>
              <w:top w:type="dxa" w:w="60"/>
              <w:left w:type="dxa" w:w="90"/>
              <w:bottom w:type="dxa" w:w="60"/>
              <w:right w:type="dxa" w:w="90"/>
            </w:tcMar>
            <w:vAlign w:val="center"/>
          </w:tcPr>
          <w:p>
            <w:pPr>
              <w:spacing w:after="40" w:before="0"/>
            </w:pPr>
            <w:r>
              <w:rPr>
                <w:rFonts w:ascii="Calibri" w:cs="Calibri" w:eastAsia="Calibri" w:hAnsi="Calibri"/>
                <w:b/>
                <w:bCs/>
                <w:color w:val="141C26"/>
                <w:sz w:val="19"/>
                <w:szCs w:val="19"/>
              </w:rPr>
              <w:t xml:space="preserve">Make the checks run automatically.</w:t>
            </w:r>
          </w:p>
          <w:p>
            <w:pPr>
              <w:spacing w:after="0" w:before="0"/>
            </w:pPr>
            <w:r>
              <w:rPr>
                <w:rFonts w:ascii="Calibri" w:cs="Calibri" w:eastAsia="Calibri" w:hAnsi="Calibri"/>
                <w:color w:val="141C26"/>
                <w:sz w:val="18"/>
                <w:szCs w:val="18"/>
              </w:rPr>
              <w:t xml:space="preserve">The checking code exists but each study chooses whether to call it: 8 of 21 study directories do, and no automated job runs any of them. A study passes by not checking itself — which is how the original problem spread while the rule against it was already written down.</w:t>
            </w:r>
          </w:p>
        </w:tc>
      </w:tr>
    </w:tbl>
    <w:p>
      <w:pPr>
        <w:spacing w:after="40" w:before="400"/>
      </w:pPr>
      <w:r>
        <w:rPr>
          <w:rFonts w:ascii="Calibri" w:cs="Calibri" w:eastAsia="Calibri" w:hAnsi="Calibri"/>
          <w:color w:val="697687"/>
          <w:spacing w:val="24"/>
          <w:sz w:val="15"/>
          <w:szCs w:val="15"/>
        </w:rPr>
        <w:t xml:space="preserve">Wave 1 · 17 STUDIES</w:t>
      </w:r>
    </w:p>
    <w:p>
      <w:pPr>
        <w:spacing w:after="80" w:before="0"/>
      </w:pPr>
      <w:r>
        <w:rPr>
          <w:rFonts w:ascii="Georgia" w:cs="Georgia" w:eastAsia="Georgia" w:hAnsi="Georgia"/>
          <w:b/>
          <w:bCs/>
          <w:color w:val="141C26"/>
          <w:sz w:val="30"/>
          <w:szCs w:val="30"/>
        </w:rPr>
        <w:t xml:space="preserve">Studies that already have a working model</w:t>
      </w:r>
    </w:p>
    <w:p>
      <w:pPr>
        <w:spacing w:after="160" w:before="120"/>
      </w:pPr>
      <w:r>
        <w:rPr>
          <w:rFonts w:ascii="Calibri" w:cs="Calibri" w:eastAsia="Calibri" w:hAnsi="Calibri"/>
          <w:i/>
          <w:iCs/>
          <w:color w:val="697687"/>
          <w:sz w:val="19"/>
          <w:szCs w:val="19"/>
        </w:rPr>
        <w:t xml:space="preserve">Re-runs, not rebuilds. Cheapest work in the book and it locks the standard before the expensive reconstruction starts.</w:t>
      </w:r>
    </w:p>
    <w:p>
      <w:pPr>
        <w:spacing w:after="60" w:before="200"/>
      </w:pPr>
      <w:r>
        <w:rPr>
          <w:rFonts w:ascii="Calibri" w:cs="Calibri" w:eastAsia="Calibri" w:hAnsi="Calibri"/>
          <w:b/>
          <w:bCs/>
          <w:color w:val="141C26"/>
          <w:sz w:val="19"/>
          <w:szCs w:val="19"/>
        </w:rPr>
        <w:t xml:space="preserve">EGX  ·  Operating company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AMOC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Alexandria Mineral Oils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ARCC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Arabian Cement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EGCH</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Egyptian Chemical Industries (KIMA)</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ELEC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Electro Cable Egypt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GBCO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GB Corp (Ghabbour)</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PHAR</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Egyptian International Pharmaceutical Industries (EIPICO)</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SCEM</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Sinai Cement Company S.A.E.</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SWDY</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Elsewedy Electric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ADX  ·  Operating company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ADNOCDIST</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Abu Dhabi National Oil Company for Distribution (ADNOC Distribution)</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ADNOCDRILL</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ADNOC Drilling Company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ADNOCLS</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ADNOC Logistics &amp; Services plc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BOROUGE</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Borouge plc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bl>
    <w:p>
      <w:pPr>
        <w:spacing w:after="60" w:before="200"/>
      </w:pPr>
      <w:r>
        <w:rPr>
          <w:rFonts w:ascii="Calibri" w:cs="Calibri" w:eastAsia="Calibri" w:hAnsi="Calibri"/>
          <w:b/>
          <w:bCs/>
          <w:color w:val="141C26"/>
          <w:sz w:val="19"/>
          <w:szCs w:val="19"/>
        </w:rPr>
        <w:t xml:space="preserve">ADX  ·  Real-estate developer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MODON</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Modon Holding PSC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DFM  ·  Operating company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AIRARABIA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Air Arabia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DU</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Emirates Integrated Telecommunications Company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EMPOWER</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Emirates Central Cooling Systems Corporation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bl>
    <w:p>
      <w:pPr>
        <w:spacing w:after="60" w:before="200"/>
      </w:pPr>
      <w:r>
        <w:rPr>
          <w:rFonts w:ascii="Calibri" w:cs="Calibri" w:eastAsia="Calibri" w:hAnsi="Calibri"/>
          <w:b/>
          <w:bCs/>
          <w:color w:val="141C26"/>
          <w:sz w:val="19"/>
          <w:szCs w:val="19"/>
        </w:rPr>
        <w:t xml:space="preserve">TADAWUL  ·  Operating company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STC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stc Group (Saudi Telecom)</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40" w:before="400"/>
      </w:pPr>
      <w:r>
        <w:rPr>
          <w:rFonts w:ascii="Calibri" w:cs="Calibri" w:eastAsia="Calibri" w:hAnsi="Calibri"/>
          <w:color w:val="697687"/>
          <w:spacing w:val="24"/>
          <w:sz w:val="15"/>
          <w:szCs w:val="15"/>
        </w:rPr>
        <w:t xml:space="preserve">Wave 2 · 29 STUDIES</w:t>
      </w:r>
    </w:p>
    <w:p>
      <w:pPr>
        <w:spacing w:after="80" w:before="0"/>
      </w:pPr>
      <w:r>
        <w:rPr>
          <w:rFonts w:ascii="Georgia" w:cs="Georgia" w:eastAsia="Georgia" w:hAnsi="Georgia"/>
          <w:b/>
          <w:bCs/>
          <w:color w:val="141C26"/>
          <w:sz w:val="30"/>
          <w:szCs w:val="30"/>
        </w:rPr>
        <w:t xml:space="preserve">Egypt</w:t>
      </w:r>
    </w:p>
    <w:p>
      <w:pPr>
        <w:spacing w:after="160" w:before="120"/>
      </w:pPr>
      <w:r>
        <w:rPr>
          <w:rFonts w:ascii="Calibri" w:cs="Calibri" w:eastAsia="Calibri" w:hAnsi="Calibri"/>
          <w:i/>
          <w:iCs/>
          <w:color w:val="697687"/>
          <w:sz w:val="19"/>
          <w:szCs w:val="19"/>
        </w:rPr>
        <w:t xml:space="preserve">The largest single block, and it holds every one of the seven studies whose beta is known wrong. One Egyptian cost-of-capital sourcing serves all of them.</w:t>
      </w:r>
    </w:p>
    <w:p>
      <w:pPr>
        <w:spacing w:after="60" w:before="200"/>
      </w:pPr>
      <w:r>
        <w:rPr>
          <w:rFonts w:ascii="Calibri" w:cs="Calibri" w:eastAsia="Calibri" w:hAnsi="Calibri"/>
          <w:b/>
          <w:bCs/>
          <w:color w:val="141C26"/>
          <w:sz w:val="19"/>
          <w:szCs w:val="19"/>
        </w:rPr>
        <w:t xml:space="preserve">EGX  ·  Operating company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ABUK</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Abu Kir Fertilizers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19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CLHO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Cleopatra Hospitals Group</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DSCW</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Dice For Ready-Made Garments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EFID</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Edita Food Industries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EFIH</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e-finance for Digital &amp; Financial Investments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EGAL</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Egypt Aluminum</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ETEL</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Telecom Egypt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FWRY</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Fawry</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ISPH</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Ibnsina Pharma</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JUFO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Juhayna Food Industries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KABO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El Nasr Clothing &amp; Textiles (Kabo)</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29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LCSW</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Lecico Egypt (S.A.E.)</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ORWE</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Oriental Weavers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RMDA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Rameda Pharmaceuticals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EGX  ·  Contractor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ORAS</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Orascom Construction</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EGX  ·  Real-estate developer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EMFD</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Emaar Misr for Development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HELI</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Heliopolis Housing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OCDI</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Sixth of October Development &amp; Investment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ORHD</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Orascom Development Egypt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PHDC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Palm Hills Developments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PRDC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Pioneers Properties for Urban Development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39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TMGH</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Talaat Moustafa Group Holding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bl>
    <w:p>
      <w:pPr>
        <w:spacing w:after="60" w:before="200"/>
      </w:pPr>
      <w:r>
        <w:rPr>
          <w:rFonts w:ascii="Calibri" w:cs="Calibri" w:eastAsia="Calibri" w:hAnsi="Calibri"/>
          <w:b/>
          <w:bCs/>
          <w:color w:val="141C26"/>
          <w:sz w:val="19"/>
          <w:szCs w:val="19"/>
        </w:rPr>
        <w:t xml:space="preserve">EGX  ·  Holding company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CCAP</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Qalaa Holdings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OIH</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Orascom Investment Holding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RAYA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Raya Holding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EGX  ·  Bank or financial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ADIB</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ADIB-Egypt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BTFH</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Beltone Financial Holding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COMI</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Commercial International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HRHO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EFG Holding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40" w:before="400"/>
      </w:pPr>
      <w:r>
        <w:rPr>
          <w:rFonts w:ascii="Calibri" w:cs="Calibri" w:eastAsia="Calibri" w:hAnsi="Calibri"/>
          <w:color w:val="697687"/>
          <w:spacing w:val="24"/>
          <w:sz w:val="15"/>
          <w:szCs w:val="15"/>
        </w:rPr>
        <w:t xml:space="preserve">Wave 3 · 18 STUDIES</w:t>
      </w:r>
    </w:p>
    <w:p>
      <w:pPr>
        <w:spacing w:after="80" w:before="0"/>
      </w:pPr>
      <w:r>
        <w:rPr>
          <w:rFonts w:ascii="Georgia" w:cs="Georgia" w:eastAsia="Georgia" w:hAnsi="Georgia"/>
          <w:b/>
          <w:bCs/>
          <w:color w:val="141C26"/>
          <w:sz w:val="30"/>
          <w:szCs w:val="30"/>
        </w:rPr>
        <w:t xml:space="preserve">United Arab Emirates</w:t>
      </w:r>
    </w:p>
    <w:p>
      <w:pPr>
        <w:spacing w:after="160" w:before="120"/>
      </w:pPr>
      <w:r>
        <w:rPr>
          <w:rFonts w:ascii="Calibri" w:cs="Calibri" w:eastAsia="Calibri" w:hAnsi="Calibri"/>
          <w:i/>
          <w:iCs/>
          <w:color w:val="697687"/>
          <w:sz w:val="19"/>
          <w:szCs w:val="19"/>
        </w:rPr>
        <w:t xml:space="preserve">No longer blocked. The eight Dubai-listed names stay on the Abu Dhabi index by instruction of 23-Aug-2026, so each must quote the interim disclosure and none may be called conforming.</w:t>
      </w:r>
    </w:p>
    <w:p>
      <w:pPr>
        <w:spacing w:after="60" w:before="200"/>
      </w:pPr>
      <w:r>
        <w:rPr>
          <w:rFonts w:ascii="Calibri" w:cs="Calibri" w:eastAsia="Calibri" w:hAnsi="Calibri"/>
          <w:b/>
          <w:bCs/>
          <w:color w:val="141C26"/>
          <w:sz w:val="19"/>
          <w:szCs w:val="19"/>
        </w:rPr>
        <w:t xml:space="preserve">ADX  ·  Operating company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ADNOCGAS</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ADNOC Gas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AGTHIA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Agthia Group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49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BURJEEL</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Burjeel Holdings PLC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EAND</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e&amp; (Emirates Telecommunications Group)</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LULU</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Lulu Retail Holdings</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bl>
    <w:p>
      <w:pPr>
        <w:spacing w:after="60" w:before="200"/>
      </w:pPr>
      <w:r>
        <w:rPr>
          <w:rFonts w:ascii="Calibri" w:cs="Calibri" w:eastAsia="Calibri" w:hAnsi="Calibri"/>
          <w:b/>
          <w:bCs/>
          <w:color w:val="141C26"/>
          <w:sz w:val="19"/>
          <w:szCs w:val="19"/>
        </w:rPr>
        <w:t xml:space="preserve">ADX  ·  Real-estate developer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ALDAR</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Aldar Properties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ADX  ·  Holding company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2POINTZERO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Two Point Zero Group</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ALPHADHABI</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Alpha Dhabi Holding</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IHC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International Holding Company</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ADX  ·  Bank or financial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ADCB</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Abu Dhabi Commercial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ADIBUAE</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Abu Dhabi Islamic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FAB</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First Abu Dhabi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DFM  ·  Operating company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59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DEWA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DEWA (Dubai Electricity and Water Authority)</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SALIK</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Salik Company</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0E6B5E"/>
                <w:sz w:val="16"/>
                <w:szCs w:val="16"/>
              </w:rPr>
              <w:t xml:space="preserve">risk number</w:t>
            </w:r>
          </w:p>
        </w:tc>
      </w:tr>
    </w:tbl>
    <w:p>
      <w:pPr>
        <w:spacing w:after="60" w:before="200"/>
      </w:pPr>
      <w:r>
        <w:rPr>
          <w:rFonts w:ascii="Calibri" w:cs="Calibri" w:eastAsia="Calibri" w:hAnsi="Calibri"/>
          <w:b/>
          <w:bCs/>
          <w:color w:val="141C26"/>
          <w:sz w:val="19"/>
          <w:szCs w:val="19"/>
        </w:rPr>
        <w:t xml:space="preserve">DFM  ·  Real-estate developer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EMAAR</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Emaar Properties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EMAARDEV</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Emaar Development PJSC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DFM  ·  Bank or financial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DIB</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Dubai Islamic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ENBD</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Emirates NBD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40" w:before="400"/>
      </w:pPr>
      <w:r>
        <w:rPr>
          <w:rFonts w:ascii="Calibri" w:cs="Calibri" w:eastAsia="Calibri" w:hAnsi="Calibri"/>
          <w:color w:val="697687"/>
          <w:spacing w:val="24"/>
          <w:sz w:val="15"/>
          <w:szCs w:val="15"/>
        </w:rPr>
        <w:t xml:space="preserve">Wave 4 · 10 STUDIES</w:t>
      </w:r>
    </w:p>
    <w:p>
      <w:pPr>
        <w:spacing w:after="80" w:before="0"/>
      </w:pPr>
      <w:r>
        <w:rPr>
          <w:rFonts w:ascii="Georgia" w:cs="Georgia" w:eastAsia="Georgia" w:hAnsi="Georgia"/>
          <w:b/>
          <w:bCs/>
          <w:color w:val="141C26"/>
          <w:sz w:val="30"/>
          <w:szCs w:val="30"/>
        </w:rPr>
        <w:t xml:space="preserve">Saudi Arabia</w:t>
      </w:r>
    </w:p>
    <w:p>
      <w:pPr>
        <w:spacing w:after="160" w:before="120"/>
      </w:pPr>
      <w:r>
        <w:rPr>
          <w:rFonts w:ascii="Calibri" w:cs="Calibri" w:eastAsia="Calibri" w:hAnsi="Calibri"/>
          <w:i/>
          <w:iCs/>
          <w:color w:val="697687"/>
          <w:sz w:val="19"/>
          <w:szCs w:val="19"/>
        </w:rPr>
        <w:t xml:space="preserve">One sovereign, one index, one tax regime across the whole batch.</w:t>
      </w:r>
    </w:p>
    <w:p>
      <w:pPr>
        <w:spacing w:after="60" w:before="200"/>
      </w:pPr>
      <w:r>
        <w:rPr>
          <w:rFonts w:ascii="Calibri" w:cs="Calibri" w:eastAsia="Calibri" w:hAnsi="Calibri"/>
          <w:b/>
          <w:bCs/>
          <w:color w:val="141C26"/>
          <w:sz w:val="19"/>
          <w:szCs w:val="19"/>
        </w:rPr>
        <w:t xml:space="preserve">TADAWUL  ·  Operating company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ACWA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ACWA Power Company</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ARAMCO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Saudi Aramco</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ELM</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Elm Company</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EXTRA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United Electronics Company (eXtra)</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69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MAADEN</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Saudi Arabian Mining Company (Ma'aden)</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SABIC</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Saudi Basic Industries Corp</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TADAWUL  ·  Bank or financial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ALINMA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Alinma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ALRAJHI</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Al Rajhi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RIBL</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Riyad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SNB</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The Saudi National Bank</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40" w:before="400"/>
      </w:pPr>
      <w:r>
        <w:rPr>
          <w:rFonts w:ascii="Calibri" w:cs="Calibri" w:eastAsia="Calibri" w:hAnsi="Calibri"/>
          <w:color w:val="697687"/>
          <w:spacing w:val="24"/>
          <w:sz w:val="15"/>
          <w:szCs w:val="15"/>
        </w:rPr>
        <w:t xml:space="preserve">Wave 5 · 12 STUDIES</w:t>
      </w:r>
    </w:p>
    <w:p>
      <w:pPr>
        <w:spacing w:after="80" w:before="0"/>
      </w:pPr>
      <w:r>
        <w:rPr>
          <w:rFonts w:ascii="Georgia" w:cs="Georgia" w:eastAsia="Georgia" w:hAnsi="Georgia"/>
          <w:b/>
          <w:bCs/>
          <w:color w:val="141C26"/>
          <w:sz w:val="30"/>
          <w:szCs w:val="30"/>
        </w:rPr>
        <w:t xml:space="preserve">The international tail</w:t>
      </w:r>
    </w:p>
    <w:p>
      <w:pPr>
        <w:spacing w:after="160" w:before="120"/>
      </w:pPr>
      <w:r>
        <w:rPr>
          <w:rFonts w:ascii="Calibri" w:cs="Calibri" w:eastAsia="Calibri" w:hAnsi="Calibri"/>
          <w:i/>
          <w:iCs/>
          <w:color w:val="697687"/>
          <w:sz w:val="19"/>
          <w:szCs w:val="19"/>
        </w:rPr>
        <w:t xml:space="preserve">Four small country batches. Each needs its own sovereign row, so they are cheapest done last, together.</w:t>
      </w:r>
    </w:p>
    <w:p>
      <w:pPr>
        <w:spacing w:after="60" w:before="200"/>
      </w:pPr>
      <w:r>
        <w:rPr>
          <w:rFonts w:ascii="Calibri" w:cs="Calibri" w:eastAsia="Calibri" w:hAnsi="Calibri"/>
          <w:b/>
          <w:bCs/>
          <w:color w:val="141C26"/>
          <w:sz w:val="19"/>
          <w:szCs w:val="19"/>
        </w:rPr>
        <w:t xml:space="preserve">QSE  ·  Operating company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QGTS</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Nakilat</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QSE  ·  Holding company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IQCD</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Industries Qatar</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QSE  ·  Bank or financial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77</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QNB</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QNB Group</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KRX  ·  Operating company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78</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LGES</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LG Energy Solution, Ltd.</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79</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SAMSUNG</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Samsung Electronics Co., Ltd.</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KRX  ·  Holding company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80</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KAKAO</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Kakao Corp.</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NSE  ·  Operating company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81</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INFY</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Infosys Limited</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NSE  ·  Holding company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82</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RELIANCE</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Reliance Industries Limited</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83</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TMPV</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Tata Motors Passenger Vehicles Ltd.</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60" w:before="200"/>
      </w:pPr>
      <w:r>
        <w:rPr>
          <w:rFonts w:ascii="Calibri" w:cs="Calibri" w:eastAsia="Calibri" w:hAnsi="Calibri"/>
          <w:b/>
          <w:bCs/>
          <w:color w:val="141C26"/>
          <w:sz w:val="19"/>
          <w:szCs w:val="19"/>
        </w:rPr>
        <w:t xml:space="preserve">NASDAQ  ·  Operating company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1400"/>
        <w:gridCol w:w="4526"/>
        <w:gridCol w:w="2000"/>
      </w:tblGrid>
      <w:tr>
        <w:trPr>
          <w:tblHeader/>
        </w:trPr>
        <w:tc>
          <w:tcPr>
            <w:tcW w:type="dxa" w:w="5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color w:val="141C26"/>
                <w:sz w:val="16"/>
                <w:szCs w:val="16"/>
              </w:rPr>
              <w:t xml:space="preserve"/>
            </w:r>
          </w:p>
        </w:tc>
        <w:tc>
          <w:tcPr>
            <w:tcW w:type="dxa" w:w="6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t>
            </w:r>
          </w:p>
        </w:tc>
        <w:tc>
          <w:tcPr>
            <w:tcW w:type="dxa" w:w="14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Ticker</w:t>
            </w:r>
          </w:p>
        </w:tc>
        <w:tc>
          <w:tcPr>
            <w:tcW w:type="dxa" w:w="4526"/>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Company</w:t>
            </w:r>
          </w:p>
        </w:tc>
        <w:tc>
          <w:tcPr>
            <w:tcW w:type="dxa" w:w="2000"/>
            <w:tcBorders>
              <w:top w:val="none"/>
              <w:left w:val="none"/>
              <w:bottom w:val="single" w:color="D8DDE5" w:sz="2"/>
              <w:right w:val="none"/>
            </w:tcBorders>
            <w:shd w:fill="EEF1F5" w:color="auto" w:val="clear"/>
            <w:tcMar>
              <w:top w:type="dxa" w:w="60"/>
              <w:left w:type="dxa" w:w="90"/>
              <w:bottom w:type="dxa" w:w="60"/>
              <w:right w:type="dxa" w:w="90"/>
            </w:tcMar>
            <w:vAlign w:val="center"/>
          </w:tcPr>
          <w:p>
            <w:pPr>
              <w:spacing w:after="0" w:before="0"/>
            </w:pPr>
            <w:r>
              <w:rPr>
                <w:rFonts w:ascii="Calibri" w:cs="Calibri" w:eastAsia="Calibri" w:hAnsi="Calibri"/>
                <w:b/>
                <w:bCs/>
                <w:caps/>
                <w:color w:val="697687"/>
                <w:spacing w:val="20"/>
                <w:sz w:val="15"/>
                <w:szCs w:val="15"/>
              </w:rPr>
              <w:t xml:space="preserve">What it needs</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84</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AAPL</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Apple Inc.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85</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NVDA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NVIDIA Corporation</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r>
        <w:tc>
          <w:tcPr>
            <w:tcW w:type="dxa" w:w="5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22"/>
                <w:szCs w:val="22"/>
              </w:rPr>
              <w:t xml:space="preserve">☐</w:t>
            </w:r>
          </w:p>
        </w:tc>
        <w:tc>
          <w:tcPr>
            <w:tcW w:type="dxa" w:w="6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color w:val="697687"/>
                <w:sz w:val="17"/>
                <w:szCs w:val="17"/>
              </w:rPr>
              <w:t xml:space="preserve">86</w:t>
            </w:r>
          </w:p>
        </w:tc>
        <w:tc>
          <w:tcPr>
            <w:tcW w:type="dxa" w:w="14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onsolas" w:cs="Consolas" w:eastAsia="Consolas" w:hAnsi="Consolas"/>
                <w:b/>
                <w:bCs/>
                <w:color w:val="141C26"/>
                <w:sz w:val="18"/>
                <w:szCs w:val="18"/>
              </w:rPr>
              <w:t xml:space="preserve">TSLA</w:t>
            </w:r>
          </w:p>
        </w:tc>
        <w:tc>
          <w:tcPr>
            <w:tcW w:type="dxa" w:w="4526"/>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color w:val="141C26"/>
                <w:sz w:val="18"/>
                <w:szCs w:val="18"/>
              </w:rPr>
              <w:t xml:space="preserve">Tesla, Inc.</w:t>
            </w:r>
          </w:p>
        </w:tc>
        <w:tc>
          <w:tcPr>
            <w:tcW w:type="dxa" w:w="2000"/>
            <w:tcBorders>
              <w:top w:val="none"/>
              <w:left w:val="none"/>
              <w:bottom w:val="single" w:color="D8DDE5" w:sz="2"/>
              <w:right w:val="none"/>
            </w:tcBorders>
            <w:tcMar>
              <w:top w:type="dxa" w:w="60"/>
              <w:left w:type="dxa" w:w="90"/>
              <w:bottom w:type="dxa" w:w="60"/>
              <w:right w:type="dxa" w:w="90"/>
            </w:tcMar>
            <w:vAlign w:val="center"/>
          </w:tcPr>
          <w:p>
            <w:pPr>
              <w:spacing w:after="0" w:before="0"/>
            </w:pPr>
            <w:r>
              <w:rPr>
                <w:rFonts w:ascii="Calibri" w:cs="Calibri" w:eastAsia="Calibri" w:hAnsi="Calibri"/>
                <w:b/>
                <w:bCs/>
                <w:color w:val="9A5A2B"/>
                <w:sz w:val="16"/>
                <w:szCs w:val="16"/>
              </w:rPr>
              <w:t xml:space="preserve">risk number + rebuild</w:t>
            </w:r>
          </w:p>
        </w:tc>
      </w:tr>
    </w:tbl>
    <w:p>
      <w:pPr>
        <w:spacing w:after="120" w:before="400"/>
      </w:pPr>
      <w:r>
        <w:rPr>
          <w:rFonts w:ascii="Calibri" w:cs="Calibri" w:eastAsia="Calibri" w:hAnsi="Calibri"/>
          <w:i/>
          <w:iCs/>
          <w:color w:val="697687"/>
          <w:sz w:val="16"/>
          <w:szCs w:val="16"/>
        </w:rPr>
        <w:t xml:space="preserve">Order computed by sequence.py from the 23 August 2026 build-depth audit and the beta provenance of each study’s own committed records. Company types are set explicitly, not inferred from the valuation method.</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97687"/>
        <w:sz w:val="16"/>
        <w:szCs w:val="16"/>
      </w:rPr>
      <w:t xml:space="preserve"/>
    </w:r>
    <w:r>
      <w:rPr>
        <w:color w:val="697687"/>
        <w:sz w:val="16"/>
        <w:szCs w:val="16"/>
      </w:rPr>
      <w:fldChar w:fldCharType="begin"/>
      <w:instrText xml:space="preserve">PAGE</w:instrText>
      <w:fldChar w:fldCharType="separate"/>
      <w:fldChar w:fldCharType="end"/>
    </w:r>
    <w:r>
      <w:rPr>
        <w:color w:val="697687"/>
        <w:sz w:val="16"/>
        <w:szCs w:val="16"/>
      </w:rPr>
      <w:t xml:space="preserve"> / </w:t>
    </w:r>
    <w:r>
      <w:rPr>
        <w:color w:val="69768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C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Rebuild Queue</dc:title>
  <dc:creator>TESTAHIL</dc:creator>
  <dc:description>The 86 studies to redo, in working order</dc:description>
  <cp:lastModifiedBy>Un-named</cp:lastModifiedBy>
  <cp:revision>1</cp:revision>
  <dcterms:created xsi:type="dcterms:W3CDTF">2026-08-23T10:15:04.282Z</dcterms:created>
  <dcterms:modified xsi:type="dcterms:W3CDTF">2026-08-23T10:15:04.283Z</dcterms:modified>
</cp:coreProperties>
</file>

<file path=docProps/custom.xml><?xml version="1.0" encoding="utf-8"?>
<Properties xmlns="http://schemas.openxmlformats.org/officeDocument/2006/custom-properties" xmlns:vt="http://schemas.openxmlformats.org/officeDocument/2006/docPropsVTypes"/>
</file>