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C3A36"/>
          <w:sz w:val="21"/>
        </w:rPr>
        <w:t>Testahil  ·  Independent Valuation Study — Educational Analysis</w:t>
      </w:r>
      <w:r>
        <w:rPr>
          <w:rFonts w:ascii="Arial" w:hAnsi="Arial"/>
          <w:i/>
          <w:color w:val="555555"/>
          <w:sz w:val="18"/>
        </w:rPr>
        <w:t xml:space="preserve">        Not investment advice</w:t>
      </w:r>
    </w:p>
    <w:p>
      <w:pPr>
        <w:pBdr>
          <w:bottom w:val="single" w:sz="18" w:color="1C3A36"/>
        </w:pBdr>
        <w:spacing w:after="120"/>
      </w:pPr>
    </w:p>
    <w:p>
      <w:pPr>
        <w:spacing w:after="40" w:before="0"/>
      </w:pPr>
      <w:r>
        <w:rPr>
          <w:rFonts w:ascii="Arial" w:hAnsi="Arial"/>
          <w:b/>
          <w:i w:val="0"/>
          <w:color w:val="1C3A36"/>
          <w:sz w:val="24"/>
        </w:rPr>
        <w:t>Independent Valuation Study — Educational Analysis</w:t>
      </w:r>
    </w:p>
    <w:p>
      <w:pPr>
        <w:spacing w:after="40" w:before="0"/>
      </w:pPr>
      <w:r>
        <w:rPr>
          <w:rFonts w:ascii="Arial" w:hAnsi="Arial"/>
          <w:b/>
          <w:i w:val="0"/>
          <w:color w:val="1C3A36"/>
          <w:sz w:val="30"/>
        </w:rPr>
        <w:t>International Holding Company PJSC  (ADX: IHC)</w:t>
      </w:r>
    </w:p>
    <w:p>
      <w:pPr>
        <w:spacing w:after="120" w:before="0"/>
      </w:pPr>
      <w:r>
        <w:rPr>
          <w:rFonts w:ascii="Arial" w:hAnsi="Arial"/>
          <w:b w:val="0"/>
          <w:i/>
          <w:color w:val="555555"/>
          <w:sz w:val="20"/>
        </w:rPr>
        <w:t>Fundamental analysis · Technical analysis · Monte Carlo simulation — one integrated read</w:t>
      </w:r>
    </w:p>
    <w:p>
      <w:pPr>
        <w:spacing w:after="160" w:before="0"/>
      </w:pPr>
      <w:r>
        <w:rPr>
          <w:rFonts w:ascii="Arial" w:hAnsi="Arial"/>
          <w:b w:val="0"/>
          <w:i w:val="0"/>
          <w:sz w:val="19"/>
        </w:rPr>
        <w:t>Anchor: AED 382.30 (3 Jul 2026 close) · ~2,180m shares · market cap ~AED 833bn (USD 227bn) · the Abu Dhabi flagship of the Royal Group / Sheikh Tahnoon bin Zayed ecosystem — ~1,300 subsidiaries across eight verticals (real estate &amp; construction, marine &amp; dredging, energy, hospitality, food &amp; agriculture, technology, financial services, services) · prices and probabilities computed 3 Jul 2026 from the attached daily history · primary lens: holding-company sum-of-the-parts (look-through NAV) · the premium of the market price to reconstructable NAV — not any single mark — is the swing factor.</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9605"/>
      </w:tblGrid>
      <w:tr>
        <w:tc>
          <w:tcPr>
            <w:tcW w:type="dxa" w:w="9605"/>
            <w:shd w:val="clear" w:fill="F3F1EA"/>
          </w:tcPr>
          <w:p>
            <w:r>
              <w:rPr>
                <w:rFonts w:ascii="Arial" w:hAnsi="Arial"/>
                <w:sz w:val="17"/>
              </w:rPr>
              <w:t>READ FIRST — what this document is, and is not.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audited results, 15 Feb 2026) and S&amp;P Global Market Intelligence; forward-looking inputs — the look-through marks on the listed stakes, the marks on the unlisted platforms (IRH, RIQ, the private tail), the multiples, the DCF and the Monte-Carlo factor probabilities — are the preparer's judgments and are flagged throughout. FY2023 and several balance-sheet line items are estimated to balance to disclosed totals, and are flagged. The preparer may hold, and may in the future take or dispose of, a position in the security discussed in this report. Consult a licensed financial advisor before any investment decision.</w:t>
            </w:r>
          </w:p>
        </w:tc>
      </w:tr>
    </w:tbl>
    <w:p>
      <w:pPr>
        <w:spacing w:after="40"/>
      </w:pPr>
    </w:p>
    <w:p>
      <w:pPr>
        <w:spacing w:before="200" w:after="80"/>
      </w:pPr>
      <w:r>
        <w:rPr>
          <w:rFonts w:ascii="Arial" w:hAnsi="Arial"/>
          <w:b/>
          <w:color w:val="1C3A36"/>
          <w:sz w:val="30"/>
        </w:rPr>
        <w:t>Headline</w:t>
      </w:r>
    </w:p>
    <w:p>
      <w:pPr>
        <w:spacing w:after="80" w:before="0"/>
      </w:pPr>
      <w:r>
        <w:rPr>
          <w:rFonts w:ascii="Arial" w:hAnsi="Arial"/>
          <w:b w:val="0"/>
          <w:i w:val="0"/>
          <w:sz w:val="20"/>
        </w:rPr>
        <w:t>The model's read: on every fundamental lens IHC is worth a fraction of its market price. At AED 382 the shares trade at roughly 2.7× our weighted central fundamental estimate of ~AED 105 — a premium of about 266%. This is the inverse of the discount that conglomerate holding companies almost universally trade at, and it is the whole story of the name. A look-through sum-of-the-parts — IHC's ~60% of Alpha Dhabi (which itself holds NMDC and Aldar), its look-through interest in the merging Multiply / 2PointZero / Ghitha entity, its other listed subsidiaries, plus book- and mark-based values for the unlisted platforms (IRH metals, RIQ reinsurance, and the long private tail) and holdco net cash — lands near AED 120 per share. A deliberately conservative operating DCF, which excludes portfolio revaluation and associate income (an investment holdco's value sits in the assets, not in operating cash), lands lower at ~AED 81. A peer-multiple read (~AED 102) and a mid-cycle normalized-earnings read (~AED 91) bracket the middle. Every lens sits far below AED 382. The premium is real and may persist — it reflects scarcity (a thin, low-turnover float), sponsor and sovereign-ecosystem backing, index and passive demand, and the market's willingness to capitalise IHC's demonstrated capital-compounding at a multiple no cash-flow model underwrites — but it is a premium a fundamental exercise cannot manufacture, and this study says so plainly.</w:t>
      </w:r>
    </w:p>
    <w:p>
      <w:pPr>
        <w:spacing w:after="120" w:before="0"/>
      </w:pPr>
      <w:r>
        <w:rPr>
          <w:rFonts w:ascii="Arial" w:hAnsi="Arial"/>
          <w:b w:val="0"/>
          <w:i w:val="0"/>
          <w:sz w:val="20"/>
        </w:rPr>
        <w:t>Technically the tape is the opposite of dramatic: the shares sit below every major moving average in a stepwise-descending stack (MA20 384.85, MA50 388.23, MA100 391.46, MA200 395.65), with RSI at 42.9 and MACD mildly negative — a soft, corrective drift inside an extraordinarily tight 52-week range of AED 380.0–404.0. Over three months the Monte Carlo places the 5th–95th percentile band at roughly AED 323–462, with the median a touch above spot on the net-positive factor overlay. By design those paths diffuse from today's price; the fundamental value gap is kept out of the drift.</w:t>
      </w:r>
    </w:p>
    <w:p>
      <w:pPr>
        <w:jc w:val="center"/>
      </w:pPr>
      <w:r>
        <w:drawing>
          <wp:inline xmlns:a="http://schemas.openxmlformats.org/drawingml/2006/main" xmlns:pic="http://schemas.openxmlformats.org/drawingml/2006/picture">
            <wp:extent cx="4937760" cy="2543695"/>
            <wp:docPr id="1" name="Picture 1"/>
            <wp:cNvGraphicFramePr>
              <a:graphicFrameLocks noChangeAspect="1"/>
            </wp:cNvGraphicFramePr>
            <a:graphic>
              <a:graphicData uri="http://schemas.openxmlformats.org/drawingml/2006/picture">
                <pic:pic>
                  <pic:nvPicPr>
                    <pic:cNvPr id="0" name="value_vs_price.png"/>
                    <pic:cNvPicPr/>
                  </pic:nvPicPr>
                  <pic:blipFill>
                    <a:blip r:embed="rId9"/>
                    <a:stretch>
                      <a:fillRect/>
                    </a:stretch>
                  </pic:blipFill>
                  <pic:spPr>
                    <a:xfrm>
                      <a:off x="0" y="0"/>
                      <a:ext cx="4937760" cy="2543695"/>
                    </a:xfrm>
                    <a:prstGeom prst="rect"/>
                  </pic:spPr>
                </pic:pic>
              </a:graphicData>
            </a:graphic>
          </wp:inline>
        </w:drawing>
      </w:r>
    </w:p>
    <w:p>
      <w:pPr>
        <w:spacing w:after="120" w:before="0"/>
        <w:jc w:val="center"/>
      </w:pPr>
      <w:r>
        <w:rPr>
          <w:rFonts w:ascii="Arial" w:hAnsi="Arial"/>
          <w:b w:val="0"/>
          <w:i/>
          <w:color w:val="555555"/>
          <w:sz w:val="17"/>
        </w:rPr>
        <w:t>Figure 1. Every fundamental lens sits far below the market price; the gap is the premium.</w:t>
      </w:r>
    </w:p>
    <w:p>
      <w:pPr>
        <w:spacing w:before="200" w:after="80"/>
      </w:pPr>
      <w:r>
        <w:rPr>
          <w:rFonts w:ascii="Arial" w:hAnsi="Arial"/>
          <w:b/>
          <w:color w:val="1C3A36"/>
          <w:sz w:val="30"/>
        </w:rPr>
        <w:t>Valuation summary — every read at a glance</w:t>
      </w:r>
    </w:p>
    <w:p>
      <w:pPr>
        <w:spacing w:after="80" w:before="0"/>
      </w:pPr>
      <w:r>
        <w:rPr>
          <w:rFonts w:ascii="Arial" w:hAnsi="Arial"/>
          <w:b w:val="0"/>
          <w:i w:val="0"/>
          <w:sz w:val="20"/>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2401"/>
        <w:gridCol w:w="2401"/>
        <w:gridCol w:w="2401"/>
        <w:gridCol w:w="2401"/>
      </w:tblGrid>
      <w:tr>
        <w:tc>
          <w:tcPr>
            <w:tcW w:type="dxa" w:w="2736"/>
            <w:shd w:val="clear" w:fill="1C3A36"/>
          </w:tcPr>
          <w:p>
            <w:pPr>
              <w:spacing w:after="20" w:before="20"/>
            </w:pPr>
            <w:r>
              <w:rPr>
                <w:rFonts w:ascii="Arial" w:hAnsi="Arial"/>
                <w:b/>
                <w:color w:val="FFFFFF"/>
                <w:sz w:val="17"/>
              </w:rPr>
              <w:t>Lens / read</w:t>
            </w:r>
          </w:p>
        </w:tc>
        <w:tc>
          <w:tcPr>
            <w:tcW w:type="dxa" w:w="3456"/>
            <w:shd w:val="clear" w:fill="1C3A36"/>
          </w:tcPr>
          <w:p>
            <w:pPr>
              <w:spacing w:after="20" w:before="20"/>
            </w:pPr>
            <w:r>
              <w:rPr>
                <w:rFonts w:ascii="Arial" w:hAnsi="Arial"/>
                <w:b/>
                <w:color w:val="FFFFFF"/>
                <w:sz w:val="17"/>
              </w:rPr>
              <w:t>What it measures</w:t>
            </w:r>
          </w:p>
        </w:tc>
        <w:tc>
          <w:tcPr>
            <w:tcW w:type="dxa" w:w="2016"/>
            <w:shd w:val="clear" w:fill="1C3A36"/>
          </w:tcPr>
          <w:p>
            <w:pPr>
              <w:spacing w:after="20" w:before="20"/>
            </w:pPr>
            <w:r>
              <w:rPr>
                <w:rFonts w:ascii="Arial" w:hAnsi="Arial"/>
                <w:b/>
                <w:color w:val="FFFFFF"/>
                <w:sz w:val="17"/>
              </w:rPr>
              <w:t>Output</w:t>
            </w:r>
          </w:p>
        </w:tc>
        <w:tc>
          <w:tcPr>
            <w:tcW w:type="dxa" w:w="2304"/>
            <w:shd w:val="clear" w:fill="1C3A36"/>
          </w:tcPr>
          <w:p>
            <w:pPr>
              <w:spacing w:after="20" w:before="20"/>
            </w:pPr>
            <w:r>
              <w:rPr>
                <w:rFonts w:ascii="Arial" w:hAnsi="Arial"/>
                <w:b/>
                <w:color w:val="FFFFFF"/>
                <w:sz w:val="17"/>
              </w:rPr>
              <w:t>Takeaway</w:t>
            </w:r>
          </w:p>
        </w:tc>
      </w:tr>
      <w:tr>
        <w:tc>
          <w:tcPr>
            <w:tcW w:type="dxa" w:w="9604"/>
            <w:gridSpan w:val="4"/>
            <w:shd w:val="clear" w:fill="1C3A36"/>
          </w:tcPr>
          <w:p>
            <w:pPr>
              <w:spacing w:after="20" w:before="20"/>
            </w:pPr>
            <w:r>
              <w:rPr>
                <w:rFonts w:ascii="Arial" w:hAnsi="Arial"/>
                <w:b/>
                <w:color w:val="FFFFFF"/>
                <w:sz w:val="17"/>
              </w:rPr>
              <w:t>FUNDAMENTAL — what the business is worth (the anchor)</w:t>
            </w:r>
          </w:p>
        </w:tc>
      </w:tr>
      <w:tr>
        <w:tc>
          <w:tcPr>
            <w:tcW w:type="dxa" w:w="2736"/>
          </w:tcPr>
          <w:p>
            <w:pPr>
              <w:spacing w:after="20" w:before="20"/>
            </w:pPr>
            <w:r>
              <w:rPr>
                <w:rFonts w:ascii="Arial" w:hAnsi="Arial"/>
                <w:b w:val="0"/>
                <w:sz w:val="17"/>
              </w:rPr>
              <w:t>Sum-of-the-parts (primary)</w:t>
            </w:r>
          </w:p>
        </w:tc>
        <w:tc>
          <w:tcPr>
            <w:tcW w:type="dxa" w:w="3456"/>
          </w:tcPr>
          <w:p>
            <w:pPr>
              <w:spacing w:after="20" w:before="20"/>
              <w:jc w:val="right"/>
            </w:pPr>
            <w:r>
              <w:rPr>
                <w:rFonts w:ascii="Arial" w:hAnsi="Arial"/>
                <w:b w:val="0"/>
                <w:sz w:val="17"/>
              </w:rPr>
              <w:t>Look-through NAV, holdco net cash</w:t>
            </w:r>
          </w:p>
        </w:tc>
        <w:tc>
          <w:tcPr>
            <w:tcW w:type="dxa" w:w="2016"/>
          </w:tcPr>
          <w:p>
            <w:pPr>
              <w:spacing w:after="20" w:before="20"/>
              <w:jc w:val="right"/>
            </w:pPr>
            <w:r>
              <w:rPr>
                <w:rFonts w:ascii="Arial" w:hAnsi="Arial"/>
                <w:b w:val="0"/>
                <w:sz w:val="17"/>
              </w:rPr>
              <w:t>AED 120</w:t>
            </w:r>
          </w:p>
        </w:tc>
        <w:tc>
          <w:tcPr>
            <w:tcW w:type="dxa" w:w="2304"/>
          </w:tcPr>
          <w:p>
            <w:pPr>
              <w:spacing w:after="20" w:before="20"/>
              <w:jc w:val="right"/>
            </w:pPr>
            <w:r>
              <w:rPr>
                <w:rFonts w:ascii="Arial" w:hAnsi="Arial"/>
                <w:b w:val="0"/>
                <w:sz w:val="17"/>
              </w:rPr>
              <w:t>−69% vs spot</w:t>
            </w:r>
          </w:p>
        </w:tc>
      </w:tr>
      <w:tr>
        <w:tc>
          <w:tcPr>
            <w:tcW w:type="dxa" w:w="2736"/>
          </w:tcPr>
          <w:p>
            <w:pPr>
              <w:spacing w:after="20" w:before="20"/>
            </w:pPr>
            <w:r>
              <w:rPr>
                <w:rFonts w:ascii="Arial" w:hAnsi="Arial"/>
                <w:b w:val="0"/>
                <w:sz w:val="17"/>
              </w:rPr>
              <w:t>Consolidated DCF</w:t>
            </w:r>
          </w:p>
        </w:tc>
        <w:tc>
          <w:tcPr>
            <w:tcW w:type="dxa" w:w="3456"/>
          </w:tcPr>
          <w:p>
            <w:pPr>
              <w:spacing w:after="20" w:before="20"/>
              <w:jc w:val="right"/>
            </w:pPr>
            <w:r>
              <w:rPr>
                <w:rFonts w:ascii="Arial" w:hAnsi="Arial"/>
                <w:b w:val="0"/>
                <w:sz w:val="17"/>
              </w:rPr>
              <w:t>Operating FCFF, 5-yr + TV</w:t>
            </w:r>
          </w:p>
        </w:tc>
        <w:tc>
          <w:tcPr>
            <w:tcW w:type="dxa" w:w="2016"/>
          </w:tcPr>
          <w:p>
            <w:pPr>
              <w:spacing w:after="20" w:before="20"/>
              <w:jc w:val="right"/>
            </w:pPr>
            <w:r>
              <w:rPr>
                <w:rFonts w:ascii="Arial" w:hAnsi="Arial"/>
                <w:b w:val="0"/>
                <w:sz w:val="17"/>
              </w:rPr>
              <w:t>AED 81</w:t>
            </w:r>
          </w:p>
        </w:tc>
        <w:tc>
          <w:tcPr>
            <w:tcW w:type="dxa" w:w="2304"/>
          </w:tcPr>
          <w:p>
            <w:pPr>
              <w:spacing w:after="20" w:before="20"/>
              <w:jc w:val="right"/>
            </w:pPr>
            <w:r>
              <w:rPr>
                <w:rFonts w:ascii="Arial" w:hAnsi="Arial"/>
                <w:b w:val="0"/>
                <w:sz w:val="17"/>
              </w:rPr>
              <w:t>−79% · the floor</w:t>
            </w:r>
          </w:p>
        </w:tc>
      </w:tr>
      <w:tr>
        <w:tc>
          <w:tcPr>
            <w:tcW w:type="dxa" w:w="2736"/>
          </w:tcPr>
          <w:p>
            <w:pPr>
              <w:spacing w:after="20" w:before="20"/>
            </w:pPr>
            <w:r>
              <w:rPr>
                <w:rFonts w:ascii="Arial" w:hAnsi="Arial"/>
                <w:b w:val="0"/>
                <w:sz w:val="17"/>
              </w:rPr>
              <w:t>Relative multiples</w:t>
            </w:r>
          </w:p>
        </w:tc>
        <w:tc>
          <w:tcPr>
            <w:tcW w:type="dxa" w:w="3456"/>
          </w:tcPr>
          <w:p>
            <w:pPr>
              <w:spacing w:after="20" w:before="20"/>
              <w:jc w:val="right"/>
            </w:pPr>
            <w:r>
              <w:rPr>
                <w:rFonts w:ascii="Arial" w:hAnsi="Arial"/>
                <w:b w:val="0"/>
                <w:sz w:val="17"/>
              </w:rPr>
              <w:t>Peer P/E &amp; P/B on attributable</w:t>
            </w:r>
          </w:p>
        </w:tc>
        <w:tc>
          <w:tcPr>
            <w:tcW w:type="dxa" w:w="2016"/>
          </w:tcPr>
          <w:p>
            <w:pPr>
              <w:spacing w:after="20" w:before="20"/>
              <w:jc w:val="right"/>
            </w:pPr>
            <w:r>
              <w:rPr>
                <w:rFonts w:ascii="Arial" w:hAnsi="Arial"/>
                <w:b w:val="0"/>
                <w:sz w:val="17"/>
              </w:rPr>
              <w:t>AED 102</w:t>
            </w:r>
          </w:p>
        </w:tc>
        <w:tc>
          <w:tcPr>
            <w:tcW w:type="dxa" w:w="2304"/>
          </w:tcPr>
          <w:p>
            <w:pPr>
              <w:spacing w:after="20" w:before="20"/>
              <w:jc w:val="right"/>
            </w:pPr>
            <w:r>
              <w:rPr>
                <w:rFonts w:ascii="Arial" w:hAnsi="Arial"/>
                <w:b w:val="0"/>
                <w:sz w:val="17"/>
              </w:rPr>
              <w:t>−73%</w:t>
            </w:r>
          </w:p>
        </w:tc>
      </w:tr>
      <w:tr>
        <w:tc>
          <w:tcPr>
            <w:tcW w:type="dxa" w:w="2736"/>
          </w:tcPr>
          <w:p>
            <w:pPr>
              <w:spacing w:after="20" w:before="20"/>
            </w:pPr>
            <w:r>
              <w:rPr>
                <w:rFonts w:ascii="Arial" w:hAnsi="Arial"/>
                <w:b w:val="0"/>
                <w:sz w:val="17"/>
              </w:rPr>
              <w:t>Normalized earnings</w:t>
            </w:r>
          </w:p>
        </w:tc>
        <w:tc>
          <w:tcPr>
            <w:tcW w:type="dxa" w:w="3456"/>
          </w:tcPr>
          <w:p>
            <w:pPr>
              <w:spacing w:after="20" w:before="20"/>
              <w:jc w:val="right"/>
            </w:pPr>
            <w:r>
              <w:rPr>
                <w:rFonts w:ascii="Arial" w:hAnsi="Arial"/>
                <w:b w:val="0"/>
                <w:sz w:val="17"/>
              </w:rPr>
              <w:t>Mid-cycle, ex-revaluation × P/E</w:t>
            </w:r>
          </w:p>
        </w:tc>
        <w:tc>
          <w:tcPr>
            <w:tcW w:type="dxa" w:w="2016"/>
          </w:tcPr>
          <w:p>
            <w:pPr>
              <w:spacing w:after="20" w:before="20"/>
              <w:jc w:val="right"/>
            </w:pPr>
            <w:r>
              <w:rPr>
                <w:rFonts w:ascii="Arial" w:hAnsi="Arial"/>
                <w:b w:val="0"/>
                <w:sz w:val="17"/>
              </w:rPr>
              <w:t>AED 91</w:t>
            </w:r>
          </w:p>
        </w:tc>
        <w:tc>
          <w:tcPr>
            <w:tcW w:type="dxa" w:w="2304"/>
          </w:tcPr>
          <w:p>
            <w:pPr>
              <w:spacing w:after="20" w:before="20"/>
              <w:jc w:val="right"/>
            </w:pPr>
            <w:r>
              <w:rPr>
                <w:rFonts w:ascii="Arial" w:hAnsi="Arial"/>
                <w:b w:val="0"/>
                <w:sz w:val="17"/>
              </w:rPr>
              <w:t>−76% · the ceiling proxy</w:t>
            </w:r>
          </w:p>
        </w:tc>
      </w:tr>
      <w:tr>
        <w:tc>
          <w:tcPr>
            <w:tcW w:type="dxa" w:w="2736"/>
          </w:tcPr>
          <w:p>
            <w:pPr>
              <w:spacing w:after="20" w:before="20"/>
            </w:pPr>
            <w:r>
              <w:rPr>
                <w:rFonts w:ascii="Arial" w:hAnsi="Arial"/>
                <w:b w:val="0"/>
                <w:sz w:val="17"/>
              </w:rPr>
              <w:t>Weighted central</w:t>
            </w:r>
          </w:p>
        </w:tc>
        <w:tc>
          <w:tcPr>
            <w:tcW w:type="dxa" w:w="3456"/>
          </w:tcPr>
          <w:p>
            <w:pPr>
              <w:spacing w:after="20" w:before="20"/>
              <w:jc w:val="right"/>
            </w:pPr>
            <w:r>
              <w:rPr>
                <w:rFonts w:ascii="Arial" w:hAnsi="Arial"/>
                <w:b w:val="0"/>
                <w:sz w:val="17"/>
              </w:rPr>
              <w:t>Blend 45 / 15 / 20 / 20</w:t>
            </w:r>
          </w:p>
        </w:tc>
        <w:tc>
          <w:tcPr>
            <w:tcW w:type="dxa" w:w="2016"/>
          </w:tcPr>
          <w:p>
            <w:pPr>
              <w:spacing w:after="20" w:before="20"/>
              <w:jc w:val="right"/>
            </w:pPr>
            <w:r>
              <w:rPr>
                <w:rFonts w:ascii="Arial" w:hAnsi="Arial"/>
                <w:b w:val="0"/>
                <w:sz w:val="17"/>
              </w:rPr>
              <w:t>AED 105</w:t>
            </w:r>
          </w:p>
        </w:tc>
        <w:tc>
          <w:tcPr>
            <w:tcW w:type="dxa" w:w="2304"/>
          </w:tcPr>
          <w:p>
            <w:pPr>
              <w:spacing w:after="20" w:before="20"/>
              <w:jc w:val="right"/>
            </w:pPr>
            <w:r>
              <w:rPr>
                <w:rFonts w:ascii="Arial" w:hAnsi="Arial"/>
                <w:b w:val="0"/>
                <w:sz w:val="17"/>
              </w:rPr>
              <w:t>−73% vs AED 382</w:t>
            </w:r>
          </w:p>
        </w:tc>
      </w:tr>
      <w:tr>
        <w:tc>
          <w:tcPr>
            <w:tcW w:type="dxa" w:w="9604"/>
            <w:gridSpan w:val="4"/>
            <w:shd w:val="clear" w:fill="1C3A36"/>
          </w:tcPr>
          <w:p>
            <w:pPr>
              <w:spacing w:after="20" w:before="20"/>
            </w:pPr>
            <w:r>
              <w:rPr>
                <w:rFonts w:ascii="Arial" w:hAnsi="Arial"/>
                <w:b/>
                <w:color w:val="FFFFFF"/>
                <w:sz w:val="17"/>
              </w:rPr>
              <w:t>TECHNICAL — what the tape is doing (timing, not value)</w:t>
            </w:r>
          </w:p>
        </w:tc>
      </w:tr>
      <w:tr>
        <w:tc>
          <w:tcPr>
            <w:tcW w:type="dxa" w:w="2736"/>
          </w:tcPr>
          <w:p>
            <w:pPr>
              <w:spacing w:after="20" w:before="20"/>
            </w:pPr>
            <w:r>
              <w:rPr>
                <w:rFonts w:ascii="Arial" w:hAnsi="Arial"/>
                <w:b w:val="0"/>
                <w:sz w:val="17"/>
              </w:rPr>
              <w:t>Trend &amp; momentum</w:t>
            </w:r>
          </w:p>
        </w:tc>
        <w:tc>
          <w:tcPr>
            <w:tcW w:type="dxa" w:w="3456"/>
          </w:tcPr>
          <w:p>
            <w:pPr>
              <w:spacing w:after="20" w:before="20"/>
              <w:jc w:val="right"/>
            </w:pPr>
            <w:r>
              <w:rPr>
                <w:rFonts w:ascii="Arial" w:hAnsi="Arial"/>
                <w:b w:val="0"/>
                <w:sz w:val="17"/>
              </w:rPr>
              <w:t>Price vs 20/50/100/200-day</w:t>
            </w:r>
          </w:p>
        </w:tc>
        <w:tc>
          <w:tcPr>
            <w:tcW w:type="dxa" w:w="2016"/>
          </w:tcPr>
          <w:p>
            <w:pPr>
              <w:spacing w:after="20" w:before="20"/>
              <w:jc w:val="right"/>
            </w:pPr>
            <w:r>
              <w:rPr>
                <w:rFonts w:ascii="Arial" w:hAnsi="Arial"/>
                <w:b w:val="0"/>
                <w:sz w:val="17"/>
              </w:rPr>
              <w:t>Below all four</w:t>
            </w:r>
          </w:p>
        </w:tc>
        <w:tc>
          <w:tcPr>
            <w:tcW w:type="dxa" w:w="2304"/>
          </w:tcPr>
          <w:p>
            <w:pPr>
              <w:spacing w:after="20" w:before="20"/>
              <w:jc w:val="right"/>
            </w:pPr>
            <w:r>
              <w:rPr>
                <w:rFonts w:ascii="Arial" w:hAnsi="Arial"/>
                <w:b w:val="0"/>
                <w:sz w:val="17"/>
              </w:rPr>
              <w:t>Weak, corrective</w:t>
            </w:r>
          </w:p>
        </w:tc>
      </w:tr>
      <w:tr>
        <w:tc>
          <w:tcPr>
            <w:tcW w:type="dxa" w:w="2736"/>
          </w:tcPr>
          <w:p>
            <w:pPr>
              <w:spacing w:after="20" w:before="20"/>
            </w:pPr>
            <w:r>
              <w:rPr>
                <w:rFonts w:ascii="Arial" w:hAnsi="Arial"/>
                <w:b w:val="0"/>
                <w:sz w:val="17"/>
              </w:rPr>
              <w:t>Momentum / range</w:t>
            </w:r>
          </w:p>
        </w:tc>
        <w:tc>
          <w:tcPr>
            <w:tcW w:type="dxa" w:w="3456"/>
          </w:tcPr>
          <w:p>
            <w:pPr>
              <w:spacing w:after="20" w:before="20"/>
              <w:jc w:val="right"/>
            </w:pPr>
            <w:r>
              <w:rPr>
                <w:rFonts w:ascii="Arial" w:hAnsi="Arial"/>
                <w:b w:val="0"/>
                <w:sz w:val="17"/>
              </w:rPr>
              <w:t>RSI · MACD · 52-wk range</w:t>
            </w:r>
          </w:p>
        </w:tc>
        <w:tc>
          <w:tcPr>
            <w:tcW w:type="dxa" w:w="2016"/>
          </w:tcPr>
          <w:p>
            <w:pPr>
              <w:spacing w:after="20" w:before="20"/>
              <w:jc w:val="right"/>
            </w:pPr>
            <w:r>
              <w:rPr>
                <w:rFonts w:ascii="Arial" w:hAnsi="Arial"/>
                <w:b w:val="0"/>
                <w:sz w:val="17"/>
              </w:rPr>
              <w:t>RSI 42.9 · MACD -1.945 · 380.0–404.0</w:t>
            </w:r>
          </w:p>
        </w:tc>
        <w:tc>
          <w:tcPr>
            <w:tcW w:type="dxa" w:w="2304"/>
          </w:tcPr>
          <w:p>
            <w:pPr>
              <w:spacing w:after="20" w:before="20"/>
              <w:jc w:val="right"/>
            </w:pPr>
            <w:r>
              <w:rPr>
                <w:rFonts w:ascii="Arial" w:hAnsi="Arial"/>
                <w:b w:val="0"/>
                <w:sz w:val="17"/>
              </w:rPr>
              <w:t>Soft, very tight</w:t>
            </w:r>
          </w:p>
        </w:tc>
      </w:tr>
      <w:tr>
        <w:tc>
          <w:tcPr>
            <w:tcW w:type="dxa" w:w="9604"/>
            <w:gridSpan w:val="4"/>
            <w:shd w:val="clear" w:fill="1C3A36"/>
          </w:tcPr>
          <w:p>
            <w:pPr>
              <w:spacing w:after="20" w:before="20"/>
            </w:pPr>
            <w:r>
              <w:rPr>
                <w:rFonts w:ascii="Arial" w:hAnsi="Arial"/>
                <w:b/>
                <w:color w:val="FFFFFF"/>
                <w:sz w:val="17"/>
              </w:rPr>
              <w:t>MONTE CARLO — where price could go in 3 months (paths from spot)</w:t>
            </w:r>
          </w:p>
        </w:tc>
      </w:tr>
      <w:tr>
        <w:tc>
          <w:tcPr>
            <w:tcW w:type="dxa" w:w="2736"/>
          </w:tcPr>
          <w:p>
            <w:pPr>
              <w:spacing w:after="20" w:before="20"/>
            </w:pPr>
            <w:r>
              <w:rPr>
                <w:rFonts w:ascii="Arial" w:hAnsi="Arial"/>
                <w:b w:val="0"/>
                <w:sz w:val="17"/>
              </w:rPr>
              <w:t>T+20 sessions</w:t>
            </w:r>
          </w:p>
        </w:tc>
        <w:tc>
          <w:tcPr>
            <w:tcW w:type="dxa" w:w="3456"/>
          </w:tcPr>
          <w:p>
            <w:pPr>
              <w:spacing w:after="20" w:before="20"/>
              <w:jc w:val="right"/>
            </w:pPr>
            <w:r>
              <w:rPr>
                <w:rFonts w:ascii="Arial" w:hAnsi="Arial"/>
                <w:b w:val="0"/>
                <w:sz w:val="17"/>
              </w:rPr>
              <w:t>50,000 paths · 16 factors</w:t>
            </w:r>
          </w:p>
        </w:tc>
        <w:tc>
          <w:tcPr>
            <w:tcW w:type="dxa" w:w="2016"/>
          </w:tcPr>
          <w:p>
            <w:pPr>
              <w:spacing w:after="20" w:before="20"/>
              <w:jc w:val="right"/>
            </w:pPr>
            <w:r>
              <w:rPr>
                <w:rFonts w:ascii="Arial" w:hAnsi="Arial"/>
                <w:b w:val="0"/>
                <w:sz w:val="17"/>
              </w:rPr>
              <w:t>p5 341 · p50 384 · p95 428</w:t>
            </w:r>
          </w:p>
        </w:tc>
        <w:tc>
          <w:tcPr>
            <w:tcW w:type="dxa" w:w="2304"/>
          </w:tcPr>
          <w:p>
            <w:pPr>
              <w:spacing w:after="20" w:before="20"/>
              <w:jc w:val="right"/>
            </w:pPr>
            <w:r>
              <w:rPr>
                <w:rFonts w:ascii="Arial" w:hAnsi="Arial"/>
                <w:b w:val="0"/>
                <w:sz w:val="17"/>
              </w:rPr>
              <w:t>Median ≈ spot</w:t>
            </w:r>
          </w:p>
        </w:tc>
      </w:tr>
      <w:tr>
        <w:tc>
          <w:tcPr>
            <w:tcW w:type="dxa" w:w="2736"/>
          </w:tcPr>
          <w:p>
            <w:pPr>
              <w:spacing w:after="20" w:before="20"/>
            </w:pPr>
            <w:r>
              <w:rPr>
                <w:rFonts w:ascii="Arial" w:hAnsi="Arial"/>
                <w:b w:val="0"/>
                <w:sz w:val="17"/>
              </w:rPr>
              <w:t>T+60 sessions</w:t>
            </w:r>
          </w:p>
        </w:tc>
        <w:tc>
          <w:tcPr>
            <w:tcW w:type="dxa" w:w="3456"/>
          </w:tcPr>
          <w:p>
            <w:pPr>
              <w:spacing w:after="20" w:before="20"/>
              <w:jc w:val="right"/>
            </w:pPr>
            <w:r>
              <w:rPr>
                <w:rFonts w:ascii="Arial" w:hAnsi="Arial"/>
                <w:b w:val="0"/>
                <w:sz w:val="17"/>
              </w:rPr>
              <w:t>same engine, longer horizon</w:t>
            </w:r>
          </w:p>
        </w:tc>
        <w:tc>
          <w:tcPr>
            <w:tcW w:type="dxa" w:w="2016"/>
          </w:tcPr>
          <w:p>
            <w:pPr>
              <w:spacing w:after="20" w:before="20"/>
              <w:jc w:val="right"/>
            </w:pPr>
            <w:r>
              <w:rPr>
                <w:rFonts w:ascii="Arial" w:hAnsi="Arial"/>
                <w:b w:val="0"/>
                <w:sz w:val="17"/>
              </w:rPr>
              <w:t>p5 323 · p50 391 · p95 462</w:t>
            </w:r>
          </w:p>
        </w:tc>
        <w:tc>
          <w:tcPr>
            <w:tcW w:type="dxa" w:w="2304"/>
          </w:tcPr>
          <w:p>
            <w:pPr>
              <w:spacing w:after="20" w:before="20"/>
              <w:jc w:val="right"/>
            </w:pPr>
            <w:r>
              <w:rPr>
                <w:rFonts w:ascii="Arial" w:hAnsi="Arial"/>
                <w:b w:val="0"/>
                <w:sz w:val="17"/>
              </w:rPr>
              <w:t>Right-skewed</w:t>
            </w:r>
          </w:p>
        </w:tc>
      </w:tr>
      <w:tr>
        <w:tc>
          <w:tcPr>
            <w:tcW w:type="dxa" w:w="9604"/>
            <w:gridSpan w:val="4"/>
            <w:shd w:val="clear" w:fill="1C3A36"/>
          </w:tcPr>
          <w:p>
            <w:pPr>
              <w:spacing w:after="20" w:before="20"/>
            </w:pPr>
            <w:r>
              <w:rPr>
                <w:rFonts w:ascii="Arial" w:hAnsi="Arial"/>
                <w:b/>
                <w:color w:val="FFFFFF"/>
                <w:sz w:val="17"/>
              </w:rPr>
              <w:t>EXPERT PANEL — three independent methods (Appendix D)</w:t>
            </w:r>
          </w:p>
        </w:tc>
      </w:tr>
      <w:tr>
        <w:tc>
          <w:tcPr>
            <w:tcW w:type="dxa" w:w="2736"/>
          </w:tcPr>
          <w:p>
            <w:pPr>
              <w:spacing w:after="20" w:before="20"/>
            </w:pPr>
            <w:r>
              <w:rPr>
                <w:rFonts w:ascii="Arial" w:hAnsi="Arial"/>
                <w:b w:val="0"/>
                <w:sz w:val="17"/>
              </w:rPr>
              <w:t>Expert 1 — NAV &amp; the discount</w:t>
            </w:r>
          </w:p>
        </w:tc>
        <w:tc>
          <w:tcPr>
            <w:tcW w:type="dxa" w:w="3456"/>
          </w:tcPr>
          <w:p>
            <w:pPr>
              <w:spacing w:after="20" w:before="20"/>
              <w:jc w:val="right"/>
            </w:pPr>
            <w:r>
              <w:rPr>
                <w:rFonts w:ascii="Arial" w:hAnsi="Arial"/>
                <w:b w:val="0"/>
                <w:sz w:val="17"/>
              </w:rPr>
              <w:t>Look-through NAV, premium test</w:t>
            </w:r>
          </w:p>
        </w:tc>
        <w:tc>
          <w:tcPr>
            <w:tcW w:type="dxa" w:w="2016"/>
          </w:tcPr>
          <w:p>
            <w:pPr>
              <w:spacing w:after="20" w:before="20"/>
              <w:jc w:val="right"/>
            </w:pPr>
            <w:r>
              <w:rPr>
                <w:rFonts w:ascii="Arial" w:hAnsi="Arial"/>
                <w:b w:val="0"/>
                <w:sz w:val="17"/>
              </w:rPr>
              <w:t>AED 120</w:t>
            </w:r>
          </w:p>
        </w:tc>
        <w:tc>
          <w:tcPr>
            <w:tcW w:type="dxa" w:w="2304"/>
          </w:tcPr>
          <w:p>
            <w:pPr>
              <w:spacing w:after="20" w:before="20"/>
              <w:jc w:val="right"/>
            </w:pPr>
            <w:r>
              <w:rPr>
                <w:rFonts w:ascii="Arial" w:hAnsi="Arial"/>
                <w:b w:val="0"/>
                <w:sz w:val="17"/>
              </w:rPr>
              <w:t>The anchor</w:t>
            </w:r>
          </w:p>
        </w:tc>
      </w:tr>
      <w:tr>
        <w:tc>
          <w:tcPr>
            <w:tcW w:type="dxa" w:w="2736"/>
          </w:tcPr>
          <w:p>
            <w:pPr>
              <w:spacing w:after="20" w:before="20"/>
            </w:pPr>
            <w:r>
              <w:rPr>
                <w:rFonts w:ascii="Arial" w:hAnsi="Arial"/>
                <w:b w:val="0"/>
                <w:sz w:val="17"/>
              </w:rPr>
              <w:t>Expert 2 — the accountant</w:t>
            </w:r>
          </w:p>
        </w:tc>
        <w:tc>
          <w:tcPr>
            <w:tcW w:type="dxa" w:w="3456"/>
          </w:tcPr>
          <w:p>
            <w:pPr>
              <w:spacing w:after="20" w:before="20"/>
              <w:jc w:val="right"/>
            </w:pPr>
            <w:r>
              <w:rPr>
                <w:rFonts w:ascii="Arial" w:hAnsi="Arial"/>
                <w:b w:val="0"/>
                <w:sz w:val="17"/>
              </w:rPr>
              <w:t>Quality of earnings, ex-gains</w:t>
            </w:r>
          </w:p>
        </w:tc>
        <w:tc>
          <w:tcPr>
            <w:tcW w:type="dxa" w:w="2016"/>
          </w:tcPr>
          <w:p>
            <w:pPr>
              <w:spacing w:after="20" w:before="20"/>
              <w:jc w:val="right"/>
            </w:pPr>
            <w:r>
              <w:rPr>
                <w:rFonts w:ascii="Arial" w:hAnsi="Arial"/>
                <w:b w:val="0"/>
                <w:sz w:val="17"/>
              </w:rPr>
              <w:t>AED 96</w:t>
            </w:r>
          </w:p>
        </w:tc>
        <w:tc>
          <w:tcPr>
            <w:tcW w:type="dxa" w:w="2304"/>
          </w:tcPr>
          <w:p>
            <w:pPr>
              <w:spacing w:after="20" w:before="20"/>
              <w:jc w:val="right"/>
            </w:pPr>
            <w:r>
              <w:rPr>
                <w:rFonts w:ascii="Arial" w:hAnsi="Arial"/>
                <w:b w:val="0"/>
                <w:sz w:val="17"/>
              </w:rPr>
              <w:t>Most conservative</w:t>
            </w:r>
          </w:p>
        </w:tc>
      </w:tr>
      <w:tr>
        <w:tc>
          <w:tcPr>
            <w:tcW w:type="dxa" w:w="2736"/>
          </w:tcPr>
          <w:p>
            <w:pPr>
              <w:spacing w:after="20" w:before="20"/>
            </w:pPr>
            <w:r>
              <w:rPr>
                <w:rFonts w:ascii="Arial" w:hAnsi="Arial"/>
                <w:b w:val="0"/>
                <w:sz w:val="17"/>
              </w:rPr>
              <w:t>Expert 3 — macro &amp; the premium</w:t>
            </w:r>
          </w:p>
        </w:tc>
        <w:tc>
          <w:tcPr>
            <w:tcW w:type="dxa" w:w="3456"/>
          </w:tcPr>
          <w:p>
            <w:pPr>
              <w:spacing w:after="20" w:before="20"/>
              <w:jc w:val="right"/>
            </w:pPr>
            <w:r>
              <w:rPr>
                <w:rFonts w:ascii="Arial" w:hAnsi="Arial"/>
                <w:b w:val="0"/>
                <w:sz w:val="17"/>
              </w:rPr>
              <w:t>Scarcity / flow / sponsor premium</w:t>
            </w:r>
          </w:p>
        </w:tc>
        <w:tc>
          <w:tcPr>
            <w:tcW w:type="dxa" w:w="2016"/>
          </w:tcPr>
          <w:p>
            <w:pPr>
              <w:spacing w:after="20" w:before="20"/>
              <w:jc w:val="right"/>
            </w:pPr>
            <w:r>
              <w:rPr>
                <w:rFonts w:ascii="Arial" w:hAnsi="Arial"/>
                <w:b w:val="0"/>
                <w:sz w:val="17"/>
              </w:rPr>
              <w:t>AED 235</w:t>
            </w:r>
          </w:p>
        </w:tc>
        <w:tc>
          <w:tcPr>
            <w:tcW w:type="dxa" w:w="2304"/>
          </w:tcPr>
          <w:p>
            <w:pPr>
              <w:spacing w:after="20" w:before="20"/>
              <w:jc w:val="right"/>
            </w:pPr>
            <w:r>
              <w:rPr>
                <w:rFonts w:ascii="Arial" w:hAnsi="Arial"/>
                <w:b w:val="0"/>
                <w:sz w:val="17"/>
              </w:rPr>
              <w:t>Most bullish</w:t>
            </w:r>
          </w:p>
        </w:tc>
      </w:tr>
      <w:tr>
        <w:tc>
          <w:tcPr>
            <w:tcW w:type="dxa" w:w="2736"/>
          </w:tcPr>
          <w:p>
            <w:pPr>
              <w:spacing w:after="20" w:before="20"/>
            </w:pPr>
            <w:r>
              <w:rPr>
                <w:rFonts w:ascii="Arial" w:hAnsi="Arial"/>
                <w:b w:val="0"/>
                <w:sz w:val="17"/>
              </w:rPr>
              <w:t>Panel range</w:t>
            </w:r>
          </w:p>
        </w:tc>
        <w:tc>
          <w:tcPr>
            <w:tcW w:type="dxa" w:w="3456"/>
          </w:tcPr>
          <w:p>
            <w:pPr>
              <w:spacing w:after="20" w:before="20"/>
              <w:jc w:val="right"/>
            </w:pPr>
            <w:r>
              <w:rPr>
                <w:rFonts w:ascii="Arial" w:hAnsi="Arial"/>
                <w:b w:val="0"/>
                <w:sz w:val="17"/>
              </w:rPr>
              <w:t>Spread = the premium question</w:t>
            </w:r>
          </w:p>
        </w:tc>
        <w:tc>
          <w:tcPr>
            <w:tcW w:type="dxa" w:w="2016"/>
          </w:tcPr>
          <w:p>
            <w:pPr>
              <w:spacing w:after="20" w:before="20"/>
              <w:jc w:val="right"/>
            </w:pPr>
            <w:r>
              <w:rPr>
                <w:rFonts w:ascii="Arial" w:hAnsi="Arial"/>
                <w:b w:val="0"/>
                <w:sz w:val="17"/>
              </w:rPr>
              <w:t>AED 96–235</w:t>
            </w:r>
          </w:p>
        </w:tc>
        <w:tc>
          <w:tcPr>
            <w:tcW w:type="dxa" w:w="2304"/>
          </w:tcPr>
          <w:p>
            <w:pPr>
              <w:spacing w:after="20" w:before="20"/>
              <w:jc w:val="right"/>
            </w:pPr>
            <w:r>
              <w:rPr>
                <w:rFonts w:ascii="Arial" w:hAnsi="Arial"/>
                <w:b w:val="0"/>
                <w:sz w:val="17"/>
              </w:rPr>
              <w:t>All below spot 382</w:t>
            </w:r>
          </w:p>
        </w:tc>
      </w:tr>
    </w:tbl>
    <w:p>
      <w:pPr>
        <w:spacing w:after="120" w:before="0"/>
      </w:pPr>
      <w:r>
        <w:rPr>
          <w:rFonts w:ascii="Arial" w:hAnsi="Arial"/>
          <w:b w:val="0"/>
          <w:i w:val="0"/>
          <w:sz w:val="20"/>
        </w:rPr>
        <w:t>Bottom line. Every read points the same way — the market price embeds a large premium to fundamental value — and the reads disagree only on how large. The fundamental central sits near AED 105; the three experts span AED 96–235; and even the most premium-friendly expert lands below the AED 382 spot. The question the whole study turns on is not 'what is a part worth' but 'what premium to reconstructable NAV is warranted, and can it persist'.</w:t>
      </w:r>
    </w:p>
    <w:p>
      <w:pPr>
        <w:spacing w:before="240" w:after="80"/>
      </w:pPr>
      <w:r>
        <w:rPr>
          <w:rFonts w:ascii="Arial" w:hAnsi="Arial"/>
          <w:b/>
          <w:color w:val="1C3A36"/>
          <w:sz w:val="30"/>
        </w:rPr>
        <w:t>Company overview — IHC at a glance</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802"/>
        <w:gridCol w:w="4802"/>
      </w:tblGrid>
      <w:tr>
        <w:tc>
          <w:tcPr>
            <w:tcW w:type="dxa" w:w="3024"/>
            <w:shd w:val="clear" w:fill="1C3A36"/>
          </w:tcPr>
          <w:p>
            <w:pPr>
              <w:spacing w:after="20" w:before="20"/>
            </w:pPr>
            <w:r>
              <w:rPr>
                <w:rFonts w:ascii="Arial" w:hAnsi="Arial"/>
                <w:b/>
                <w:color w:val="FFFFFF"/>
                <w:sz w:val="18"/>
              </w:rPr>
              <w:t>Item</w:t>
            </w:r>
          </w:p>
        </w:tc>
        <w:tc>
          <w:tcPr>
            <w:tcW w:type="dxa" w:w="7200"/>
            <w:shd w:val="clear" w:fill="1C3A36"/>
          </w:tcPr>
          <w:p>
            <w:pPr>
              <w:spacing w:after="20" w:before="20"/>
            </w:pPr>
            <w:r>
              <w:rPr>
                <w:rFonts w:ascii="Arial" w:hAnsi="Arial"/>
                <w:b/>
                <w:color w:val="FFFFFF"/>
                <w:sz w:val="18"/>
              </w:rPr>
              <w:t>Value</w:t>
            </w:r>
          </w:p>
        </w:tc>
      </w:tr>
      <w:tr>
        <w:tc>
          <w:tcPr>
            <w:tcW w:type="dxa" w:w="3024"/>
          </w:tcPr>
          <w:p>
            <w:pPr>
              <w:spacing w:after="20" w:before="20"/>
            </w:pPr>
            <w:r>
              <w:rPr>
                <w:rFonts w:ascii="Arial" w:hAnsi="Arial"/>
                <w:sz w:val="18"/>
              </w:rPr>
              <w:t>Listed entity</w:t>
            </w:r>
          </w:p>
        </w:tc>
        <w:tc>
          <w:tcPr>
            <w:tcW w:type="dxa" w:w="7200"/>
          </w:tcPr>
          <w:p>
            <w:pPr>
              <w:spacing w:after="20" w:before="20"/>
              <w:jc w:val="right"/>
            </w:pPr>
            <w:r>
              <w:rPr>
                <w:rFonts w:ascii="Arial" w:hAnsi="Arial"/>
                <w:sz w:val="18"/>
              </w:rPr>
              <w:t>International Holding Company PJSC (ADX: IHC)</w:t>
            </w:r>
          </w:p>
        </w:tc>
      </w:tr>
      <w:tr>
        <w:tc>
          <w:tcPr>
            <w:tcW w:type="dxa" w:w="3024"/>
          </w:tcPr>
          <w:p>
            <w:pPr>
              <w:spacing w:after="20" w:before="20"/>
            </w:pPr>
            <w:r>
              <w:rPr>
                <w:rFonts w:ascii="Arial" w:hAnsi="Arial"/>
                <w:sz w:val="18"/>
              </w:rPr>
              <w:t>What it is</w:t>
            </w:r>
          </w:p>
        </w:tc>
        <w:tc>
          <w:tcPr>
            <w:tcW w:type="dxa" w:w="7200"/>
          </w:tcPr>
          <w:p>
            <w:pPr>
              <w:spacing w:after="20" w:before="20"/>
              <w:jc w:val="right"/>
            </w:pPr>
            <w:r>
              <w:rPr>
                <w:rFonts w:ascii="Arial" w:hAnsi="Arial"/>
                <w:sz w:val="18"/>
              </w:rPr>
              <w:t>Abu Dhabi investment holding company; ~1,300 subsidiaries across 8 verticals</w:t>
            </w:r>
          </w:p>
        </w:tc>
      </w:tr>
      <w:tr>
        <w:tc>
          <w:tcPr>
            <w:tcW w:type="dxa" w:w="3024"/>
          </w:tcPr>
          <w:p>
            <w:pPr>
              <w:spacing w:after="20" w:before="20"/>
            </w:pPr>
            <w:r>
              <w:rPr>
                <w:rFonts w:ascii="Arial" w:hAnsi="Arial"/>
                <w:sz w:val="18"/>
              </w:rPr>
              <w:t>Spot / date</w:t>
            </w:r>
          </w:p>
        </w:tc>
        <w:tc>
          <w:tcPr>
            <w:tcW w:type="dxa" w:w="7200"/>
          </w:tcPr>
          <w:p>
            <w:pPr>
              <w:spacing w:after="20" w:before="20"/>
              <w:jc w:val="right"/>
            </w:pPr>
            <w:r>
              <w:rPr>
                <w:rFonts w:ascii="Arial" w:hAnsi="Arial"/>
                <w:sz w:val="18"/>
              </w:rPr>
              <w:t>AED 382.30 · 3 Jul 2026 close</w:t>
            </w:r>
          </w:p>
        </w:tc>
      </w:tr>
      <w:tr>
        <w:tc>
          <w:tcPr>
            <w:tcW w:type="dxa" w:w="3024"/>
          </w:tcPr>
          <w:p>
            <w:pPr>
              <w:spacing w:after="20" w:before="20"/>
            </w:pPr>
            <w:r>
              <w:rPr>
                <w:rFonts w:ascii="Arial" w:hAnsi="Arial"/>
                <w:sz w:val="18"/>
              </w:rPr>
              <w:t>Shares · market cap</w:t>
            </w:r>
          </w:p>
        </w:tc>
        <w:tc>
          <w:tcPr>
            <w:tcW w:type="dxa" w:w="7200"/>
          </w:tcPr>
          <w:p>
            <w:pPr>
              <w:spacing w:after="20" w:before="20"/>
              <w:jc w:val="right"/>
            </w:pPr>
            <w:r>
              <w:rPr>
                <w:rFonts w:ascii="Arial" w:hAnsi="Arial"/>
                <w:sz w:val="18"/>
              </w:rPr>
              <w:t>~2,180 m · ~AED 833 bn (USD 227 bn)</w:t>
            </w:r>
          </w:p>
        </w:tc>
      </w:tr>
      <w:tr>
        <w:tc>
          <w:tcPr>
            <w:tcW w:type="dxa" w:w="3024"/>
          </w:tcPr>
          <w:p>
            <w:pPr>
              <w:spacing w:after="20" w:before="20"/>
            </w:pPr>
            <w:r>
              <w:rPr>
                <w:rFonts w:ascii="Arial" w:hAnsi="Arial"/>
                <w:sz w:val="18"/>
              </w:rPr>
              <w:t>Balance sheet (FY2025)</w:t>
            </w:r>
          </w:p>
        </w:tc>
        <w:tc>
          <w:tcPr>
            <w:tcW w:type="dxa" w:w="7200"/>
          </w:tcPr>
          <w:p>
            <w:pPr>
              <w:spacing w:after="20" w:before="20"/>
              <w:jc w:val="right"/>
            </w:pPr>
            <w:r>
              <w:rPr>
                <w:rFonts w:ascii="Arial" w:hAnsi="Arial"/>
                <w:sz w:val="18"/>
              </w:rPr>
              <w:t>Total assets AED 428.6 bn · total equity AED 250.7 bn · cash &amp; bank AED 74.9 bn</w:t>
            </w:r>
          </w:p>
        </w:tc>
      </w:tr>
      <w:tr>
        <w:tc>
          <w:tcPr>
            <w:tcW w:type="dxa" w:w="3024"/>
          </w:tcPr>
          <w:p>
            <w:pPr>
              <w:spacing w:after="20" w:before="20"/>
            </w:pPr>
            <w:r>
              <w:rPr>
                <w:rFonts w:ascii="Arial" w:hAnsi="Arial"/>
                <w:sz w:val="18"/>
              </w:rPr>
              <w:t>Attributable equity</w:t>
            </w:r>
          </w:p>
        </w:tc>
        <w:tc>
          <w:tcPr>
            <w:tcW w:type="dxa" w:w="7200"/>
          </w:tcPr>
          <w:p>
            <w:pPr>
              <w:spacing w:after="20" w:before="20"/>
              <w:jc w:val="right"/>
            </w:pPr>
            <w:r>
              <w:rPr>
                <w:rFonts w:ascii="Arial" w:hAnsi="Arial"/>
                <w:sz w:val="18"/>
              </w:rPr>
              <w:t>~AED 151.5 bn (BVPS ~AED 69.5) · minority interest ~AED 99 bn</w:t>
            </w:r>
          </w:p>
        </w:tc>
      </w:tr>
      <w:tr>
        <w:tc>
          <w:tcPr>
            <w:tcW w:type="dxa" w:w="3024"/>
          </w:tcPr>
          <w:p>
            <w:pPr>
              <w:spacing w:after="20" w:before="20"/>
            </w:pPr>
            <w:r>
              <w:rPr>
                <w:rFonts w:ascii="Arial" w:hAnsi="Arial"/>
                <w:sz w:val="18"/>
              </w:rPr>
              <w:t>Total borrowings</w:t>
            </w:r>
          </w:p>
        </w:tc>
        <w:tc>
          <w:tcPr>
            <w:tcW w:type="dxa" w:w="7200"/>
          </w:tcPr>
          <w:p>
            <w:pPr>
              <w:spacing w:after="20" w:before="20"/>
              <w:jc w:val="right"/>
            </w:pPr>
            <w:r>
              <w:rPr>
                <w:rFonts w:ascii="Arial" w:hAnsi="Arial"/>
                <w:sz w:val="18"/>
              </w:rPr>
              <w:t>~AED 100.5 bn; group broadly net-cash on marketable securities</w:t>
            </w:r>
          </w:p>
        </w:tc>
      </w:tr>
      <w:tr>
        <w:tc>
          <w:tcPr>
            <w:tcW w:type="dxa" w:w="3024"/>
          </w:tcPr>
          <w:p>
            <w:pPr>
              <w:spacing w:after="20" w:before="20"/>
            </w:pPr>
            <w:r>
              <w:rPr>
                <w:rFonts w:ascii="Arial" w:hAnsi="Arial"/>
                <w:sz w:val="18"/>
              </w:rPr>
              <w:t>FY2025 revenue / PAT</w:t>
            </w:r>
          </w:p>
        </w:tc>
        <w:tc>
          <w:tcPr>
            <w:tcW w:type="dxa" w:w="7200"/>
          </w:tcPr>
          <w:p>
            <w:pPr>
              <w:spacing w:after="20" w:before="20"/>
              <w:jc w:val="right"/>
            </w:pPr>
            <w:r>
              <w:rPr>
                <w:rFonts w:ascii="Arial" w:hAnsi="Arial"/>
                <w:sz w:val="18"/>
              </w:rPr>
              <w:t>AED 111.4 bn (+29.1% YoY) · AED 34.7 bn PAT (+35.1%) · EPS AED 9.93</w:t>
            </w:r>
          </w:p>
        </w:tc>
      </w:tr>
      <w:tr>
        <w:tc>
          <w:tcPr>
            <w:tcW w:type="dxa" w:w="3024"/>
          </w:tcPr>
          <w:p>
            <w:pPr>
              <w:spacing w:after="20" w:before="20"/>
            </w:pPr>
            <w:r>
              <w:rPr>
                <w:rFonts w:ascii="Arial" w:hAnsi="Arial"/>
                <w:sz w:val="18"/>
              </w:rPr>
              <w:t>Key listed subs</w:t>
            </w:r>
          </w:p>
        </w:tc>
        <w:tc>
          <w:tcPr>
            <w:tcW w:type="dxa" w:w="7200"/>
          </w:tcPr>
          <w:p>
            <w:pPr>
              <w:spacing w:after="20" w:before="20"/>
              <w:jc w:val="right"/>
            </w:pPr>
            <w:r>
              <w:rPr>
                <w:rFonts w:ascii="Arial" w:hAnsi="Arial"/>
                <w:sz w:val="18"/>
              </w:rPr>
              <w:t>Alpha Dhabi (~60%, holds NMDC ~77% &amp; Aldar); merging Multiply / 2PointZero / Ghitha (~AED 120 bn)</w:t>
            </w:r>
          </w:p>
        </w:tc>
      </w:tr>
      <w:tr>
        <w:tc>
          <w:tcPr>
            <w:tcW w:type="dxa" w:w="3024"/>
          </w:tcPr>
          <w:p>
            <w:pPr>
              <w:spacing w:after="20" w:before="20"/>
            </w:pPr>
            <w:r>
              <w:rPr>
                <w:rFonts w:ascii="Arial" w:hAnsi="Arial"/>
                <w:sz w:val="18"/>
              </w:rPr>
              <w:t>Dividend</w:t>
            </w:r>
          </w:p>
        </w:tc>
        <w:tc>
          <w:tcPr>
            <w:tcW w:type="dxa" w:w="7200"/>
          </w:tcPr>
          <w:p>
            <w:pPr>
              <w:spacing w:after="20" w:before="20"/>
              <w:jc w:val="right"/>
            </w:pPr>
            <w:r>
              <w:rPr>
                <w:rFonts w:ascii="Arial" w:hAnsi="Arial"/>
                <w:sz w:val="18"/>
              </w:rPr>
              <w:t>Near-zero payout; capital reinvested / recycled</w:t>
            </w:r>
          </w:p>
        </w:tc>
      </w:tr>
      <w:tr>
        <w:tc>
          <w:tcPr>
            <w:tcW w:type="dxa" w:w="3024"/>
          </w:tcPr>
          <w:p>
            <w:pPr>
              <w:spacing w:after="20" w:before="20"/>
            </w:pPr>
            <w:r>
              <w:rPr>
                <w:rFonts w:ascii="Arial" w:hAnsi="Arial"/>
                <w:sz w:val="18"/>
              </w:rPr>
              <w:t>Chairman / control</w:t>
            </w:r>
          </w:p>
        </w:tc>
        <w:tc>
          <w:tcPr>
            <w:tcW w:type="dxa" w:w="7200"/>
          </w:tcPr>
          <w:p>
            <w:pPr>
              <w:spacing w:after="20" w:before="20"/>
              <w:jc w:val="right"/>
            </w:pPr>
            <w:r>
              <w:rPr>
                <w:rFonts w:ascii="Arial" w:hAnsi="Arial"/>
                <w:sz w:val="18"/>
              </w:rPr>
              <w:t>Sheikh Tahnoon bin Zayed Al Nahyan (Royal Group ecosystem)</w:t>
            </w:r>
          </w:p>
        </w:tc>
      </w:tr>
      <w:tr>
        <w:tc>
          <w:tcPr>
            <w:tcW w:type="dxa" w:w="3024"/>
          </w:tcPr>
          <w:p>
            <w:pPr>
              <w:spacing w:after="20" w:before="20"/>
            </w:pPr>
            <w:r>
              <w:rPr>
                <w:rFonts w:ascii="Arial" w:hAnsi="Arial"/>
                <w:sz w:val="18"/>
              </w:rPr>
              <w:t>52-week range</w:t>
            </w:r>
          </w:p>
        </w:tc>
        <w:tc>
          <w:tcPr>
            <w:tcW w:type="dxa" w:w="7200"/>
          </w:tcPr>
          <w:p>
            <w:pPr>
              <w:spacing w:after="20" w:before="20"/>
              <w:jc w:val="right"/>
            </w:pPr>
            <w:r>
              <w:rPr>
                <w:rFonts w:ascii="Arial" w:hAnsi="Arial"/>
                <w:sz w:val="18"/>
              </w:rPr>
              <w:t>AED 380.0 – 404.0</w:t>
            </w:r>
          </w:p>
        </w:tc>
      </w:tr>
    </w:tbl>
    <w:p>
      <w:pPr>
        <w:spacing w:after="80" w:before="0"/>
      </w:pPr>
      <w:r>
        <w:rPr>
          <w:rFonts w:ascii="Arial" w:hAnsi="Arial"/>
          <w:b w:val="0"/>
          <w:i/>
          <w:color w:val="555555"/>
          <w:sz w:val="17"/>
        </w:rPr>
        <w:t>Source: IHC FY2025 audited results (15 Feb 2026), ADX disclosures, S&amp;P Global Market Intelligence. Values rounded; FY2023 and some line items estimated to disclosed totals (flagged in Appendix A).</w:t>
      </w:r>
    </w:p>
    <w:p>
      <w:pPr>
        <w:spacing w:before="240" w:after="80"/>
      </w:pPr>
      <w:r>
        <w:rPr>
          <w:rFonts w:ascii="Arial" w:hAnsi="Arial"/>
          <w:b/>
          <w:color w:val="1C3A36"/>
          <w:sz w:val="30"/>
        </w:rPr>
        <w:t>1  Fundamental valuation</w:t>
      </w:r>
    </w:p>
    <w:p>
      <w:pPr>
        <w:spacing w:after="80" w:before="0"/>
      </w:pPr>
      <w:r>
        <w:rPr>
          <w:rFonts w:ascii="Arial" w:hAnsi="Arial"/>
          <w:b w:val="0"/>
          <w:i w:val="0"/>
          <w:sz w:val="20"/>
        </w:rPr>
        <w:t>We value IHC as a holding company — the price of a claim on a portfolio of businesses and stakes, not the price of a single operating enterprise. The primary lens is therefore a look-through sum-of-the-parts (SOTP / holdco NAV): each leg is marked on the basis that fits it — listed stakes at their look-through market value, unlisted platforms at book or a defensible mark — holding-level net cash is a single explicit line, and there is no blanket conglomerate discount layered on top (the disciplined-holdco mechanics of the house methodology). A deliberately conservative operating DCF, a peer-multiple cross-check and a mid-cycle normalized-earnings read complete the set. The weights and the football field are in §1.5; the SOTP-per-share table is in §1.6; the crux — the premium the market pays over reconstructable NAV — is dissected in §1.7 and the sensitivity grids are in §1.9. A framing note carried throughout: IHC's reported profit is investment-led. In FY2025, associate income and fair-value gains were larger than operating EBITDA — group PAT of AED 34.7 bn sits above an operating EBITDA of ~AED 22.7 bn — so an operating cash-flow model structurally understates the name, and the asset sum, not the DCF, must anchor the valuation.</w:t>
      </w:r>
    </w:p>
    <w:p>
      <w:pPr>
        <w:spacing w:before="160" w:after="80"/>
      </w:pPr>
      <w:r>
        <w:rPr>
          <w:rFonts w:ascii="Arial" w:hAnsi="Arial"/>
          <w:b/>
          <w:color w:val="1C3A36"/>
          <w:sz w:val="23"/>
        </w:rPr>
        <w:t>1.1  Look-through sum-of-the-parts — the primary lens</w:t>
      </w:r>
    </w:p>
    <w:p>
      <w:pPr>
        <w:spacing w:after="80" w:before="0"/>
      </w:pPr>
      <w:r>
        <w:rPr>
          <w:rFonts w:ascii="Arial" w:hAnsi="Arial"/>
          <w:b w:val="0"/>
          <w:i w:val="0"/>
          <w:sz w:val="20"/>
        </w:rPr>
        <w:t>Each leg is marked on a spot basis. IHC's ~60% of Alpha Dhabi is taken at Alpha Dhabi's own ADX market cap (AED 69.5 bn) — because Alpha Dhabi itself consolidates NMDC (~77%) and holds Aldar, valuing IHC's Alpha Dhabi stake at Alpha Dhabi's market price captures that whole tree at market, with no double-count. The merging Multiply / 2PointZero / Ghitha entity (~AED 120 bn combined) is taken at IHC's estimated look-through interest. Other listed subsidiaries are a look-through block. The unlisted platforms — IRH (metals &amp; mining), RIQ (reinsurance) and the long private tail across industrial, food, technology, healthcare and education — are marked on book or a defensible estimate, and these marks are flagged as the house's own view, not company disclosure. From the summed gross asset value we add holding-level net cash. No arbitrary discount is applied — the SOTP result is the fundamental fair value, and the market's premium to it is examined separately in §1.7.</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202"/>
        <w:gridCol w:w="3202"/>
        <w:gridCol w:w="3202"/>
      </w:tblGrid>
      <w:tr>
        <w:tc>
          <w:tcPr>
            <w:tcW w:type="dxa" w:w="4608"/>
            <w:shd w:val="clear" w:fill="1C3A36"/>
          </w:tcPr>
          <w:p>
            <w:pPr>
              <w:spacing w:after="20" w:before="20"/>
            </w:pPr>
            <w:r>
              <w:rPr>
                <w:rFonts w:ascii="Arial" w:hAnsi="Arial"/>
                <w:b/>
                <w:color w:val="FFFFFF"/>
                <w:sz w:val="17"/>
              </w:rPr>
              <w:t>Part (base case)</w:t>
            </w:r>
          </w:p>
        </w:tc>
        <w:tc>
          <w:tcPr>
            <w:tcW w:type="dxa" w:w="3744"/>
            <w:shd w:val="clear" w:fill="1C3A36"/>
          </w:tcPr>
          <w:p>
            <w:pPr>
              <w:spacing w:after="20" w:before="20"/>
            </w:pPr>
            <w:r>
              <w:rPr>
                <w:rFonts w:ascii="Arial" w:hAnsi="Arial"/>
                <w:b/>
                <w:color w:val="FFFFFF"/>
                <w:sz w:val="17"/>
              </w:rPr>
              <w:t>Basis</w:t>
            </w:r>
          </w:p>
        </w:tc>
        <w:tc>
          <w:tcPr>
            <w:tcW w:type="dxa" w:w="2016"/>
            <w:shd w:val="clear" w:fill="1C3A36"/>
          </w:tcPr>
          <w:p>
            <w:pPr>
              <w:spacing w:after="20" w:before="20"/>
            </w:pPr>
            <w:r>
              <w:rPr>
                <w:rFonts w:ascii="Arial" w:hAnsi="Arial"/>
                <w:b/>
                <w:color w:val="FFFFFF"/>
                <w:sz w:val="17"/>
              </w:rPr>
              <w:t>Value (AED bn)</w:t>
            </w:r>
          </w:p>
        </w:tc>
      </w:tr>
      <w:tr>
        <w:tc>
          <w:tcPr>
            <w:tcW w:type="dxa" w:w="4608"/>
          </w:tcPr>
          <w:p>
            <w:pPr>
              <w:spacing w:after="20" w:before="20"/>
            </w:pPr>
            <w:r>
              <w:rPr>
                <w:rFonts w:ascii="Arial" w:hAnsi="Arial"/>
                <w:sz w:val="17"/>
              </w:rPr>
              <w:t>Alpha Dhabi Holding (~60%)</w:t>
            </w:r>
          </w:p>
        </w:tc>
        <w:tc>
          <w:tcPr>
            <w:tcW w:type="dxa" w:w="3744"/>
          </w:tcPr>
          <w:p>
            <w:pPr>
              <w:spacing w:after="20" w:before="20"/>
              <w:jc w:val="right"/>
            </w:pPr>
            <w:r>
              <w:rPr>
                <w:rFonts w:ascii="Arial" w:hAnsi="Arial"/>
                <w:sz w:val="17"/>
              </w:rPr>
              <w:t>ADX market cap × stake (holds NMDC, Aldar)</w:t>
            </w:r>
          </w:p>
        </w:tc>
        <w:tc>
          <w:tcPr>
            <w:tcW w:type="dxa" w:w="2016"/>
          </w:tcPr>
          <w:p>
            <w:pPr>
              <w:spacing w:after="20" w:before="20"/>
              <w:jc w:val="right"/>
            </w:pPr>
            <w:r>
              <w:rPr>
                <w:rFonts w:ascii="Arial" w:hAnsi="Arial"/>
                <w:sz w:val="17"/>
              </w:rPr>
              <w:t>41.7</w:t>
            </w:r>
          </w:p>
        </w:tc>
      </w:tr>
      <w:tr>
        <w:tc>
          <w:tcPr>
            <w:tcW w:type="dxa" w:w="4608"/>
          </w:tcPr>
          <w:p>
            <w:pPr>
              <w:spacing w:after="20" w:before="20"/>
            </w:pPr>
            <w:r>
              <w:rPr>
                <w:rFonts w:ascii="Arial" w:hAnsi="Arial"/>
                <w:sz w:val="17"/>
              </w:rPr>
              <w:t>Merged Multiply / 2PointZero / Ghitha</w:t>
            </w:r>
          </w:p>
        </w:tc>
        <w:tc>
          <w:tcPr>
            <w:tcW w:type="dxa" w:w="3744"/>
          </w:tcPr>
          <w:p>
            <w:pPr>
              <w:spacing w:after="20" w:before="20"/>
              <w:jc w:val="right"/>
            </w:pPr>
            <w:r>
              <w:rPr>
                <w:rFonts w:ascii="Arial" w:hAnsi="Arial"/>
                <w:sz w:val="17"/>
              </w:rPr>
              <w:t>Entity value ~AED 120 bn × look-through</w:t>
            </w:r>
          </w:p>
        </w:tc>
        <w:tc>
          <w:tcPr>
            <w:tcW w:type="dxa" w:w="2016"/>
          </w:tcPr>
          <w:p>
            <w:pPr>
              <w:spacing w:after="20" w:before="20"/>
              <w:jc w:val="right"/>
            </w:pPr>
            <w:r>
              <w:rPr>
                <w:rFonts w:ascii="Arial" w:hAnsi="Arial"/>
                <w:sz w:val="17"/>
              </w:rPr>
              <w:t>66.0</w:t>
            </w:r>
          </w:p>
        </w:tc>
      </w:tr>
      <w:tr>
        <w:tc>
          <w:tcPr>
            <w:tcW w:type="dxa" w:w="4608"/>
          </w:tcPr>
          <w:p>
            <w:pPr>
              <w:spacing w:after="20" w:before="20"/>
            </w:pPr>
            <w:r>
              <w:rPr>
                <w:rFonts w:ascii="Arial" w:hAnsi="Arial"/>
                <w:sz w:val="17"/>
              </w:rPr>
              <w:t>Other listed subsidiaries</w:t>
            </w:r>
          </w:p>
        </w:tc>
        <w:tc>
          <w:tcPr>
            <w:tcW w:type="dxa" w:w="3744"/>
          </w:tcPr>
          <w:p>
            <w:pPr>
              <w:spacing w:after="20" w:before="20"/>
              <w:jc w:val="right"/>
            </w:pPr>
            <w:r>
              <w:rPr>
                <w:rFonts w:ascii="Arial" w:hAnsi="Arial"/>
                <w:sz w:val="17"/>
              </w:rPr>
              <w:t>Look-through market</w:t>
            </w:r>
          </w:p>
        </w:tc>
        <w:tc>
          <w:tcPr>
            <w:tcW w:type="dxa" w:w="2016"/>
          </w:tcPr>
          <w:p>
            <w:pPr>
              <w:spacing w:after="20" w:before="20"/>
              <w:jc w:val="right"/>
            </w:pPr>
            <w:r>
              <w:rPr>
                <w:rFonts w:ascii="Arial" w:hAnsi="Arial"/>
                <w:sz w:val="17"/>
              </w:rPr>
              <w:t>25.0</w:t>
            </w:r>
          </w:p>
        </w:tc>
      </w:tr>
      <w:tr>
        <w:tc>
          <w:tcPr>
            <w:tcW w:type="dxa" w:w="4608"/>
          </w:tcPr>
          <w:p>
            <w:pPr>
              <w:spacing w:after="20" w:before="20"/>
            </w:pPr>
            <w:r>
              <w:rPr>
                <w:rFonts w:ascii="Arial" w:hAnsi="Arial"/>
                <w:sz w:val="17"/>
              </w:rPr>
              <w:t>IRH — metals &amp; mining</w:t>
            </w:r>
          </w:p>
        </w:tc>
        <w:tc>
          <w:tcPr>
            <w:tcW w:type="dxa" w:w="3744"/>
          </w:tcPr>
          <w:p>
            <w:pPr>
              <w:spacing w:after="20" w:before="20"/>
              <w:jc w:val="right"/>
            </w:pPr>
            <w:r>
              <w:rPr>
                <w:rFonts w:ascii="Arial" w:hAnsi="Arial"/>
                <w:sz w:val="17"/>
              </w:rPr>
              <w:t>Book / mark (unlisted, flagged)</w:t>
            </w:r>
          </w:p>
        </w:tc>
        <w:tc>
          <w:tcPr>
            <w:tcW w:type="dxa" w:w="2016"/>
          </w:tcPr>
          <w:p>
            <w:pPr>
              <w:spacing w:after="20" w:before="20"/>
              <w:jc w:val="right"/>
            </w:pPr>
            <w:r>
              <w:rPr>
                <w:rFonts w:ascii="Arial" w:hAnsi="Arial"/>
                <w:sz w:val="17"/>
              </w:rPr>
              <w:t>40.0</w:t>
            </w:r>
          </w:p>
        </w:tc>
      </w:tr>
      <w:tr>
        <w:tc>
          <w:tcPr>
            <w:tcW w:type="dxa" w:w="4608"/>
          </w:tcPr>
          <w:p>
            <w:pPr>
              <w:spacing w:after="20" w:before="20"/>
            </w:pPr>
            <w:r>
              <w:rPr>
                <w:rFonts w:ascii="Arial" w:hAnsi="Arial"/>
                <w:sz w:val="17"/>
              </w:rPr>
              <w:t>RIQ — reinsurance</w:t>
            </w:r>
          </w:p>
        </w:tc>
        <w:tc>
          <w:tcPr>
            <w:tcW w:type="dxa" w:w="3744"/>
          </w:tcPr>
          <w:p>
            <w:pPr>
              <w:spacing w:after="20" w:before="20"/>
              <w:jc w:val="right"/>
            </w:pPr>
            <w:r>
              <w:rPr>
                <w:rFonts w:ascii="Arial" w:hAnsi="Arial"/>
                <w:sz w:val="17"/>
              </w:rPr>
              <w:t>Book / mark (unlisted, flagged)</w:t>
            </w:r>
          </w:p>
        </w:tc>
        <w:tc>
          <w:tcPr>
            <w:tcW w:type="dxa" w:w="2016"/>
          </w:tcPr>
          <w:p>
            <w:pPr>
              <w:spacing w:after="20" w:before="20"/>
              <w:jc w:val="right"/>
            </w:pPr>
            <w:r>
              <w:rPr>
                <w:rFonts w:ascii="Arial" w:hAnsi="Arial"/>
                <w:sz w:val="17"/>
              </w:rPr>
              <w:t>8.0</w:t>
            </w:r>
          </w:p>
        </w:tc>
      </w:tr>
      <w:tr>
        <w:tc>
          <w:tcPr>
            <w:tcW w:type="dxa" w:w="4608"/>
          </w:tcPr>
          <w:p>
            <w:pPr>
              <w:spacing w:after="20" w:before="20"/>
            </w:pPr>
            <w:r>
              <w:rPr>
                <w:rFonts w:ascii="Arial" w:hAnsi="Arial"/>
                <w:sz w:val="17"/>
              </w:rPr>
              <w:t>Private industrial / food / tech + tail</w:t>
            </w:r>
          </w:p>
        </w:tc>
        <w:tc>
          <w:tcPr>
            <w:tcW w:type="dxa" w:w="3744"/>
          </w:tcPr>
          <w:p>
            <w:pPr>
              <w:spacing w:after="20" w:before="20"/>
              <w:jc w:val="right"/>
            </w:pPr>
            <w:r>
              <w:rPr>
                <w:rFonts w:ascii="Arial" w:hAnsi="Arial"/>
                <w:sz w:val="17"/>
              </w:rPr>
              <w:t>Book-based (~1,300 subs, flagged)</w:t>
            </w:r>
          </w:p>
        </w:tc>
        <w:tc>
          <w:tcPr>
            <w:tcW w:type="dxa" w:w="2016"/>
          </w:tcPr>
          <w:p>
            <w:pPr>
              <w:spacing w:after="20" w:before="20"/>
              <w:jc w:val="right"/>
            </w:pPr>
            <w:r>
              <w:rPr>
                <w:rFonts w:ascii="Arial" w:hAnsi="Arial"/>
                <w:sz w:val="17"/>
              </w:rPr>
              <w:t>60.0</w:t>
            </w:r>
          </w:p>
        </w:tc>
      </w:tr>
      <w:tr>
        <w:tc>
          <w:tcPr>
            <w:tcW w:type="dxa" w:w="4608"/>
          </w:tcPr>
          <w:p>
            <w:pPr>
              <w:spacing w:after="20" w:before="20"/>
            </w:pPr>
            <w:r>
              <w:rPr>
                <w:rFonts w:ascii="Arial" w:hAnsi="Arial"/>
                <w:sz w:val="17"/>
              </w:rPr>
              <w:t>Σ Gross asset value (GAV)</w:t>
            </w:r>
          </w:p>
        </w:tc>
        <w:tc>
          <w:tcPr>
            <w:tcW w:type="dxa" w:w="3744"/>
          </w:tcPr>
          <w:p>
            <w:pPr>
              <w:spacing w:after="20" w:before="20"/>
              <w:jc w:val="right"/>
            </w:pPr>
            <w:r>
              <w:rPr>
                <w:rFonts w:ascii="Arial" w:hAnsi="Arial"/>
                <w:sz w:val="17"/>
              </w:rPr>
            </w:r>
          </w:p>
        </w:tc>
        <w:tc>
          <w:tcPr>
            <w:tcW w:type="dxa" w:w="2016"/>
          </w:tcPr>
          <w:p>
            <w:pPr>
              <w:spacing w:after="20" w:before="20"/>
              <w:jc w:val="right"/>
            </w:pPr>
            <w:r>
              <w:rPr>
                <w:rFonts w:ascii="Arial" w:hAnsi="Arial"/>
                <w:sz w:val="17"/>
              </w:rPr>
              <w:t>240.7</w:t>
            </w:r>
          </w:p>
        </w:tc>
      </w:tr>
      <w:tr>
        <w:tc>
          <w:tcPr>
            <w:tcW w:type="dxa" w:w="4608"/>
          </w:tcPr>
          <w:p>
            <w:pPr>
              <w:spacing w:after="20" w:before="20"/>
            </w:pPr>
            <w:r>
              <w:rPr>
                <w:rFonts w:ascii="Arial" w:hAnsi="Arial"/>
                <w:sz w:val="17"/>
              </w:rPr>
              <w:t>plus: holding-level net cash</w:t>
            </w:r>
          </w:p>
        </w:tc>
        <w:tc>
          <w:tcPr>
            <w:tcW w:type="dxa" w:w="3744"/>
          </w:tcPr>
          <w:p>
            <w:pPr>
              <w:spacing w:after="20" w:before="20"/>
              <w:jc w:val="right"/>
            </w:pPr>
            <w:r>
              <w:rPr>
                <w:rFonts w:ascii="Arial" w:hAnsi="Arial"/>
                <w:sz w:val="17"/>
              </w:rPr>
              <w:t>single explicit line</w:t>
            </w:r>
          </w:p>
        </w:tc>
        <w:tc>
          <w:tcPr>
            <w:tcW w:type="dxa" w:w="2016"/>
          </w:tcPr>
          <w:p>
            <w:pPr>
              <w:spacing w:after="20" w:before="20"/>
              <w:jc w:val="right"/>
            </w:pPr>
            <w:r>
              <w:rPr>
                <w:rFonts w:ascii="Arial" w:hAnsi="Arial"/>
                <w:sz w:val="17"/>
              </w:rPr>
              <w:t>20.0</w:t>
            </w:r>
          </w:p>
        </w:tc>
      </w:tr>
      <w:tr>
        <w:tc>
          <w:tcPr>
            <w:tcW w:type="dxa" w:w="4608"/>
          </w:tcPr>
          <w:p>
            <w:pPr>
              <w:spacing w:after="20" w:before="20"/>
            </w:pPr>
            <w:r>
              <w:rPr>
                <w:rFonts w:ascii="Arial" w:hAnsi="Arial"/>
                <w:sz w:val="17"/>
              </w:rPr>
              <w:t>NAV (pre-premium)</w:t>
            </w:r>
          </w:p>
        </w:tc>
        <w:tc>
          <w:tcPr>
            <w:tcW w:type="dxa" w:w="3744"/>
          </w:tcPr>
          <w:p>
            <w:pPr>
              <w:spacing w:after="20" w:before="20"/>
              <w:jc w:val="right"/>
            </w:pPr>
            <w:r>
              <w:rPr>
                <w:rFonts w:ascii="Arial" w:hAnsi="Arial"/>
                <w:sz w:val="17"/>
              </w:rPr>
              <w:t>= AED 119.6 / share</w:t>
            </w:r>
          </w:p>
        </w:tc>
        <w:tc>
          <w:tcPr>
            <w:tcW w:type="dxa" w:w="2016"/>
          </w:tcPr>
          <w:p>
            <w:pPr>
              <w:spacing w:after="20" w:before="20"/>
              <w:jc w:val="right"/>
            </w:pPr>
            <w:r>
              <w:rPr>
                <w:rFonts w:ascii="Arial" w:hAnsi="Arial"/>
                <w:sz w:val="17"/>
              </w:rPr>
              <w:t>260.7</w:t>
            </w:r>
          </w:p>
        </w:tc>
      </w:tr>
      <w:tr>
        <w:tc>
          <w:tcPr>
            <w:tcW w:type="dxa" w:w="4608"/>
          </w:tcPr>
          <w:p>
            <w:pPr>
              <w:spacing w:after="20" w:before="20"/>
            </w:pPr>
            <w:r>
              <w:rPr>
                <w:rFonts w:ascii="Arial" w:hAnsi="Arial"/>
                <w:sz w:val="17"/>
              </w:rPr>
              <w:t>NAV premium / (discount) applied</w:t>
            </w:r>
          </w:p>
        </w:tc>
        <w:tc>
          <w:tcPr>
            <w:tcW w:type="dxa" w:w="3744"/>
          </w:tcPr>
          <w:p>
            <w:pPr>
              <w:spacing w:after="20" w:before="20"/>
              <w:jc w:val="right"/>
            </w:pPr>
            <w:r>
              <w:rPr>
                <w:rFonts w:ascii="Arial" w:hAnsi="Arial"/>
                <w:sz w:val="17"/>
              </w:rPr>
              <w:t>0% (base = NAV)</w:t>
            </w:r>
          </w:p>
        </w:tc>
        <w:tc>
          <w:tcPr>
            <w:tcW w:type="dxa" w:w="2016"/>
          </w:tcPr>
          <w:p>
            <w:pPr>
              <w:spacing w:after="20" w:before="20"/>
              <w:jc w:val="right"/>
            </w:pPr>
            <w:r>
              <w:rPr>
                <w:rFonts w:ascii="Arial" w:hAnsi="Arial"/>
                <w:sz w:val="17"/>
              </w:rPr>
              <w:t>0.0</w:t>
            </w:r>
          </w:p>
        </w:tc>
      </w:tr>
      <w:tr>
        <w:tc>
          <w:tcPr>
            <w:tcW w:type="dxa" w:w="4608"/>
          </w:tcPr>
          <w:p>
            <w:pPr>
              <w:spacing w:after="20" w:before="20"/>
            </w:pPr>
            <w:r>
              <w:rPr>
                <w:rFonts w:ascii="Arial" w:hAnsi="Arial"/>
                <w:sz w:val="17"/>
              </w:rPr>
              <w:t>SOTP fair value</w:t>
            </w:r>
          </w:p>
        </w:tc>
        <w:tc>
          <w:tcPr>
            <w:tcW w:type="dxa" w:w="3744"/>
          </w:tcPr>
          <w:p>
            <w:pPr>
              <w:spacing w:after="20" w:before="20"/>
              <w:jc w:val="right"/>
            </w:pPr>
            <w:r>
              <w:rPr>
                <w:rFonts w:ascii="Arial" w:hAnsi="Arial"/>
                <w:sz w:val="17"/>
              </w:rPr>
              <w:t>= AED 119.6 / share</w:t>
            </w:r>
          </w:p>
        </w:tc>
        <w:tc>
          <w:tcPr>
            <w:tcW w:type="dxa" w:w="2016"/>
          </w:tcPr>
          <w:p>
            <w:pPr>
              <w:spacing w:after="20" w:before="20"/>
              <w:jc w:val="right"/>
            </w:pPr>
            <w:r>
              <w:rPr>
                <w:rFonts w:ascii="Arial" w:hAnsi="Arial"/>
                <w:sz w:val="17"/>
              </w:rPr>
              <w:t>260.7</w:t>
            </w:r>
          </w:p>
        </w:tc>
      </w:tr>
    </w:tbl>
    <w:p>
      <w:pPr>
        <w:spacing w:after="80" w:before="0"/>
      </w:pPr>
      <w:r>
        <w:rPr>
          <w:rFonts w:ascii="Arial" w:hAnsi="Arial"/>
          <w:b w:val="0"/>
          <w:i w:val="0"/>
          <w:sz w:val="20"/>
        </w:rPr>
        <w:t>SOTP base ≈ AED 120/share, with a bear–bull span of roughly AED 95–175 driven mainly by the unlisted-platform marks and the applied premium (see §1.9). Set against the AED 382 spot, the market is paying ~3.2× the reconstructable look-through NAV — a premium of ~220% to NAV, the crux of the whole name.</w:t>
      </w:r>
    </w:p>
    <w:p>
      <w:pPr>
        <w:jc w:val="center"/>
      </w:pPr>
      <w:r>
        <w:drawing>
          <wp:inline xmlns:a="http://schemas.openxmlformats.org/drawingml/2006/main" xmlns:pic="http://schemas.openxmlformats.org/drawingml/2006/picture">
            <wp:extent cx="5120640" cy="2491122"/>
            <wp:docPr id="2" name="Picture 2"/>
            <wp:cNvGraphicFramePr>
              <a:graphicFrameLocks noChangeAspect="1"/>
            </wp:cNvGraphicFramePr>
            <a:graphic>
              <a:graphicData uri="http://schemas.openxmlformats.org/drawingml/2006/picture">
                <pic:pic>
                  <pic:nvPicPr>
                    <pic:cNvPr id="0" name="sotp_bar.png"/>
                    <pic:cNvPicPr/>
                  </pic:nvPicPr>
                  <pic:blipFill>
                    <a:blip r:embed="rId10"/>
                    <a:stretch>
                      <a:fillRect/>
                    </a:stretch>
                  </pic:blipFill>
                  <pic:spPr>
                    <a:xfrm>
                      <a:off x="0" y="0"/>
                      <a:ext cx="5120640" cy="2491122"/>
                    </a:xfrm>
                    <a:prstGeom prst="rect"/>
                  </pic:spPr>
                </pic:pic>
              </a:graphicData>
            </a:graphic>
          </wp:inline>
        </w:drawing>
      </w:r>
    </w:p>
    <w:p>
      <w:pPr>
        <w:spacing w:after="120" w:before="0"/>
        <w:jc w:val="center"/>
      </w:pPr>
      <w:r>
        <w:rPr>
          <w:rFonts w:ascii="Arial" w:hAnsi="Arial"/>
          <w:b w:val="0"/>
          <w:i/>
          <w:color w:val="555555"/>
          <w:sz w:val="17"/>
        </w:rPr>
        <w:t>Figure 2. NAV composition (AED bn, look-through). Teal = listed; brass = unlisted; gold = net cash.</w:t>
      </w:r>
    </w:p>
    <w:p>
      <w:pPr>
        <w:spacing w:before="160" w:after="80"/>
      </w:pPr>
      <w:r>
        <w:rPr>
          <w:rFonts w:ascii="Arial" w:hAnsi="Arial"/>
          <w:b/>
          <w:color w:val="1C3A36"/>
          <w:sz w:val="23"/>
        </w:rPr>
        <w:t>1.2  Consolidated DCF — the deliberately conservative cash-flow cross-check</w:t>
      </w:r>
    </w:p>
    <w:p>
      <w:pPr>
        <w:spacing w:after="80" w:before="0"/>
      </w:pPr>
      <w:r>
        <w:rPr>
          <w:rFonts w:ascii="Arial" w:hAnsi="Arial"/>
          <w:b w:val="0"/>
          <w:i w:val="0"/>
          <w:sz w:val="20"/>
        </w:rPr>
        <w:t>A consolidated free-cash-flow-to-firm model is the natural check on the asset sum, with one caveat stated up front: it is built on operating cash only and excludes the portfolio revaluation and associate income that dominate IHC's reported profit. It therefore lands below the SOTP by construction, and is best read as a floor on the operating businesses rather than a valuation of the whole holding company. We fade revenue growth from +12% to +7% over five years, hold the operating EBITDA margin near 20%, tax NOPAT at the UAE 9% rate, add back D&amp;A and deduct capex (~6% of revenue) and the change in working capital to reach free cash flow to the firm, and discount at a WACC built from an explicit cost of equity (Ke = rf + ERP). The full per-year build, the discounting of every year, the terminal value and the bridge to a per-share value are shown below in full — nothing is collapsed to a single output line.</w:t>
      </w:r>
    </w:p>
    <w:p>
      <w:pPr>
        <w:spacing w:after="40" w:before="0"/>
      </w:pPr>
      <w:r>
        <w:rPr>
          <w:rFonts w:ascii="Arial" w:hAnsi="Arial"/>
          <w:b/>
          <w:i w:val="0"/>
          <w:sz w:val="19"/>
        </w:rPr>
        <w:t>DCF free-cash-flow build (AED bn):</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601"/>
        <w:gridCol w:w="1601"/>
        <w:gridCol w:w="1601"/>
        <w:gridCol w:w="1601"/>
        <w:gridCol w:w="1601"/>
        <w:gridCol w:w="1601"/>
      </w:tblGrid>
      <w:tr>
        <w:tc>
          <w:tcPr>
            <w:tcW w:type="dxa" w:w="3312"/>
            <w:shd w:val="clear" w:fill="1C3A36"/>
          </w:tcPr>
          <w:p>
            <w:pPr>
              <w:spacing w:after="20" w:before="20"/>
            </w:pPr>
            <w:r>
              <w:rPr>
                <w:rFonts w:ascii="Arial" w:hAnsi="Arial"/>
                <w:b/>
                <w:color w:val="FFFFFF"/>
                <w:sz w:val="16"/>
              </w:rPr>
              <w:t>AED bn</w:t>
            </w:r>
          </w:p>
        </w:tc>
        <w:tc>
          <w:tcPr>
            <w:tcW w:type="dxa" w:w="1253"/>
            <w:shd w:val="clear" w:fill="1C3A36"/>
          </w:tcPr>
          <w:p>
            <w:pPr>
              <w:spacing w:after="20" w:before="20"/>
            </w:pPr>
            <w:r>
              <w:rPr>
                <w:rFonts w:ascii="Arial" w:hAnsi="Arial"/>
                <w:b/>
                <w:color w:val="FFFFFF"/>
                <w:sz w:val="16"/>
              </w:rPr>
              <w:t>FY26E</w:t>
            </w:r>
          </w:p>
        </w:tc>
        <w:tc>
          <w:tcPr>
            <w:tcW w:type="dxa" w:w="1253"/>
            <w:shd w:val="clear" w:fill="1C3A36"/>
          </w:tcPr>
          <w:p>
            <w:pPr>
              <w:spacing w:after="20" w:before="20"/>
            </w:pPr>
            <w:r>
              <w:rPr>
                <w:rFonts w:ascii="Arial" w:hAnsi="Arial"/>
                <w:b/>
                <w:color w:val="FFFFFF"/>
                <w:sz w:val="16"/>
              </w:rPr>
              <w:t>FY27E</w:t>
            </w:r>
          </w:p>
        </w:tc>
        <w:tc>
          <w:tcPr>
            <w:tcW w:type="dxa" w:w="1253"/>
            <w:shd w:val="clear" w:fill="1C3A36"/>
          </w:tcPr>
          <w:p>
            <w:pPr>
              <w:spacing w:after="20" w:before="20"/>
            </w:pPr>
            <w:r>
              <w:rPr>
                <w:rFonts w:ascii="Arial" w:hAnsi="Arial"/>
                <w:b/>
                <w:color w:val="FFFFFF"/>
                <w:sz w:val="16"/>
              </w:rPr>
              <w:t>FY28E</w:t>
            </w:r>
          </w:p>
        </w:tc>
        <w:tc>
          <w:tcPr>
            <w:tcW w:type="dxa" w:w="1253"/>
            <w:shd w:val="clear" w:fill="1C3A36"/>
          </w:tcPr>
          <w:p>
            <w:pPr>
              <w:spacing w:after="20" w:before="20"/>
            </w:pPr>
            <w:r>
              <w:rPr>
                <w:rFonts w:ascii="Arial" w:hAnsi="Arial"/>
                <w:b/>
                <w:color w:val="FFFFFF"/>
                <w:sz w:val="16"/>
              </w:rPr>
              <w:t>FY29E</w:t>
            </w:r>
          </w:p>
        </w:tc>
        <w:tc>
          <w:tcPr>
            <w:tcW w:type="dxa" w:w="1253"/>
            <w:shd w:val="clear" w:fill="1C3A36"/>
          </w:tcPr>
          <w:p>
            <w:pPr>
              <w:spacing w:after="20" w:before="20"/>
            </w:pPr>
            <w:r>
              <w:rPr>
                <w:rFonts w:ascii="Arial" w:hAnsi="Arial"/>
                <w:b/>
                <w:color w:val="FFFFFF"/>
                <w:sz w:val="16"/>
              </w:rPr>
              <w:t>FY30E</w:t>
            </w:r>
          </w:p>
        </w:tc>
      </w:tr>
      <w:tr>
        <w:tc>
          <w:tcPr>
            <w:tcW w:type="dxa" w:w="3312"/>
          </w:tcPr>
          <w:p>
            <w:pPr>
              <w:spacing w:after="20" w:before="20"/>
            </w:pPr>
            <w:r>
              <w:rPr>
                <w:rFonts w:ascii="Arial" w:hAnsi="Arial"/>
                <w:sz w:val="16"/>
              </w:rPr>
              <w:t>Revenue</w:t>
            </w:r>
          </w:p>
        </w:tc>
        <w:tc>
          <w:tcPr>
            <w:tcW w:type="dxa" w:w="1253"/>
          </w:tcPr>
          <w:p>
            <w:pPr>
              <w:spacing w:after="20" w:before="20"/>
              <w:jc w:val="right"/>
            </w:pPr>
            <w:r>
              <w:rPr>
                <w:rFonts w:ascii="Arial" w:hAnsi="Arial"/>
                <w:sz w:val="16"/>
              </w:rPr>
              <w:t>124.8</w:t>
            </w:r>
          </w:p>
        </w:tc>
        <w:tc>
          <w:tcPr>
            <w:tcW w:type="dxa" w:w="1253"/>
          </w:tcPr>
          <w:p>
            <w:pPr>
              <w:spacing w:after="20" w:before="20"/>
              <w:jc w:val="right"/>
            </w:pPr>
            <w:r>
              <w:rPr>
                <w:rFonts w:ascii="Arial" w:hAnsi="Arial"/>
                <w:sz w:val="16"/>
              </w:rPr>
              <w:t>137.2</w:t>
            </w:r>
          </w:p>
        </w:tc>
        <w:tc>
          <w:tcPr>
            <w:tcW w:type="dxa" w:w="1253"/>
          </w:tcPr>
          <w:p>
            <w:pPr>
              <w:spacing w:after="20" w:before="20"/>
              <w:jc w:val="right"/>
            </w:pPr>
            <w:r>
              <w:rPr>
                <w:rFonts w:ascii="Arial" w:hAnsi="Arial"/>
                <w:sz w:val="16"/>
              </w:rPr>
              <w:t>149.6</w:t>
            </w:r>
          </w:p>
        </w:tc>
        <w:tc>
          <w:tcPr>
            <w:tcW w:type="dxa" w:w="1253"/>
          </w:tcPr>
          <w:p>
            <w:pPr>
              <w:spacing w:after="20" w:before="20"/>
              <w:jc w:val="right"/>
            </w:pPr>
            <w:r>
              <w:rPr>
                <w:rFonts w:ascii="Arial" w:hAnsi="Arial"/>
                <w:sz w:val="16"/>
              </w:rPr>
              <w:t>161.6</w:t>
            </w:r>
          </w:p>
        </w:tc>
        <w:tc>
          <w:tcPr>
            <w:tcW w:type="dxa" w:w="1253"/>
          </w:tcPr>
          <w:p>
            <w:pPr>
              <w:spacing w:after="20" w:before="20"/>
              <w:jc w:val="right"/>
            </w:pPr>
            <w:r>
              <w:rPr>
                <w:rFonts w:ascii="Arial" w:hAnsi="Arial"/>
                <w:sz w:val="16"/>
              </w:rPr>
              <w:t>172.9</w:t>
            </w:r>
          </w:p>
        </w:tc>
      </w:tr>
      <w:tr>
        <w:tc>
          <w:tcPr>
            <w:tcW w:type="dxa" w:w="3312"/>
          </w:tcPr>
          <w:p>
            <w:pPr>
              <w:spacing w:after="20" w:before="20"/>
            </w:pPr>
            <w:r>
              <w:rPr>
                <w:rFonts w:ascii="Arial" w:hAnsi="Arial"/>
                <w:sz w:val="16"/>
              </w:rPr>
              <w:t>EBITDA (20% margin)</w:t>
            </w:r>
          </w:p>
        </w:tc>
        <w:tc>
          <w:tcPr>
            <w:tcW w:type="dxa" w:w="1253"/>
          </w:tcPr>
          <w:p>
            <w:pPr>
              <w:spacing w:after="20" w:before="20"/>
              <w:jc w:val="right"/>
            </w:pPr>
            <w:r>
              <w:rPr>
                <w:rFonts w:ascii="Arial" w:hAnsi="Arial"/>
                <w:sz w:val="16"/>
              </w:rPr>
              <w:t>25.0</w:t>
            </w:r>
          </w:p>
        </w:tc>
        <w:tc>
          <w:tcPr>
            <w:tcW w:type="dxa" w:w="1253"/>
          </w:tcPr>
          <w:p>
            <w:pPr>
              <w:spacing w:after="20" w:before="20"/>
              <w:jc w:val="right"/>
            </w:pPr>
            <w:r>
              <w:rPr>
                <w:rFonts w:ascii="Arial" w:hAnsi="Arial"/>
                <w:sz w:val="16"/>
              </w:rPr>
              <w:t>27.4</w:t>
            </w:r>
          </w:p>
        </w:tc>
        <w:tc>
          <w:tcPr>
            <w:tcW w:type="dxa" w:w="1253"/>
          </w:tcPr>
          <w:p>
            <w:pPr>
              <w:spacing w:after="20" w:before="20"/>
              <w:jc w:val="right"/>
            </w:pPr>
            <w:r>
              <w:rPr>
                <w:rFonts w:ascii="Arial" w:hAnsi="Arial"/>
                <w:sz w:val="16"/>
              </w:rPr>
              <w:t>29.9</w:t>
            </w:r>
          </w:p>
        </w:tc>
        <w:tc>
          <w:tcPr>
            <w:tcW w:type="dxa" w:w="1253"/>
          </w:tcPr>
          <w:p>
            <w:pPr>
              <w:spacing w:after="20" w:before="20"/>
              <w:jc w:val="right"/>
            </w:pPr>
            <w:r>
              <w:rPr>
                <w:rFonts w:ascii="Arial" w:hAnsi="Arial"/>
                <w:sz w:val="16"/>
              </w:rPr>
              <w:t>32.3</w:t>
            </w:r>
          </w:p>
        </w:tc>
        <w:tc>
          <w:tcPr>
            <w:tcW w:type="dxa" w:w="1253"/>
          </w:tcPr>
          <w:p>
            <w:pPr>
              <w:spacing w:after="20" w:before="20"/>
              <w:jc w:val="right"/>
            </w:pPr>
            <w:r>
              <w:rPr>
                <w:rFonts w:ascii="Arial" w:hAnsi="Arial"/>
                <w:sz w:val="16"/>
              </w:rPr>
              <w:t>34.6</w:t>
            </w:r>
          </w:p>
        </w:tc>
      </w:tr>
      <w:tr>
        <w:tc>
          <w:tcPr>
            <w:tcW w:type="dxa" w:w="3312"/>
          </w:tcPr>
          <w:p>
            <w:pPr>
              <w:spacing w:after="20" w:before="20"/>
            </w:pPr>
            <w:r>
              <w:rPr>
                <w:rFonts w:ascii="Arial" w:hAnsi="Arial"/>
                <w:sz w:val="16"/>
              </w:rPr>
              <w:t>less: D&amp;A (5% of revenue)</w:t>
            </w:r>
          </w:p>
        </w:tc>
        <w:tc>
          <w:tcPr>
            <w:tcW w:type="dxa" w:w="1253"/>
          </w:tcPr>
          <w:p>
            <w:pPr>
              <w:spacing w:after="20" w:before="20"/>
              <w:jc w:val="right"/>
            </w:pPr>
            <w:r>
              <w:rPr>
                <w:rFonts w:ascii="Arial" w:hAnsi="Arial"/>
                <w:sz w:val="16"/>
              </w:rPr>
              <w:t>(6.2)</w:t>
            </w:r>
          </w:p>
        </w:tc>
        <w:tc>
          <w:tcPr>
            <w:tcW w:type="dxa" w:w="1253"/>
          </w:tcPr>
          <w:p>
            <w:pPr>
              <w:spacing w:after="20" w:before="20"/>
              <w:jc w:val="right"/>
            </w:pPr>
            <w:r>
              <w:rPr>
                <w:rFonts w:ascii="Arial" w:hAnsi="Arial"/>
                <w:sz w:val="16"/>
              </w:rPr>
              <w:t>(6.9)</w:t>
            </w:r>
          </w:p>
        </w:tc>
        <w:tc>
          <w:tcPr>
            <w:tcW w:type="dxa" w:w="1253"/>
          </w:tcPr>
          <w:p>
            <w:pPr>
              <w:spacing w:after="20" w:before="20"/>
              <w:jc w:val="right"/>
            </w:pPr>
            <w:r>
              <w:rPr>
                <w:rFonts w:ascii="Arial" w:hAnsi="Arial"/>
                <w:sz w:val="16"/>
              </w:rPr>
              <w:t>(7.5)</w:t>
            </w:r>
          </w:p>
        </w:tc>
        <w:tc>
          <w:tcPr>
            <w:tcW w:type="dxa" w:w="1253"/>
          </w:tcPr>
          <w:p>
            <w:pPr>
              <w:spacing w:after="20" w:before="20"/>
              <w:jc w:val="right"/>
            </w:pPr>
            <w:r>
              <w:rPr>
                <w:rFonts w:ascii="Arial" w:hAnsi="Arial"/>
                <w:sz w:val="16"/>
              </w:rPr>
              <w:t>(8.1)</w:t>
            </w:r>
          </w:p>
        </w:tc>
        <w:tc>
          <w:tcPr>
            <w:tcW w:type="dxa" w:w="1253"/>
          </w:tcPr>
          <w:p>
            <w:pPr>
              <w:spacing w:after="20" w:before="20"/>
              <w:jc w:val="right"/>
            </w:pPr>
            <w:r>
              <w:rPr>
                <w:rFonts w:ascii="Arial" w:hAnsi="Arial"/>
                <w:sz w:val="16"/>
              </w:rPr>
              <w:t>(8.6)</w:t>
            </w:r>
          </w:p>
        </w:tc>
      </w:tr>
      <w:tr>
        <w:tc>
          <w:tcPr>
            <w:tcW w:type="dxa" w:w="3312"/>
          </w:tcPr>
          <w:p>
            <w:pPr>
              <w:spacing w:after="20" w:before="20"/>
            </w:pPr>
            <w:r>
              <w:rPr>
                <w:rFonts w:ascii="Arial" w:hAnsi="Arial"/>
                <w:sz w:val="16"/>
              </w:rPr>
              <w:t>EBIT</w:t>
            </w:r>
          </w:p>
        </w:tc>
        <w:tc>
          <w:tcPr>
            <w:tcW w:type="dxa" w:w="1253"/>
          </w:tcPr>
          <w:p>
            <w:pPr>
              <w:spacing w:after="20" w:before="20"/>
              <w:jc w:val="right"/>
            </w:pPr>
            <w:r>
              <w:rPr>
                <w:rFonts w:ascii="Arial" w:hAnsi="Arial"/>
                <w:sz w:val="16"/>
              </w:rPr>
              <w:t>18.7</w:t>
            </w:r>
          </w:p>
        </w:tc>
        <w:tc>
          <w:tcPr>
            <w:tcW w:type="dxa" w:w="1253"/>
          </w:tcPr>
          <w:p>
            <w:pPr>
              <w:spacing w:after="20" w:before="20"/>
              <w:jc w:val="right"/>
            </w:pPr>
            <w:r>
              <w:rPr>
                <w:rFonts w:ascii="Arial" w:hAnsi="Arial"/>
                <w:sz w:val="16"/>
              </w:rPr>
              <w:t>20.6</w:t>
            </w:r>
          </w:p>
        </w:tc>
        <w:tc>
          <w:tcPr>
            <w:tcW w:type="dxa" w:w="1253"/>
          </w:tcPr>
          <w:p>
            <w:pPr>
              <w:spacing w:after="20" w:before="20"/>
              <w:jc w:val="right"/>
            </w:pPr>
            <w:r>
              <w:rPr>
                <w:rFonts w:ascii="Arial" w:hAnsi="Arial"/>
                <w:sz w:val="16"/>
              </w:rPr>
              <w:t>22.4</w:t>
            </w:r>
          </w:p>
        </w:tc>
        <w:tc>
          <w:tcPr>
            <w:tcW w:type="dxa" w:w="1253"/>
          </w:tcPr>
          <w:p>
            <w:pPr>
              <w:spacing w:after="20" w:before="20"/>
              <w:jc w:val="right"/>
            </w:pPr>
            <w:r>
              <w:rPr>
                <w:rFonts w:ascii="Arial" w:hAnsi="Arial"/>
                <w:sz w:val="16"/>
              </w:rPr>
              <w:t>24.2</w:t>
            </w:r>
          </w:p>
        </w:tc>
        <w:tc>
          <w:tcPr>
            <w:tcW w:type="dxa" w:w="1253"/>
          </w:tcPr>
          <w:p>
            <w:pPr>
              <w:spacing w:after="20" w:before="20"/>
              <w:jc w:val="right"/>
            </w:pPr>
            <w:r>
              <w:rPr>
                <w:rFonts w:ascii="Arial" w:hAnsi="Arial"/>
                <w:sz w:val="16"/>
              </w:rPr>
              <w:t>25.9</w:t>
            </w:r>
          </w:p>
        </w:tc>
      </w:tr>
      <w:tr>
        <w:tc>
          <w:tcPr>
            <w:tcW w:type="dxa" w:w="3312"/>
          </w:tcPr>
          <w:p>
            <w:pPr>
              <w:spacing w:after="20" w:before="20"/>
            </w:pPr>
            <w:r>
              <w:rPr>
                <w:rFonts w:ascii="Arial" w:hAnsi="Arial"/>
                <w:sz w:val="16"/>
              </w:rPr>
              <w:t>less: tax on EBIT (9%)</w:t>
            </w:r>
          </w:p>
        </w:tc>
        <w:tc>
          <w:tcPr>
            <w:tcW w:type="dxa" w:w="1253"/>
          </w:tcPr>
          <w:p>
            <w:pPr>
              <w:spacing w:after="20" w:before="20"/>
              <w:jc w:val="right"/>
            </w:pPr>
            <w:r>
              <w:rPr>
                <w:rFonts w:ascii="Arial" w:hAnsi="Arial"/>
                <w:sz w:val="16"/>
              </w:rPr>
              <w:t>(1.7)</w:t>
            </w:r>
          </w:p>
        </w:tc>
        <w:tc>
          <w:tcPr>
            <w:tcW w:type="dxa" w:w="1253"/>
          </w:tcPr>
          <w:p>
            <w:pPr>
              <w:spacing w:after="20" w:before="20"/>
              <w:jc w:val="right"/>
            </w:pPr>
            <w:r>
              <w:rPr>
                <w:rFonts w:ascii="Arial" w:hAnsi="Arial"/>
                <w:sz w:val="16"/>
              </w:rPr>
              <w:t>(1.9)</w:t>
            </w:r>
          </w:p>
        </w:tc>
        <w:tc>
          <w:tcPr>
            <w:tcW w:type="dxa" w:w="1253"/>
          </w:tcPr>
          <w:p>
            <w:pPr>
              <w:spacing w:after="20" w:before="20"/>
              <w:jc w:val="right"/>
            </w:pPr>
            <w:r>
              <w:rPr>
                <w:rFonts w:ascii="Arial" w:hAnsi="Arial"/>
                <w:sz w:val="16"/>
              </w:rPr>
              <w:t>(2.0)</w:t>
            </w:r>
          </w:p>
        </w:tc>
        <w:tc>
          <w:tcPr>
            <w:tcW w:type="dxa" w:w="1253"/>
          </w:tcPr>
          <w:p>
            <w:pPr>
              <w:spacing w:after="20" w:before="20"/>
              <w:jc w:val="right"/>
            </w:pPr>
            <w:r>
              <w:rPr>
                <w:rFonts w:ascii="Arial" w:hAnsi="Arial"/>
                <w:sz w:val="16"/>
              </w:rPr>
              <w:t>(2.2)</w:t>
            </w:r>
          </w:p>
        </w:tc>
        <w:tc>
          <w:tcPr>
            <w:tcW w:type="dxa" w:w="1253"/>
          </w:tcPr>
          <w:p>
            <w:pPr>
              <w:spacing w:after="20" w:before="20"/>
              <w:jc w:val="right"/>
            </w:pPr>
            <w:r>
              <w:rPr>
                <w:rFonts w:ascii="Arial" w:hAnsi="Arial"/>
                <w:sz w:val="16"/>
              </w:rPr>
              <w:t>(2.3)</w:t>
            </w:r>
          </w:p>
        </w:tc>
      </w:tr>
      <w:tr>
        <w:tc>
          <w:tcPr>
            <w:tcW w:type="dxa" w:w="3312"/>
          </w:tcPr>
          <w:p>
            <w:pPr>
              <w:spacing w:after="20" w:before="20"/>
            </w:pPr>
            <w:r>
              <w:rPr>
                <w:rFonts w:ascii="Arial" w:hAnsi="Arial"/>
                <w:sz w:val="16"/>
              </w:rPr>
              <w:t>NOPAT</w:t>
            </w:r>
          </w:p>
        </w:tc>
        <w:tc>
          <w:tcPr>
            <w:tcW w:type="dxa" w:w="1253"/>
          </w:tcPr>
          <w:p>
            <w:pPr>
              <w:spacing w:after="20" w:before="20"/>
              <w:jc w:val="right"/>
            </w:pPr>
            <w:r>
              <w:rPr>
                <w:rFonts w:ascii="Arial" w:hAnsi="Arial"/>
                <w:sz w:val="16"/>
              </w:rPr>
              <w:t>17.0</w:t>
            </w:r>
          </w:p>
        </w:tc>
        <w:tc>
          <w:tcPr>
            <w:tcW w:type="dxa" w:w="1253"/>
          </w:tcPr>
          <w:p>
            <w:pPr>
              <w:spacing w:after="20" w:before="20"/>
              <w:jc w:val="right"/>
            </w:pPr>
            <w:r>
              <w:rPr>
                <w:rFonts w:ascii="Arial" w:hAnsi="Arial"/>
                <w:sz w:val="16"/>
              </w:rPr>
              <w:t>18.7</w:t>
            </w:r>
          </w:p>
        </w:tc>
        <w:tc>
          <w:tcPr>
            <w:tcW w:type="dxa" w:w="1253"/>
          </w:tcPr>
          <w:p>
            <w:pPr>
              <w:spacing w:after="20" w:before="20"/>
              <w:jc w:val="right"/>
            </w:pPr>
            <w:r>
              <w:rPr>
                <w:rFonts w:ascii="Arial" w:hAnsi="Arial"/>
                <w:sz w:val="16"/>
              </w:rPr>
              <w:t>20.4</w:t>
            </w:r>
          </w:p>
        </w:tc>
        <w:tc>
          <w:tcPr>
            <w:tcW w:type="dxa" w:w="1253"/>
          </w:tcPr>
          <w:p>
            <w:pPr>
              <w:spacing w:after="20" w:before="20"/>
              <w:jc w:val="right"/>
            </w:pPr>
            <w:r>
              <w:rPr>
                <w:rFonts w:ascii="Arial" w:hAnsi="Arial"/>
                <w:sz w:val="16"/>
              </w:rPr>
              <w:t>22.1</w:t>
            </w:r>
          </w:p>
        </w:tc>
        <w:tc>
          <w:tcPr>
            <w:tcW w:type="dxa" w:w="1253"/>
          </w:tcPr>
          <w:p>
            <w:pPr>
              <w:spacing w:after="20" w:before="20"/>
              <w:jc w:val="right"/>
            </w:pPr>
            <w:r>
              <w:rPr>
                <w:rFonts w:ascii="Arial" w:hAnsi="Arial"/>
                <w:sz w:val="16"/>
              </w:rPr>
              <w:t>23.6</w:t>
            </w:r>
          </w:p>
        </w:tc>
      </w:tr>
      <w:tr>
        <w:tc>
          <w:tcPr>
            <w:tcW w:type="dxa" w:w="3312"/>
          </w:tcPr>
          <w:p>
            <w:pPr>
              <w:spacing w:after="20" w:before="20"/>
            </w:pPr>
            <w:r>
              <w:rPr>
                <w:rFonts w:ascii="Arial" w:hAnsi="Arial"/>
                <w:sz w:val="16"/>
              </w:rPr>
              <w:t>add: D&amp;A</w:t>
            </w:r>
          </w:p>
        </w:tc>
        <w:tc>
          <w:tcPr>
            <w:tcW w:type="dxa" w:w="1253"/>
          </w:tcPr>
          <w:p>
            <w:pPr>
              <w:spacing w:after="20" w:before="20"/>
              <w:jc w:val="right"/>
            </w:pPr>
            <w:r>
              <w:rPr>
                <w:rFonts w:ascii="Arial" w:hAnsi="Arial"/>
                <w:sz w:val="16"/>
              </w:rPr>
              <w:t>6.2</w:t>
            </w:r>
          </w:p>
        </w:tc>
        <w:tc>
          <w:tcPr>
            <w:tcW w:type="dxa" w:w="1253"/>
          </w:tcPr>
          <w:p>
            <w:pPr>
              <w:spacing w:after="20" w:before="20"/>
              <w:jc w:val="right"/>
            </w:pPr>
            <w:r>
              <w:rPr>
                <w:rFonts w:ascii="Arial" w:hAnsi="Arial"/>
                <w:sz w:val="16"/>
              </w:rPr>
              <w:t>6.9</w:t>
            </w:r>
          </w:p>
        </w:tc>
        <w:tc>
          <w:tcPr>
            <w:tcW w:type="dxa" w:w="1253"/>
          </w:tcPr>
          <w:p>
            <w:pPr>
              <w:spacing w:after="20" w:before="20"/>
              <w:jc w:val="right"/>
            </w:pPr>
            <w:r>
              <w:rPr>
                <w:rFonts w:ascii="Arial" w:hAnsi="Arial"/>
                <w:sz w:val="16"/>
              </w:rPr>
              <w:t>7.5</w:t>
            </w:r>
          </w:p>
        </w:tc>
        <w:tc>
          <w:tcPr>
            <w:tcW w:type="dxa" w:w="1253"/>
          </w:tcPr>
          <w:p>
            <w:pPr>
              <w:spacing w:after="20" w:before="20"/>
              <w:jc w:val="right"/>
            </w:pPr>
            <w:r>
              <w:rPr>
                <w:rFonts w:ascii="Arial" w:hAnsi="Arial"/>
                <w:sz w:val="16"/>
              </w:rPr>
              <w:t>8.1</w:t>
            </w:r>
          </w:p>
        </w:tc>
        <w:tc>
          <w:tcPr>
            <w:tcW w:type="dxa" w:w="1253"/>
          </w:tcPr>
          <w:p>
            <w:pPr>
              <w:spacing w:after="20" w:before="20"/>
              <w:jc w:val="right"/>
            </w:pPr>
            <w:r>
              <w:rPr>
                <w:rFonts w:ascii="Arial" w:hAnsi="Arial"/>
                <w:sz w:val="16"/>
              </w:rPr>
              <w:t>8.6</w:t>
            </w:r>
          </w:p>
        </w:tc>
      </w:tr>
      <w:tr>
        <w:tc>
          <w:tcPr>
            <w:tcW w:type="dxa" w:w="3312"/>
          </w:tcPr>
          <w:p>
            <w:pPr>
              <w:spacing w:after="20" w:before="20"/>
            </w:pPr>
            <w:r>
              <w:rPr>
                <w:rFonts w:ascii="Arial" w:hAnsi="Arial"/>
                <w:sz w:val="16"/>
              </w:rPr>
              <w:t>less: capex (6% of revenue)</w:t>
            </w:r>
          </w:p>
        </w:tc>
        <w:tc>
          <w:tcPr>
            <w:tcW w:type="dxa" w:w="1253"/>
          </w:tcPr>
          <w:p>
            <w:pPr>
              <w:spacing w:after="20" w:before="20"/>
              <w:jc w:val="right"/>
            </w:pPr>
            <w:r>
              <w:rPr>
                <w:rFonts w:ascii="Arial" w:hAnsi="Arial"/>
                <w:sz w:val="16"/>
              </w:rPr>
              <w:t>(7.5)</w:t>
            </w:r>
          </w:p>
        </w:tc>
        <w:tc>
          <w:tcPr>
            <w:tcW w:type="dxa" w:w="1253"/>
          </w:tcPr>
          <w:p>
            <w:pPr>
              <w:spacing w:after="20" w:before="20"/>
              <w:jc w:val="right"/>
            </w:pPr>
            <w:r>
              <w:rPr>
                <w:rFonts w:ascii="Arial" w:hAnsi="Arial"/>
                <w:sz w:val="16"/>
              </w:rPr>
              <w:t>(8.2)</w:t>
            </w:r>
          </w:p>
        </w:tc>
        <w:tc>
          <w:tcPr>
            <w:tcW w:type="dxa" w:w="1253"/>
          </w:tcPr>
          <w:p>
            <w:pPr>
              <w:spacing w:after="20" w:before="20"/>
              <w:jc w:val="right"/>
            </w:pPr>
            <w:r>
              <w:rPr>
                <w:rFonts w:ascii="Arial" w:hAnsi="Arial"/>
                <w:sz w:val="16"/>
              </w:rPr>
              <w:t>(9.0)</w:t>
            </w:r>
          </w:p>
        </w:tc>
        <w:tc>
          <w:tcPr>
            <w:tcW w:type="dxa" w:w="1253"/>
          </w:tcPr>
          <w:p>
            <w:pPr>
              <w:spacing w:after="20" w:before="20"/>
              <w:jc w:val="right"/>
            </w:pPr>
            <w:r>
              <w:rPr>
                <w:rFonts w:ascii="Arial" w:hAnsi="Arial"/>
                <w:sz w:val="16"/>
              </w:rPr>
              <w:t>(9.7)</w:t>
            </w:r>
          </w:p>
        </w:tc>
        <w:tc>
          <w:tcPr>
            <w:tcW w:type="dxa" w:w="1253"/>
          </w:tcPr>
          <w:p>
            <w:pPr>
              <w:spacing w:after="20" w:before="20"/>
              <w:jc w:val="right"/>
            </w:pPr>
            <w:r>
              <w:rPr>
                <w:rFonts w:ascii="Arial" w:hAnsi="Arial"/>
                <w:sz w:val="16"/>
              </w:rPr>
              <w:t>(10.4)</w:t>
            </w:r>
          </w:p>
        </w:tc>
      </w:tr>
      <w:tr>
        <w:tc>
          <w:tcPr>
            <w:tcW w:type="dxa" w:w="3312"/>
          </w:tcPr>
          <w:p>
            <w:pPr>
              <w:spacing w:after="20" w:before="20"/>
            </w:pPr>
            <w:r>
              <w:rPr>
                <w:rFonts w:ascii="Arial" w:hAnsi="Arial"/>
                <w:sz w:val="16"/>
              </w:rPr>
              <w:t>less: ΔWorking capital</w:t>
            </w:r>
          </w:p>
        </w:tc>
        <w:tc>
          <w:tcPr>
            <w:tcW w:type="dxa" w:w="1253"/>
          </w:tcPr>
          <w:p>
            <w:pPr>
              <w:spacing w:after="20" w:before="20"/>
              <w:jc w:val="right"/>
            </w:pPr>
            <w:r>
              <w:rPr>
                <w:rFonts w:ascii="Arial" w:hAnsi="Arial"/>
                <w:sz w:val="16"/>
              </w:rPr>
              <w:t>(0.3)</w:t>
            </w:r>
          </w:p>
        </w:tc>
        <w:tc>
          <w:tcPr>
            <w:tcW w:type="dxa" w:w="1253"/>
          </w:tcPr>
          <w:p>
            <w:pPr>
              <w:spacing w:after="20" w:before="20"/>
              <w:jc w:val="right"/>
            </w:pPr>
            <w:r>
              <w:rPr>
                <w:rFonts w:ascii="Arial" w:hAnsi="Arial"/>
                <w:sz w:val="16"/>
              </w:rPr>
              <w:t>(0.2)</w:t>
            </w:r>
          </w:p>
        </w:tc>
        <w:tc>
          <w:tcPr>
            <w:tcW w:type="dxa" w:w="1253"/>
          </w:tcPr>
          <w:p>
            <w:pPr>
              <w:spacing w:after="20" w:before="20"/>
              <w:jc w:val="right"/>
            </w:pPr>
            <w:r>
              <w:rPr>
                <w:rFonts w:ascii="Arial" w:hAnsi="Arial"/>
                <w:sz w:val="16"/>
              </w:rPr>
              <w:t>(0.2)</w:t>
            </w:r>
          </w:p>
        </w:tc>
        <w:tc>
          <w:tcPr>
            <w:tcW w:type="dxa" w:w="1253"/>
          </w:tcPr>
          <w:p>
            <w:pPr>
              <w:spacing w:after="20" w:before="20"/>
              <w:jc w:val="right"/>
            </w:pPr>
            <w:r>
              <w:rPr>
                <w:rFonts w:ascii="Arial" w:hAnsi="Arial"/>
                <w:sz w:val="16"/>
              </w:rPr>
              <w:t>(0.2)</w:t>
            </w:r>
          </w:p>
        </w:tc>
        <w:tc>
          <w:tcPr>
            <w:tcW w:type="dxa" w:w="1253"/>
          </w:tcPr>
          <w:p>
            <w:pPr>
              <w:spacing w:after="20" w:before="20"/>
              <w:jc w:val="right"/>
            </w:pPr>
            <w:r>
              <w:rPr>
                <w:rFonts w:ascii="Arial" w:hAnsi="Arial"/>
                <w:sz w:val="16"/>
              </w:rPr>
              <w:t>(0.2)</w:t>
            </w:r>
          </w:p>
        </w:tc>
      </w:tr>
      <w:tr>
        <w:tc>
          <w:tcPr>
            <w:tcW w:type="dxa" w:w="3312"/>
          </w:tcPr>
          <w:p>
            <w:pPr>
              <w:spacing w:after="20" w:before="20"/>
            </w:pPr>
            <w:r>
              <w:rPr>
                <w:rFonts w:ascii="Arial" w:hAnsi="Arial"/>
                <w:sz w:val="16"/>
              </w:rPr>
              <w:t>Free cash flow to firm (FCFF)</w:t>
            </w:r>
          </w:p>
        </w:tc>
        <w:tc>
          <w:tcPr>
            <w:tcW w:type="dxa" w:w="1253"/>
          </w:tcPr>
          <w:p>
            <w:pPr>
              <w:spacing w:after="20" w:before="20"/>
              <w:jc w:val="right"/>
            </w:pPr>
            <w:r>
              <w:rPr>
                <w:rFonts w:ascii="Arial" w:hAnsi="Arial"/>
                <w:sz w:val="16"/>
              </w:rPr>
              <w:t>15.5</w:t>
            </w:r>
          </w:p>
        </w:tc>
        <w:tc>
          <w:tcPr>
            <w:tcW w:type="dxa" w:w="1253"/>
          </w:tcPr>
          <w:p>
            <w:pPr>
              <w:spacing w:after="20" w:before="20"/>
              <w:jc w:val="right"/>
            </w:pPr>
            <w:r>
              <w:rPr>
                <w:rFonts w:ascii="Arial" w:hAnsi="Arial"/>
                <w:sz w:val="16"/>
              </w:rPr>
              <w:t>17.1</w:t>
            </w:r>
          </w:p>
        </w:tc>
        <w:tc>
          <w:tcPr>
            <w:tcW w:type="dxa" w:w="1253"/>
          </w:tcPr>
          <w:p>
            <w:pPr>
              <w:spacing w:after="20" w:before="20"/>
              <w:jc w:val="right"/>
            </w:pPr>
            <w:r>
              <w:rPr>
                <w:rFonts w:ascii="Arial" w:hAnsi="Arial"/>
                <w:sz w:val="16"/>
              </w:rPr>
              <w:t>18.7</w:t>
            </w:r>
          </w:p>
        </w:tc>
        <w:tc>
          <w:tcPr>
            <w:tcW w:type="dxa" w:w="1253"/>
          </w:tcPr>
          <w:p>
            <w:pPr>
              <w:spacing w:after="20" w:before="20"/>
              <w:jc w:val="right"/>
            </w:pPr>
            <w:r>
              <w:rPr>
                <w:rFonts w:ascii="Arial" w:hAnsi="Arial"/>
                <w:sz w:val="16"/>
              </w:rPr>
              <w:t>20.2</w:t>
            </w:r>
          </w:p>
        </w:tc>
        <w:tc>
          <w:tcPr>
            <w:tcW w:type="dxa" w:w="1253"/>
          </w:tcPr>
          <w:p>
            <w:pPr>
              <w:spacing w:after="20" w:before="20"/>
              <w:jc w:val="right"/>
            </w:pPr>
            <w:r>
              <w:rPr>
                <w:rFonts w:ascii="Arial" w:hAnsi="Arial"/>
                <w:sz w:val="16"/>
              </w:rPr>
              <w:t>21.6</w:t>
            </w:r>
          </w:p>
        </w:tc>
      </w:tr>
      <w:tr>
        <w:tc>
          <w:tcPr>
            <w:tcW w:type="dxa" w:w="3312"/>
          </w:tcPr>
          <w:p>
            <w:pPr>
              <w:spacing w:after="20" w:before="20"/>
            </w:pPr>
            <w:r>
              <w:rPr>
                <w:rFonts w:ascii="Arial" w:hAnsi="Arial"/>
                <w:sz w:val="16"/>
              </w:rPr>
              <w:t>Discount factor @ WACC 9.3%</w:t>
            </w:r>
          </w:p>
        </w:tc>
        <w:tc>
          <w:tcPr>
            <w:tcW w:type="dxa" w:w="1253"/>
          </w:tcPr>
          <w:p>
            <w:pPr>
              <w:spacing w:after="20" w:before="20"/>
              <w:jc w:val="right"/>
            </w:pPr>
            <w:r>
              <w:rPr>
                <w:rFonts w:ascii="Arial" w:hAnsi="Arial"/>
                <w:sz w:val="16"/>
              </w:rPr>
              <w:t>0.915</w:t>
            </w:r>
          </w:p>
        </w:tc>
        <w:tc>
          <w:tcPr>
            <w:tcW w:type="dxa" w:w="1253"/>
          </w:tcPr>
          <w:p>
            <w:pPr>
              <w:spacing w:after="20" w:before="20"/>
              <w:jc w:val="right"/>
            </w:pPr>
            <w:r>
              <w:rPr>
                <w:rFonts w:ascii="Arial" w:hAnsi="Arial"/>
                <w:sz w:val="16"/>
              </w:rPr>
              <w:t>0.837</w:t>
            </w:r>
          </w:p>
        </w:tc>
        <w:tc>
          <w:tcPr>
            <w:tcW w:type="dxa" w:w="1253"/>
          </w:tcPr>
          <w:p>
            <w:pPr>
              <w:spacing w:after="20" w:before="20"/>
              <w:jc w:val="right"/>
            </w:pPr>
            <w:r>
              <w:rPr>
                <w:rFonts w:ascii="Arial" w:hAnsi="Arial"/>
                <w:sz w:val="16"/>
              </w:rPr>
              <w:t>0.766</w:t>
            </w:r>
          </w:p>
        </w:tc>
        <w:tc>
          <w:tcPr>
            <w:tcW w:type="dxa" w:w="1253"/>
          </w:tcPr>
          <w:p>
            <w:pPr>
              <w:spacing w:after="20" w:before="20"/>
              <w:jc w:val="right"/>
            </w:pPr>
            <w:r>
              <w:rPr>
                <w:rFonts w:ascii="Arial" w:hAnsi="Arial"/>
                <w:sz w:val="16"/>
              </w:rPr>
              <w:t>0.701</w:t>
            </w:r>
          </w:p>
        </w:tc>
        <w:tc>
          <w:tcPr>
            <w:tcW w:type="dxa" w:w="1253"/>
          </w:tcPr>
          <w:p>
            <w:pPr>
              <w:spacing w:after="20" w:before="20"/>
              <w:jc w:val="right"/>
            </w:pPr>
            <w:r>
              <w:rPr>
                <w:rFonts w:ascii="Arial" w:hAnsi="Arial"/>
                <w:sz w:val="16"/>
              </w:rPr>
              <w:t>0.641</w:t>
            </w:r>
          </w:p>
        </w:tc>
      </w:tr>
      <w:tr>
        <w:tc>
          <w:tcPr>
            <w:tcW w:type="dxa" w:w="3312"/>
          </w:tcPr>
          <w:p>
            <w:pPr>
              <w:spacing w:after="20" w:before="20"/>
            </w:pPr>
            <w:r>
              <w:rPr>
                <w:rFonts w:ascii="Arial" w:hAnsi="Arial"/>
                <w:sz w:val="16"/>
              </w:rPr>
              <w:t>PV of FCFF</w:t>
            </w:r>
          </w:p>
        </w:tc>
        <w:tc>
          <w:tcPr>
            <w:tcW w:type="dxa" w:w="1253"/>
          </w:tcPr>
          <w:p>
            <w:pPr>
              <w:spacing w:after="20" w:before="20"/>
              <w:jc w:val="right"/>
            </w:pPr>
            <w:r>
              <w:rPr>
                <w:rFonts w:ascii="Arial" w:hAnsi="Arial"/>
                <w:sz w:val="16"/>
              </w:rPr>
              <w:t>14.2</w:t>
            </w:r>
          </w:p>
        </w:tc>
        <w:tc>
          <w:tcPr>
            <w:tcW w:type="dxa" w:w="1253"/>
          </w:tcPr>
          <w:p>
            <w:pPr>
              <w:spacing w:after="20" w:before="20"/>
              <w:jc w:val="right"/>
            </w:pPr>
            <w:r>
              <w:rPr>
                <w:rFonts w:ascii="Arial" w:hAnsi="Arial"/>
                <w:sz w:val="16"/>
              </w:rPr>
              <w:t>14.3</w:t>
            </w:r>
          </w:p>
        </w:tc>
        <w:tc>
          <w:tcPr>
            <w:tcW w:type="dxa" w:w="1253"/>
          </w:tcPr>
          <w:p>
            <w:pPr>
              <w:spacing w:after="20" w:before="20"/>
              <w:jc w:val="right"/>
            </w:pPr>
            <w:r>
              <w:rPr>
                <w:rFonts w:ascii="Arial" w:hAnsi="Arial"/>
                <w:sz w:val="16"/>
              </w:rPr>
              <w:t>14.3</w:t>
            </w:r>
          </w:p>
        </w:tc>
        <w:tc>
          <w:tcPr>
            <w:tcW w:type="dxa" w:w="1253"/>
          </w:tcPr>
          <w:p>
            <w:pPr>
              <w:spacing w:after="20" w:before="20"/>
              <w:jc w:val="right"/>
            </w:pPr>
            <w:r>
              <w:rPr>
                <w:rFonts w:ascii="Arial" w:hAnsi="Arial"/>
                <w:sz w:val="16"/>
              </w:rPr>
              <w:t>14.2</w:t>
            </w:r>
          </w:p>
        </w:tc>
        <w:tc>
          <w:tcPr>
            <w:tcW w:type="dxa" w:w="1253"/>
          </w:tcPr>
          <w:p>
            <w:pPr>
              <w:spacing w:after="20" w:before="20"/>
              <w:jc w:val="right"/>
            </w:pPr>
            <w:r>
              <w:rPr>
                <w:rFonts w:ascii="Arial" w:hAnsi="Arial"/>
                <w:sz w:val="16"/>
              </w:rPr>
              <w:t>13.9</w:t>
            </w:r>
          </w:p>
        </w:tc>
      </w:tr>
    </w:tbl>
    <w:p>
      <w:pPr>
        <w:spacing w:after="40" w:before="80"/>
      </w:pPr>
      <w:r>
        <w:rPr>
          <w:rFonts w:ascii="Arial" w:hAnsi="Arial"/>
          <w:b/>
          <w:i w:val="0"/>
          <w:sz w:val="19"/>
        </w:rPr>
        <w:t>DCF valuation bridge (AED bn):</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802"/>
        <w:gridCol w:w="4802"/>
      </w:tblGrid>
      <w:tr>
        <w:tc>
          <w:tcPr>
            <w:tcW w:type="dxa" w:w="6912"/>
            <w:shd w:val="clear" w:fill="1C3A36"/>
          </w:tcPr>
          <w:p>
            <w:pPr>
              <w:spacing w:after="20" w:before="20"/>
            </w:pPr>
            <w:r>
              <w:rPr>
                <w:rFonts w:ascii="Arial" w:hAnsi="Arial"/>
                <w:b/>
                <w:color w:val="FFFFFF"/>
                <w:sz w:val="17"/>
              </w:rPr>
              <w:t>DCF valuation bridge</w:t>
            </w:r>
          </w:p>
        </w:tc>
        <w:tc>
          <w:tcPr>
            <w:tcW w:type="dxa" w:w="2160"/>
            <w:shd w:val="clear" w:fill="1C3A36"/>
          </w:tcPr>
          <w:p>
            <w:pPr>
              <w:spacing w:after="20" w:before="20"/>
            </w:pPr>
            <w:r>
              <w:rPr>
                <w:rFonts w:ascii="Arial" w:hAnsi="Arial"/>
                <w:b/>
                <w:color w:val="FFFFFF"/>
                <w:sz w:val="17"/>
              </w:rPr>
              <w:t>Value</w:t>
            </w:r>
          </w:p>
        </w:tc>
      </w:tr>
      <w:tr>
        <w:tc>
          <w:tcPr>
            <w:tcW w:type="dxa" w:w="6912"/>
          </w:tcPr>
          <w:p>
            <w:pPr>
              <w:spacing w:after="20" w:before="20"/>
            </w:pPr>
            <w:r>
              <w:rPr>
                <w:rFonts w:ascii="Arial" w:hAnsi="Arial"/>
                <w:sz w:val="17"/>
              </w:rPr>
              <w:t>Σ PV of FCFF (FY26–30)</w:t>
            </w:r>
          </w:p>
        </w:tc>
        <w:tc>
          <w:tcPr>
            <w:tcW w:type="dxa" w:w="2160"/>
          </w:tcPr>
          <w:p>
            <w:pPr>
              <w:spacing w:after="20" w:before="20"/>
              <w:jc w:val="right"/>
            </w:pPr>
            <w:r>
              <w:rPr>
                <w:rFonts w:ascii="Arial" w:hAnsi="Arial"/>
                <w:sz w:val="17"/>
              </w:rPr>
              <w:t>70.9</w:t>
            </w:r>
          </w:p>
        </w:tc>
      </w:tr>
      <w:tr>
        <w:tc>
          <w:tcPr>
            <w:tcW w:type="dxa" w:w="6912"/>
          </w:tcPr>
          <w:p>
            <w:pPr>
              <w:spacing w:after="20" w:before="20"/>
            </w:pPr>
            <w:r>
              <w:rPr>
                <w:rFonts w:ascii="Arial" w:hAnsi="Arial"/>
                <w:sz w:val="17"/>
              </w:rPr>
              <w:t>Terminal value = FCFF₃₀ × (1+g) / (WACC − g)</w:t>
            </w:r>
          </w:p>
        </w:tc>
        <w:tc>
          <w:tcPr>
            <w:tcW w:type="dxa" w:w="2160"/>
          </w:tcPr>
          <w:p>
            <w:pPr>
              <w:spacing w:after="20" w:before="20"/>
              <w:jc w:val="right"/>
            </w:pPr>
            <w:r>
              <w:rPr>
                <w:rFonts w:ascii="Arial" w:hAnsi="Arial"/>
                <w:sz w:val="17"/>
              </w:rPr>
              <w:t>386.2</w:t>
            </w:r>
          </w:p>
        </w:tc>
      </w:tr>
      <w:tr>
        <w:tc>
          <w:tcPr>
            <w:tcW w:type="dxa" w:w="6912"/>
          </w:tcPr>
          <w:p>
            <w:pPr>
              <w:spacing w:after="20" w:before="20"/>
            </w:pPr>
            <w:r>
              <w:rPr>
                <w:rFonts w:ascii="Arial" w:hAnsi="Arial"/>
                <w:sz w:val="17"/>
              </w:rPr>
              <w:t>PV of terminal value</w:t>
            </w:r>
          </w:p>
        </w:tc>
        <w:tc>
          <w:tcPr>
            <w:tcW w:type="dxa" w:w="2160"/>
          </w:tcPr>
          <w:p>
            <w:pPr>
              <w:spacing w:after="20" w:before="20"/>
              <w:jc w:val="right"/>
            </w:pPr>
            <w:r>
              <w:rPr>
                <w:rFonts w:ascii="Arial" w:hAnsi="Arial"/>
                <w:sz w:val="17"/>
              </w:rPr>
              <w:t>247.6</w:t>
            </w:r>
          </w:p>
        </w:tc>
      </w:tr>
      <w:tr>
        <w:tc>
          <w:tcPr>
            <w:tcW w:type="dxa" w:w="6912"/>
          </w:tcPr>
          <w:p>
            <w:pPr>
              <w:spacing w:after="20" w:before="20"/>
            </w:pPr>
            <w:r>
              <w:rPr>
                <w:rFonts w:ascii="Arial" w:hAnsi="Arial"/>
                <w:sz w:val="17"/>
              </w:rPr>
              <w:t>Enterprise value</w:t>
            </w:r>
          </w:p>
        </w:tc>
        <w:tc>
          <w:tcPr>
            <w:tcW w:type="dxa" w:w="2160"/>
          </w:tcPr>
          <w:p>
            <w:pPr>
              <w:spacing w:after="20" w:before="20"/>
              <w:jc w:val="right"/>
            </w:pPr>
            <w:r>
              <w:rPr>
                <w:rFonts w:ascii="Arial" w:hAnsi="Arial"/>
                <w:sz w:val="17"/>
              </w:rPr>
              <w:t>318.4</w:t>
            </w:r>
          </w:p>
        </w:tc>
      </w:tr>
      <w:tr>
        <w:tc>
          <w:tcPr>
            <w:tcW w:type="dxa" w:w="6912"/>
          </w:tcPr>
          <w:p>
            <w:pPr>
              <w:spacing w:after="20" w:before="20"/>
            </w:pPr>
            <w:r>
              <w:rPr>
                <w:rFonts w:ascii="Arial" w:hAnsi="Arial"/>
                <w:sz w:val="17"/>
              </w:rPr>
              <w:t xml:space="preserve">  Terminal value as % of EV (device A-7)</w:t>
            </w:r>
          </w:p>
        </w:tc>
        <w:tc>
          <w:tcPr>
            <w:tcW w:type="dxa" w:w="2160"/>
          </w:tcPr>
          <w:p>
            <w:pPr>
              <w:spacing w:after="20" w:before="20"/>
              <w:jc w:val="right"/>
            </w:pPr>
            <w:r>
              <w:rPr>
                <w:rFonts w:ascii="Arial" w:hAnsi="Arial"/>
                <w:sz w:val="17"/>
              </w:rPr>
              <w:t>77.8%</w:t>
            </w:r>
          </w:p>
        </w:tc>
      </w:tr>
      <w:tr>
        <w:tc>
          <w:tcPr>
            <w:tcW w:type="dxa" w:w="6912"/>
          </w:tcPr>
          <w:p>
            <w:pPr>
              <w:spacing w:after="20" w:before="20"/>
            </w:pPr>
            <w:r>
              <w:rPr>
                <w:rFonts w:ascii="Arial" w:hAnsi="Arial"/>
                <w:sz w:val="17"/>
              </w:rPr>
              <w:t>less: consolidated net debt</w:t>
            </w:r>
          </w:p>
        </w:tc>
        <w:tc>
          <w:tcPr>
            <w:tcW w:type="dxa" w:w="2160"/>
          </w:tcPr>
          <w:p>
            <w:pPr>
              <w:spacing w:after="20" w:before="20"/>
              <w:jc w:val="right"/>
            </w:pPr>
            <w:r>
              <w:rPr>
                <w:rFonts w:ascii="Arial" w:hAnsi="Arial"/>
                <w:sz w:val="17"/>
              </w:rPr>
              <w:t>(25.6)</w:t>
            </w:r>
          </w:p>
        </w:tc>
      </w:tr>
      <w:tr>
        <w:tc>
          <w:tcPr>
            <w:tcW w:type="dxa" w:w="6912"/>
          </w:tcPr>
          <w:p>
            <w:pPr>
              <w:spacing w:after="20" w:before="20"/>
            </w:pPr>
            <w:r>
              <w:rPr>
                <w:rFonts w:ascii="Arial" w:hAnsi="Arial"/>
                <w:sz w:val="17"/>
              </w:rPr>
              <w:t>less: minority interest (proportional)</w:t>
            </w:r>
          </w:p>
        </w:tc>
        <w:tc>
          <w:tcPr>
            <w:tcW w:type="dxa" w:w="2160"/>
          </w:tcPr>
          <w:p>
            <w:pPr>
              <w:spacing w:after="20" w:before="20"/>
              <w:jc w:val="right"/>
            </w:pPr>
            <w:r>
              <w:rPr>
                <w:rFonts w:ascii="Arial" w:hAnsi="Arial"/>
                <w:sz w:val="17"/>
              </w:rPr>
              <w:t>(115.9)</w:t>
            </w:r>
          </w:p>
        </w:tc>
      </w:tr>
      <w:tr>
        <w:tc>
          <w:tcPr>
            <w:tcW w:type="dxa" w:w="6912"/>
          </w:tcPr>
          <w:p>
            <w:pPr>
              <w:spacing w:after="20" w:before="20"/>
            </w:pPr>
            <w:r>
              <w:rPr>
                <w:rFonts w:ascii="Arial" w:hAnsi="Arial"/>
                <w:sz w:val="17"/>
              </w:rPr>
              <w:t>Attributable equity value</w:t>
            </w:r>
          </w:p>
        </w:tc>
        <w:tc>
          <w:tcPr>
            <w:tcW w:type="dxa" w:w="2160"/>
          </w:tcPr>
          <w:p>
            <w:pPr>
              <w:spacing w:after="20" w:before="20"/>
              <w:jc w:val="right"/>
            </w:pPr>
            <w:r>
              <w:rPr>
                <w:rFonts w:ascii="Arial" w:hAnsi="Arial"/>
                <w:sz w:val="17"/>
              </w:rPr>
              <w:t>177.0</w:t>
            </w:r>
          </w:p>
        </w:tc>
      </w:tr>
      <w:tr>
        <w:tc>
          <w:tcPr>
            <w:tcW w:type="dxa" w:w="6912"/>
          </w:tcPr>
          <w:p>
            <w:pPr>
              <w:spacing w:after="20" w:before="20"/>
            </w:pPr>
            <w:r>
              <w:rPr>
                <w:rFonts w:ascii="Arial" w:hAnsi="Arial"/>
                <w:sz w:val="17"/>
              </w:rPr>
              <w:t>Cost of equity  Ke = rf 4.3% + β 1.0 × ERP 5.5%</w:t>
            </w:r>
          </w:p>
        </w:tc>
        <w:tc>
          <w:tcPr>
            <w:tcW w:type="dxa" w:w="2160"/>
          </w:tcPr>
          <w:p>
            <w:pPr>
              <w:spacing w:after="20" w:before="20"/>
              <w:jc w:val="right"/>
            </w:pPr>
            <w:r>
              <w:rPr>
                <w:rFonts w:ascii="Arial" w:hAnsi="Arial"/>
                <w:sz w:val="17"/>
              </w:rPr>
              <w:t>9.8%</w:t>
            </w:r>
          </w:p>
        </w:tc>
      </w:tr>
      <w:tr>
        <w:tc>
          <w:tcPr>
            <w:tcW w:type="dxa" w:w="6912"/>
          </w:tcPr>
          <w:p>
            <w:pPr>
              <w:spacing w:after="20" w:before="20"/>
            </w:pPr>
            <w:r>
              <w:rPr>
                <w:rFonts w:ascii="Arial" w:hAnsi="Arial"/>
                <w:sz w:val="17"/>
              </w:rPr>
              <w:t>WACC · terminal growth g</w:t>
            </w:r>
          </w:p>
        </w:tc>
        <w:tc>
          <w:tcPr>
            <w:tcW w:type="dxa" w:w="2160"/>
          </w:tcPr>
          <w:p>
            <w:pPr>
              <w:spacing w:after="20" w:before="20"/>
              <w:jc w:val="right"/>
            </w:pPr>
            <w:r>
              <w:rPr>
                <w:rFonts w:ascii="Arial" w:hAnsi="Arial"/>
                <w:sz w:val="17"/>
              </w:rPr>
              <w:t>9.3% · 3.5%</w:t>
            </w:r>
          </w:p>
        </w:tc>
      </w:tr>
      <w:tr>
        <w:tc>
          <w:tcPr>
            <w:tcW w:type="dxa" w:w="6912"/>
          </w:tcPr>
          <w:p>
            <w:pPr>
              <w:spacing w:after="20" w:before="20"/>
            </w:pPr>
            <w:r>
              <w:rPr>
                <w:rFonts w:ascii="Arial" w:hAnsi="Arial"/>
                <w:sz w:val="17"/>
              </w:rPr>
              <w:t>DCF fair value per share</w:t>
            </w:r>
          </w:p>
        </w:tc>
        <w:tc>
          <w:tcPr>
            <w:tcW w:type="dxa" w:w="2160"/>
          </w:tcPr>
          <w:p>
            <w:pPr>
              <w:spacing w:after="20" w:before="20"/>
              <w:jc w:val="right"/>
            </w:pPr>
            <w:r>
              <w:rPr>
                <w:rFonts w:ascii="Arial" w:hAnsi="Arial"/>
                <w:sz w:val="17"/>
              </w:rPr>
              <w:t>AED 81</w:t>
            </w:r>
          </w:p>
        </w:tc>
      </w:tr>
    </w:tbl>
    <w:p>
      <w:pPr>
        <w:spacing w:after="80" w:before="0"/>
      </w:pPr>
      <w:r>
        <w:rPr>
          <w:rFonts w:ascii="Arial" w:hAnsi="Arial"/>
          <w:b w:val="0"/>
          <w:i w:val="0"/>
          <w:sz w:val="20"/>
        </w:rPr>
        <w:t>DCF base ≈ AED 81/share. Terminal value is 77.8% of EV — a high-terminal structure, disclosed here rather than buried and sensitized on the WACC × g grid in §1.9 (device A-7). We do not blend this AED 81 with the SOTP's AED 120 into a single point (device A-8); the football field in §1.5 carries both, and the weighted central respects the SOTP's primacy for a holding company.</w:t>
      </w:r>
    </w:p>
    <w:p>
      <w:pPr>
        <w:spacing w:before="160" w:after="80"/>
      </w:pPr>
      <w:r>
        <w:rPr>
          <w:rFonts w:ascii="Arial" w:hAnsi="Arial"/>
          <w:b/>
          <w:color w:val="1C3A36"/>
          <w:sz w:val="23"/>
        </w:rPr>
        <w:t>1.3  Relative multiples</w:t>
      </w:r>
    </w:p>
    <w:p>
      <w:pPr>
        <w:spacing w:after="80" w:before="0"/>
      </w:pPr>
      <w:r>
        <w:rPr>
          <w:rFonts w:ascii="Arial" w:hAnsi="Arial"/>
          <w:b w:val="0"/>
          <w:i w:val="0"/>
          <w:sz w:val="20"/>
        </w:rPr>
        <w:t>Conglomerate holding companies almost universally trade at single-digit-to-low-teens P/E and, very often, a discount to book. IHC trades at ~38× trailing P/E and ~5.5× attributable book. Applying peer-appropriate multiples to IHC's own normalized attributable earnings and book gives a fundamental cross-check well below spot. We use a normalized attributable net income of ~AED 18 bn (stripping the lumpiest fair-value gains) at a justified 12× P/E, and attributable book of ~AED 151.5 bn at a justified 1.5× P/B, and take the average of the two marks.</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202"/>
        <w:gridCol w:w="3202"/>
        <w:gridCol w:w="3202"/>
      </w:tblGrid>
      <w:tr>
        <w:tc>
          <w:tcPr>
            <w:tcW w:type="dxa" w:w="4320"/>
            <w:shd w:val="clear" w:fill="1C3A36"/>
          </w:tcPr>
          <w:p>
            <w:pPr>
              <w:spacing w:after="20" w:before="20"/>
            </w:pPr>
            <w:r>
              <w:rPr>
                <w:rFonts w:ascii="Arial" w:hAnsi="Arial"/>
                <w:b/>
                <w:color w:val="FFFFFF"/>
                <w:sz w:val="17"/>
              </w:rPr>
              <w:t>Relative mark</w:t>
            </w:r>
          </w:p>
        </w:tc>
        <w:tc>
          <w:tcPr>
            <w:tcW w:type="dxa" w:w="4032"/>
            <w:shd w:val="clear" w:fill="1C3A36"/>
          </w:tcPr>
          <w:p>
            <w:pPr>
              <w:spacing w:after="20" w:before="20"/>
            </w:pPr>
            <w:r>
              <w:rPr>
                <w:rFonts w:ascii="Arial" w:hAnsi="Arial"/>
                <w:b/>
                <w:color w:val="FFFFFF"/>
                <w:sz w:val="17"/>
              </w:rPr>
              <w:t>Basis</w:t>
            </w:r>
          </w:p>
        </w:tc>
        <w:tc>
          <w:tcPr>
            <w:tcW w:type="dxa" w:w="2016"/>
            <w:shd w:val="clear" w:fill="1C3A36"/>
          </w:tcPr>
          <w:p>
            <w:pPr>
              <w:spacing w:after="20" w:before="20"/>
            </w:pPr>
            <w:r>
              <w:rPr>
                <w:rFonts w:ascii="Arial" w:hAnsi="Arial"/>
                <w:b/>
                <w:color w:val="FFFFFF"/>
                <w:sz w:val="17"/>
              </w:rPr>
              <w:t>Value / share</w:t>
            </w:r>
          </w:p>
        </w:tc>
      </w:tr>
      <w:tr>
        <w:tc>
          <w:tcPr>
            <w:tcW w:type="dxa" w:w="4320"/>
          </w:tcPr>
          <w:p>
            <w:pPr>
              <w:spacing w:after="20" w:before="20"/>
            </w:pPr>
            <w:r>
              <w:rPr>
                <w:rFonts w:ascii="Arial" w:hAnsi="Arial"/>
                <w:sz w:val="17"/>
              </w:rPr>
              <w:t>P/E on normalized attributable NI</w:t>
            </w:r>
          </w:p>
        </w:tc>
        <w:tc>
          <w:tcPr>
            <w:tcW w:type="dxa" w:w="4032"/>
          </w:tcPr>
          <w:p>
            <w:pPr>
              <w:spacing w:after="20" w:before="20"/>
              <w:jc w:val="right"/>
            </w:pPr>
            <w:r>
              <w:rPr>
                <w:rFonts w:ascii="Arial" w:hAnsi="Arial"/>
                <w:sz w:val="17"/>
              </w:rPr>
              <w:t>AED 18.0 bn × 12×</w:t>
            </w:r>
          </w:p>
        </w:tc>
        <w:tc>
          <w:tcPr>
            <w:tcW w:type="dxa" w:w="2016"/>
          </w:tcPr>
          <w:p>
            <w:pPr>
              <w:spacing w:after="20" w:before="20"/>
              <w:jc w:val="right"/>
            </w:pPr>
            <w:r>
              <w:rPr>
                <w:rFonts w:ascii="Arial" w:hAnsi="Arial"/>
                <w:sz w:val="17"/>
              </w:rPr>
              <w:t>AED 99</w:t>
            </w:r>
          </w:p>
        </w:tc>
      </w:tr>
      <w:tr>
        <w:tc>
          <w:tcPr>
            <w:tcW w:type="dxa" w:w="4320"/>
          </w:tcPr>
          <w:p>
            <w:pPr>
              <w:spacing w:after="20" w:before="20"/>
            </w:pPr>
            <w:r>
              <w:rPr>
                <w:rFonts w:ascii="Arial" w:hAnsi="Arial"/>
                <w:sz w:val="17"/>
              </w:rPr>
              <w:t>P/B on attributable book</w:t>
            </w:r>
          </w:p>
        </w:tc>
        <w:tc>
          <w:tcPr>
            <w:tcW w:type="dxa" w:w="4032"/>
          </w:tcPr>
          <w:p>
            <w:pPr>
              <w:spacing w:after="20" w:before="20"/>
              <w:jc w:val="right"/>
            </w:pPr>
            <w:r>
              <w:rPr>
                <w:rFonts w:ascii="Arial" w:hAnsi="Arial"/>
                <w:sz w:val="17"/>
              </w:rPr>
              <w:t>AED 151.5 bn × 1.5×</w:t>
            </w:r>
          </w:p>
        </w:tc>
        <w:tc>
          <w:tcPr>
            <w:tcW w:type="dxa" w:w="2016"/>
          </w:tcPr>
          <w:p>
            <w:pPr>
              <w:spacing w:after="20" w:before="20"/>
              <w:jc w:val="right"/>
            </w:pPr>
            <w:r>
              <w:rPr>
                <w:rFonts w:ascii="Arial" w:hAnsi="Arial"/>
                <w:sz w:val="17"/>
              </w:rPr>
              <w:t>AED 104</w:t>
            </w:r>
          </w:p>
        </w:tc>
      </w:tr>
      <w:tr>
        <w:tc>
          <w:tcPr>
            <w:tcW w:type="dxa" w:w="4320"/>
          </w:tcPr>
          <w:p>
            <w:pPr>
              <w:spacing w:after="20" w:before="20"/>
            </w:pPr>
            <w:r>
              <w:rPr>
                <w:rFonts w:ascii="Arial" w:hAnsi="Arial"/>
                <w:sz w:val="17"/>
              </w:rPr>
              <w:t>Relative — blended (average)</w:t>
            </w:r>
          </w:p>
        </w:tc>
        <w:tc>
          <w:tcPr>
            <w:tcW w:type="dxa" w:w="4032"/>
          </w:tcPr>
          <w:p>
            <w:pPr>
              <w:spacing w:after="20" w:before="20"/>
              <w:jc w:val="right"/>
            </w:pPr>
            <w:r>
              <w:rPr>
                <w:rFonts w:ascii="Arial" w:hAnsi="Arial"/>
                <w:sz w:val="17"/>
              </w:rPr>
            </w:r>
          </w:p>
        </w:tc>
        <w:tc>
          <w:tcPr>
            <w:tcW w:type="dxa" w:w="2016"/>
          </w:tcPr>
          <w:p>
            <w:pPr>
              <w:spacing w:after="20" w:before="20"/>
              <w:jc w:val="right"/>
            </w:pPr>
            <w:r>
              <w:rPr>
                <w:rFonts w:ascii="Arial" w:hAnsi="Arial"/>
                <w:sz w:val="17"/>
              </w:rPr>
              <w:t>AED 102</w:t>
            </w:r>
          </w:p>
        </w:tc>
      </w:tr>
      <w:tr>
        <w:tc>
          <w:tcPr>
            <w:tcW w:type="dxa" w:w="4320"/>
          </w:tcPr>
          <w:p>
            <w:pPr>
              <w:spacing w:after="20" w:before="20"/>
            </w:pPr>
            <w:r>
              <w:rPr>
                <w:rFonts w:ascii="Arial" w:hAnsi="Arial"/>
                <w:sz w:val="17"/>
              </w:rPr>
              <w:t>Memo — IHC current P/E</w:t>
            </w:r>
          </w:p>
        </w:tc>
        <w:tc>
          <w:tcPr>
            <w:tcW w:type="dxa" w:w="4032"/>
          </w:tcPr>
          <w:p>
            <w:pPr>
              <w:spacing w:after="20" w:before="20"/>
              <w:jc w:val="right"/>
            </w:pPr>
            <w:r>
              <w:rPr>
                <w:rFonts w:ascii="Arial" w:hAnsi="Arial"/>
                <w:sz w:val="17"/>
              </w:rPr>
              <w:t>spot × shares ÷ attrib NI FY25</w:t>
            </w:r>
          </w:p>
        </w:tc>
        <w:tc>
          <w:tcPr>
            <w:tcW w:type="dxa" w:w="2016"/>
          </w:tcPr>
          <w:p>
            <w:pPr>
              <w:spacing w:after="20" w:before="20"/>
              <w:jc w:val="right"/>
            </w:pPr>
            <w:r>
              <w:rPr>
                <w:rFonts w:ascii="Arial" w:hAnsi="Arial"/>
                <w:sz w:val="17"/>
              </w:rPr>
              <w:t>~38×</w:t>
            </w:r>
          </w:p>
        </w:tc>
      </w:tr>
      <w:tr>
        <w:tc>
          <w:tcPr>
            <w:tcW w:type="dxa" w:w="4320"/>
          </w:tcPr>
          <w:p>
            <w:pPr>
              <w:spacing w:after="20" w:before="20"/>
            </w:pPr>
            <w:r>
              <w:rPr>
                <w:rFonts w:ascii="Arial" w:hAnsi="Arial"/>
                <w:sz w:val="17"/>
              </w:rPr>
              <w:t>Memo — IHC current P/B</w:t>
            </w:r>
          </w:p>
        </w:tc>
        <w:tc>
          <w:tcPr>
            <w:tcW w:type="dxa" w:w="4032"/>
          </w:tcPr>
          <w:p>
            <w:pPr>
              <w:spacing w:after="20" w:before="20"/>
              <w:jc w:val="right"/>
            </w:pPr>
            <w:r>
              <w:rPr>
                <w:rFonts w:ascii="Arial" w:hAnsi="Arial"/>
                <w:sz w:val="17"/>
              </w:rPr>
              <w:t>spot × shares ÷ attrib book</w:t>
            </w:r>
          </w:p>
        </w:tc>
        <w:tc>
          <w:tcPr>
            <w:tcW w:type="dxa" w:w="2016"/>
          </w:tcPr>
          <w:p>
            <w:pPr>
              <w:spacing w:after="20" w:before="20"/>
              <w:jc w:val="right"/>
            </w:pPr>
            <w:r>
              <w:rPr>
                <w:rFonts w:ascii="Arial" w:hAnsi="Arial"/>
                <w:sz w:val="17"/>
              </w:rPr>
              <w:t>~5.5×</w:t>
            </w:r>
          </w:p>
        </w:tc>
      </w:tr>
    </w:tbl>
    <w:p>
      <w:pPr>
        <w:spacing w:after="80" w:before="0"/>
      </w:pPr>
      <w:r>
        <w:rPr>
          <w:rFonts w:ascii="Arial" w:hAnsi="Arial"/>
          <w:b w:val="0"/>
          <w:i w:val="0"/>
          <w:sz w:val="20"/>
        </w:rPr>
        <w:t>Relative base ≈ AED 102/share. The memo lines make the outlier plain: even generous justified multiples (12× / 1.5×) are a fraction of what the market currently pays.</w:t>
      </w:r>
    </w:p>
    <w:p>
      <w:pPr>
        <w:spacing w:before="160" w:after="80"/>
      </w:pPr>
      <w:r>
        <w:rPr>
          <w:rFonts w:ascii="Arial" w:hAnsi="Arial"/>
          <w:b/>
          <w:color w:val="1C3A36"/>
          <w:sz w:val="23"/>
        </w:rPr>
        <w:t>1.4  Normalized earnings power — with peak / mid-cycle framing</w:t>
      </w:r>
    </w:p>
    <w:p>
      <w:pPr>
        <w:spacing w:after="80" w:before="0"/>
      </w:pPr>
      <w:r>
        <w:rPr>
          <w:rFonts w:ascii="Arial" w:hAnsi="Arial"/>
          <w:b w:val="0"/>
          <w:i w:val="0"/>
          <w:sz w:val="20"/>
        </w:rPr>
        <w:t>For a holding company we replace a developer-style property-cycle frame with a peak / mid-cycle earnings frame (device A-6). IHC's FY2025 profit sits at a cyclical high, inflated by portfolio revaluation and deal gains that need not recur: group PAT of AED 34.7 bn against operating EBITDA of ~AED 22.7 bn is the tell — a large slice of profit is non-cash fair-value uplift. Mid-cycle recurring attributable earnings — operating income plus a normalized, through-the-cycle contribution from associates and the investment book, but excluding one-off revaluation spikes — are closer to ~AED 16.5 bn. Capitalized at a mid-cycle 12×, that is ~AED 91/share.</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802"/>
        <w:gridCol w:w="4802"/>
      </w:tblGrid>
      <w:tr>
        <w:tc>
          <w:tcPr>
            <w:tcW w:type="dxa" w:w="6624"/>
            <w:shd w:val="clear" w:fill="1C3A36"/>
          </w:tcPr>
          <w:p>
            <w:pPr>
              <w:spacing w:after="20" w:before="20"/>
            </w:pPr>
            <w:r>
              <w:rPr>
                <w:rFonts w:ascii="Arial" w:hAnsi="Arial"/>
                <w:b/>
                <w:color w:val="FFFFFF"/>
                <w:sz w:val="17"/>
              </w:rPr>
              <w:t>Normalization</w:t>
            </w:r>
          </w:p>
        </w:tc>
        <w:tc>
          <w:tcPr>
            <w:tcW w:type="dxa" w:w="2304"/>
            <w:shd w:val="clear" w:fill="1C3A36"/>
          </w:tcPr>
          <w:p>
            <w:pPr>
              <w:spacing w:after="20" w:before="20"/>
            </w:pPr>
            <w:r>
              <w:rPr>
                <w:rFonts w:ascii="Arial" w:hAnsi="Arial"/>
                <w:b/>
                <w:color w:val="FFFFFF"/>
                <w:sz w:val="17"/>
              </w:rPr>
              <w:t>Value</w:t>
            </w:r>
          </w:p>
        </w:tc>
      </w:tr>
      <w:tr>
        <w:tc>
          <w:tcPr>
            <w:tcW w:type="dxa" w:w="6624"/>
          </w:tcPr>
          <w:p>
            <w:pPr>
              <w:spacing w:after="20" w:before="20"/>
            </w:pPr>
            <w:r>
              <w:rPr>
                <w:rFonts w:ascii="Arial" w:hAnsi="Arial"/>
                <w:sz w:val="17"/>
              </w:rPr>
              <w:t>Reported attributable NI (FY2025, peak)</w:t>
            </w:r>
          </w:p>
        </w:tc>
        <w:tc>
          <w:tcPr>
            <w:tcW w:type="dxa" w:w="2304"/>
          </w:tcPr>
          <w:p>
            <w:pPr>
              <w:spacing w:after="20" w:before="20"/>
              <w:jc w:val="right"/>
            </w:pPr>
            <w:r>
              <w:rPr>
                <w:rFonts w:ascii="Arial" w:hAnsi="Arial"/>
                <w:sz w:val="17"/>
              </w:rPr>
              <w:t>~AED 21.6 bn</w:t>
            </w:r>
          </w:p>
        </w:tc>
      </w:tr>
      <w:tr>
        <w:tc>
          <w:tcPr>
            <w:tcW w:type="dxa" w:w="6624"/>
          </w:tcPr>
          <w:p>
            <w:pPr>
              <w:spacing w:after="20" w:before="20"/>
            </w:pPr>
            <w:r>
              <w:rPr>
                <w:rFonts w:ascii="Arial" w:hAnsi="Arial"/>
                <w:sz w:val="17"/>
              </w:rPr>
              <w:t>less: estimated one-off revaluation / deal gains</w:t>
            </w:r>
          </w:p>
        </w:tc>
        <w:tc>
          <w:tcPr>
            <w:tcW w:type="dxa" w:w="2304"/>
          </w:tcPr>
          <w:p>
            <w:pPr>
              <w:spacing w:after="20" w:before="20"/>
              <w:jc w:val="right"/>
            </w:pPr>
            <w:r>
              <w:rPr>
                <w:rFonts w:ascii="Arial" w:hAnsi="Arial"/>
                <w:sz w:val="17"/>
              </w:rPr>
              <w:t>(~AED 5.1 bn)</w:t>
            </w:r>
          </w:p>
        </w:tc>
      </w:tr>
      <w:tr>
        <w:tc>
          <w:tcPr>
            <w:tcW w:type="dxa" w:w="6624"/>
          </w:tcPr>
          <w:p>
            <w:pPr>
              <w:spacing w:after="20" w:before="20"/>
            </w:pPr>
            <w:r>
              <w:rPr>
                <w:rFonts w:ascii="Arial" w:hAnsi="Arial"/>
                <w:sz w:val="17"/>
              </w:rPr>
              <w:t>Mid-cycle recurring attributable earnings</w:t>
            </w:r>
          </w:p>
        </w:tc>
        <w:tc>
          <w:tcPr>
            <w:tcW w:type="dxa" w:w="2304"/>
          </w:tcPr>
          <w:p>
            <w:pPr>
              <w:spacing w:after="20" w:before="20"/>
              <w:jc w:val="right"/>
            </w:pPr>
            <w:r>
              <w:rPr>
                <w:rFonts w:ascii="Arial" w:hAnsi="Arial"/>
                <w:sz w:val="17"/>
              </w:rPr>
              <w:t>~AED 16.5 bn</w:t>
            </w:r>
          </w:p>
        </w:tc>
      </w:tr>
      <w:tr>
        <w:tc>
          <w:tcPr>
            <w:tcW w:type="dxa" w:w="6624"/>
          </w:tcPr>
          <w:p>
            <w:pPr>
              <w:spacing w:after="20" w:before="20"/>
            </w:pPr>
            <w:r>
              <w:rPr>
                <w:rFonts w:ascii="Arial" w:hAnsi="Arial"/>
                <w:sz w:val="17"/>
              </w:rPr>
              <w:t>× mid-cycle P/E</w:t>
            </w:r>
          </w:p>
        </w:tc>
        <w:tc>
          <w:tcPr>
            <w:tcW w:type="dxa" w:w="2304"/>
          </w:tcPr>
          <w:p>
            <w:pPr>
              <w:spacing w:after="20" w:before="20"/>
              <w:jc w:val="right"/>
            </w:pPr>
            <w:r>
              <w:rPr>
                <w:rFonts w:ascii="Arial" w:hAnsi="Arial"/>
                <w:sz w:val="17"/>
              </w:rPr>
              <w:t>12×</w:t>
            </w:r>
          </w:p>
        </w:tc>
      </w:tr>
      <w:tr>
        <w:tc>
          <w:tcPr>
            <w:tcW w:type="dxa" w:w="6624"/>
          </w:tcPr>
          <w:p>
            <w:pPr>
              <w:spacing w:after="20" w:before="20"/>
            </w:pPr>
            <w:r>
              <w:rPr>
                <w:rFonts w:ascii="Arial" w:hAnsi="Arial"/>
                <w:sz w:val="17"/>
              </w:rPr>
              <w:t>Normalized fair value per share</w:t>
            </w:r>
          </w:p>
        </w:tc>
        <w:tc>
          <w:tcPr>
            <w:tcW w:type="dxa" w:w="2304"/>
          </w:tcPr>
          <w:p>
            <w:pPr>
              <w:spacing w:after="20" w:before="20"/>
              <w:jc w:val="right"/>
            </w:pPr>
            <w:r>
              <w:rPr>
                <w:rFonts w:ascii="Arial" w:hAnsi="Arial"/>
                <w:sz w:val="17"/>
              </w:rPr>
              <w:t>AED 91</w:t>
            </w:r>
          </w:p>
        </w:tc>
      </w:tr>
    </w:tbl>
    <w:p>
      <w:pPr>
        <w:spacing w:after="80" w:before="0"/>
      </w:pPr>
      <w:r>
        <w:rPr>
          <w:rFonts w:ascii="Arial" w:hAnsi="Arial"/>
          <w:b w:val="0"/>
          <w:i w:val="0"/>
          <w:sz w:val="20"/>
        </w:rPr>
        <w:t>Normalized base ≈ AED 91/share. The exercise is deliberately conservative on the recurrence of investment gains — the point of the frame is that the market appears to capitalize peak, revaluation-inflated earnings as though they were a durable run-rate.</w:t>
      </w:r>
    </w:p>
    <w:p>
      <w:pPr>
        <w:spacing w:before="160" w:after="80"/>
      </w:pPr>
      <w:r>
        <w:rPr>
          <w:rFonts w:ascii="Arial" w:hAnsi="Arial"/>
          <w:b/>
          <w:color w:val="1C3A36"/>
          <w:sz w:val="23"/>
        </w:rPr>
        <w:t>1.5  Synthesis — five lenses and the football field</w:t>
      </w:r>
    </w:p>
    <w:p>
      <w:pPr>
        <w:spacing w:after="80" w:before="0"/>
      </w:pPr>
      <w:r>
        <w:rPr>
          <w:rFonts w:ascii="Arial" w:hAnsi="Arial"/>
          <w:b w:val="0"/>
          <w:i w:val="0"/>
          <w:sz w:val="20"/>
        </w:rPr>
        <w:t>We weight the four fundamental lenses toward the SOTP, which is the correct anchor for a holding company, and treat the operating DCF as a conservative floor. No lens is blended into a single point; the football field shows the full spread against spot.</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921"/>
        <w:gridCol w:w="1921"/>
        <w:gridCol w:w="1921"/>
        <w:gridCol w:w="1921"/>
        <w:gridCol w:w="1921"/>
      </w:tblGrid>
      <w:tr>
        <w:tc>
          <w:tcPr>
            <w:tcW w:type="dxa" w:w="4176"/>
            <w:shd w:val="clear" w:fill="1C3A36"/>
          </w:tcPr>
          <w:p>
            <w:pPr>
              <w:spacing w:after="20" w:before="20"/>
            </w:pPr>
            <w:r>
              <w:rPr>
                <w:rFonts w:ascii="Arial" w:hAnsi="Arial"/>
                <w:b/>
                <w:color w:val="FFFFFF"/>
                <w:sz w:val="17"/>
              </w:rPr>
              <w:t>Lens</w:t>
            </w:r>
          </w:p>
        </w:tc>
        <w:tc>
          <w:tcPr>
            <w:tcW w:type="dxa" w:w="1440"/>
            <w:shd w:val="clear" w:fill="1C3A36"/>
          </w:tcPr>
          <w:p>
            <w:pPr>
              <w:spacing w:after="20" w:before="20"/>
            </w:pPr>
            <w:r>
              <w:rPr>
                <w:rFonts w:ascii="Arial" w:hAnsi="Arial"/>
                <w:b/>
                <w:color w:val="FFFFFF"/>
                <w:sz w:val="17"/>
              </w:rPr>
              <w:t>Bear</w:t>
            </w:r>
          </w:p>
        </w:tc>
        <w:tc>
          <w:tcPr>
            <w:tcW w:type="dxa" w:w="1440"/>
            <w:shd w:val="clear" w:fill="1C3A36"/>
          </w:tcPr>
          <w:p>
            <w:pPr>
              <w:spacing w:after="20" w:before="20"/>
            </w:pPr>
            <w:r>
              <w:rPr>
                <w:rFonts w:ascii="Arial" w:hAnsi="Arial"/>
                <w:b/>
                <w:color w:val="FFFFFF"/>
                <w:sz w:val="17"/>
              </w:rPr>
              <w:t>Base</w:t>
            </w:r>
          </w:p>
        </w:tc>
        <w:tc>
          <w:tcPr>
            <w:tcW w:type="dxa" w:w="1440"/>
            <w:shd w:val="clear" w:fill="1C3A36"/>
          </w:tcPr>
          <w:p>
            <w:pPr>
              <w:spacing w:after="20" w:before="20"/>
            </w:pPr>
            <w:r>
              <w:rPr>
                <w:rFonts w:ascii="Arial" w:hAnsi="Arial"/>
                <w:b/>
                <w:color w:val="FFFFFF"/>
                <w:sz w:val="17"/>
              </w:rPr>
              <w:t>Bull</w:t>
            </w:r>
          </w:p>
        </w:tc>
        <w:tc>
          <w:tcPr>
            <w:tcW w:type="dxa" w:w="1440"/>
            <w:shd w:val="clear" w:fill="1C3A36"/>
          </w:tcPr>
          <w:p>
            <w:pPr>
              <w:spacing w:after="20" w:before="20"/>
            </w:pPr>
            <w:r>
              <w:rPr>
                <w:rFonts w:ascii="Arial" w:hAnsi="Arial"/>
                <w:b/>
                <w:color w:val="FFFFFF"/>
                <w:sz w:val="17"/>
              </w:rPr>
              <w:t>Weight</w:t>
            </w:r>
          </w:p>
        </w:tc>
      </w:tr>
      <w:tr>
        <w:tc>
          <w:tcPr>
            <w:tcW w:type="dxa" w:w="4176"/>
          </w:tcPr>
          <w:p>
            <w:pPr>
              <w:spacing w:after="20" w:before="20"/>
            </w:pPr>
            <w:r>
              <w:rPr>
                <w:rFonts w:ascii="Arial" w:hAnsi="Arial"/>
                <w:sz w:val="17"/>
              </w:rPr>
              <w:t>Sum-of-the-parts (NAV)</w:t>
            </w:r>
          </w:p>
        </w:tc>
        <w:tc>
          <w:tcPr>
            <w:tcW w:type="dxa" w:w="1440"/>
          </w:tcPr>
          <w:p>
            <w:pPr>
              <w:spacing w:after="20" w:before="20"/>
              <w:jc w:val="right"/>
            </w:pPr>
            <w:r>
              <w:rPr>
                <w:rFonts w:ascii="Arial" w:hAnsi="Arial"/>
                <w:sz w:val="17"/>
              </w:rPr>
              <w:t>95</w:t>
            </w:r>
          </w:p>
        </w:tc>
        <w:tc>
          <w:tcPr>
            <w:tcW w:type="dxa" w:w="1440"/>
          </w:tcPr>
          <w:p>
            <w:pPr>
              <w:spacing w:after="20" w:before="20"/>
              <w:jc w:val="right"/>
            </w:pPr>
            <w:r>
              <w:rPr>
                <w:rFonts w:ascii="Arial" w:hAnsi="Arial"/>
                <w:sz w:val="17"/>
              </w:rPr>
              <w:t>120</w:t>
            </w:r>
          </w:p>
        </w:tc>
        <w:tc>
          <w:tcPr>
            <w:tcW w:type="dxa" w:w="1440"/>
          </w:tcPr>
          <w:p>
            <w:pPr>
              <w:spacing w:after="20" w:before="20"/>
              <w:jc w:val="right"/>
            </w:pPr>
            <w:r>
              <w:rPr>
                <w:rFonts w:ascii="Arial" w:hAnsi="Arial"/>
                <w:sz w:val="17"/>
              </w:rPr>
              <w:t>175</w:t>
            </w:r>
          </w:p>
        </w:tc>
        <w:tc>
          <w:tcPr>
            <w:tcW w:type="dxa" w:w="1440"/>
          </w:tcPr>
          <w:p>
            <w:pPr>
              <w:spacing w:after="20" w:before="20"/>
              <w:jc w:val="right"/>
            </w:pPr>
            <w:r>
              <w:rPr>
                <w:rFonts w:ascii="Arial" w:hAnsi="Arial"/>
                <w:sz w:val="17"/>
              </w:rPr>
              <w:t>45%</w:t>
            </w:r>
          </w:p>
        </w:tc>
      </w:tr>
      <w:tr>
        <w:tc>
          <w:tcPr>
            <w:tcW w:type="dxa" w:w="4176"/>
          </w:tcPr>
          <w:p>
            <w:pPr>
              <w:spacing w:after="20" w:before="20"/>
            </w:pPr>
            <w:r>
              <w:rPr>
                <w:rFonts w:ascii="Arial" w:hAnsi="Arial"/>
                <w:sz w:val="17"/>
              </w:rPr>
              <w:t>Consolidated DCF (operating)</w:t>
            </w:r>
          </w:p>
        </w:tc>
        <w:tc>
          <w:tcPr>
            <w:tcW w:type="dxa" w:w="1440"/>
          </w:tcPr>
          <w:p>
            <w:pPr>
              <w:spacing w:after="20" w:before="20"/>
              <w:jc w:val="right"/>
            </w:pPr>
            <w:r>
              <w:rPr>
                <w:rFonts w:ascii="Arial" w:hAnsi="Arial"/>
                <w:sz w:val="17"/>
              </w:rPr>
              <w:t>55</w:t>
            </w:r>
          </w:p>
        </w:tc>
        <w:tc>
          <w:tcPr>
            <w:tcW w:type="dxa" w:w="1440"/>
          </w:tcPr>
          <w:p>
            <w:pPr>
              <w:spacing w:after="20" w:before="20"/>
              <w:jc w:val="right"/>
            </w:pPr>
            <w:r>
              <w:rPr>
                <w:rFonts w:ascii="Arial" w:hAnsi="Arial"/>
                <w:sz w:val="17"/>
              </w:rPr>
              <w:t>81</w:t>
            </w:r>
          </w:p>
        </w:tc>
        <w:tc>
          <w:tcPr>
            <w:tcW w:type="dxa" w:w="1440"/>
          </w:tcPr>
          <w:p>
            <w:pPr>
              <w:spacing w:after="20" w:before="20"/>
              <w:jc w:val="right"/>
            </w:pPr>
            <w:r>
              <w:rPr>
                <w:rFonts w:ascii="Arial" w:hAnsi="Arial"/>
                <w:sz w:val="17"/>
              </w:rPr>
              <w:t>130</w:t>
            </w:r>
          </w:p>
        </w:tc>
        <w:tc>
          <w:tcPr>
            <w:tcW w:type="dxa" w:w="1440"/>
          </w:tcPr>
          <w:p>
            <w:pPr>
              <w:spacing w:after="20" w:before="20"/>
              <w:jc w:val="right"/>
            </w:pPr>
            <w:r>
              <w:rPr>
                <w:rFonts w:ascii="Arial" w:hAnsi="Arial"/>
                <w:sz w:val="17"/>
              </w:rPr>
              <w:t>15%</w:t>
            </w:r>
          </w:p>
        </w:tc>
      </w:tr>
      <w:tr>
        <w:tc>
          <w:tcPr>
            <w:tcW w:type="dxa" w:w="4176"/>
          </w:tcPr>
          <w:p>
            <w:pPr>
              <w:spacing w:after="20" w:before="20"/>
            </w:pPr>
            <w:r>
              <w:rPr>
                <w:rFonts w:ascii="Arial" w:hAnsi="Arial"/>
                <w:sz w:val="17"/>
              </w:rPr>
              <w:t>Relative multiples</w:t>
            </w:r>
          </w:p>
        </w:tc>
        <w:tc>
          <w:tcPr>
            <w:tcW w:type="dxa" w:w="1440"/>
          </w:tcPr>
          <w:p>
            <w:pPr>
              <w:spacing w:after="20" w:before="20"/>
              <w:jc w:val="right"/>
            </w:pPr>
            <w:r>
              <w:rPr>
                <w:rFonts w:ascii="Arial" w:hAnsi="Arial"/>
                <w:sz w:val="17"/>
              </w:rPr>
              <w:t>85</w:t>
            </w:r>
          </w:p>
        </w:tc>
        <w:tc>
          <w:tcPr>
            <w:tcW w:type="dxa" w:w="1440"/>
          </w:tcPr>
          <w:p>
            <w:pPr>
              <w:spacing w:after="20" w:before="20"/>
              <w:jc w:val="right"/>
            </w:pPr>
            <w:r>
              <w:rPr>
                <w:rFonts w:ascii="Arial" w:hAnsi="Arial"/>
                <w:sz w:val="17"/>
              </w:rPr>
              <w:t>102</w:t>
            </w:r>
          </w:p>
        </w:tc>
        <w:tc>
          <w:tcPr>
            <w:tcW w:type="dxa" w:w="1440"/>
          </w:tcPr>
          <w:p>
            <w:pPr>
              <w:spacing w:after="20" w:before="20"/>
              <w:jc w:val="right"/>
            </w:pPr>
            <w:r>
              <w:rPr>
                <w:rFonts w:ascii="Arial" w:hAnsi="Arial"/>
                <w:sz w:val="17"/>
              </w:rPr>
              <w:t>160</w:t>
            </w:r>
          </w:p>
        </w:tc>
        <w:tc>
          <w:tcPr>
            <w:tcW w:type="dxa" w:w="1440"/>
          </w:tcPr>
          <w:p>
            <w:pPr>
              <w:spacing w:after="20" w:before="20"/>
              <w:jc w:val="right"/>
            </w:pPr>
            <w:r>
              <w:rPr>
                <w:rFonts w:ascii="Arial" w:hAnsi="Arial"/>
                <w:sz w:val="17"/>
              </w:rPr>
              <w:t>20%</w:t>
            </w:r>
          </w:p>
        </w:tc>
      </w:tr>
      <w:tr>
        <w:tc>
          <w:tcPr>
            <w:tcW w:type="dxa" w:w="4176"/>
          </w:tcPr>
          <w:p>
            <w:pPr>
              <w:spacing w:after="20" w:before="20"/>
            </w:pPr>
            <w:r>
              <w:rPr>
                <w:rFonts w:ascii="Arial" w:hAnsi="Arial"/>
                <w:sz w:val="17"/>
              </w:rPr>
              <w:t>Normalized earnings (mid-cycle)</w:t>
            </w:r>
          </w:p>
        </w:tc>
        <w:tc>
          <w:tcPr>
            <w:tcW w:type="dxa" w:w="1440"/>
          </w:tcPr>
          <w:p>
            <w:pPr>
              <w:spacing w:after="20" w:before="20"/>
              <w:jc w:val="right"/>
            </w:pPr>
            <w:r>
              <w:rPr>
                <w:rFonts w:ascii="Arial" w:hAnsi="Arial"/>
                <w:sz w:val="17"/>
              </w:rPr>
              <w:t>80</w:t>
            </w:r>
          </w:p>
        </w:tc>
        <w:tc>
          <w:tcPr>
            <w:tcW w:type="dxa" w:w="1440"/>
          </w:tcPr>
          <w:p>
            <w:pPr>
              <w:spacing w:after="20" w:before="20"/>
              <w:jc w:val="right"/>
            </w:pPr>
            <w:r>
              <w:rPr>
                <w:rFonts w:ascii="Arial" w:hAnsi="Arial"/>
                <w:sz w:val="17"/>
              </w:rPr>
              <w:t>91</w:t>
            </w:r>
          </w:p>
        </w:tc>
        <w:tc>
          <w:tcPr>
            <w:tcW w:type="dxa" w:w="1440"/>
          </w:tcPr>
          <w:p>
            <w:pPr>
              <w:spacing w:after="20" w:before="20"/>
              <w:jc w:val="right"/>
            </w:pPr>
            <w:r>
              <w:rPr>
                <w:rFonts w:ascii="Arial" w:hAnsi="Arial"/>
                <w:sz w:val="17"/>
              </w:rPr>
              <w:t>145</w:t>
            </w:r>
          </w:p>
        </w:tc>
        <w:tc>
          <w:tcPr>
            <w:tcW w:type="dxa" w:w="1440"/>
          </w:tcPr>
          <w:p>
            <w:pPr>
              <w:spacing w:after="20" w:before="20"/>
              <w:jc w:val="right"/>
            </w:pPr>
            <w:r>
              <w:rPr>
                <w:rFonts w:ascii="Arial" w:hAnsi="Arial"/>
                <w:sz w:val="17"/>
              </w:rPr>
              <w:t>20%</w:t>
            </w:r>
          </w:p>
        </w:tc>
      </w:tr>
      <w:tr>
        <w:tc>
          <w:tcPr>
            <w:tcW w:type="dxa" w:w="4176"/>
          </w:tcPr>
          <w:p>
            <w:pPr>
              <w:spacing w:after="20" w:before="20"/>
            </w:pPr>
            <w:r>
              <w:rPr>
                <w:rFonts w:ascii="Arial" w:hAnsi="Arial"/>
                <w:sz w:val="17"/>
              </w:rPr>
              <w:t>Weighted central</w:t>
            </w:r>
          </w:p>
        </w:tc>
        <w:tc>
          <w:tcPr>
            <w:tcW w:type="dxa" w:w="1440"/>
          </w:tcPr>
          <w:p>
            <w:pPr>
              <w:spacing w:after="20" w:before="20"/>
              <w:jc w:val="right"/>
            </w:pPr>
            <w:r>
              <w:rPr>
                <w:rFonts w:ascii="Arial" w:hAnsi="Arial"/>
                <w:sz w:val="17"/>
              </w:rPr>
              <w:t>78</w:t>
            </w:r>
          </w:p>
        </w:tc>
        <w:tc>
          <w:tcPr>
            <w:tcW w:type="dxa" w:w="1440"/>
          </w:tcPr>
          <w:p>
            <w:pPr>
              <w:spacing w:after="20" w:before="20"/>
              <w:jc w:val="right"/>
            </w:pPr>
            <w:r>
              <w:rPr>
                <w:rFonts w:ascii="Arial" w:hAnsi="Arial"/>
                <w:sz w:val="17"/>
              </w:rPr>
              <w:t>105</w:t>
            </w:r>
          </w:p>
        </w:tc>
        <w:tc>
          <w:tcPr>
            <w:tcW w:type="dxa" w:w="1440"/>
          </w:tcPr>
          <w:p>
            <w:pPr>
              <w:spacing w:after="20" w:before="20"/>
              <w:jc w:val="right"/>
            </w:pPr>
            <w:r>
              <w:rPr>
                <w:rFonts w:ascii="Arial" w:hAnsi="Arial"/>
                <w:sz w:val="17"/>
              </w:rPr>
              <w:t>150</w:t>
            </w:r>
          </w:p>
        </w:tc>
        <w:tc>
          <w:tcPr>
            <w:tcW w:type="dxa" w:w="1440"/>
          </w:tcPr>
          <w:p>
            <w:pPr>
              <w:spacing w:after="20" w:before="20"/>
              <w:jc w:val="right"/>
            </w:pPr>
            <w:r>
              <w:rPr>
                <w:rFonts w:ascii="Arial" w:hAnsi="Arial"/>
                <w:sz w:val="17"/>
              </w:rPr>
              <w:t>100%</w:t>
            </w:r>
          </w:p>
        </w:tc>
      </w:tr>
      <w:tr>
        <w:tc>
          <w:tcPr>
            <w:tcW w:type="dxa" w:w="4176"/>
          </w:tcPr>
          <w:p>
            <w:pPr>
              <w:spacing w:after="20" w:before="20"/>
            </w:pPr>
            <w:r>
              <w:rPr>
                <w:rFonts w:ascii="Arial" w:hAnsi="Arial"/>
                <w:sz w:val="17"/>
              </w:rPr>
              <w:t>Spot</w:t>
            </w:r>
          </w:p>
        </w:tc>
        <w:tc>
          <w:tcPr>
            <w:tcW w:type="dxa" w:w="1440"/>
          </w:tcPr>
          <w:p>
            <w:pPr>
              <w:spacing w:after="20" w:before="20"/>
              <w:jc w:val="right"/>
            </w:pPr>
            <w:r>
              <w:rPr>
                <w:rFonts w:ascii="Arial" w:hAnsi="Arial"/>
                <w:sz w:val="17"/>
              </w:rPr>
            </w:r>
          </w:p>
        </w:tc>
        <w:tc>
          <w:tcPr>
            <w:tcW w:type="dxa" w:w="1440"/>
          </w:tcPr>
          <w:p>
            <w:pPr>
              <w:spacing w:after="20" w:before="20"/>
              <w:jc w:val="right"/>
            </w:pPr>
            <w:r>
              <w:rPr>
                <w:rFonts w:ascii="Arial" w:hAnsi="Arial"/>
                <w:sz w:val="17"/>
              </w:rPr>
              <w:t>382</w:t>
            </w:r>
          </w:p>
        </w:tc>
        <w:tc>
          <w:tcPr>
            <w:tcW w:type="dxa" w:w="1440"/>
          </w:tcPr>
          <w:p>
            <w:pPr>
              <w:spacing w:after="20" w:before="20"/>
              <w:jc w:val="right"/>
            </w:pPr>
            <w:r>
              <w:rPr>
                <w:rFonts w:ascii="Arial" w:hAnsi="Arial"/>
                <w:sz w:val="17"/>
              </w:rPr>
            </w:r>
          </w:p>
        </w:tc>
        <w:tc>
          <w:tcPr>
            <w:tcW w:type="dxa" w:w="1440"/>
          </w:tcPr>
          <w:p>
            <w:pPr>
              <w:spacing w:after="20" w:before="20"/>
              <w:jc w:val="right"/>
            </w:pPr>
            <w:r>
              <w:rPr>
                <w:rFonts w:ascii="Arial" w:hAnsi="Arial"/>
                <w:sz w:val="17"/>
              </w:rPr>
            </w:r>
          </w:p>
        </w:tc>
      </w:tr>
    </w:tbl>
    <w:p>
      <w:pPr>
        <w:jc w:val="center"/>
      </w:pPr>
      <w:r>
        <w:drawing>
          <wp:inline xmlns:a="http://schemas.openxmlformats.org/drawingml/2006/main" xmlns:pic="http://schemas.openxmlformats.org/drawingml/2006/picture">
            <wp:extent cx="5669280" cy="2911252"/>
            <wp:docPr id="3" name="Picture 3"/>
            <wp:cNvGraphicFramePr>
              <a:graphicFrameLocks noChangeAspect="1"/>
            </wp:cNvGraphicFramePr>
            <a:graphic>
              <a:graphicData uri="http://schemas.openxmlformats.org/drawingml/2006/picture">
                <pic:pic>
                  <pic:nvPicPr>
                    <pic:cNvPr id="0" name="football_field.png"/>
                    <pic:cNvPicPr/>
                  </pic:nvPicPr>
                  <pic:blipFill>
                    <a:blip r:embed="rId11"/>
                    <a:stretch>
                      <a:fillRect/>
                    </a:stretch>
                  </pic:blipFill>
                  <pic:spPr>
                    <a:xfrm>
                      <a:off x="0" y="0"/>
                      <a:ext cx="5669280" cy="2911252"/>
                    </a:xfrm>
                    <a:prstGeom prst="rect"/>
                  </pic:spPr>
                </pic:pic>
              </a:graphicData>
            </a:graphic>
          </wp:inline>
        </w:drawing>
      </w:r>
    </w:p>
    <w:p>
      <w:pPr>
        <w:spacing w:after="120" w:before="0"/>
        <w:jc w:val="center"/>
      </w:pPr>
      <w:r>
        <w:rPr>
          <w:rFonts w:ascii="Arial" w:hAnsi="Arial"/>
          <w:b w:val="0"/>
          <w:i/>
          <w:color w:val="555555"/>
          <w:sz w:val="17"/>
        </w:rPr>
        <w:t>Figure 3. Valuation football field — every fundamental lens sits far below spot (gold).</w:t>
      </w:r>
    </w:p>
    <w:p>
      <w:pPr>
        <w:spacing w:after="80" w:before="0"/>
      </w:pPr>
      <w:r>
        <w:rPr>
          <w:rFonts w:ascii="Arial" w:hAnsi="Arial"/>
          <w:b w:val="0"/>
          <w:i w:val="0"/>
          <w:sz w:val="20"/>
        </w:rPr>
        <w:t>Weighted central ≈ AED 105/share versus AED 382 spot — a market premium to fundamental value of ~266%. The reads cluster in a AED 81–120 base band; the disagreement among them is small relative to their common distance from the market price. The valuation question is not resolved by choosing among the lenses — it is displaced entirely onto the premium, which §1.7 confronts directly.</w:t>
      </w:r>
    </w:p>
    <w:p>
      <w:pPr>
        <w:spacing w:before="160" w:after="80"/>
      </w:pPr>
      <w:r>
        <w:rPr>
          <w:rFonts w:ascii="Arial" w:hAnsi="Arial"/>
          <w:b/>
          <w:color w:val="1C3A36"/>
          <w:sz w:val="23"/>
        </w:rPr>
        <w:t>1.6  The holding-company assets — a deeper look, and the SOTP-per-share table</w:t>
      </w:r>
    </w:p>
    <w:p>
      <w:pPr>
        <w:spacing w:after="80" w:before="0"/>
      </w:pPr>
      <w:r>
        <w:rPr>
          <w:rFonts w:ascii="Arial" w:hAnsi="Arial"/>
          <w:b w:val="0"/>
          <w:i w:val="0"/>
          <w:sz w:val="20"/>
        </w:rPr>
        <w:t>The holdco 'Data Miner' below restates the SOTP on a per-share, %-of-value basis (the disciplined-holdco table), so the contribution of each leg is explicit. The listed stakes — Alpha Dhabi and the merging Multiply / 2PointZero / Ghitha entity — are ~45% of gross asset value and are the marks a reader can most readily verify against live ADX prices. The unlisted platforms are ~45% and are the flagged estimates: IRH (metals, including tin and copper exposure) is the largest and the most uncertain; RIQ (reinsurance) is early-stage; the private tail is book-based across a very large number of subsidiaries. Holding-level net cash is the remaining ~8%.</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2401"/>
        <w:gridCol w:w="2401"/>
        <w:gridCol w:w="2401"/>
        <w:gridCol w:w="2401"/>
      </w:tblGrid>
      <w:tr>
        <w:tc>
          <w:tcPr>
            <w:tcW w:type="dxa" w:w="4608"/>
            <w:shd w:val="clear" w:fill="1C3A36"/>
          </w:tcPr>
          <w:p>
            <w:pPr>
              <w:spacing w:after="20" w:before="20"/>
            </w:pPr>
            <w:r>
              <w:rPr>
                <w:rFonts w:ascii="Arial" w:hAnsi="Arial"/>
                <w:b/>
                <w:color w:val="FFFFFF"/>
                <w:sz w:val="17"/>
              </w:rPr>
              <w:t>Leg</w:t>
            </w:r>
          </w:p>
        </w:tc>
        <w:tc>
          <w:tcPr>
            <w:tcW w:type="dxa" w:w="1584"/>
            <w:shd w:val="clear" w:fill="1C3A36"/>
          </w:tcPr>
          <w:p>
            <w:pPr>
              <w:spacing w:after="20" w:before="20"/>
            </w:pPr>
            <w:r>
              <w:rPr>
                <w:rFonts w:ascii="Arial" w:hAnsi="Arial"/>
                <w:b/>
                <w:color w:val="FFFFFF"/>
                <w:sz w:val="17"/>
              </w:rPr>
              <w:t>AED bn</w:t>
            </w:r>
          </w:p>
        </w:tc>
        <w:tc>
          <w:tcPr>
            <w:tcW w:type="dxa" w:w="1728"/>
            <w:shd w:val="clear" w:fill="1C3A36"/>
          </w:tcPr>
          <w:p>
            <w:pPr>
              <w:spacing w:after="20" w:before="20"/>
            </w:pPr>
            <w:r>
              <w:rPr>
                <w:rFonts w:ascii="Arial" w:hAnsi="Arial"/>
                <w:b/>
                <w:color w:val="FFFFFF"/>
                <w:sz w:val="17"/>
              </w:rPr>
              <w:t>AED / share</w:t>
            </w:r>
          </w:p>
        </w:tc>
        <w:tc>
          <w:tcPr>
            <w:tcW w:type="dxa" w:w="1440"/>
            <w:shd w:val="clear" w:fill="1C3A36"/>
          </w:tcPr>
          <w:p>
            <w:pPr>
              <w:spacing w:after="20" w:before="20"/>
            </w:pPr>
            <w:r>
              <w:rPr>
                <w:rFonts w:ascii="Arial" w:hAnsi="Arial"/>
                <w:b/>
                <w:color w:val="FFFFFF"/>
                <w:sz w:val="17"/>
              </w:rPr>
              <w:t>% of GAV</w:t>
            </w:r>
          </w:p>
        </w:tc>
      </w:tr>
      <w:tr>
        <w:tc>
          <w:tcPr>
            <w:tcW w:type="dxa" w:w="4608"/>
          </w:tcPr>
          <w:p>
            <w:pPr>
              <w:spacing w:after="20" w:before="20"/>
            </w:pPr>
            <w:r>
              <w:rPr>
                <w:rFonts w:ascii="Arial" w:hAnsi="Arial"/>
                <w:sz w:val="17"/>
              </w:rPr>
              <w:t>Alpha Dhabi (~60%, incl. NMDC / Aldar)</w:t>
            </w:r>
          </w:p>
        </w:tc>
        <w:tc>
          <w:tcPr>
            <w:tcW w:type="dxa" w:w="1584"/>
          </w:tcPr>
          <w:p>
            <w:pPr>
              <w:spacing w:after="20" w:before="20"/>
              <w:jc w:val="right"/>
            </w:pPr>
            <w:r>
              <w:rPr>
                <w:rFonts w:ascii="Arial" w:hAnsi="Arial"/>
                <w:sz w:val="17"/>
              </w:rPr>
              <w:t>41.7</w:t>
            </w:r>
          </w:p>
        </w:tc>
        <w:tc>
          <w:tcPr>
            <w:tcW w:type="dxa" w:w="1728"/>
          </w:tcPr>
          <w:p>
            <w:pPr>
              <w:spacing w:after="20" w:before="20"/>
              <w:jc w:val="right"/>
            </w:pPr>
            <w:r>
              <w:rPr>
                <w:rFonts w:ascii="Arial" w:hAnsi="Arial"/>
                <w:sz w:val="17"/>
              </w:rPr>
              <w:t>19.1</w:t>
            </w:r>
          </w:p>
        </w:tc>
        <w:tc>
          <w:tcPr>
            <w:tcW w:type="dxa" w:w="1440"/>
          </w:tcPr>
          <w:p>
            <w:pPr>
              <w:spacing w:after="20" w:before="20"/>
              <w:jc w:val="right"/>
            </w:pPr>
            <w:r>
              <w:rPr>
                <w:rFonts w:ascii="Arial" w:hAnsi="Arial"/>
                <w:sz w:val="17"/>
              </w:rPr>
              <w:t>17%</w:t>
            </w:r>
          </w:p>
        </w:tc>
      </w:tr>
      <w:tr>
        <w:tc>
          <w:tcPr>
            <w:tcW w:type="dxa" w:w="4608"/>
          </w:tcPr>
          <w:p>
            <w:pPr>
              <w:spacing w:after="20" w:before="20"/>
            </w:pPr>
            <w:r>
              <w:rPr>
                <w:rFonts w:ascii="Arial" w:hAnsi="Arial"/>
                <w:sz w:val="17"/>
              </w:rPr>
              <w:t>Merged Multiply / 2PointZero / Ghitha</w:t>
            </w:r>
          </w:p>
        </w:tc>
        <w:tc>
          <w:tcPr>
            <w:tcW w:type="dxa" w:w="1584"/>
          </w:tcPr>
          <w:p>
            <w:pPr>
              <w:spacing w:after="20" w:before="20"/>
              <w:jc w:val="right"/>
            </w:pPr>
            <w:r>
              <w:rPr>
                <w:rFonts w:ascii="Arial" w:hAnsi="Arial"/>
                <w:sz w:val="17"/>
              </w:rPr>
              <w:t>66.0</w:t>
            </w:r>
          </w:p>
        </w:tc>
        <w:tc>
          <w:tcPr>
            <w:tcW w:type="dxa" w:w="1728"/>
          </w:tcPr>
          <w:p>
            <w:pPr>
              <w:spacing w:after="20" w:before="20"/>
              <w:jc w:val="right"/>
            </w:pPr>
            <w:r>
              <w:rPr>
                <w:rFonts w:ascii="Arial" w:hAnsi="Arial"/>
                <w:sz w:val="17"/>
              </w:rPr>
              <w:t>30.3</w:t>
            </w:r>
          </w:p>
        </w:tc>
        <w:tc>
          <w:tcPr>
            <w:tcW w:type="dxa" w:w="1440"/>
          </w:tcPr>
          <w:p>
            <w:pPr>
              <w:spacing w:after="20" w:before="20"/>
              <w:jc w:val="right"/>
            </w:pPr>
            <w:r>
              <w:rPr>
                <w:rFonts w:ascii="Arial" w:hAnsi="Arial"/>
                <w:sz w:val="17"/>
              </w:rPr>
              <w:t>27%</w:t>
            </w:r>
          </w:p>
        </w:tc>
      </w:tr>
      <w:tr>
        <w:tc>
          <w:tcPr>
            <w:tcW w:type="dxa" w:w="4608"/>
          </w:tcPr>
          <w:p>
            <w:pPr>
              <w:spacing w:after="20" w:before="20"/>
            </w:pPr>
            <w:r>
              <w:rPr>
                <w:rFonts w:ascii="Arial" w:hAnsi="Arial"/>
                <w:sz w:val="17"/>
              </w:rPr>
              <w:t>Other listed subsidiaries</w:t>
            </w:r>
          </w:p>
        </w:tc>
        <w:tc>
          <w:tcPr>
            <w:tcW w:type="dxa" w:w="1584"/>
          </w:tcPr>
          <w:p>
            <w:pPr>
              <w:spacing w:after="20" w:before="20"/>
              <w:jc w:val="right"/>
            </w:pPr>
            <w:r>
              <w:rPr>
                <w:rFonts w:ascii="Arial" w:hAnsi="Arial"/>
                <w:sz w:val="17"/>
              </w:rPr>
              <w:t>25.0</w:t>
            </w:r>
          </w:p>
        </w:tc>
        <w:tc>
          <w:tcPr>
            <w:tcW w:type="dxa" w:w="1728"/>
          </w:tcPr>
          <w:p>
            <w:pPr>
              <w:spacing w:after="20" w:before="20"/>
              <w:jc w:val="right"/>
            </w:pPr>
            <w:r>
              <w:rPr>
                <w:rFonts w:ascii="Arial" w:hAnsi="Arial"/>
                <w:sz w:val="17"/>
              </w:rPr>
              <w:t>11.5</w:t>
            </w:r>
          </w:p>
        </w:tc>
        <w:tc>
          <w:tcPr>
            <w:tcW w:type="dxa" w:w="1440"/>
          </w:tcPr>
          <w:p>
            <w:pPr>
              <w:spacing w:after="20" w:before="20"/>
              <w:jc w:val="right"/>
            </w:pPr>
            <w:r>
              <w:rPr>
                <w:rFonts w:ascii="Arial" w:hAnsi="Arial"/>
                <w:sz w:val="17"/>
              </w:rPr>
              <w:t>10%</w:t>
            </w:r>
          </w:p>
        </w:tc>
      </w:tr>
      <w:tr>
        <w:tc>
          <w:tcPr>
            <w:tcW w:type="dxa" w:w="4608"/>
          </w:tcPr>
          <w:p>
            <w:pPr>
              <w:spacing w:after="20" w:before="20"/>
            </w:pPr>
            <w:r>
              <w:rPr>
                <w:rFonts w:ascii="Arial" w:hAnsi="Arial"/>
                <w:sz w:val="17"/>
              </w:rPr>
              <w:t>IRH — metals &amp; mining</w:t>
            </w:r>
          </w:p>
        </w:tc>
        <w:tc>
          <w:tcPr>
            <w:tcW w:type="dxa" w:w="1584"/>
          </w:tcPr>
          <w:p>
            <w:pPr>
              <w:spacing w:after="20" w:before="20"/>
              <w:jc w:val="right"/>
            </w:pPr>
            <w:r>
              <w:rPr>
                <w:rFonts w:ascii="Arial" w:hAnsi="Arial"/>
                <w:sz w:val="17"/>
              </w:rPr>
              <w:t>40.0</w:t>
            </w:r>
          </w:p>
        </w:tc>
        <w:tc>
          <w:tcPr>
            <w:tcW w:type="dxa" w:w="1728"/>
          </w:tcPr>
          <w:p>
            <w:pPr>
              <w:spacing w:after="20" w:before="20"/>
              <w:jc w:val="right"/>
            </w:pPr>
            <w:r>
              <w:rPr>
                <w:rFonts w:ascii="Arial" w:hAnsi="Arial"/>
                <w:sz w:val="17"/>
              </w:rPr>
              <w:t>18.3</w:t>
            </w:r>
          </w:p>
        </w:tc>
        <w:tc>
          <w:tcPr>
            <w:tcW w:type="dxa" w:w="1440"/>
          </w:tcPr>
          <w:p>
            <w:pPr>
              <w:spacing w:after="20" w:before="20"/>
              <w:jc w:val="right"/>
            </w:pPr>
            <w:r>
              <w:rPr>
                <w:rFonts w:ascii="Arial" w:hAnsi="Arial"/>
                <w:sz w:val="17"/>
              </w:rPr>
              <w:t>17%</w:t>
            </w:r>
          </w:p>
        </w:tc>
      </w:tr>
      <w:tr>
        <w:tc>
          <w:tcPr>
            <w:tcW w:type="dxa" w:w="4608"/>
          </w:tcPr>
          <w:p>
            <w:pPr>
              <w:spacing w:after="20" w:before="20"/>
            </w:pPr>
            <w:r>
              <w:rPr>
                <w:rFonts w:ascii="Arial" w:hAnsi="Arial"/>
                <w:sz w:val="17"/>
              </w:rPr>
              <w:t>RIQ — reinsurance</w:t>
            </w:r>
          </w:p>
        </w:tc>
        <w:tc>
          <w:tcPr>
            <w:tcW w:type="dxa" w:w="1584"/>
          </w:tcPr>
          <w:p>
            <w:pPr>
              <w:spacing w:after="20" w:before="20"/>
              <w:jc w:val="right"/>
            </w:pPr>
            <w:r>
              <w:rPr>
                <w:rFonts w:ascii="Arial" w:hAnsi="Arial"/>
                <w:sz w:val="17"/>
              </w:rPr>
              <w:t>8.0</w:t>
            </w:r>
          </w:p>
        </w:tc>
        <w:tc>
          <w:tcPr>
            <w:tcW w:type="dxa" w:w="1728"/>
          </w:tcPr>
          <w:p>
            <w:pPr>
              <w:spacing w:after="20" w:before="20"/>
              <w:jc w:val="right"/>
            </w:pPr>
            <w:r>
              <w:rPr>
                <w:rFonts w:ascii="Arial" w:hAnsi="Arial"/>
                <w:sz w:val="17"/>
              </w:rPr>
              <w:t>3.7</w:t>
            </w:r>
          </w:p>
        </w:tc>
        <w:tc>
          <w:tcPr>
            <w:tcW w:type="dxa" w:w="1440"/>
          </w:tcPr>
          <w:p>
            <w:pPr>
              <w:spacing w:after="20" w:before="20"/>
              <w:jc w:val="right"/>
            </w:pPr>
            <w:r>
              <w:rPr>
                <w:rFonts w:ascii="Arial" w:hAnsi="Arial"/>
                <w:sz w:val="17"/>
              </w:rPr>
              <w:t>3%</w:t>
            </w:r>
          </w:p>
        </w:tc>
      </w:tr>
      <w:tr>
        <w:tc>
          <w:tcPr>
            <w:tcW w:type="dxa" w:w="4608"/>
          </w:tcPr>
          <w:p>
            <w:pPr>
              <w:spacing w:after="20" w:before="20"/>
            </w:pPr>
            <w:r>
              <w:rPr>
                <w:rFonts w:ascii="Arial" w:hAnsi="Arial"/>
                <w:sz w:val="17"/>
              </w:rPr>
              <w:t>Private industrial / food / tech + tail</w:t>
            </w:r>
          </w:p>
        </w:tc>
        <w:tc>
          <w:tcPr>
            <w:tcW w:type="dxa" w:w="1584"/>
          </w:tcPr>
          <w:p>
            <w:pPr>
              <w:spacing w:after="20" w:before="20"/>
              <w:jc w:val="right"/>
            </w:pPr>
            <w:r>
              <w:rPr>
                <w:rFonts w:ascii="Arial" w:hAnsi="Arial"/>
                <w:sz w:val="17"/>
              </w:rPr>
              <w:t>60.0</w:t>
            </w:r>
          </w:p>
        </w:tc>
        <w:tc>
          <w:tcPr>
            <w:tcW w:type="dxa" w:w="1728"/>
          </w:tcPr>
          <w:p>
            <w:pPr>
              <w:spacing w:after="20" w:before="20"/>
              <w:jc w:val="right"/>
            </w:pPr>
            <w:r>
              <w:rPr>
                <w:rFonts w:ascii="Arial" w:hAnsi="Arial"/>
                <w:sz w:val="17"/>
              </w:rPr>
              <w:t>27.5</w:t>
            </w:r>
          </w:p>
        </w:tc>
        <w:tc>
          <w:tcPr>
            <w:tcW w:type="dxa" w:w="1440"/>
          </w:tcPr>
          <w:p>
            <w:pPr>
              <w:spacing w:after="20" w:before="20"/>
              <w:jc w:val="right"/>
            </w:pPr>
            <w:r>
              <w:rPr>
                <w:rFonts w:ascii="Arial" w:hAnsi="Arial"/>
                <w:sz w:val="17"/>
              </w:rPr>
              <w:t>25%</w:t>
            </w:r>
          </w:p>
        </w:tc>
      </w:tr>
      <w:tr>
        <w:tc>
          <w:tcPr>
            <w:tcW w:type="dxa" w:w="4608"/>
          </w:tcPr>
          <w:p>
            <w:pPr>
              <w:spacing w:after="20" w:before="20"/>
            </w:pPr>
            <w:r>
              <w:rPr>
                <w:rFonts w:ascii="Arial" w:hAnsi="Arial"/>
                <w:sz w:val="17"/>
              </w:rPr>
              <w:t>Gross asset value</w:t>
            </w:r>
          </w:p>
        </w:tc>
        <w:tc>
          <w:tcPr>
            <w:tcW w:type="dxa" w:w="1584"/>
          </w:tcPr>
          <w:p>
            <w:pPr>
              <w:spacing w:after="20" w:before="20"/>
              <w:jc w:val="right"/>
            </w:pPr>
            <w:r>
              <w:rPr>
                <w:rFonts w:ascii="Arial" w:hAnsi="Arial"/>
                <w:sz w:val="17"/>
              </w:rPr>
              <w:t>240.7</w:t>
            </w:r>
          </w:p>
        </w:tc>
        <w:tc>
          <w:tcPr>
            <w:tcW w:type="dxa" w:w="1728"/>
          </w:tcPr>
          <w:p>
            <w:pPr>
              <w:spacing w:after="20" w:before="20"/>
              <w:jc w:val="right"/>
            </w:pPr>
            <w:r>
              <w:rPr>
                <w:rFonts w:ascii="Arial" w:hAnsi="Arial"/>
                <w:sz w:val="17"/>
              </w:rPr>
              <w:t>110.4</w:t>
            </w:r>
          </w:p>
        </w:tc>
        <w:tc>
          <w:tcPr>
            <w:tcW w:type="dxa" w:w="1440"/>
          </w:tcPr>
          <w:p>
            <w:pPr>
              <w:spacing w:after="20" w:before="20"/>
              <w:jc w:val="right"/>
            </w:pPr>
            <w:r>
              <w:rPr>
                <w:rFonts w:ascii="Arial" w:hAnsi="Arial"/>
                <w:sz w:val="17"/>
              </w:rPr>
              <w:t>100%</w:t>
            </w:r>
          </w:p>
        </w:tc>
      </w:tr>
      <w:tr>
        <w:tc>
          <w:tcPr>
            <w:tcW w:type="dxa" w:w="4608"/>
          </w:tcPr>
          <w:p>
            <w:pPr>
              <w:spacing w:after="20" w:before="20"/>
            </w:pPr>
            <w:r>
              <w:rPr>
                <w:rFonts w:ascii="Arial" w:hAnsi="Arial"/>
                <w:sz w:val="17"/>
              </w:rPr>
              <w:t>Holding-level net cash</w:t>
            </w:r>
          </w:p>
        </w:tc>
        <w:tc>
          <w:tcPr>
            <w:tcW w:type="dxa" w:w="1584"/>
          </w:tcPr>
          <w:p>
            <w:pPr>
              <w:spacing w:after="20" w:before="20"/>
              <w:jc w:val="right"/>
            </w:pPr>
            <w:r>
              <w:rPr>
                <w:rFonts w:ascii="Arial" w:hAnsi="Arial"/>
                <w:sz w:val="17"/>
              </w:rPr>
              <w:t>20.0</w:t>
            </w:r>
          </w:p>
        </w:tc>
        <w:tc>
          <w:tcPr>
            <w:tcW w:type="dxa" w:w="1728"/>
          </w:tcPr>
          <w:p>
            <w:pPr>
              <w:spacing w:after="20" w:before="20"/>
              <w:jc w:val="right"/>
            </w:pPr>
            <w:r>
              <w:rPr>
                <w:rFonts w:ascii="Arial" w:hAnsi="Arial"/>
                <w:sz w:val="17"/>
              </w:rPr>
              <w:t>9.2</w:t>
            </w:r>
          </w:p>
        </w:tc>
        <w:tc>
          <w:tcPr>
            <w:tcW w:type="dxa" w:w="1440"/>
          </w:tcPr>
          <w:p>
            <w:pPr>
              <w:spacing w:after="20" w:before="20"/>
              <w:jc w:val="right"/>
            </w:pPr>
            <w:r>
              <w:rPr>
                <w:rFonts w:ascii="Arial" w:hAnsi="Arial"/>
                <w:sz w:val="17"/>
              </w:rPr>
            </w:r>
          </w:p>
        </w:tc>
      </w:tr>
      <w:tr>
        <w:tc>
          <w:tcPr>
            <w:tcW w:type="dxa" w:w="4608"/>
          </w:tcPr>
          <w:p>
            <w:pPr>
              <w:spacing w:after="20" w:before="20"/>
            </w:pPr>
            <w:r>
              <w:rPr>
                <w:rFonts w:ascii="Arial" w:hAnsi="Arial"/>
                <w:sz w:val="17"/>
              </w:rPr>
              <w:t>NAV per share</w:t>
            </w:r>
          </w:p>
        </w:tc>
        <w:tc>
          <w:tcPr>
            <w:tcW w:type="dxa" w:w="1584"/>
          </w:tcPr>
          <w:p>
            <w:pPr>
              <w:spacing w:after="20" w:before="20"/>
              <w:jc w:val="right"/>
            </w:pPr>
            <w:r>
              <w:rPr>
                <w:rFonts w:ascii="Arial" w:hAnsi="Arial"/>
                <w:sz w:val="17"/>
              </w:rPr>
              <w:t>260.7</w:t>
            </w:r>
          </w:p>
        </w:tc>
        <w:tc>
          <w:tcPr>
            <w:tcW w:type="dxa" w:w="1728"/>
          </w:tcPr>
          <w:p>
            <w:pPr>
              <w:spacing w:after="20" w:before="20"/>
              <w:jc w:val="right"/>
            </w:pPr>
            <w:r>
              <w:rPr>
                <w:rFonts w:ascii="Arial" w:hAnsi="Arial"/>
                <w:sz w:val="17"/>
              </w:rPr>
              <w:t>119.6</w:t>
            </w:r>
          </w:p>
        </w:tc>
        <w:tc>
          <w:tcPr>
            <w:tcW w:type="dxa" w:w="1440"/>
          </w:tcPr>
          <w:p>
            <w:pPr>
              <w:spacing w:after="20" w:before="20"/>
              <w:jc w:val="right"/>
            </w:pPr>
            <w:r>
              <w:rPr>
                <w:rFonts w:ascii="Arial" w:hAnsi="Arial"/>
                <w:sz w:val="17"/>
              </w:rPr>
            </w:r>
          </w:p>
        </w:tc>
      </w:tr>
    </w:tbl>
    <w:p>
      <w:pPr>
        <w:spacing w:after="80" w:before="0"/>
      </w:pPr>
      <w:r>
        <w:rPr>
          <w:rFonts w:ascii="Arial" w:hAnsi="Arial"/>
          <w:b w:val="0"/>
          <w:i w:val="0"/>
          <w:sz w:val="20"/>
        </w:rPr>
        <w:t>Note on the disciplined-holdco mechanics: holding-level net cash is a single explicit line (not a blanket discount); each leg carries its own basis; and where a leg is a regulated or price-capped operator (for example a monopoly concession such as Emirates Driving Company inside the tail), its value is normalized on the cap rather than on a peak print — though such regulated exposure is a small share of IHC's value, so the device is noted for completeness rather than being decisive here.</w:t>
      </w:r>
    </w:p>
    <w:p>
      <w:pPr>
        <w:spacing w:before="160" w:after="80"/>
      </w:pPr>
      <w:r>
        <w:rPr>
          <w:rFonts w:ascii="Arial" w:hAnsi="Arial"/>
          <w:b/>
          <w:color w:val="1C3A36"/>
          <w:sz w:val="23"/>
        </w:rPr>
        <w:t>1.7  The premium to NAV — the crux, swung in observable units</w:t>
      </w:r>
    </w:p>
    <w:p>
      <w:pPr>
        <w:spacing w:after="80" w:before="0"/>
      </w:pPr>
      <w:r>
        <w:rPr>
          <w:rFonts w:ascii="Arial" w:hAnsi="Arial"/>
          <w:b w:val="0"/>
          <w:i w:val="0"/>
          <w:sz w:val="20"/>
        </w:rPr>
        <w:t>The single fact that determines whether IHC is 'expensive' is the premium the market assigns to reconstructable NAV. We swing the crux in observable units rather than an abstract margin (device A-1): the two levers are the NAV premium / discount the market applies, and the mark on the unlisted private tail (the least-verifiable leg). At the base marks, spot AED 382 implies a ~220% premium to look-through NAV of AED 120 (a 3.2× multiple of NAV). To justify the market price on fundamentals alone, one must either mark the private platforms at multiples far above book, or accept a persistent triple-digit premium to NAV — a premium with no analogue among conglomerate holdcos, which trade at discounts.</w:t>
      </w:r>
    </w:p>
    <w:p>
      <w:pPr>
        <w:spacing w:after="80" w:before="0"/>
      </w:pPr>
      <w:r>
        <w:rPr>
          <w:rFonts w:ascii="Arial" w:hAnsi="Arial"/>
          <w:b w:val="0"/>
          <w:i w:val="0"/>
          <w:sz w:val="20"/>
        </w:rPr>
        <w:t>Binary-event framing (device from the RE overlay, generalized): IHC's price is unusually dependent on a small number of structural supports — a thin, low-turnover float; sponsor and sovereign-ecosystem backing; and index / passive demand. A material change in any one — a large secondary placement that widens the float, a governance or related-party event, or a shift in index treatment — could compress the premium sharply, independent of any change in the underlying assets. Conversely, continued capital-compounding and value-crystallizing deals (the Modon divestment is the template) can sustain it. The premium, not the asset marks, is where the risk and the opportunity both sit.</w:t>
      </w:r>
    </w:p>
    <w:p>
      <w:pPr>
        <w:spacing w:before="160" w:after="80"/>
      </w:pPr>
      <w:r>
        <w:rPr>
          <w:rFonts w:ascii="Arial" w:hAnsi="Arial"/>
          <w:b/>
          <w:color w:val="1C3A36"/>
          <w:sz w:val="23"/>
        </w:rPr>
        <w:t>1.8  Macro and country — the UAE, oil, flows, and the ecosystem</w:t>
      </w:r>
    </w:p>
    <w:p>
      <w:pPr>
        <w:spacing w:after="80" w:before="0"/>
      </w:pPr>
      <w:r>
        <w:rPr>
          <w:rFonts w:ascii="Arial" w:hAnsi="Arial"/>
          <w:b w:val="0"/>
          <w:i w:val="0"/>
          <w:sz w:val="20"/>
        </w:rPr>
        <w:t>IHC's fundamentals are levered to the Abu Dhabi and wider GCC macro: oil and sovereign liquidity (which fund the ecosystem's deal-making and support asset prices), the AED peg to the US dollar (so UAE rates track the Fed), ADX and MSCI-EM flows, and the region's AI / technology-capital cycle in which IHC and adjacent Royal Group entities are central. Frontier and emerging-market exposure — India (Sammaan Capital), Pakistan (FWBL) and African metals via IRH — adds translation and sentiment risk. None of these is a near-term cliff; collectively they set the backdrop against which the premium is either sustained or compressed, and they are the continuous factors in the Monte Carlo (§3).</w:t>
      </w:r>
    </w:p>
    <w:p>
      <w:pPr>
        <w:spacing w:before="160" w:after="80"/>
      </w:pPr>
      <w:r>
        <w:rPr>
          <w:rFonts w:ascii="Arial" w:hAnsi="Arial"/>
          <w:b/>
          <w:color w:val="1C3A36"/>
          <w:sz w:val="23"/>
        </w:rPr>
        <w:t>1.9  Sensitivity — the crux, and the DCF, in grids</w:t>
      </w:r>
    </w:p>
    <w:p>
      <w:pPr>
        <w:spacing w:after="80" w:before="0"/>
      </w:pPr>
      <w:r>
        <w:rPr>
          <w:rFonts w:ascii="Arial" w:hAnsi="Arial"/>
          <w:b w:val="0"/>
          <w:i w:val="0"/>
          <w:sz w:val="20"/>
        </w:rPr>
        <w:t>Two grids. The first swings the primary-lens SOTP on the NAV premium and the private-tail mark (both observable / flagged levers, per device A-1). The second swings the operating DCF on WACC × terminal g, and — because the DCF is a high-terminal structure (TV 77.8% of EV) — makes that dependency explicit (device A-7). The published cost of equity (Ke = rf 4.3% + β 1.0 × ERP 5.5% = 9.8%; β held in the 0.8–1.3 house band rather than the observed −0.24, which is a thin-float artifact) anchors the WACC.</w:t>
      </w:r>
    </w:p>
    <w:p>
      <w:pPr>
        <w:spacing w:after="40" w:before="0"/>
      </w:pPr>
      <w:r>
        <w:rPr>
          <w:rFonts w:ascii="Arial" w:hAnsi="Arial"/>
          <w:b/>
          <w:i w:val="0"/>
          <w:sz w:val="19"/>
        </w:rPr>
        <w:t>SOTP fair value per share — NAV premium (rows) × private-tail mark AED bn (cols):</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601"/>
        <w:gridCol w:w="1601"/>
        <w:gridCol w:w="1601"/>
        <w:gridCol w:w="1601"/>
        <w:gridCol w:w="1601"/>
        <w:gridCol w:w="1601"/>
      </w:tblGrid>
      <w:tr>
        <w:tc>
          <w:tcPr>
            <w:tcW w:type="dxa" w:w="1440"/>
            <w:shd w:val="clear" w:fill="1C3A36"/>
          </w:tcPr>
          <w:p>
            <w:pPr>
              <w:spacing w:after="20" w:before="20"/>
            </w:pPr>
            <w:r>
              <w:rPr>
                <w:rFonts w:ascii="Arial" w:hAnsi="Arial"/>
                <w:b/>
                <w:color w:val="FFFFFF"/>
                <w:sz w:val="17"/>
              </w:rPr>
            </w:r>
          </w:p>
        </w:tc>
        <w:tc>
          <w:tcPr>
            <w:tcW w:type="dxa" w:w="1440"/>
            <w:shd w:val="clear" w:fill="1C3A36"/>
          </w:tcPr>
          <w:p>
            <w:pPr>
              <w:spacing w:after="20" w:before="20"/>
            </w:pPr>
            <w:r>
              <w:rPr>
                <w:rFonts w:ascii="Arial" w:hAnsi="Arial"/>
                <w:b/>
                <w:color w:val="FFFFFF"/>
                <w:sz w:val="17"/>
              </w:rPr>
              <w:t>40</w:t>
            </w:r>
          </w:p>
        </w:tc>
        <w:tc>
          <w:tcPr>
            <w:tcW w:type="dxa" w:w="1440"/>
            <w:shd w:val="clear" w:fill="1C3A36"/>
          </w:tcPr>
          <w:p>
            <w:pPr>
              <w:spacing w:after="20" w:before="20"/>
            </w:pPr>
            <w:r>
              <w:rPr>
                <w:rFonts w:ascii="Arial" w:hAnsi="Arial"/>
                <w:b/>
                <w:color w:val="FFFFFF"/>
                <w:sz w:val="17"/>
              </w:rPr>
              <w:t>50</w:t>
            </w:r>
          </w:p>
        </w:tc>
        <w:tc>
          <w:tcPr>
            <w:tcW w:type="dxa" w:w="1440"/>
            <w:shd w:val="clear" w:fill="1C3A36"/>
          </w:tcPr>
          <w:p>
            <w:pPr>
              <w:spacing w:after="20" w:before="20"/>
            </w:pPr>
            <w:r>
              <w:rPr>
                <w:rFonts w:ascii="Arial" w:hAnsi="Arial"/>
                <w:b/>
                <w:color w:val="FFFFFF"/>
                <w:sz w:val="17"/>
              </w:rPr>
              <w:t>60</w:t>
            </w:r>
          </w:p>
        </w:tc>
        <w:tc>
          <w:tcPr>
            <w:tcW w:type="dxa" w:w="1440"/>
            <w:shd w:val="clear" w:fill="1C3A36"/>
          </w:tcPr>
          <w:p>
            <w:pPr>
              <w:spacing w:after="20" w:before="20"/>
            </w:pPr>
            <w:r>
              <w:rPr>
                <w:rFonts w:ascii="Arial" w:hAnsi="Arial"/>
                <w:b/>
                <w:color w:val="FFFFFF"/>
                <w:sz w:val="17"/>
              </w:rPr>
              <w:t>70</w:t>
            </w:r>
          </w:p>
        </w:tc>
        <w:tc>
          <w:tcPr>
            <w:tcW w:type="dxa" w:w="1440"/>
            <w:shd w:val="clear" w:fill="1C3A36"/>
          </w:tcPr>
          <w:p>
            <w:pPr>
              <w:spacing w:after="20" w:before="20"/>
            </w:pPr>
            <w:r>
              <w:rPr>
                <w:rFonts w:ascii="Arial" w:hAnsi="Arial"/>
                <w:b/>
                <w:color w:val="FFFFFF"/>
                <w:sz w:val="17"/>
              </w:rPr>
              <w:t>80</w:t>
            </w:r>
          </w:p>
        </w:tc>
      </w:tr>
      <w:tr>
        <w:tc>
          <w:tcPr>
            <w:tcW w:type="dxa" w:w="1440"/>
          </w:tcPr>
          <w:p>
            <w:pPr>
              <w:spacing w:after="20" w:before="20"/>
            </w:pPr>
            <w:r>
              <w:rPr>
                <w:rFonts w:ascii="Arial" w:hAnsi="Arial"/>
                <w:sz w:val="17"/>
              </w:rPr>
              <w:t>−20%</w:t>
            </w:r>
          </w:p>
        </w:tc>
        <w:tc>
          <w:tcPr>
            <w:tcW w:type="dxa" w:w="1440"/>
          </w:tcPr>
          <w:p>
            <w:pPr>
              <w:spacing w:after="20" w:before="20"/>
              <w:jc w:val="right"/>
            </w:pPr>
            <w:r>
              <w:rPr>
                <w:rFonts w:ascii="Arial" w:hAnsi="Arial"/>
                <w:sz w:val="17"/>
              </w:rPr>
              <w:t>88</w:t>
            </w:r>
          </w:p>
        </w:tc>
        <w:tc>
          <w:tcPr>
            <w:tcW w:type="dxa" w:w="1440"/>
          </w:tcPr>
          <w:p>
            <w:pPr>
              <w:spacing w:after="20" w:before="20"/>
              <w:jc w:val="right"/>
            </w:pPr>
            <w:r>
              <w:rPr>
                <w:rFonts w:ascii="Arial" w:hAnsi="Arial"/>
                <w:sz w:val="17"/>
              </w:rPr>
              <w:t>92</w:t>
            </w:r>
          </w:p>
        </w:tc>
        <w:tc>
          <w:tcPr>
            <w:tcW w:type="dxa" w:w="1440"/>
          </w:tcPr>
          <w:p>
            <w:pPr>
              <w:spacing w:after="20" w:before="20"/>
              <w:jc w:val="right"/>
            </w:pPr>
            <w:r>
              <w:rPr>
                <w:rFonts w:ascii="Arial" w:hAnsi="Arial"/>
                <w:sz w:val="17"/>
              </w:rPr>
              <w:t>96</w:t>
            </w:r>
          </w:p>
        </w:tc>
        <w:tc>
          <w:tcPr>
            <w:tcW w:type="dxa" w:w="1440"/>
          </w:tcPr>
          <w:p>
            <w:pPr>
              <w:spacing w:after="20" w:before="20"/>
              <w:jc w:val="right"/>
            </w:pPr>
            <w:r>
              <w:rPr>
                <w:rFonts w:ascii="Arial" w:hAnsi="Arial"/>
                <w:sz w:val="17"/>
              </w:rPr>
              <w:t>99</w:t>
            </w:r>
          </w:p>
        </w:tc>
        <w:tc>
          <w:tcPr>
            <w:tcW w:type="dxa" w:w="1440"/>
          </w:tcPr>
          <w:p>
            <w:pPr>
              <w:spacing w:after="20" w:before="20"/>
              <w:jc w:val="right"/>
            </w:pPr>
            <w:r>
              <w:rPr>
                <w:rFonts w:ascii="Arial" w:hAnsi="Arial"/>
                <w:sz w:val="17"/>
              </w:rPr>
              <w:t>103</w:t>
            </w:r>
          </w:p>
        </w:tc>
      </w:tr>
      <w:tr>
        <w:tc>
          <w:tcPr>
            <w:tcW w:type="dxa" w:w="1440"/>
          </w:tcPr>
          <w:p>
            <w:pPr>
              <w:spacing w:after="20" w:before="20"/>
            </w:pPr>
            <w:r>
              <w:rPr>
                <w:rFonts w:ascii="Arial" w:hAnsi="Arial"/>
                <w:sz w:val="17"/>
              </w:rPr>
              <w:t>−10%</w:t>
            </w:r>
          </w:p>
        </w:tc>
        <w:tc>
          <w:tcPr>
            <w:tcW w:type="dxa" w:w="1440"/>
          </w:tcPr>
          <w:p>
            <w:pPr>
              <w:spacing w:after="20" w:before="20"/>
              <w:jc w:val="right"/>
            </w:pPr>
            <w:r>
              <w:rPr>
                <w:rFonts w:ascii="Arial" w:hAnsi="Arial"/>
                <w:sz w:val="17"/>
              </w:rPr>
              <w:t>99</w:t>
            </w:r>
          </w:p>
        </w:tc>
        <w:tc>
          <w:tcPr>
            <w:tcW w:type="dxa" w:w="1440"/>
          </w:tcPr>
          <w:p>
            <w:pPr>
              <w:spacing w:after="20" w:before="20"/>
              <w:jc w:val="right"/>
            </w:pPr>
            <w:r>
              <w:rPr>
                <w:rFonts w:ascii="Arial" w:hAnsi="Arial"/>
                <w:sz w:val="17"/>
              </w:rPr>
              <w:t>104</w:t>
            </w:r>
          </w:p>
        </w:tc>
        <w:tc>
          <w:tcPr>
            <w:tcW w:type="dxa" w:w="1440"/>
          </w:tcPr>
          <w:p>
            <w:pPr>
              <w:spacing w:after="20" w:before="20"/>
              <w:jc w:val="right"/>
            </w:pPr>
            <w:r>
              <w:rPr>
                <w:rFonts w:ascii="Arial" w:hAnsi="Arial"/>
                <w:sz w:val="17"/>
              </w:rPr>
              <w:t>108</w:t>
            </w:r>
          </w:p>
        </w:tc>
        <w:tc>
          <w:tcPr>
            <w:tcW w:type="dxa" w:w="1440"/>
          </w:tcPr>
          <w:p>
            <w:pPr>
              <w:spacing w:after="20" w:before="20"/>
              <w:jc w:val="right"/>
            </w:pPr>
            <w:r>
              <w:rPr>
                <w:rFonts w:ascii="Arial" w:hAnsi="Arial"/>
                <w:sz w:val="17"/>
              </w:rPr>
              <w:t>112</w:t>
            </w:r>
          </w:p>
        </w:tc>
        <w:tc>
          <w:tcPr>
            <w:tcW w:type="dxa" w:w="1440"/>
          </w:tcPr>
          <w:p>
            <w:pPr>
              <w:spacing w:after="20" w:before="20"/>
              <w:jc w:val="right"/>
            </w:pPr>
            <w:r>
              <w:rPr>
                <w:rFonts w:ascii="Arial" w:hAnsi="Arial"/>
                <w:sz w:val="17"/>
              </w:rPr>
              <w:t>116</w:t>
            </w:r>
          </w:p>
        </w:tc>
      </w:tr>
      <w:tr>
        <w:tc>
          <w:tcPr>
            <w:tcW w:type="dxa" w:w="1440"/>
          </w:tcPr>
          <w:p>
            <w:pPr>
              <w:spacing w:after="20" w:before="20"/>
            </w:pPr>
            <w:r>
              <w:rPr>
                <w:rFonts w:ascii="Arial" w:hAnsi="Arial"/>
                <w:sz w:val="17"/>
              </w:rPr>
              <w:t>0%</w:t>
            </w:r>
          </w:p>
        </w:tc>
        <w:tc>
          <w:tcPr>
            <w:tcW w:type="dxa" w:w="1440"/>
          </w:tcPr>
          <w:p>
            <w:pPr>
              <w:spacing w:after="20" w:before="20"/>
              <w:jc w:val="right"/>
            </w:pPr>
            <w:r>
              <w:rPr>
                <w:rFonts w:ascii="Arial" w:hAnsi="Arial"/>
                <w:sz w:val="17"/>
              </w:rPr>
              <w:t>110</w:t>
            </w:r>
          </w:p>
        </w:tc>
        <w:tc>
          <w:tcPr>
            <w:tcW w:type="dxa" w:w="1440"/>
          </w:tcPr>
          <w:p>
            <w:pPr>
              <w:spacing w:after="20" w:before="20"/>
              <w:jc w:val="right"/>
            </w:pPr>
            <w:r>
              <w:rPr>
                <w:rFonts w:ascii="Arial" w:hAnsi="Arial"/>
                <w:sz w:val="17"/>
              </w:rPr>
              <w:t>115</w:t>
            </w:r>
          </w:p>
        </w:tc>
        <w:tc>
          <w:tcPr>
            <w:tcW w:type="dxa" w:w="1440"/>
          </w:tcPr>
          <w:p>
            <w:pPr>
              <w:spacing w:after="20" w:before="20"/>
              <w:jc w:val="right"/>
            </w:pPr>
            <w:r>
              <w:rPr>
                <w:rFonts w:ascii="Arial" w:hAnsi="Arial"/>
                <w:sz w:val="17"/>
              </w:rPr>
              <w:t>120</w:t>
            </w:r>
          </w:p>
        </w:tc>
        <w:tc>
          <w:tcPr>
            <w:tcW w:type="dxa" w:w="1440"/>
          </w:tcPr>
          <w:p>
            <w:pPr>
              <w:spacing w:after="20" w:before="20"/>
              <w:jc w:val="right"/>
            </w:pPr>
            <w:r>
              <w:rPr>
                <w:rFonts w:ascii="Arial" w:hAnsi="Arial"/>
                <w:sz w:val="17"/>
              </w:rPr>
              <w:t>124</w:t>
            </w:r>
          </w:p>
        </w:tc>
        <w:tc>
          <w:tcPr>
            <w:tcW w:type="dxa" w:w="1440"/>
          </w:tcPr>
          <w:p>
            <w:pPr>
              <w:spacing w:after="20" w:before="20"/>
              <w:jc w:val="right"/>
            </w:pPr>
            <w:r>
              <w:rPr>
                <w:rFonts w:ascii="Arial" w:hAnsi="Arial"/>
                <w:sz w:val="17"/>
              </w:rPr>
              <w:t>129</w:t>
            </w:r>
          </w:p>
        </w:tc>
      </w:tr>
      <w:tr>
        <w:tc>
          <w:tcPr>
            <w:tcW w:type="dxa" w:w="1440"/>
          </w:tcPr>
          <w:p>
            <w:pPr>
              <w:spacing w:after="20" w:before="20"/>
            </w:pPr>
            <w:r>
              <w:rPr>
                <w:rFonts w:ascii="Arial" w:hAnsi="Arial"/>
                <w:sz w:val="17"/>
              </w:rPr>
              <w:t>+10%</w:t>
            </w:r>
          </w:p>
        </w:tc>
        <w:tc>
          <w:tcPr>
            <w:tcW w:type="dxa" w:w="1440"/>
          </w:tcPr>
          <w:p>
            <w:pPr>
              <w:spacing w:after="20" w:before="20"/>
              <w:jc w:val="right"/>
            </w:pPr>
            <w:r>
              <w:rPr>
                <w:rFonts w:ascii="Arial" w:hAnsi="Arial"/>
                <w:sz w:val="17"/>
              </w:rPr>
              <w:t>122</w:t>
            </w:r>
          </w:p>
        </w:tc>
        <w:tc>
          <w:tcPr>
            <w:tcW w:type="dxa" w:w="1440"/>
          </w:tcPr>
          <w:p>
            <w:pPr>
              <w:spacing w:after="20" w:before="20"/>
              <w:jc w:val="right"/>
            </w:pPr>
            <w:r>
              <w:rPr>
                <w:rFonts w:ascii="Arial" w:hAnsi="Arial"/>
                <w:sz w:val="17"/>
              </w:rPr>
              <w:t>127</w:t>
            </w:r>
          </w:p>
        </w:tc>
        <w:tc>
          <w:tcPr>
            <w:tcW w:type="dxa" w:w="1440"/>
          </w:tcPr>
          <w:p>
            <w:pPr>
              <w:spacing w:after="20" w:before="20"/>
              <w:jc w:val="right"/>
            </w:pPr>
            <w:r>
              <w:rPr>
                <w:rFonts w:ascii="Arial" w:hAnsi="Arial"/>
                <w:sz w:val="17"/>
              </w:rPr>
              <w:t>132</w:t>
            </w:r>
          </w:p>
        </w:tc>
        <w:tc>
          <w:tcPr>
            <w:tcW w:type="dxa" w:w="1440"/>
          </w:tcPr>
          <w:p>
            <w:pPr>
              <w:spacing w:after="20" w:before="20"/>
              <w:jc w:val="right"/>
            </w:pPr>
            <w:r>
              <w:rPr>
                <w:rFonts w:ascii="Arial" w:hAnsi="Arial"/>
                <w:sz w:val="17"/>
              </w:rPr>
              <w:t>137</w:t>
            </w:r>
          </w:p>
        </w:tc>
        <w:tc>
          <w:tcPr>
            <w:tcW w:type="dxa" w:w="1440"/>
          </w:tcPr>
          <w:p>
            <w:pPr>
              <w:spacing w:after="20" w:before="20"/>
              <w:jc w:val="right"/>
            </w:pPr>
            <w:r>
              <w:rPr>
                <w:rFonts w:ascii="Arial" w:hAnsi="Arial"/>
                <w:sz w:val="17"/>
              </w:rPr>
              <w:t>142</w:t>
            </w:r>
          </w:p>
        </w:tc>
      </w:tr>
      <w:tr>
        <w:tc>
          <w:tcPr>
            <w:tcW w:type="dxa" w:w="1440"/>
          </w:tcPr>
          <w:p>
            <w:pPr>
              <w:spacing w:after="20" w:before="20"/>
            </w:pPr>
            <w:r>
              <w:rPr>
                <w:rFonts w:ascii="Arial" w:hAnsi="Arial"/>
                <w:sz w:val="17"/>
              </w:rPr>
              <w:t>+20%</w:t>
            </w:r>
          </w:p>
        </w:tc>
        <w:tc>
          <w:tcPr>
            <w:tcW w:type="dxa" w:w="1440"/>
          </w:tcPr>
          <w:p>
            <w:pPr>
              <w:spacing w:after="20" w:before="20"/>
              <w:jc w:val="right"/>
            </w:pPr>
            <w:r>
              <w:rPr>
                <w:rFonts w:ascii="Arial" w:hAnsi="Arial"/>
                <w:sz w:val="17"/>
              </w:rPr>
              <w:t>133</w:t>
            </w:r>
          </w:p>
        </w:tc>
        <w:tc>
          <w:tcPr>
            <w:tcW w:type="dxa" w:w="1440"/>
          </w:tcPr>
          <w:p>
            <w:pPr>
              <w:spacing w:after="20" w:before="20"/>
              <w:jc w:val="right"/>
            </w:pPr>
            <w:r>
              <w:rPr>
                <w:rFonts w:ascii="Arial" w:hAnsi="Arial"/>
                <w:sz w:val="17"/>
              </w:rPr>
              <w:t>138</w:t>
            </w:r>
          </w:p>
        </w:tc>
        <w:tc>
          <w:tcPr>
            <w:tcW w:type="dxa" w:w="1440"/>
          </w:tcPr>
          <w:p>
            <w:pPr>
              <w:spacing w:after="20" w:before="20"/>
              <w:jc w:val="right"/>
            </w:pPr>
            <w:r>
              <w:rPr>
                <w:rFonts w:ascii="Arial" w:hAnsi="Arial"/>
                <w:sz w:val="17"/>
              </w:rPr>
              <w:t>144</w:t>
            </w:r>
          </w:p>
        </w:tc>
        <w:tc>
          <w:tcPr>
            <w:tcW w:type="dxa" w:w="1440"/>
          </w:tcPr>
          <w:p>
            <w:pPr>
              <w:spacing w:after="20" w:before="20"/>
              <w:jc w:val="right"/>
            </w:pPr>
            <w:r>
              <w:rPr>
                <w:rFonts w:ascii="Arial" w:hAnsi="Arial"/>
                <w:sz w:val="17"/>
              </w:rPr>
              <w:t>149</w:t>
            </w:r>
          </w:p>
        </w:tc>
        <w:tc>
          <w:tcPr>
            <w:tcW w:type="dxa" w:w="1440"/>
          </w:tcPr>
          <w:p>
            <w:pPr>
              <w:spacing w:after="20" w:before="20"/>
              <w:jc w:val="right"/>
            </w:pPr>
            <w:r>
              <w:rPr>
                <w:rFonts w:ascii="Arial" w:hAnsi="Arial"/>
                <w:sz w:val="17"/>
              </w:rPr>
              <w:t>155</w:t>
            </w:r>
          </w:p>
        </w:tc>
      </w:tr>
    </w:tbl>
    <w:p>
      <w:pPr>
        <w:spacing w:after="40" w:before="80"/>
      </w:pPr>
      <w:r>
        <w:rPr>
          <w:rFonts w:ascii="Arial" w:hAnsi="Arial"/>
          <w:b/>
          <w:i w:val="0"/>
          <w:sz w:val="19"/>
        </w:rPr>
        <w:t>DCF fair value per share — WACC (rows) × terminal g (cols):</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601"/>
        <w:gridCol w:w="1601"/>
        <w:gridCol w:w="1601"/>
        <w:gridCol w:w="1601"/>
        <w:gridCol w:w="1601"/>
        <w:gridCol w:w="1601"/>
      </w:tblGrid>
      <w:tr>
        <w:tc>
          <w:tcPr>
            <w:tcW w:type="dxa" w:w="1440"/>
            <w:shd w:val="clear" w:fill="1C3A36"/>
          </w:tcPr>
          <w:p>
            <w:pPr>
              <w:spacing w:after="20" w:before="20"/>
            </w:pPr>
            <w:r>
              <w:rPr>
                <w:rFonts w:ascii="Arial" w:hAnsi="Arial"/>
                <w:b/>
                <w:color w:val="FFFFFF"/>
                <w:sz w:val="17"/>
              </w:rPr>
            </w:r>
          </w:p>
        </w:tc>
        <w:tc>
          <w:tcPr>
            <w:tcW w:type="dxa" w:w="1440"/>
            <w:shd w:val="clear" w:fill="1C3A36"/>
          </w:tcPr>
          <w:p>
            <w:pPr>
              <w:spacing w:after="20" w:before="20"/>
            </w:pPr>
            <w:r>
              <w:rPr>
                <w:rFonts w:ascii="Arial" w:hAnsi="Arial"/>
                <w:b/>
                <w:color w:val="FFFFFF"/>
                <w:sz w:val="17"/>
              </w:rPr>
              <w:t>2.5%</w:t>
            </w:r>
          </w:p>
        </w:tc>
        <w:tc>
          <w:tcPr>
            <w:tcW w:type="dxa" w:w="1440"/>
            <w:shd w:val="clear" w:fill="1C3A36"/>
          </w:tcPr>
          <w:p>
            <w:pPr>
              <w:spacing w:after="20" w:before="20"/>
            </w:pPr>
            <w:r>
              <w:rPr>
                <w:rFonts w:ascii="Arial" w:hAnsi="Arial"/>
                <w:b/>
                <w:color w:val="FFFFFF"/>
                <w:sz w:val="17"/>
              </w:rPr>
              <w:t>3.0%</w:t>
            </w:r>
          </w:p>
        </w:tc>
        <w:tc>
          <w:tcPr>
            <w:tcW w:type="dxa" w:w="1440"/>
            <w:shd w:val="clear" w:fill="1C3A36"/>
          </w:tcPr>
          <w:p>
            <w:pPr>
              <w:spacing w:after="20" w:before="20"/>
            </w:pPr>
            <w:r>
              <w:rPr>
                <w:rFonts w:ascii="Arial" w:hAnsi="Arial"/>
                <w:b/>
                <w:color w:val="FFFFFF"/>
                <w:sz w:val="17"/>
              </w:rPr>
              <w:t>3.5%</w:t>
            </w:r>
          </w:p>
        </w:tc>
        <w:tc>
          <w:tcPr>
            <w:tcW w:type="dxa" w:w="1440"/>
            <w:shd w:val="clear" w:fill="1C3A36"/>
          </w:tcPr>
          <w:p>
            <w:pPr>
              <w:spacing w:after="20" w:before="20"/>
            </w:pPr>
            <w:r>
              <w:rPr>
                <w:rFonts w:ascii="Arial" w:hAnsi="Arial"/>
                <w:b/>
                <w:color w:val="FFFFFF"/>
                <w:sz w:val="17"/>
              </w:rPr>
              <w:t>4.0%</w:t>
            </w:r>
          </w:p>
        </w:tc>
        <w:tc>
          <w:tcPr>
            <w:tcW w:type="dxa" w:w="1440"/>
            <w:shd w:val="clear" w:fill="1C3A36"/>
          </w:tcPr>
          <w:p>
            <w:pPr>
              <w:spacing w:after="20" w:before="20"/>
            </w:pPr>
            <w:r>
              <w:rPr>
                <w:rFonts w:ascii="Arial" w:hAnsi="Arial"/>
                <w:b/>
                <w:color w:val="FFFFFF"/>
                <w:sz w:val="17"/>
              </w:rPr>
              <w:t>4.5%</w:t>
            </w:r>
          </w:p>
        </w:tc>
      </w:tr>
      <w:tr>
        <w:tc>
          <w:tcPr>
            <w:tcW w:type="dxa" w:w="1440"/>
          </w:tcPr>
          <w:p>
            <w:pPr>
              <w:spacing w:after="20" w:before="20"/>
            </w:pPr>
            <w:r>
              <w:rPr>
                <w:rFonts w:ascii="Arial" w:hAnsi="Arial"/>
                <w:sz w:val="17"/>
              </w:rPr>
              <w:t>8.3%</w:t>
            </w:r>
          </w:p>
        </w:tc>
        <w:tc>
          <w:tcPr>
            <w:tcW w:type="dxa" w:w="1440"/>
          </w:tcPr>
          <w:p>
            <w:pPr>
              <w:spacing w:after="20" w:before="20"/>
              <w:jc w:val="right"/>
            </w:pPr>
            <w:r>
              <w:rPr>
                <w:rFonts w:ascii="Arial" w:hAnsi="Arial"/>
                <w:sz w:val="17"/>
              </w:rPr>
              <w:t>84</w:t>
            </w:r>
          </w:p>
        </w:tc>
        <w:tc>
          <w:tcPr>
            <w:tcW w:type="dxa" w:w="1440"/>
          </w:tcPr>
          <w:p>
            <w:pPr>
              <w:spacing w:after="20" w:before="20"/>
              <w:jc w:val="right"/>
            </w:pPr>
            <w:r>
              <w:rPr>
                <w:rFonts w:ascii="Arial" w:hAnsi="Arial"/>
                <w:sz w:val="17"/>
              </w:rPr>
              <w:t>91</w:t>
            </w:r>
          </w:p>
        </w:tc>
        <w:tc>
          <w:tcPr>
            <w:tcW w:type="dxa" w:w="1440"/>
          </w:tcPr>
          <w:p>
            <w:pPr>
              <w:spacing w:after="20" w:before="20"/>
              <w:jc w:val="right"/>
            </w:pPr>
            <w:r>
              <w:rPr>
                <w:rFonts w:ascii="Arial" w:hAnsi="Arial"/>
                <w:sz w:val="17"/>
              </w:rPr>
              <w:t>100</w:t>
            </w:r>
          </w:p>
        </w:tc>
        <w:tc>
          <w:tcPr>
            <w:tcW w:type="dxa" w:w="1440"/>
          </w:tcPr>
          <w:p>
            <w:pPr>
              <w:spacing w:after="20" w:before="20"/>
              <w:jc w:val="right"/>
            </w:pPr>
            <w:r>
              <w:rPr>
                <w:rFonts w:ascii="Arial" w:hAnsi="Arial"/>
                <w:sz w:val="17"/>
              </w:rPr>
              <w:t>111</w:t>
            </w:r>
          </w:p>
        </w:tc>
        <w:tc>
          <w:tcPr>
            <w:tcW w:type="dxa" w:w="1440"/>
          </w:tcPr>
          <w:p>
            <w:pPr>
              <w:spacing w:after="20" w:before="20"/>
              <w:jc w:val="right"/>
            </w:pPr>
            <w:r>
              <w:rPr>
                <w:rFonts w:ascii="Arial" w:hAnsi="Arial"/>
                <w:sz w:val="17"/>
              </w:rPr>
              <w:t>124</w:t>
            </w:r>
          </w:p>
        </w:tc>
      </w:tr>
      <w:tr>
        <w:tc>
          <w:tcPr>
            <w:tcW w:type="dxa" w:w="1440"/>
          </w:tcPr>
          <w:p>
            <w:pPr>
              <w:spacing w:after="20" w:before="20"/>
            </w:pPr>
            <w:r>
              <w:rPr>
                <w:rFonts w:ascii="Arial" w:hAnsi="Arial"/>
                <w:sz w:val="17"/>
              </w:rPr>
              <w:t>8.8%</w:t>
            </w:r>
          </w:p>
        </w:tc>
        <w:tc>
          <w:tcPr>
            <w:tcW w:type="dxa" w:w="1440"/>
          </w:tcPr>
          <w:p>
            <w:pPr>
              <w:spacing w:after="20" w:before="20"/>
              <w:jc w:val="right"/>
            </w:pPr>
            <w:r>
              <w:rPr>
                <w:rFonts w:ascii="Arial" w:hAnsi="Arial"/>
                <w:sz w:val="17"/>
              </w:rPr>
              <w:t>77</w:t>
            </w:r>
          </w:p>
        </w:tc>
        <w:tc>
          <w:tcPr>
            <w:tcW w:type="dxa" w:w="1440"/>
          </w:tcPr>
          <w:p>
            <w:pPr>
              <w:spacing w:after="20" w:before="20"/>
              <w:jc w:val="right"/>
            </w:pPr>
            <w:r>
              <w:rPr>
                <w:rFonts w:ascii="Arial" w:hAnsi="Arial"/>
                <w:sz w:val="17"/>
              </w:rPr>
              <w:t>83</w:t>
            </w:r>
          </w:p>
        </w:tc>
        <w:tc>
          <w:tcPr>
            <w:tcW w:type="dxa" w:w="1440"/>
          </w:tcPr>
          <w:p>
            <w:pPr>
              <w:spacing w:after="20" w:before="20"/>
              <w:jc w:val="right"/>
            </w:pPr>
            <w:r>
              <w:rPr>
                <w:rFonts w:ascii="Arial" w:hAnsi="Arial"/>
                <w:sz w:val="17"/>
              </w:rPr>
              <w:t>90</w:t>
            </w:r>
          </w:p>
        </w:tc>
        <w:tc>
          <w:tcPr>
            <w:tcW w:type="dxa" w:w="1440"/>
          </w:tcPr>
          <w:p>
            <w:pPr>
              <w:spacing w:after="20" w:before="20"/>
              <w:jc w:val="right"/>
            </w:pPr>
            <w:r>
              <w:rPr>
                <w:rFonts w:ascii="Arial" w:hAnsi="Arial"/>
                <w:sz w:val="17"/>
              </w:rPr>
              <w:t>98</w:t>
            </w:r>
          </w:p>
        </w:tc>
        <w:tc>
          <w:tcPr>
            <w:tcW w:type="dxa" w:w="1440"/>
          </w:tcPr>
          <w:p>
            <w:pPr>
              <w:spacing w:after="20" w:before="20"/>
              <w:jc w:val="right"/>
            </w:pPr>
            <w:r>
              <w:rPr>
                <w:rFonts w:ascii="Arial" w:hAnsi="Arial"/>
                <w:sz w:val="17"/>
              </w:rPr>
              <w:t>109</w:t>
            </w:r>
          </w:p>
        </w:tc>
      </w:tr>
      <w:tr>
        <w:tc>
          <w:tcPr>
            <w:tcW w:type="dxa" w:w="1440"/>
          </w:tcPr>
          <w:p>
            <w:pPr>
              <w:spacing w:after="20" w:before="20"/>
            </w:pPr>
            <w:r>
              <w:rPr>
                <w:rFonts w:ascii="Arial" w:hAnsi="Arial"/>
                <w:sz w:val="17"/>
              </w:rPr>
              <w:t>9.3%</w:t>
            </w:r>
          </w:p>
        </w:tc>
        <w:tc>
          <w:tcPr>
            <w:tcW w:type="dxa" w:w="1440"/>
          </w:tcPr>
          <w:p>
            <w:pPr>
              <w:spacing w:after="20" w:before="20"/>
              <w:jc w:val="right"/>
            </w:pPr>
            <w:r>
              <w:rPr>
                <w:rFonts w:ascii="Arial" w:hAnsi="Arial"/>
                <w:sz w:val="17"/>
              </w:rPr>
              <w:t>71</w:t>
            </w:r>
          </w:p>
        </w:tc>
        <w:tc>
          <w:tcPr>
            <w:tcW w:type="dxa" w:w="1440"/>
          </w:tcPr>
          <w:p>
            <w:pPr>
              <w:spacing w:after="20" w:before="20"/>
              <w:jc w:val="right"/>
            </w:pPr>
            <w:r>
              <w:rPr>
                <w:rFonts w:ascii="Arial" w:hAnsi="Arial"/>
                <w:sz w:val="17"/>
              </w:rPr>
              <w:t>75</w:t>
            </w:r>
          </w:p>
        </w:tc>
        <w:tc>
          <w:tcPr>
            <w:tcW w:type="dxa" w:w="1440"/>
          </w:tcPr>
          <w:p>
            <w:pPr>
              <w:spacing w:after="20" w:before="20"/>
              <w:jc w:val="right"/>
            </w:pPr>
            <w:r>
              <w:rPr>
                <w:rFonts w:ascii="Arial" w:hAnsi="Arial"/>
                <w:sz w:val="17"/>
              </w:rPr>
              <w:t>81</w:t>
            </w:r>
          </w:p>
        </w:tc>
        <w:tc>
          <w:tcPr>
            <w:tcW w:type="dxa" w:w="1440"/>
          </w:tcPr>
          <w:p>
            <w:pPr>
              <w:spacing w:after="20" w:before="20"/>
              <w:jc w:val="right"/>
            </w:pPr>
            <w:r>
              <w:rPr>
                <w:rFonts w:ascii="Arial" w:hAnsi="Arial"/>
                <w:sz w:val="17"/>
              </w:rPr>
              <w:t>88</w:t>
            </w:r>
          </w:p>
        </w:tc>
        <w:tc>
          <w:tcPr>
            <w:tcW w:type="dxa" w:w="1440"/>
          </w:tcPr>
          <w:p>
            <w:pPr>
              <w:spacing w:after="20" w:before="20"/>
              <w:jc w:val="right"/>
            </w:pPr>
            <w:r>
              <w:rPr>
                <w:rFonts w:ascii="Arial" w:hAnsi="Arial"/>
                <w:sz w:val="17"/>
              </w:rPr>
              <w:t>96</w:t>
            </w:r>
          </w:p>
        </w:tc>
      </w:tr>
      <w:tr>
        <w:tc>
          <w:tcPr>
            <w:tcW w:type="dxa" w:w="1440"/>
          </w:tcPr>
          <w:p>
            <w:pPr>
              <w:spacing w:after="20" w:before="20"/>
            </w:pPr>
            <w:r>
              <w:rPr>
                <w:rFonts w:ascii="Arial" w:hAnsi="Arial"/>
                <w:sz w:val="17"/>
              </w:rPr>
              <w:t>9.8%</w:t>
            </w:r>
          </w:p>
        </w:tc>
        <w:tc>
          <w:tcPr>
            <w:tcW w:type="dxa" w:w="1440"/>
          </w:tcPr>
          <w:p>
            <w:pPr>
              <w:spacing w:after="20" w:before="20"/>
              <w:jc w:val="right"/>
            </w:pPr>
            <w:r>
              <w:rPr>
                <w:rFonts w:ascii="Arial" w:hAnsi="Arial"/>
                <w:sz w:val="17"/>
              </w:rPr>
              <w:t>65</w:t>
            </w:r>
          </w:p>
        </w:tc>
        <w:tc>
          <w:tcPr>
            <w:tcW w:type="dxa" w:w="1440"/>
          </w:tcPr>
          <w:p>
            <w:pPr>
              <w:spacing w:after="20" w:before="20"/>
              <w:jc w:val="right"/>
            </w:pPr>
            <w:r>
              <w:rPr>
                <w:rFonts w:ascii="Arial" w:hAnsi="Arial"/>
                <w:sz w:val="17"/>
              </w:rPr>
              <w:t>69</w:t>
            </w:r>
          </w:p>
        </w:tc>
        <w:tc>
          <w:tcPr>
            <w:tcW w:type="dxa" w:w="1440"/>
          </w:tcPr>
          <w:p>
            <w:pPr>
              <w:spacing w:after="20" w:before="20"/>
              <w:jc w:val="right"/>
            </w:pPr>
            <w:r>
              <w:rPr>
                <w:rFonts w:ascii="Arial" w:hAnsi="Arial"/>
                <w:sz w:val="17"/>
              </w:rPr>
              <w:t>74</w:t>
            </w:r>
          </w:p>
        </w:tc>
        <w:tc>
          <w:tcPr>
            <w:tcW w:type="dxa" w:w="1440"/>
          </w:tcPr>
          <w:p>
            <w:pPr>
              <w:spacing w:after="20" w:before="20"/>
              <w:jc w:val="right"/>
            </w:pPr>
            <w:r>
              <w:rPr>
                <w:rFonts w:ascii="Arial" w:hAnsi="Arial"/>
                <w:sz w:val="17"/>
              </w:rPr>
              <w:t>80</w:t>
            </w:r>
          </w:p>
        </w:tc>
        <w:tc>
          <w:tcPr>
            <w:tcW w:type="dxa" w:w="1440"/>
          </w:tcPr>
          <w:p>
            <w:pPr>
              <w:spacing w:after="20" w:before="20"/>
              <w:jc w:val="right"/>
            </w:pPr>
            <w:r>
              <w:rPr>
                <w:rFonts w:ascii="Arial" w:hAnsi="Arial"/>
                <w:sz w:val="17"/>
              </w:rPr>
              <w:t>86</w:t>
            </w:r>
          </w:p>
        </w:tc>
      </w:tr>
      <w:tr>
        <w:tc>
          <w:tcPr>
            <w:tcW w:type="dxa" w:w="1440"/>
          </w:tcPr>
          <w:p>
            <w:pPr>
              <w:spacing w:after="20" w:before="20"/>
            </w:pPr>
            <w:r>
              <w:rPr>
                <w:rFonts w:ascii="Arial" w:hAnsi="Arial"/>
                <w:sz w:val="17"/>
              </w:rPr>
              <w:t>10.3%</w:t>
            </w:r>
          </w:p>
        </w:tc>
        <w:tc>
          <w:tcPr>
            <w:tcW w:type="dxa" w:w="1440"/>
          </w:tcPr>
          <w:p>
            <w:pPr>
              <w:spacing w:after="20" w:before="20"/>
              <w:jc w:val="right"/>
            </w:pPr>
            <w:r>
              <w:rPr>
                <w:rFonts w:ascii="Arial" w:hAnsi="Arial"/>
                <w:sz w:val="17"/>
              </w:rPr>
              <w:t>60</w:t>
            </w:r>
          </w:p>
        </w:tc>
        <w:tc>
          <w:tcPr>
            <w:tcW w:type="dxa" w:w="1440"/>
          </w:tcPr>
          <w:p>
            <w:pPr>
              <w:spacing w:after="20" w:before="20"/>
              <w:jc w:val="right"/>
            </w:pPr>
            <w:r>
              <w:rPr>
                <w:rFonts w:ascii="Arial" w:hAnsi="Arial"/>
                <w:sz w:val="17"/>
              </w:rPr>
              <w:t>64</w:t>
            </w:r>
          </w:p>
        </w:tc>
        <w:tc>
          <w:tcPr>
            <w:tcW w:type="dxa" w:w="1440"/>
          </w:tcPr>
          <w:p>
            <w:pPr>
              <w:spacing w:after="20" w:before="20"/>
              <w:jc w:val="right"/>
            </w:pPr>
            <w:r>
              <w:rPr>
                <w:rFonts w:ascii="Arial" w:hAnsi="Arial"/>
                <w:sz w:val="17"/>
              </w:rPr>
              <w:t>68</w:t>
            </w:r>
          </w:p>
        </w:tc>
        <w:tc>
          <w:tcPr>
            <w:tcW w:type="dxa" w:w="1440"/>
          </w:tcPr>
          <w:p>
            <w:pPr>
              <w:spacing w:after="20" w:before="20"/>
              <w:jc w:val="right"/>
            </w:pPr>
            <w:r>
              <w:rPr>
                <w:rFonts w:ascii="Arial" w:hAnsi="Arial"/>
                <w:sz w:val="17"/>
              </w:rPr>
              <w:t>73</w:t>
            </w:r>
          </w:p>
        </w:tc>
        <w:tc>
          <w:tcPr>
            <w:tcW w:type="dxa" w:w="1440"/>
          </w:tcPr>
          <w:p>
            <w:pPr>
              <w:spacing w:after="20" w:before="20"/>
              <w:jc w:val="right"/>
            </w:pPr>
            <w:r>
              <w:rPr>
                <w:rFonts w:ascii="Arial" w:hAnsi="Arial"/>
                <w:sz w:val="17"/>
              </w:rPr>
              <w:t>78</w:t>
            </w:r>
          </w:p>
        </w:tc>
      </w:tr>
    </w:tbl>
    <w:p>
      <w:pPr>
        <w:spacing w:after="80" w:before="0"/>
      </w:pPr>
      <w:r>
        <w:rPr>
          <w:rFonts w:ascii="Arial" w:hAnsi="Arial"/>
          <w:b w:val="0"/>
          <w:i w:val="0"/>
          <w:sz w:val="20"/>
        </w:rPr>
        <w:t>Across the entire span of both grids — even a +20% NAV premium on generous private marks, or an 8.3% WACC with 4.5% terminal growth — the fundamental value stays far below the AED 382 spot. The point estimate is not the story; the premium is.</w:t>
      </w:r>
    </w:p>
    <w:p>
      <w:pPr>
        <w:spacing w:before="240" w:after="80"/>
      </w:pPr>
      <w:r>
        <w:rPr>
          <w:rFonts w:ascii="Arial" w:hAnsi="Arial"/>
          <w:b/>
          <w:color w:val="1C3A36"/>
          <w:sz w:val="30"/>
        </w:rPr>
        <w:t>2  Technical and price structure</w:t>
      </w:r>
    </w:p>
    <w:p>
      <w:pPr>
        <w:spacing w:after="80" w:before="0"/>
      </w:pPr>
      <w:r>
        <w:rPr>
          <w:rFonts w:ascii="Arial" w:hAnsi="Arial"/>
          <w:b w:val="0"/>
          <w:i w:val="0"/>
          <w:sz w:val="20"/>
        </w:rPr>
        <w:t>The tape is soft and, above all, tight. IHC sits below all four major moving averages, arranged in a stepwise-descending stack (the 200-day above the 100-day above the 50-day above the 20-day above price) — the classic signature of a mild, orderly downtrend. Momentum is negative but not extreme (RSI in the low-40s, MACD modestly below its signal). What stands out is the range: a 52-week band of barely 6% (AED 380–404), reflecting the very low turnover and buy-and-hold ownership that also make the observed beta (−0.24) an artifact rather than a true low-risk signal. Price and value point the same direction here — both say 'no near-term catalyst to close the gap' — but for opposite reasons: the fundamentals say expensive, the tape says quietly drifting.</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202"/>
        <w:gridCol w:w="3202"/>
        <w:gridCol w:w="3202"/>
      </w:tblGrid>
      <w:tr>
        <w:tc>
          <w:tcPr>
            <w:tcW w:type="dxa" w:w="3168"/>
            <w:shd w:val="clear" w:fill="1C3A36"/>
          </w:tcPr>
          <w:p>
            <w:pPr>
              <w:spacing w:after="20" w:before="20"/>
            </w:pPr>
            <w:r>
              <w:rPr>
                <w:rFonts w:ascii="Arial" w:hAnsi="Arial"/>
                <w:b/>
                <w:color w:val="FFFFFF"/>
                <w:sz w:val="17"/>
              </w:rPr>
              <w:t>Indicator</w:t>
            </w:r>
          </w:p>
        </w:tc>
        <w:tc>
          <w:tcPr>
            <w:tcW w:type="dxa" w:w="4032"/>
            <w:shd w:val="clear" w:fill="1C3A36"/>
          </w:tcPr>
          <w:p>
            <w:pPr>
              <w:spacing w:after="20" w:before="20"/>
            </w:pPr>
            <w:r>
              <w:rPr>
                <w:rFonts w:ascii="Arial" w:hAnsi="Arial"/>
                <w:b/>
                <w:color w:val="FFFFFF"/>
                <w:sz w:val="17"/>
              </w:rPr>
              <w:t>Reading</w:t>
            </w:r>
          </w:p>
        </w:tc>
        <w:tc>
          <w:tcPr>
            <w:tcW w:type="dxa" w:w="2304"/>
            <w:shd w:val="clear" w:fill="1C3A36"/>
          </w:tcPr>
          <w:p>
            <w:pPr>
              <w:spacing w:after="20" w:before="20"/>
            </w:pPr>
            <w:r>
              <w:rPr>
                <w:rFonts w:ascii="Arial" w:hAnsi="Arial"/>
                <w:b/>
                <w:color w:val="FFFFFF"/>
                <w:sz w:val="17"/>
              </w:rPr>
              <w:t>Signal</w:t>
            </w:r>
          </w:p>
        </w:tc>
      </w:tr>
      <w:tr>
        <w:tc>
          <w:tcPr>
            <w:tcW w:type="dxa" w:w="3168"/>
          </w:tcPr>
          <w:p>
            <w:pPr>
              <w:spacing w:after="20" w:before="20"/>
            </w:pPr>
            <w:r>
              <w:rPr>
                <w:rFonts w:ascii="Arial" w:hAnsi="Arial"/>
                <w:sz w:val="17"/>
              </w:rPr>
              <w:t>Price</w:t>
            </w:r>
          </w:p>
        </w:tc>
        <w:tc>
          <w:tcPr>
            <w:tcW w:type="dxa" w:w="4032"/>
          </w:tcPr>
          <w:p>
            <w:pPr>
              <w:spacing w:after="20" w:before="20"/>
              <w:jc w:val="right"/>
            </w:pPr>
            <w:r>
              <w:rPr>
                <w:rFonts w:ascii="Arial" w:hAnsi="Arial"/>
                <w:sz w:val="17"/>
              </w:rPr>
              <w:t>AED 382.3</w:t>
            </w:r>
          </w:p>
        </w:tc>
        <w:tc>
          <w:tcPr>
            <w:tcW w:type="dxa" w:w="2304"/>
          </w:tcPr>
          <w:p>
            <w:pPr>
              <w:spacing w:after="20" w:before="20"/>
              <w:jc w:val="right"/>
            </w:pPr>
            <w:r>
              <w:rPr>
                <w:rFonts w:ascii="Arial" w:hAnsi="Arial"/>
                <w:sz w:val="17"/>
              </w:rPr>
              <w:t>below all MAs</w:t>
            </w:r>
          </w:p>
        </w:tc>
      </w:tr>
      <w:tr>
        <w:tc>
          <w:tcPr>
            <w:tcW w:type="dxa" w:w="3168"/>
          </w:tcPr>
          <w:p>
            <w:pPr>
              <w:spacing w:after="20" w:before="20"/>
            </w:pPr>
            <w:r>
              <w:rPr>
                <w:rFonts w:ascii="Arial" w:hAnsi="Arial"/>
                <w:sz w:val="17"/>
              </w:rPr>
              <w:t>MA20 / MA50</w:t>
            </w:r>
          </w:p>
        </w:tc>
        <w:tc>
          <w:tcPr>
            <w:tcW w:type="dxa" w:w="4032"/>
          </w:tcPr>
          <w:p>
            <w:pPr>
              <w:spacing w:after="20" w:before="20"/>
              <w:jc w:val="right"/>
            </w:pPr>
            <w:r>
              <w:rPr>
                <w:rFonts w:ascii="Arial" w:hAnsi="Arial"/>
                <w:sz w:val="17"/>
              </w:rPr>
              <w:t>384.85 / 388.23</w:t>
            </w:r>
          </w:p>
        </w:tc>
        <w:tc>
          <w:tcPr>
            <w:tcW w:type="dxa" w:w="2304"/>
          </w:tcPr>
          <w:p>
            <w:pPr>
              <w:spacing w:after="20" w:before="20"/>
              <w:jc w:val="right"/>
            </w:pPr>
            <w:r>
              <w:rPr>
                <w:rFonts w:ascii="Arial" w:hAnsi="Arial"/>
                <w:sz w:val="17"/>
              </w:rPr>
              <w:t>price below both</w:t>
            </w:r>
          </w:p>
        </w:tc>
      </w:tr>
      <w:tr>
        <w:tc>
          <w:tcPr>
            <w:tcW w:type="dxa" w:w="3168"/>
          </w:tcPr>
          <w:p>
            <w:pPr>
              <w:spacing w:after="20" w:before="20"/>
            </w:pPr>
            <w:r>
              <w:rPr>
                <w:rFonts w:ascii="Arial" w:hAnsi="Arial"/>
                <w:sz w:val="17"/>
              </w:rPr>
              <w:t>MA100 / MA200</w:t>
            </w:r>
          </w:p>
        </w:tc>
        <w:tc>
          <w:tcPr>
            <w:tcW w:type="dxa" w:w="4032"/>
          </w:tcPr>
          <w:p>
            <w:pPr>
              <w:spacing w:after="20" w:before="20"/>
              <w:jc w:val="right"/>
            </w:pPr>
            <w:r>
              <w:rPr>
                <w:rFonts w:ascii="Arial" w:hAnsi="Arial"/>
                <w:sz w:val="17"/>
              </w:rPr>
              <w:t>391.46 / 395.65</w:t>
            </w:r>
          </w:p>
        </w:tc>
        <w:tc>
          <w:tcPr>
            <w:tcW w:type="dxa" w:w="2304"/>
          </w:tcPr>
          <w:p>
            <w:pPr>
              <w:spacing w:after="20" w:before="20"/>
              <w:jc w:val="right"/>
            </w:pPr>
            <w:r>
              <w:rPr>
                <w:rFonts w:ascii="Arial" w:hAnsi="Arial"/>
                <w:sz w:val="17"/>
              </w:rPr>
              <w:t>descending stack</w:t>
            </w:r>
          </w:p>
        </w:tc>
      </w:tr>
      <w:tr>
        <w:tc>
          <w:tcPr>
            <w:tcW w:type="dxa" w:w="3168"/>
          </w:tcPr>
          <w:p>
            <w:pPr>
              <w:spacing w:after="20" w:before="20"/>
            </w:pPr>
            <w:r>
              <w:rPr>
                <w:rFonts w:ascii="Arial" w:hAnsi="Arial"/>
                <w:sz w:val="17"/>
              </w:rPr>
              <w:t>RSI (14)</w:t>
            </w:r>
          </w:p>
        </w:tc>
        <w:tc>
          <w:tcPr>
            <w:tcW w:type="dxa" w:w="4032"/>
          </w:tcPr>
          <w:p>
            <w:pPr>
              <w:spacing w:after="20" w:before="20"/>
              <w:jc w:val="right"/>
            </w:pPr>
            <w:r>
              <w:rPr>
                <w:rFonts w:ascii="Arial" w:hAnsi="Arial"/>
                <w:sz w:val="17"/>
              </w:rPr>
              <w:t>42.9</w:t>
            </w:r>
          </w:p>
        </w:tc>
        <w:tc>
          <w:tcPr>
            <w:tcW w:type="dxa" w:w="2304"/>
          </w:tcPr>
          <w:p>
            <w:pPr>
              <w:spacing w:after="20" w:before="20"/>
              <w:jc w:val="right"/>
            </w:pPr>
            <w:r>
              <w:rPr>
                <w:rFonts w:ascii="Arial" w:hAnsi="Arial"/>
                <w:sz w:val="17"/>
              </w:rPr>
              <w:t>neutral-soft</w:t>
            </w:r>
          </w:p>
        </w:tc>
      </w:tr>
      <w:tr>
        <w:tc>
          <w:tcPr>
            <w:tcW w:type="dxa" w:w="3168"/>
          </w:tcPr>
          <w:p>
            <w:pPr>
              <w:spacing w:after="20" w:before="20"/>
            </w:pPr>
            <w:r>
              <w:rPr>
                <w:rFonts w:ascii="Arial" w:hAnsi="Arial"/>
                <w:sz w:val="17"/>
              </w:rPr>
              <w:t>MACD (12/26/9)</w:t>
            </w:r>
          </w:p>
        </w:tc>
        <w:tc>
          <w:tcPr>
            <w:tcW w:type="dxa" w:w="4032"/>
          </w:tcPr>
          <w:p>
            <w:pPr>
              <w:spacing w:after="20" w:before="20"/>
              <w:jc w:val="right"/>
            </w:pPr>
            <w:r>
              <w:rPr>
                <w:rFonts w:ascii="Arial" w:hAnsi="Arial"/>
                <w:sz w:val="17"/>
              </w:rPr>
              <w:t>-1.945 (sig -1.617, hist -0.328)</w:t>
            </w:r>
          </w:p>
        </w:tc>
        <w:tc>
          <w:tcPr>
            <w:tcW w:type="dxa" w:w="2304"/>
          </w:tcPr>
          <w:p>
            <w:pPr>
              <w:spacing w:after="20" w:before="20"/>
              <w:jc w:val="right"/>
            </w:pPr>
            <w:r>
              <w:rPr>
                <w:rFonts w:ascii="Arial" w:hAnsi="Arial"/>
                <w:sz w:val="17"/>
              </w:rPr>
              <w:t>mildly bearish</w:t>
            </w:r>
          </w:p>
        </w:tc>
      </w:tr>
      <w:tr>
        <w:tc>
          <w:tcPr>
            <w:tcW w:type="dxa" w:w="3168"/>
          </w:tcPr>
          <w:p>
            <w:pPr>
              <w:spacing w:after="20" w:before="20"/>
            </w:pPr>
            <w:r>
              <w:rPr>
                <w:rFonts w:ascii="Arial" w:hAnsi="Arial"/>
                <w:sz w:val="17"/>
              </w:rPr>
              <w:t>52-week range</w:t>
            </w:r>
          </w:p>
        </w:tc>
        <w:tc>
          <w:tcPr>
            <w:tcW w:type="dxa" w:w="4032"/>
          </w:tcPr>
          <w:p>
            <w:pPr>
              <w:spacing w:after="20" w:before="20"/>
              <w:jc w:val="right"/>
            </w:pPr>
            <w:r>
              <w:rPr>
                <w:rFonts w:ascii="Arial" w:hAnsi="Arial"/>
                <w:sz w:val="17"/>
              </w:rPr>
              <w:t>AED 380.0 – 404.0</w:t>
            </w:r>
          </w:p>
        </w:tc>
        <w:tc>
          <w:tcPr>
            <w:tcW w:type="dxa" w:w="2304"/>
          </w:tcPr>
          <w:p>
            <w:pPr>
              <w:spacing w:after="20" w:before="20"/>
              <w:jc w:val="right"/>
            </w:pPr>
            <w:r>
              <w:rPr>
                <w:rFonts w:ascii="Arial" w:hAnsi="Arial"/>
                <w:sz w:val="17"/>
              </w:rPr>
              <w:t>very tight (~6%)</w:t>
            </w:r>
          </w:p>
        </w:tc>
      </w:tr>
      <w:tr>
        <w:tc>
          <w:tcPr>
            <w:tcW w:type="dxa" w:w="3168"/>
          </w:tcPr>
          <w:p>
            <w:pPr>
              <w:spacing w:after="20" w:before="20"/>
            </w:pPr>
            <w:r>
              <w:rPr>
                <w:rFonts w:ascii="Arial" w:hAnsi="Arial"/>
                <w:sz w:val="17"/>
              </w:rPr>
              <w:t>52-week change</w:t>
            </w:r>
          </w:p>
        </w:tc>
        <w:tc>
          <w:tcPr>
            <w:tcW w:type="dxa" w:w="4032"/>
          </w:tcPr>
          <w:p>
            <w:pPr>
              <w:spacing w:after="20" w:before="20"/>
              <w:jc w:val="right"/>
            </w:pPr>
            <w:r>
              <w:rPr>
                <w:rFonts w:ascii="Arial" w:hAnsi="Arial"/>
                <w:sz w:val="17"/>
              </w:rPr>
              <w:t>-4.9%</w:t>
            </w:r>
          </w:p>
        </w:tc>
        <w:tc>
          <w:tcPr>
            <w:tcW w:type="dxa" w:w="2304"/>
          </w:tcPr>
          <w:p>
            <w:pPr>
              <w:spacing w:after="20" w:before="20"/>
              <w:jc w:val="right"/>
            </w:pPr>
            <w:r>
              <w:rPr>
                <w:rFonts w:ascii="Arial" w:hAnsi="Arial"/>
                <w:sz w:val="17"/>
              </w:rPr>
              <w:t>mild drawdown</w:t>
            </w:r>
          </w:p>
        </w:tc>
      </w:tr>
    </w:tbl>
    <w:p>
      <w:pPr>
        <w:jc w:val="center"/>
      </w:pPr>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tech_ma_stack.png"/>
                    <pic:cNvPicPr/>
                  </pic:nvPicPr>
                  <pic:blipFill>
                    <a:blip r:embed="rId12"/>
                    <a:stretch>
                      <a:fillRect/>
                    </a:stretch>
                  </pic:blipFill>
                  <pic:spPr>
                    <a:xfrm>
                      <a:off x="0" y="0"/>
                      <a:ext cx="5852160" cy="2926080"/>
                    </a:xfrm>
                    <a:prstGeom prst="rect"/>
                  </pic:spPr>
                </pic:pic>
              </a:graphicData>
            </a:graphic>
          </wp:inline>
        </w:drawing>
      </w:r>
    </w:p>
    <w:p>
      <w:pPr>
        <w:spacing w:after="120" w:before="0"/>
        <w:jc w:val="center"/>
      </w:pPr>
      <w:r>
        <w:rPr>
          <w:rFonts w:ascii="Arial" w:hAnsi="Arial"/>
          <w:b w:val="0"/>
          <w:i/>
          <w:color w:val="555555"/>
          <w:sz w:val="17"/>
        </w:rPr>
        <w:t>Figure 4. Price below a descending moving-average stack; a soft, low-volatility drift.</w:t>
      </w:r>
    </w:p>
    <w:p>
      <w:pPr>
        <w:spacing w:before="240" w:after="80"/>
      </w:pPr>
      <w:r>
        <w:rPr>
          <w:rFonts w:ascii="Arial" w:hAnsi="Arial"/>
          <w:b/>
          <w:color w:val="1C3A36"/>
          <w:sz w:val="30"/>
        </w:rPr>
        <w:t>3  Monte Carlo — a probabilistic price map</w:t>
      </w:r>
    </w:p>
    <w:p>
      <w:pPr>
        <w:spacing w:after="80" w:before="0"/>
      </w:pPr>
      <w:r>
        <w:rPr>
          <w:rFonts w:ascii="Arial" w:hAnsi="Arial"/>
          <w:b w:val="0"/>
          <w:i w:val="0"/>
          <w:sz w:val="20"/>
        </w:rPr>
        <w:t>We simulate 50,000 three-month price paths (seed 42) with the house YZ-HAR engine: width is set by a gap-aware Yang-Zhang variance proxy fed through a log-HAR cascade (regime-conditional, so it is tight in IHC's current calm tape); shape is unit-variance Student-t(5) via a per-path variance mixture (an honest body with fatter tails than a Gaussian); and drift is zero — IHC is an international name, and the house rule turns secular drift off for non-EGX names precisely because a confident trend extrapolation breaks at a regime turn (and IHC's own 9× run-up has already given way to a plateau). On top of that diffusion sit sixteen external factors — seven continuous macro / operating drivers contributing a small net forward tilt, and nine discrete events that each fire with a probability and an impact. By design the paths diffuse from spot as near-term price, and deliberately do not embed the fundamental NAV — the value gap of §1 is kept out of the drift, so the fundamental and probabilistic lenses stay independent. The regime-conditional volatility prints low (YZ-HAR σ ≈ 6.1% annualized), while the discrete event overlay widens the realized path vol to ≈ 24% and skews the distribution modestly positive (net factor drift ≈ 2.5% over the quarter). Read the 50% interquartile band first; the 90% tail is the fat-tailed outer envelope, not the central expectation.</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202"/>
        <w:gridCol w:w="3202"/>
        <w:gridCol w:w="3202"/>
      </w:tblGrid>
      <w:tr>
        <w:tc>
          <w:tcPr>
            <w:tcW w:type="dxa" w:w="3168"/>
            <w:shd w:val="clear" w:fill="1C3A36"/>
          </w:tcPr>
          <w:p>
            <w:pPr>
              <w:spacing w:after="20" w:before="20"/>
            </w:pPr>
            <w:r>
              <w:rPr>
                <w:rFonts w:ascii="Arial" w:hAnsi="Arial"/>
                <w:b/>
                <w:color w:val="FFFFFF"/>
                <w:sz w:val="18"/>
              </w:rPr>
              <w:t>Percentile</w:t>
            </w:r>
          </w:p>
        </w:tc>
        <w:tc>
          <w:tcPr>
            <w:tcW w:type="dxa" w:w="3168"/>
            <w:shd w:val="clear" w:fill="1C3A36"/>
          </w:tcPr>
          <w:p>
            <w:pPr>
              <w:spacing w:after="20" w:before="20"/>
            </w:pPr>
            <w:r>
              <w:rPr>
                <w:rFonts w:ascii="Arial" w:hAnsi="Arial"/>
                <w:b/>
                <w:color w:val="FFFFFF"/>
                <w:sz w:val="18"/>
              </w:rPr>
              <w:t>T+20 (AED)</w:t>
            </w:r>
          </w:p>
        </w:tc>
        <w:tc>
          <w:tcPr>
            <w:tcW w:type="dxa" w:w="3168"/>
            <w:shd w:val="clear" w:fill="1C3A36"/>
          </w:tcPr>
          <w:p>
            <w:pPr>
              <w:spacing w:after="20" w:before="20"/>
            </w:pPr>
            <w:r>
              <w:rPr>
                <w:rFonts w:ascii="Arial" w:hAnsi="Arial"/>
                <w:b/>
                <w:color w:val="FFFFFF"/>
                <w:sz w:val="18"/>
              </w:rPr>
              <w:t>T+60 (AED)</w:t>
            </w:r>
          </w:p>
        </w:tc>
      </w:tr>
      <w:tr>
        <w:tc>
          <w:tcPr>
            <w:tcW w:type="dxa" w:w="3168"/>
          </w:tcPr>
          <w:p>
            <w:pPr>
              <w:spacing w:after="20" w:before="20"/>
            </w:pPr>
            <w:r>
              <w:rPr>
                <w:rFonts w:ascii="Arial" w:hAnsi="Arial"/>
                <w:sz w:val="18"/>
              </w:rPr>
              <w:t>95th</w:t>
            </w:r>
          </w:p>
        </w:tc>
        <w:tc>
          <w:tcPr>
            <w:tcW w:type="dxa" w:w="3168"/>
          </w:tcPr>
          <w:p>
            <w:pPr>
              <w:spacing w:after="20" w:before="20"/>
              <w:jc w:val="right"/>
            </w:pPr>
            <w:r>
              <w:rPr>
                <w:rFonts w:ascii="Arial" w:hAnsi="Arial"/>
                <w:sz w:val="18"/>
              </w:rPr>
              <w:t>428</w:t>
            </w:r>
          </w:p>
        </w:tc>
        <w:tc>
          <w:tcPr>
            <w:tcW w:type="dxa" w:w="3168"/>
          </w:tcPr>
          <w:p>
            <w:pPr>
              <w:spacing w:after="20" w:before="20"/>
              <w:jc w:val="right"/>
            </w:pPr>
            <w:r>
              <w:rPr>
                <w:rFonts w:ascii="Arial" w:hAnsi="Arial"/>
                <w:sz w:val="18"/>
              </w:rPr>
              <w:t>462</w:t>
            </w:r>
          </w:p>
        </w:tc>
      </w:tr>
      <w:tr>
        <w:tc>
          <w:tcPr>
            <w:tcW w:type="dxa" w:w="3168"/>
          </w:tcPr>
          <w:p>
            <w:pPr>
              <w:spacing w:after="20" w:before="20"/>
            </w:pPr>
            <w:r>
              <w:rPr>
                <w:rFonts w:ascii="Arial" w:hAnsi="Arial"/>
                <w:sz w:val="18"/>
              </w:rPr>
              <w:t>75th</w:t>
            </w:r>
          </w:p>
        </w:tc>
        <w:tc>
          <w:tcPr>
            <w:tcW w:type="dxa" w:w="3168"/>
          </w:tcPr>
          <w:p>
            <w:pPr>
              <w:spacing w:after="20" w:before="20"/>
              <w:jc w:val="right"/>
            </w:pPr>
            <w:r>
              <w:rPr>
                <w:rFonts w:ascii="Arial" w:hAnsi="Arial"/>
                <w:sz w:val="18"/>
              </w:rPr>
              <w:t>397</w:t>
            </w:r>
          </w:p>
        </w:tc>
        <w:tc>
          <w:tcPr>
            <w:tcW w:type="dxa" w:w="3168"/>
          </w:tcPr>
          <w:p>
            <w:pPr>
              <w:spacing w:after="20" w:before="20"/>
              <w:jc w:val="right"/>
            </w:pPr>
            <w:r>
              <w:rPr>
                <w:rFonts w:ascii="Arial" w:hAnsi="Arial"/>
                <w:sz w:val="18"/>
              </w:rPr>
              <w:t>418</w:t>
            </w:r>
          </w:p>
        </w:tc>
      </w:tr>
      <w:tr>
        <w:tc>
          <w:tcPr>
            <w:tcW w:type="dxa" w:w="3168"/>
          </w:tcPr>
          <w:p>
            <w:pPr>
              <w:spacing w:after="20" w:before="20"/>
            </w:pPr>
            <w:r>
              <w:rPr>
                <w:rFonts w:ascii="Arial" w:hAnsi="Arial"/>
                <w:sz w:val="18"/>
              </w:rPr>
              <w:t>50th (median)</w:t>
            </w:r>
          </w:p>
        </w:tc>
        <w:tc>
          <w:tcPr>
            <w:tcW w:type="dxa" w:w="3168"/>
          </w:tcPr>
          <w:p>
            <w:pPr>
              <w:spacing w:after="20" w:before="20"/>
              <w:jc w:val="right"/>
            </w:pPr>
            <w:r>
              <w:rPr>
                <w:rFonts w:ascii="Arial" w:hAnsi="Arial"/>
                <w:sz w:val="18"/>
              </w:rPr>
              <w:t>384</w:t>
            </w:r>
          </w:p>
        </w:tc>
        <w:tc>
          <w:tcPr>
            <w:tcW w:type="dxa" w:w="3168"/>
          </w:tcPr>
          <w:p>
            <w:pPr>
              <w:spacing w:after="20" w:before="20"/>
              <w:jc w:val="right"/>
            </w:pPr>
            <w:r>
              <w:rPr>
                <w:rFonts w:ascii="Arial" w:hAnsi="Arial"/>
                <w:sz w:val="18"/>
              </w:rPr>
              <w:t>391</w:t>
            </w:r>
          </w:p>
        </w:tc>
      </w:tr>
      <w:tr>
        <w:tc>
          <w:tcPr>
            <w:tcW w:type="dxa" w:w="3168"/>
          </w:tcPr>
          <w:p>
            <w:pPr>
              <w:spacing w:after="20" w:before="20"/>
            </w:pPr>
            <w:r>
              <w:rPr>
                <w:rFonts w:ascii="Arial" w:hAnsi="Arial"/>
                <w:sz w:val="18"/>
              </w:rPr>
              <w:t>25th</w:t>
            </w:r>
          </w:p>
        </w:tc>
        <w:tc>
          <w:tcPr>
            <w:tcW w:type="dxa" w:w="3168"/>
          </w:tcPr>
          <w:p>
            <w:pPr>
              <w:spacing w:after="20" w:before="20"/>
              <w:jc w:val="right"/>
            </w:pPr>
            <w:r>
              <w:rPr>
                <w:rFonts w:ascii="Arial" w:hAnsi="Arial"/>
                <w:sz w:val="18"/>
              </w:rPr>
              <w:t>376</w:t>
            </w:r>
          </w:p>
        </w:tc>
        <w:tc>
          <w:tcPr>
            <w:tcW w:type="dxa" w:w="3168"/>
          </w:tcPr>
          <w:p>
            <w:pPr>
              <w:spacing w:after="20" w:before="20"/>
              <w:jc w:val="right"/>
            </w:pPr>
            <w:r>
              <w:rPr>
                <w:rFonts w:ascii="Arial" w:hAnsi="Arial"/>
                <w:sz w:val="18"/>
              </w:rPr>
              <w:t>365</w:t>
            </w:r>
          </w:p>
        </w:tc>
      </w:tr>
      <w:tr>
        <w:tc>
          <w:tcPr>
            <w:tcW w:type="dxa" w:w="3168"/>
          </w:tcPr>
          <w:p>
            <w:pPr>
              <w:spacing w:after="20" w:before="20"/>
            </w:pPr>
            <w:r>
              <w:rPr>
                <w:rFonts w:ascii="Arial" w:hAnsi="Arial"/>
                <w:sz w:val="18"/>
              </w:rPr>
              <w:t>5th</w:t>
            </w:r>
          </w:p>
        </w:tc>
        <w:tc>
          <w:tcPr>
            <w:tcW w:type="dxa" w:w="3168"/>
          </w:tcPr>
          <w:p>
            <w:pPr>
              <w:spacing w:after="20" w:before="20"/>
              <w:jc w:val="right"/>
            </w:pPr>
            <w:r>
              <w:rPr>
                <w:rFonts w:ascii="Arial" w:hAnsi="Arial"/>
                <w:sz w:val="18"/>
              </w:rPr>
              <w:t>341</w:t>
            </w:r>
          </w:p>
        </w:tc>
        <w:tc>
          <w:tcPr>
            <w:tcW w:type="dxa" w:w="3168"/>
          </w:tcPr>
          <w:p>
            <w:pPr>
              <w:spacing w:after="20" w:before="20"/>
              <w:jc w:val="right"/>
            </w:pPr>
            <w:r>
              <w:rPr>
                <w:rFonts w:ascii="Arial" w:hAnsi="Arial"/>
                <w:sz w:val="18"/>
              </w:rPr>
              <w:t>323</w:t>
            </w:r>
          </w:p>
        </w:tc>
      </w:tr>
    </w:tbl>
    <w:p>
      <w:pPr>
        <w:jc w:val="center"/>
      </w:pPr>
      <w:r>
        <w:drawing>
          <wp:inline xmlns:a="http://schemas.openxmlformats.org/drawingml/2006/main" xmlns:pic="http://schemas.openxmlformats.org/drawingml/2006/picture">
            <wp:extent cx="5852160" cy="3169920"/>
            <wp:docPr id="5" name="Picture 5"/>
            <wp:cNvGraphicFramePr>
              <a:graphicFrameLocks noChangeAspect="1"/>
            </wp:cNvGraphicFramePr>
            <a:graphic>
              <a:graphicData uri="http://schemas.openxmlformats.org/drawingml/2006/picture">
                <pic:pic>
                  <pic:nvPicPr>
                    <pic:cNvPr id="0" name="mc_fan.png"/>
                    <pic:cNvPicPr/>
                  </pic:nvPicPr>
                  <pic:blipFill>
                    <a:blip r:embed="rId13"/>
                    <a:stretch>
                      <a:fillRect/>
                    </a:stretch>
                  </pic:blipFill>
                  <pic:spPr>
                    <a:xfrm>
                      <a:off x="0" y="0"/>
                      <a:ext cx="5852160" cy="3169920"/>
                    </a:xfrm>
                    <a:prstGeom prst="rect"/>
                  </pic:spPr>
                </pic:pic>
              </a:graphicData>
            </a:graphic>
          </wp:inline>
        </w:drawing>
      </w:r>
    </w:p>
    <w:p>
      <w:pPr>
        <w:spacing w:after="120" w:before="0"/>
        <w:jc w:val="center"/>
      </w:pPr>
      <w:r>
        <w:rPr>
          <w:rFonts w:ascii="Arial" w:hAnsi="Arial"/>
          <w:b w:val="0"/>
          <w:i/>
          <w:color w:val="555555"/>
          <w:sz w:val="17"/>
        </w:rPr>
        <w:t>Figure 5. Monte Carlo forward cone (60 sessions). Gold 5–95%, brass 25–75%, white median; spot dashed.</w:t>
      </w:r>
    </w:p>
    <w:p>
      <w:pPr>
        <w:jc w:val="center"/>
      </w:pPr>
      <w:r>
        <w:drawing>
          <wp:inline xmlns:a="http://schemas.openxmlformats.org/drawingml/2006/main" xmlns:pic="http://schemas.openxmlformats.org/drawingml/2006/picture">
            <wp:extent cx="4480560" cy="2450306"/>
            <wp:docPr id="6" name="Picture 6"/>
            <wp:cNvGraphicFramePr>
              <a:graphicFrameLocks noChangeAspect="1"/>
            </wp:cNvGraphicFramePr>
            <a:graphic>
              <a:graphicData uri="http://schemas.openxmlformats.org/drawingml/2006/picture">
                <pic:pic>
                  <pic:nvPicPr>
                    <pic:cNvPr id="0" name="mc_dist_T+20.png"/>
                    <pic:cNvPicPr/>
                  </pic:nvPicPr>
                  <pic:blipFill>
                    <a:blip r:embed="rId14"/>
                    <a:stretch>
                      <a:fillRect/>
                    </a:stretch>
                  </pic:blipFill>
                  <pic:spPr>
                    <a:xfrm>
                      <a:off x="0" y="0"/>
                      <a:ext cx="4480560" cy="2450306"/>
                    </a:xfrm>
                    <a:prstGeom prst="rect"/>
                  </pic:spPr>
                </pic:pic>
              </a:graphicData>
            </a:graphic>
          </wp:inline>
        </w:drawing>
      </w:r>
    </w:p>
    <w:p>
      <w:pPr>
        <w:spacing w:after="120" w:before="0"/>
        <w:jc w:val="center"/>
      </w:pPr>
      <w:r>
        <w:rPr>
          <w:rFonts w:ascii="Arial" w:hAnsi="Arial"/>
          <w:b w:val="0"/>
          <w:i/>
          <w:color w:val="555555"/>
          <w:sz w:val="17"/>
        </w:rPr>
        <w:t>Figure 6. T+20 price distribution.</w:t>
      </w:r>
    </w:p>
    <w:p>
      <w:pPr>
        <w:jc w:val="center"/>
      </w:pPr>
      <w:r>
        <w:drawing>
          <wp:inline xmlns:a="http://schemas.openxmlformats.org/drawingml/2006/main" xmlns:pic="http://schemas.openxmlformats.org/drawingml/2006/picture">
            <wp:extent cx="4480560" cy="2450306"/>
            <wp:docPr id="7" name="Picture 7"/>
            <wp:cNvGraphicFramePr>
              <a:graphicFrameLocks noChangeAspect="1"/>
            </wp:cNvGraphicFramePr>
            <a:graphic>
              <a:graphicData uri="http://schemas.openxmlformats.org/drawingml/2006/picture">
                <pic:pic>
                  <pic:nvPicPr>
                    <pic:cNvPr id="0" name="mc_dist_T+60.png"/>
                    <pic:cNvPicPr/>
                  </pic:nvPicPr>
                  <pic:blipFill>
                    <a:blip r:embed="rId15"/>
                    <a:stretch>
                      <a:fillRect/>
                    </a:stretch>
                  </pic:blipFill>
                  <pic:spPr>
                    <a:xfrm>
                      <a:off x="0" y="0"/>
                      <a:ext cx="4480560" cy="2450306"/>
                    </a:xfrm>
                    <a:prstGeom prst="rect"/>
                  </pic:spPr>
                </pic:pic>
              </a:graphicData>
            </a:graphic>
          </wp:inline>
        </w:drawing>
      </w:r>
    </w:p>
    <w:p>
      <w:pPr>
        <w:spacing w:after="120" w:before="0"/>
        <w:jc w:val="center"/>
      </w:pPr>
      <w:r>
        <w:rPr>
          <w:rFonts w:ascii="Arial" w:hAnsi="Arial"/>
          <w:b w:val="0"/>
          <w:i/>
          <w:color w:val="555555"/>
          <w:sz w:val="17"/>
        </w:rPr>
        <w:t>Figure 7. T+60 price distribution — right-skewed by the net-positive event overlay.</w:t>
      </w:r>
    </w:p>
    <w:p>
      <w:pPr>
        <w:spacing w:after="40" w:before="80"/>
      </w:pPr>
      <w:r>
        <w:rPr>
          <w:rFonts w:ascii="Arial" w:hAnsi="Arial"/>
          <w:b/>
          <w:i w:val="0"/>
          <w:sz w:val="19"/>
        </w:rPr>
        <w:t>Touch-probability ladders — the chance a path trades at or through a level at least once by the horizon:</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202"/>
        <w:gridCol w:w="3202"/>
        <w:gridCol w:w="3202"/>
      </w:tblGrid>
      <w:tr>
        <w:tc>
          <w:tcPr>
            <w:tcW w:type="dxa" w:w="2880"/>
            <w:shd w:val="clear" w:fill="1C3A36"/>
          </w:tcPr>
          <w:p>
            <w:pPr>
              <w:spacing w:after="20" w:before="20"/>
            </w:pPr>
            <w:r>
              <w:rPr>
                <w:rFonts w:ascii="Arial" w:hAnsi="Arial"/>
                <w:b/>
                <w:color w:val="FFFFFF"/>
                <w:sz w:val="17"/>
              </w:rPr>
              <w:t>Level</w:t>
            </w:r>
          </w:p>
        </w:tc>
        <w:tc>
          <w:tcPr>
            <w:tcW w:type="dxa" w:w="2304"/>
            <w:shd w:val="clear" w:fill="1C3A36"/>
          </w:tcPr>
          <w:p>
            <w:pPr>
              <w:spacing w:after="20" w:before="20"/>
            </w:pPr>
            <w:r>
              <w:rPr>
                <w:rFonts w:ascii="Arial" w:hAnsi="Arial"/>
                <w:b/>
                <w:color w:val="FFFFFF"/>
                <w:sz w:val="17"/>
              </w:rPr>
              <w:t>× spot</w:t>
            </w:r>
          </w:p>
        </w:tc>
        <w:tc>
          <w:tcPr>
            <w:tcW w:type="dxa" w:w="2880"/>
            <w:shd w:val="clear" w:fill="1C3A36"/>
          </w:tcPr>
          <w:p>
            <w:pPr>
              <w:spacing w:after="20" w:before="20"/>
            </w:pPr>
            <w:r>
              <w:rPr>
                <w:rFonts w:ascii="Arial" w:hAnsi="Arial"/>
                <w:b/>
                <w:color w:val="FFFFFF"/>
                <w:sz w:val="17"/>
              </w:rPr>
              <w:t>P(touch) T+60</w:t>
            </w:r>
          </w:p>
        </w:tc>
      </w:tr>
      <w:tr>
        <w:tc>
          <w:tcPr>
            <w:tcW w:type="dxa" w:w="2880"/>
          </w:tcPr>
          <w:p>
            <w:pPr>
              <w:spacing w:after="20" w:before="20"/>
            </w:pPr>
            <w:r>
              <w:rPr>
                <w:rFonts w:ascii="Arial" w:hAnsi="Arial"/>
                <w:sz w:val="17"/>
              </w:rPr>
              <w:t>AED 394</w:t>
            </w:r>
          </w:p>
        </w:tc>
        <w:tc>
          <w:tcPr>
            <w:tcW w:type="dxa" w:w="2304"/>
          </w:tcPr>
          <w:p>
            <w:pPr>
              <w:spacing w:after="20" w:before="20"/>
              <w:jc w:val="right"/>
            </w:pPr>
            <w:r>
              <w:rPr>
                <w:rFonts w:ascii="Arial" w:hAnsi="Arial"/>
                <w:sz w:val="17"/>
              </w:rPr>
              <w:t>1.03×</w:t>
            </w:r>
          </w:p>
        </w:tc>
        <w:tc>
          <w:tcPr>
            <w:tcW w:type="dxa" w:w="2880"/>
          </w:tcPr>
          <w:p>
            <w:pPr>
              <w:spacing w:after="20" w:before="20"/>
              <w:jc w:val="right"/>
            </w:pPr>
            <w:r>
              <w:rPr>
                <w:rFonts w:ascii="Arial" w:hAnsi="Arial"/>
                <w:sz w:val="17"/>
              </w:rPr>
              <w:t>67%</w:t>
            </w:r>
          </w:p>
        </w:tc>
      </w:tr>
      <w:tr>
        <w:tc>
          <w:tcPr>
            <w:tcW w:type="dxa" w:w="2880"/>
          </w:tcPr>
          <w:p>
            <w:pPr>
              <w:spacing w:after="20" w:before="20"/>
            </w:pPr>
            <w:r>
              <w:rPr>
                <w:rFonts w:ascii="Arial" w:hAnsi="Arial"/>
                <w:sz w:val="17"/>
              </w:rPr>
              <w:t>AED 405</w:t>
            </w:r>
          </w:p>
        </w:tc>
        <w:tc>
          <w:tcPr>
            <w:tcW w:type="dxa" w:w="2304"/>
          </w:tcPr>
          <w:p>
            <w:pPr>
              <w:spacing w:after="20" w:before="20"/>
              <w:jc w:val="right"/>
            </w:pPr>
            <w:r>
              <w:rPr>
                <w:rFonts w:ascii="Arial" w:hAnsi="Arial"/>
                <w:sz w:val="17"/>
              </w:rPr>
              <w:t>1.06×</w:t>
            </w:r>
          </w:p>
        </w:tc>
        <w:tc>
          <w:tcPr>
            <w:tcW w:type="dxa" w:w="2880"/>
          </w:tcPr>
          <w:p>
            <w:pPr>
              <w:spacing w:after="20" w:before="20"/>
              <w:jc w:val="right"/>
            </w:pPr>
            <w:r>
              <w:rPr>
                <w:rFonts w:ascii="Arial" w:hAnsi="Arial"/>
                <w:sz w:val="17"/>
              </w:rPr>
              <w:t>51%</w:t>
            </w:r>
          </w:p>
        </w:tc>
      </w:tr>
      <w:tr>
        <w:tc>
          <w:tcPr>
            <w:tcW w:type="dxa" w:w="2880"/>
          </w:tcPr>
          <w:p>
            <w:pPr>
              <w:spacing w:after="20" w:before="20"/>
            </w:pPr>
            <w:r>
              <w:rPr>
                <w:rFonts w:ascii="Arial" w:hAnsi="Arial"/>
                <w:sz w:val="17"/>
              </w:rPr>
              <w:t>AED 421</w:t>
            </w:r>
          </w:p>
        </w:tc>
        <w:tc>
          <w:tcPr>
            <w:tcW w:type="dxa" w:w="2304"/>
          </w:tcPr>
          <w:p>
            <w:pPr>
              <w:spacing w:after="20" w:before="20"/>
              <w:jc w:val="right"/>
            </w:pPr>
            <w:r>
              <w:rPr>
                <w:rFonts w:ascii="Arial" w:hAnsi="Arial"/>
                <w:sz w:val="17"/>
              </w:rPr>
              <w:t>1.10×</w:t>
            </w:r>
          </w:p>
        </w:tc>
        <w:tc>
          <w:tcPr>
            <w:tcW w:type="dxa" w:w="2880"/>
          </w:tcPr>
          <w:p>
            <w:pPr>
              <w:spacing w:after="20" w:before="20"/>
              <w:jc w:val="right"/>
            </w:pPr>
            <w:r>
              <w:rPr>
                <w:rFonts w:ascii="Arial" w:hAnsi="Arial"/>
                <w:sz w:val="17"/>
              </w:rPr>
              <w:t>33%</w:t>
            </w:r>
          </w:p>
        </w:tc>
      </w:tr>
      <w:tr>
        <w:tc>
          <w:tcPr>
            <w:tcW w:type="dxa" w:w="2880"/>
          </w:tcPr>
          <w:p>
            <w:pPr>
              <w:spacing w:after="20" w:before="20"/>
            </w:pPr>
            <w:r>
              <w:rPr>
                <w:rFonts w:ascii="Arial" w:hAnsi="Arial"/>
                <w:sz w:val="17"/>
              </w:rPr>
              <w:t>AED 440</w:t>
            </w:r>
          </w:p>
        </w:tc>
        <w:tc>
          <w:tcPr>
            <w:tcW w:type="dxa" w:w="2304"/>
          </w:tcPr>
          <w:p>
            <w:pPr>
              <w:spacing w:after="20" w:before="20"/>
              <w:jc w:val="right"/>
            </w:pPr>
            <w:r>
              <w:rPr>
                <w:rFonts w:ascii="Arial" w:hAnsi="Arial"/>
                <w:sz w:val="17"/>
              </w:rPr>
              <w:t>1.15×</w:t>
            </w:r>
          </w:p>
        </w:tc>
        <w:tc>
          <w:tcPr>
            <w:tcW w:type="dxa" w:w="2880"/>
          </w:tcPr>
          <w:p>
            <w:pPr>
              <w:spacing w:after="20" w:before="20"/>
              <w:jc w:val="right"/>
            </w:pPr>
            <w:r>
              <w:rPr>
                <w:rFonts w:ascii="Arial" w:hAnsi="Arial"/>
                <w:sz w:val="17"/>
              </w:rPr>
              <w:t>17%</w:t>
            </w:r>
          </w:p>
        </w:tc>
      </w:tr>
      <w:tr>
        <w:tc>
          <w:tcPr>
            <w:tcW w:type="dxa" w:w="2880"/>
          </w:tcPr>
          <w:p>
            <w:pPr>
              <w:spacing w:after="20" w:before="20"/>
            </w:pPr>
            <w:r>
              <w:rPr>
                <w:rFonts w:ascii="Arial" w:hAnsi="Arial"/>
                <w:sz w:val="17"/>
              </w:rPr>
              <w:t>AED 459</w:t>
            </w:r>
          </w:p>
        </w:tc>
        <w:tc>
          <w:tcPr>
            <w:tcW w:type="dxa" w:w="2304"/>
          </w:tcPr>
          <w:p>
            <w:pPr>
              <w:spacing w:after="20" w:before="20"/>
              <w:jc w:val="right"/>
            </w:pPr>
            <w:r>
              <w:rPr>
                <w:rFonts w:ascii="Arial" w:hAnsi="Arial"/>
                <w:sz w:val="17"/>
              </w:rPr>
              <w:t>1.20×</w:t>
            </w:r>
          </w:p>
        </w:tc>
        <w:tc>
          <w:tcPr>
            <w:tcW w:type="dxa" w:w="2880"/>
          </w:tcPr>
          <w:p>
            <w:pPr>
              <w:spacing w:after="20" w:before="20"/>
              <w:jc w:val="right"/>
            </w:pPr>
            <w:r>
              <w:rPr>
                <w:rFonts w:ascii="Arial" w:hAnsi="Arial"/>
                <w:sz w:val="17"/>
              </w:rPr>
              <w:t>8%</w:t>
            </w:r>
          </w:p>
        </w:tc>
      </w:tr>
      <w:tr>
        <w:tc>
          <w:tcPr>
            <w:tcW w:type="dxa" w:w="2880"/>
          </w:tcPr>
          <w:p>
            <w:pPr>
              <w:spacing w:after="20" w:before="20"/>
            </w:pPr>
            <w:r>
              <w:rPr>
                <w:rFonts w:ascii="Arial" w:hAnsi="Arial"/>
                <w:sz w:val="17"/>
              </w:rPr>
              <w:t>AED 371</w:t>
            </w:r>
          </w:p>
        </w:tc>
        <w:tc>
          <w:tcPr>
            <w:tcW w:type="dxa" w:w="2304"/>
          </w:tcPr>
          <w:p>
            <w:pPr>
              <w:spacing w:after="20" w:before="20"/>
              <w:jc w:val="right"/>
            </w:pPr>
            <w:r>
              <w:rPr>
                <w:rFonts w:ascii="Arial" w:hAnsi="Arial"/>
                <w:sz w:val="17"/>
              </w:rPr>
              <w:t>0.97×</w:t>
            </w:r>
          </w:p>
        </w:tc>
        <w:tc>
          <w:tcPr>
            <w:tcW w:type="dxa" w:w="2880"/>
          </w:tcPr>
          <w:p>
            <w:pPr>
              <w:spacing w:after="20" w:before="20"/>
              <w:jc w:val="right"/>
            </w:pPr>
            <w:r>
              <w:rPr>
                <w:rFonts w:ascii="Arial" w:hAnsi="Arial"/>
                <w:sz w:val="17"/>
              </w:rPr>
              <w:t>47%</w:t>
            </w:r>
          </w:p>
        </w:tc>
      </w:tr>
      <w:tr>
        <w:tc>
          <w:tcPr>
            <w:tcW w:type="dxa" w:w="2880"/>
          </w:tcPr>
          <w:p>
            <w:pPr>
              <w:spacing w:after="20" w:before="20"/>
            </w:pPr>
            <w:r>
              <w:rPr>
                <w:rFonts w:ascii="Arial" w:hAnsi="Arial"/>
                <w:sz w:val="17"/>
              </w:rPr>
              <w:t>AED 359</w:t>
            </w:r>
          </w:p>
        </w:tc>
        <w:tc>
          <w:tcPr>
            <w:tcW w:type="dxa" w:w="2304"/>
          </w:tcPr>
          <w:p>
            <w:pPr>
              <w:spacing w:after="20" w:before="20"/>
              <w:jc w:val="right"/>
            </w:pPr>
            <w:r>
              <w:rPr>
                <w:rFonts w:ascii="Arial" w:hAnsi="Arial"/>
                <w:sz w:val="17"/>
              </w:rPr>
              <w:t>0.94×</w:t>
            </w:r>
          </w:p>
        </w:tc>
        <w:tc>
          <w:tcPr>
            <w:tcW w:type="dxa" w:w="2880"/>
          </w:tcPr>
          <w:p>
            <w:pPr>
              <w:spacing w:after="20" w:before="20"/>
              <w:jc w:val="right"/>
            </w:pPr>
            <w:r>
              <w:rPr>
                <w:rFonts w:ascii="Arial" w:hAnsi="Arial"/>
                <w:sz w:val="17"/>
              </w:rPr>
              <w:t>34%</w:t>
            </w:r>
          </w:p>
        </w:tc>
      </w:tr>
      <w:tr>
        <w:tc>
          <w:tcPr>
            <w:tcW w:type="dxa" w:w="2880"/>
          </w:tcPr>
          <w:p>
            <w:pPr>
              <w:spacing w:after="20" w:before="20"/>
            </w:pPr>
            <w:r>
              <w:rPr>
                <w:rFonts w:ascii="Arial" w:hAnsi="Arial"/>
                <w:sz w:val="17"/>
              </w:rPr>
              <w:t>AED 344</w:t>
            </w:r>
          </w:p>
        </w:tc>
        <w:tc>
          <w:tcPr>
            <w:tcW w:type="dxa" w:w="2304"/>
          </w:tcPr>
          <w:p>
            <w:pPr>
              <w:spacing w:after="20" w:before="20"/>
              <w:jc w:val="right"/>
            </w:pPr>
            <w:r>
              <w:rPr>
                <w:rFonts w:ascii="Arial" w:hAnsi="Arial"/>
                <w:sz w:val="17"/>
              </w:rPr>
              <w:t>0.90×</w:t>
            </w:r>
          </w:p>
        </w:tc>
        <w:tc>
          <w:tcPr>
            <w:tcW w:type="dxa" w:w="2880"/>
          </w:tcPr>
          <w:p>
            <w:pPr>
              <w:spacing w:after="20" w:before="20"/>
              <w:jc w:val="right"/>
            </w:pPr>
            <w:r>
              <w:rPr>
                <w:rFonts w:ascii="Arial" w:hAnsi="Arial"/>
                <w:sz w:val="17"/>
              </w:rPr>
              <w:t>20%</w:t>
            </w:r>
          </w:p>
        </w:tc>
      </w:tr>
      <w:tr>
        <w:tc>
          <w:tcPr>
            <w:tcW w:type="dxa" w:w="2880"/>
          </w:tcPr>
          <w:p>
            <w:pPr>
              <w:spacing w:after="20" w:before="20"/>
            </w:pPr>
            <w:r>
              <w:rPr>
                <w:rFonts w:ascii="Arial" w:hAnsi="Arial"/>
                <w:sz w:val="17"/>
              </w:rPr>
              <w:t>AED 325</w:t>
            </w:r>
          </w:p>
        </w:tc>
        <w:tc>
          <w:tcPr>
            <w:tcW w:type="dxa" w:w="2304"/>
          </w:tcPr>
          <w:p>
            <w:pPr>
              <w:spacing w:after="20" w:before="20"/>
              <w:jc w:val="right"/>
            </w:pPr>
            <w:r>
              <w:rPr>
                <w:rFonts w:ascii="Arial" w:hAnsi="Arial"/>
                <w:sz w:val="17"/>
              </w:rPr>
              <w:t>0.85×</w:t>
            </w:r>
          </w:p>
        </w:tc>
        <w:tc>
          <w:tcPr>
            <w:tcW w:type="dxa" w:w="2880"/>
          </w:tcPr>
          <w:p>
            <w:pPr>
              <w:spacing w:after="20" w:before="20"/>
              <w:jc w:val="right"/>
            </w:pPr>
            <w:r>
              <w:rPr>
                <w:rFonts w:ascii="Arial" w:hAnsi="Arial"/>
                <w:sz w:val="17"/>
              </w:rPr>
              <w:t>9%</w:t>
            </w:r>
          </w:p>
        </w:tc>
      </w:tr>
      <w:tr>
        <w:tc>
          <w:tcPr>
            <w:tcW w:type="dxa" w:w="2880"/>
          </w:tcPr>
          <w:p>
            <w:pPr>
              <w:spacing w:after="20" w:before="20"/>
            </w:pPr>
            <w:r>
              <w:rPr>
                <w:rFonts w:ascii="Arial" w:hAnsi="Arial"/>
                <w:sz w:val="17"/>
              </w:rPr>
              <w:t>AED 306</w:t>
            </w:r>
          </w:p>
        </w:tc>
        <w:tc>
          <w:tcPr>
            <w:tcW w:type="dxa" w:w="2304"/>
          </w:tcPr>
          <w:p>
            <w:pPr>
              <w:spacing w:after="20" w:before="20"/>
              <w:jc w:val="right"/>
            </w:pPr>
            <w:r>
              <w:rPr>
                <w:rFonts w:ascii="Arial" w:hAnsi="Arial"/>
                <w:sz w:val="17"/>
              </w:rPr>
              <w:t>0.80×</w:t>
            </w:r>
          </w:p>
        </w:tc>
        <w:tc>
          <w:tcPr>
            <w:tcW w:type="dxa" w:w="2880"/>
          </w:tcPr>
          <w:p>
            <w:pPr>
              <w:spacing w:after="20" w:before="20"/>
              <w:jc w:val="right"/>
            </w:pPr>
            <w:r>
              <w:rPr>
                <w:rFonts w:ascii="Arial" w:hAnsi="Arial"/>
                <w:sz w:val="17"/>
              </w:rPr>
              <w:t>3%</w:t>
            </w:r>
          </w:p>
        </w:tc>
      </w:tr>
    </w:tbl>
    <w:p>
      <w:pPr>
        <w:spacing w:before="240" w:after="80"/>
      </w:pPr>
      <w:r>
        <w:rPr>
          <w:rFonts w:ascii="Arial" w:hAnsi="Arial"/>
          <w:b/>
          <w:color w:val="1C3A36"/>
          <w:sz w:val="30"/>
        </w:rPr>
        <w:t>4  Comparison of the lenses, and a verdict</w:t>
      </w:r>
    </w:p>
    <w:p>
      <w:pPr>
        <w:spacing w:after="80" w:before="0"/>
      </w:pPr>
      <w:r>
        <w:rPr>
          <w:rFonts w:ascii="Arial" w:hAnsi="Arial"/>
          <w:b w:val="0"/>
          <w:i w:val="0"/>
          <w:sz w:val="20"/>
        </w:rPr>
        <w:t>Three lenses, three time-horizons, one instrument. The fundamental lens says IHC is worth ~AED 105 on a blended central basis, anchored by a look-through NAV of ~AED 120 — a value far below the AED 382 market price. The technical lens says the tape is drifting softly lower inside an unusually tight range, with no momentum toward closing that gap in either direction. The probabilistic lens says the next quarter's price most likely diffuses around spot, with a 50% interquartile band of roughly AED 365–418 and a fat-tailed 5–95% envelope of AED 323–462.</w:t>
      </w:r>
    </w:p>
    <w:p>
      <w:pPr>
        <w:spacing w:after="80" w:before="0"/>
      </w:pPr>
      <w:r>
        <w:rPr>
          <w:rFonts w:ascii="Arial" w:hAnsi="Arial"/>
          <w:b w:val="0"/>
          <w:i w:val="0"/>
          <w:sz w:val="20"/>
        </w:rPr>
        <w:t>The verdict is a study in what our method does and does not claim. On fundamentals, IHC is one of the most expensive large-cap holding companies anywhere relative to reconstructable NAV — the inverse of the usual conglomerate discount. But 'expensive on fundamentals' is not a price forecast: the premium is supported by real, if non-fundamental, structures (scarcity, sponsor and sovereign backing, index and passive demand, and a demonstrated capital-compounding record), and those structures can persist for a long time. The Monte Carlo, by design, does not bet on the premium closing — it maps where price travels from today. The honest integrated read: a large and well-understood gap between price and fundamental value, a soft tape, and a quarter-ahead distribution centred near spot. The reader is left with the premium as the object of judgment, quantified rather than asserted.</w:t>
      </w:r>
    </w:p>
    <w:p>
      <w:pPr>
        <w:spacing w:before="240" w:after="80"/>
      </w:pPr>
      <w:r>
        <w:rPr>
          <w:rFonts w:ascii="Arial" w:hAnsi="Arial"/>
          <w:b/>
          <w:color w:val="1C3A36"/>
          <w:sz w:val="30"/>
        </w:rPr>
        <w:t>5  Catalysts to watch</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202"/>
        <w:gridCol w:w="3202"/>
        <w:gridCol w:w="3202"/>
      </w:tblGrid>
      <w:tr>
        <w:tc>
          <w:tcPr>
            <w:tcW w:type="dxa" w:w="4176"/>
            <w:shd w:val="clear" w:fill="1C3A36"/>
          </w:tcPr>
          <w:p>
            <w:pPr>
              <w:spacing w:after="20" w:before="20"/>
            </w:pPr>
            <w:r>
              <w:rPr>
                <w:rFonts w:ascii="Arial" w:hAnsi="Arial"/>
                <w:b/>
                <w:color w:val="FFFFFF"/>
                <w:sz w:val="17"/>
              </w:rPr>
              <w:t>Catalyst</w:t>
            </w:r>
          </w:p>
        </w:tc>
        <w:tc>
          <w:tcPr>
            <w:tcW w:type="dxa" w:w="1872"/>
            <w:shd w:val="clear" w:fill="1C3A36"/>
          </w:tcPr>
          <w:p>
            <w:pPr>
              <w:spacing w:after="20" w:before="20"/>
            </w:pPr>
            <w:r>
              <w:rPr>
                <w:rFonts w:ascii="Arial" w:hAnsi="Arial"/>
                <w:b/>
                <w:color w:val="FFFFFF"/>
                <w:sz w:val="17"/>
              </w:rPr>
              <w:t>Direction</w:t>
            </w:r>
          </w:p>
        </w:tc>
        <w:tc>
          <w:tcPr>
            <w:tcW w:type="dxa" w:w="3456"/>
            <w:shd w:val="clear" w:fill="1C3A36"/>
          </w:tcPr>
          <w:p>
            <w:pPr>
              <w:spacing w:after="20" w:before="20"/>
            </w:pPr>
            <w:r>
              <w:rPr>
                <w:rFonts w:ascii="Arial" w:hAnsi="Arial"/>
                <w:b/>
                <w:color w:val="FFFFFF"/>
                <w:sz w:val="17"/>
              </w:rPr>
              <w:t>Why it matters</w:t>
            </w:r>
          </w:p>
        </w:tc>
      </w:tr>
      <w:tr>
        <w:tc>
          <w:tcPr>
            <w:tcW w:type="dxa" w:w="4176"/>
          </w:tcPr>
          <w:p>
            <w:pPr>
              <w:spacing w:after="20" w:before="20"/>
            </w:pPr>
            <w:r>
              <w:rPr>
                <w:rFonts w:ascii="Arial" w:hAnsi="Arial"/>
                <w:sz w:val="17"/>
              </w:rPr>
              <w:t>Multiply / 2PointZero / Ghitha merger completion</w:t>
            </w:r>
          </w:p>
        </w:tc>
        <w:tc>
          <w:tcPr>
            <w:tcW w:type="dxa" w:w="1872"/>
          </w:tcPr>
          <w:p>
            <w:pPr>
              <w:spacing w:after="20" w:before="20"/>
              <w:jc w:val="right"/>
            </w:pPr>
            <w:r>
              <w:rPr>
                <w:rFonts w:ascii="Arial" w:hAnsi="Arial"/>
                <w:sz w:val="17"/>
              </w:rPr>
              <w:t>+ / structure</w:t>
            </w:r>
          </w:p>
        </w:tc>
        <w:tc>
          <w:tcPr>
            <w:tcW w:type="dxa" w:w="3456"/>
          </w:tcPr>
          <w:p>
            <w:pPr>
              <w:spacing w:after="20" w:before="20"/>
              <w:jc w:val="right"/>
            </w:pPr>
            <w:r>
              <w:rPr>
                <w:rFonts w:ascii="Arial" w:hAnsi="Arial"/>
                <w:sz w:val="17"/>
              </w:rPr>
              <w:t>Simplifies the tree; crystallizes a large listed leg</w:t>
            </w:r>
          </w:p>
        </w:tc>
      </w:tr>
      <w:tr>
        <w:tc>
          <w:tcPr>
            <w:tcW w:type="dxa" w:w="4176"/>
          </w:tcPr>
          <w:p>
            <w:pPr>
              <w:spacing w:after="20" w:before="20"/>
            </w:pPr>
            <w:r>
              <w:rPr>
                <w:rFonts w:ascii="Arial" w:hAnsi="Arial"/>
                <w:sz w:val="17"/>
              </w:rPr>
              <w:t>Value-crystallizing divestments (Modon template)</w:t>
            </w:r>
          </w:p>
        </w:tc>
        <w:tc>
          <w:tcPr>
            <w:tcW w:type="dxa" w:w="1872"/>
          </w:tcPr>
          <w:p>
            <w:pPr>
              <w:spacing w:after="20" w:before="20"/>
              <w:jc w:val="right"/>
            </w:pPr>
            <w:r>
              <w:rPr>
                <w:rFonts w:ascii="Arial" w:hAnsi="Arial"/>
                <w:sz w:val="17"/>
              </w:rPr>
              <w:t>+</w:t>
            </w:r>
          </w:p>
        </w:tc>
        <w:tc>
          <w:tcPr>
            <w:tcW w:type="dxa" w:w="3456"/>
          </w:tcPr>
          <w:p>
            <w:pPr>
              <w:spacing w:after="20" w:before="20"/>
              <w:jc w:val="right"/>
            </w:pPr>
            <w:r>
              <w:rPr>
                <w:rFonts w:ascii="Arial" w:hAnsi="Arial"/>
                <w:sz w:val="17"/>
              </w:rPr>
              <w:t>Turns marks into cash; validates NAV</w:t>
            </w:r>
          </w:p>
        </w:tc>
      </w:tr>
      <w:tr>
        <w:tc>
          <w:tcPr>
            <w:tcW w:type="dxa" w:w="4176"/>
          </w:tcPr>
          <w:p>
            <w:pPr>
              <w:spacing w:after="20" w:before="20"/>
            </w:pPr>
            <w:r>
              <w:rPr>
                <w:rFonts w:ascii="Arial" w:hAnsi="Arial"/>
                <w:sz w:val="17"/>
              </w:rPr>
              <w:t>IRH / private-platform IPO or transaction</w:t>
            </w:r>
          </w:p>
        </w:tc>
        <w:tc>
          <w:tcPr>
            <w:tcW w:type="dxa" w:w="1872"/>
          </w:tcPr>
          <w:p>
            <w:pPr>
              <w:spacing w:after="20" w:before="20"/>
              <w:jc w:val="right"/>
            </w:pPr>
            <w:r>
              <w:rPr>
                <w:rFonts w:ascii="Arial" w:hAnsi="Arial"/>
                <w:sz w:val="17"/>
              </w:rPr>
              <w:t>+ / verification</w:t>
            </w:r>
          </w:p>
        </w:tc>
        <w:tc>
          <w:tcPr>
            <w:tcW w:type="dxa" w:w="3456"/>
          </w:tcPr>
          <w:p>
            <w:pPr>
              <w:spacing w:after="20" w:before="20"/>
              <w:jc w:val="right"/>
            </w:pPr>
            <w:r>
              <w:rPr>
                <w:rFonts w:ascii="Arial" w:hAnsi="Arial"/>
                <w:sz w:val="17"/>
              </w:rPr>
              <w:t>Would mark the least-verifiable leg to a real price</w:t>
            </w:r>
          </w:p>
        </w:tc>
      </w:tr>
      <w:tr>
        <w:tc>
          <w:tcPr>
            <w:tcW w:type="dxa" w:w="4176"/>
          </w:tcPr>
          <w:p>
            <w:pPr>
              <w:spacing w:after="20" w:before="20"/>
            </w:pPr>
            <w:r>
              <w:rPr>
                <w:rFonts w:ascii="Arial" w:hAnsi="Arial"/>
                <w:sz w:val="17"/>
              </w:rPr>
              <w:t>Large M&amp;A / acquisition announcement</w:t>
            </w:r>
          </w:p>
        </w:tc>
        <w:tc>
          <w:tcPr>
            <w:tcW w:type="dxa" w:w="1872"/>
          </w:tcPr>
          <w:p>
            <w:pPr>
              <w:spacing w:after="20" w:before="20"/>
              <w:jc w:val="right"/>
            </w:pPr>
            <w:r>
              <w:rPr>
                <w:rFonts w:ascii="Arial" w:hAnsi="Arial"/>
                <w:sz w:val="17"/>
              </w:rPr>
              <w:t>+</w:t>
            </w:r>
          </w:p>
        </w:tc>
        <w:tc>
          <w:tcPr>
            <w:tcW w:type="dxa" w:w="3456"/>
          </w:tcPr>
          <w:p>
            <w:pPr>
              <w:spacing w:after="20" w:before="20"/>
              <w:jc w:val="right"/>
            </w:pPr>
            <w:r>
              <w:rPr>
                <w:rFonts w:ascii="Arial" w:hAnsi="Arial"/>
                <w:sz w:val="17"/>
              </w:rPr>
              <w:t>IHC is deal-active; skews the near-term distribution up</w:t>
            </w:r>
          </w:p>
        </w:tc>
      </w:tr>
      <w:tr>
        <w:tc>
          <w:tcPr>
            <w:tcW w:type="dxa" w:w="4176"/>
          </w:tcPr>
          <w:p>
            <w:pPr>
              <w:spacing w:after="20" w:before="20"/>
            </w:pPr>
            <w:r>
              <w:rPr>
                <w:rFonts w:ascii="Arial" w:hAnsi="Arial"/>
                <w:sz w:val="17"/>
              </w:rPr>
              <w:t>Index / passive treatment or float change</w:t>
            </w:r>
          </w:p>
        </w:tc>
        <w:tc>
          <w:tcPr>
            <w:tcW w:type="dxa" w:w="1872"/>
          </w:tcPr>
          <w:p>
            <w:pPr>
              <w:spacing w:after="20" w:before="20"/>
              <w:jc w:val="right"/>
            </w:pPr>
            <w:r>
              <w:rPr>
                <w:rFonts w:ascii="Arial" w:hAnsi="Arial"/>
                <w:sz w:val="17"/>
              </w:rPr>
              <w:t>+ / −</w:t>
            </w:r>
          </w:p>
        </w:tc>
        <w:tc>
          <w:tcPr>
            <w:tcW w:type="dxa" w:w="3456"/>
          </w:tcPr>
          <w:p>
            <w:pPr>
              <w:spacing w:after="20" w:before="20"/>
              <w:jc w:val="right"/>
            </w:pPr>
            <w:r>
              <w:rPr>
                <w:rFonts w:ascii="Arial" w:hAnsi="Arial"/>
                <w:sz w:val="17"/>
              </w:rPr>
              <w:t>Passive demand supports, a widened float compresses, the premium</w:t>
            </w:r>
          </w:p>
        </w:tc>
      </w:tr>
      <w:tr>
        <w:tc>
          <w:tcPr>
            <w:tcW w:type="dxa" w:w="4176"/>
          </w:tcPr>
          <w:p>
            <w:pPr>
              <w:spacing w:after="20" w:before="20"/>
            </w:pPr>
            <w:r>
              <w:rPr>
                <w:rFonts w:ascii="Arial" w:hAnsi="Arial"/>
                <w:sz w:val="17"/>
              </w:rPr>
              <w:t>Oil / GCC sovereign-liquidity swing</w:t>
            </w:r>
          </w:p>
        </w:tc>
        <w:tc>
          <w:tcPr>
            <w:tcW w:type="dxa" w:w="1872"/>
          </w:tcPr>
          <w:p>
            <w:pPr>
              <w:spacing w:after="20" w:before="20"/>
              <w:jc w:val="right"/>
            </w:pPr>
            <w:r>
              <w:rPr>
                <w:rFonts w:ascii="Arial" w:hAnsi="Arial"/>
                <w:sz w:val="17"/>
              </w:rPr>
              <w:t>+ / −</w:t>
            </w:r>
          </w:p>
        </w:tc>
        <w:tc>
          <w:tcPr>
            <w:tcW w:type="dxa" w:w="3456"/>
          </w:tcPr>
          <w:p>
            <w:pPr>
              <w:spacing w:after="20" w:before="20"/>
              <w:jc w:val="right"/>
            </w:pPr>
            <w:r>
              <w:rPr>
                <w:rFonts w:ascii="Arial" w:hAnsi="Arial"/>
                <w:sz w:val="17"/>
              </w:rPr>
              <w:t>Funds the ecosystem; supports regional asset prices</w:t>
            </w:r>
          </w:p>
        </w:tc>
      </w:tr>
      <w:tr>
        <w:tc>
          <w:tcPr>
            <w:tcW w:type="dxa" w:w="4176"/>
          </w:tcPr>
          <w:p>
            <w:pPr>
              <w:spacing w:after="20" w:before="20"/>
            </w:pPr>
            <w:r>
              <w:rPr>
                <w:rFonts w:ascii="Arial" w:hAnsi="Arial"/>
                <w:sz w:val="17"/>
              </w:rPr>
              <w:t>Governance / related-party / disclosure event</w:t>
            </w:r>
          </w:p>
        </w:tc>
        <w:tc>
          <w:tcPr>
            <w:tcW w:type="dxa" w:w="1872"/>
          </w:tcPr>
          <w:p>
            <w:pPr>
              <w:spacing w:after="20" w:before="20"/>
              <w:jc w:val="right"/>
            </w:pPr>
            <w:r>
              <w:rPr>
                <w:rFonts w:ascii="Arial" w:hAnsi="Arial"/>
                <w:sz w:val="17"/>
              </w:rPr>
              <w:t>−</w:t>
            </w:r>
          </w:p>
        </w:tc>
        <w:tc>
          <w:tcPr>
            <w:tcW w:type="dxa" w:w="3456"/>
          </w:tcPr>
          <w:p>
            <w:pPr>
              <w:spacing w:after="20" w:before="20"/>
              <w:jc w:val="right"/>
            </w:pPr>
            <w:r>
              <w:rPr>
                <w:rFonts w:ascii="Arial" w:hAnsi="Arial"/>
                <w:sz w:val="17"/>
              </w:rPr>
              <w:t>Could compress the premium independent of assets</w:t>
            </w:r>
          </w:p>
        </w:tc>
      </w:tr>
      <w:tr>
        <w:tc>
          <w:tcPr>
            <w:tcW w:type="dxa" w:w="4176"/>
          </w:tcPr>
          <w:p>
            <w:pPr>
              <w:spacing w:after="20" w:before="20"/>
            </w:pPr>
            <w:r>
              <w:rPr>
                <w:rFonts w:ascii="Arial" w:hAnsi="Arial"/>
                <w:sz w:val="17"/>
              </w:rPr>
              <w:t>EM / frontier exposure (India, Pakistan, Africa)</w:t>
            </w:r>
          </w:p>
        </w:tc>
        <w:tc>
          <w:tcPr>
            <w:tcW w:type="dxa" w:w="1872"/>
          </w:tcPr>
          <w:p>
            <w:pPr>
              <w:spacing w:after="20" w:before="20"/>
              <w:jc w:val="right"/>
            </w:pPr>
            <w:r>
              <w:rPr>
                <w:rFonts w:ascii="Arial" w:hAnsi="Arial"/>
                <w:sz w:val="17"/>
              </w:rPr>
              <w:t>+ / −</w:t>
            </w:r>
          </w:p>
        </w:tc>
        <w:tc>
          <w:tcPr>
            <w:tcW w:type="dxa" w:w="3456"/>
          </w:tcPr>
          <w:p>
            <w:pPr>
              <w:spacing w:after="20" w:before="20"/>
              <w:jc w:val="right"/>
            </w:pPr>
            <w:r>
              <w:rPr>
                <w:rFonts w:ascii="Arial" w:hAnsi="Arial"/>
                <w:sz w:val="17"/>
              </w:rPr>
              <w:t>Translation and sentiment via IRH and finance stakes</w:t>
            </w:r>
          </w:p>
        </w:tc>
      </w:tr>
    </w:tbl>
    <w:p>
      <w:pPr>
        <w:spacing w:before="240" w:after="80"/>
      </w:pPr>
      <w:r>
        <w:rPr>
          <w:rFonts w:ascii="Arial" w:hAnsi="Arial"/>
          <w:b/>
          <w:color w:val="1C3A36"/>
          <w:sz w:val="30"/>
        </w:rPr>
        <w:t>6  Reading the probability zones</w:t>
      </w:r>
    </w:p>
    <w:p>
      <w:pPr>
        <w:spacing w:after="80" w:before="0"/>
      </w:pPr>
      <w:r>
        <w:rPr>
          <w:rFonts w:ascii="Arial" w:hAnsi="Arial"/>
          <w:b w:val="0"/>
          <w:i w:val="0"/>
          <w:sz w:val="20"/>
        </w:rPr>
        <w:t>Reading the three-month (T+60) distribution as zones rather than a point. Lead with the interquartile band — the genuine quarter-ahead uncertainty — not the outer tail.</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3202"/>
        <w:gridCol w:w="3202"/>
        <w:gridCol w:w="3202"/>
      </w:tblGrid>
      <w:tr>
        <w:tc>
          <w:tcPr>
            <w:tcW w:type="dxa" w:w="3456"/>
            <w:shd w:val="clear" w:fill="1C3A36"/>
          </w:tcPr>
          <w:p>
            <w:pPr>
              <w:spacing w:after="20" w:before="20"/>
            </w:pPr>
            <w:r>
              <w:rPr>
                <w:rFonts w:ascii="Arial" w:hAnsi="Arial"/>
                <w:b/>
                <w:color w:val="FFFFFF"/>
                <w:sz w:val="17"/>
              </w:rPr>
              <w:t>Zone</w:t>
            </w:r>
          </w:p>
        </w:tc>
        <w:tc>
          <w:tcPr>
            <w:tcW w:type="dxa" w:w="2592"/>
            <w:shd w:val="clear" w:fill="1C3A36"/>
          </w:tcPr>
          <w:p>
            <w:pPr>
              <w:spacing w:after="20" w:before="20"/>
            </w:pPr>
            <w:r>
              <w:rPr>
                <w:rFonts w:ascii="Arial" w:hAnsi="Arial"/>
                <w:b/>
                <w:color w:val="FFFFFF"/>
                <w:sz w:val="17"/>
              </w:rPr>
              <w:t>AED band</w:t>
            </w:r>
          </w:p>
        </w:tc>
        <w:tc>
          <w:tcPr>
            <w:tcW w:type="dxa" w:w="3456"/>
            <w:shd w:val="clear" w:fill="1C3A36"/>
          </w:tcPr>
          <w:p>
            <w:pPr>
              <w:spacing w:after="20" w:before="20"/>
            </w:pPr>
            <w:r>
              <w:rPr>
                <w:rFonts w:ascii="Arial" w:hAnsi="Arial"/>
                <w:b/>
                <w:color w:val="FFFFFF"/>
                <w:sz w:val="17"/>
              </w:rPr>
              <w:t>Reading</w:t>
            </w:r>
          </w:p>
        </w:tc>
      </w:tr>
      <w:tr>
        <w:tc>
          <w:tcPr>
            <w:tcW w:type="dxa" w:w="3456"/>
          </w:tcPr>
          <w:p>
            <w:pPr>
              <w:spacing w:after="20" w:before="20"/>
            </w:pPr>
            <w:r>
              <w:rPr>
                <w:rFonts w:ascii="Arial" w:hAnsi="Arial"/>
                <w:sz w:val="17"/>
              </w:rPr>
              <w:t>Lower tail (below p5)</w:t>
            </w:r>
          </w:p>
        </w:tc>
        <w:tc>
          <w:tcPr>
            <w:tcW w:type="dxa" w:w="2592"/>
          </w:tcPr>
          <w:p>
            <w:pPr>
              <w:spacing w:after="20" w:before="20"/>
              <w:jc w:val="right"/>
            </w:pPr>
            <w:r>
              <w:rPr>
                <w:rFonts w:ascii="Arial" w:hAnsi="Arial"/>
                <w:sz w:val="17"/>
              </w:rPr>
              <w:t>&lt; 323</w:t>
            </w:r>
          </w:p>
        </w:tc>
        <w:tc>
          <w:tcPr>
            <w:tcW w:type="dxa" w:w="3456"/>
          </w:tcPr>
          <w:p>
            <w:pPr>
              <w:spacing w:after="20" w:before="20"/>
              <w:jc w:val="right"/>
            </w:pPr>
            <w:r>
              <w:rPr>
                <w:rFonts w:ascii="Arial" w:hAnsi="Arial"/>
                <w:sz w:val="17"/>
              </w:rPr>
              <w:t>&lt;5% — needs a real shock (governance, risk-off)</w:t>
            </w:r>
          </w:p>
        </w:tc>
      </w:tr>
      <w:tr>
        <w:tc>
          <w:tcPr>
            <w:tcW w:type="dxa" w:w="3456"/>
          </w:tcPr>
          <w:p>
            <w:pPr>
              <w:spacing w:after="20" w:before="20"/>
            </w:pPr>
            <w:r>
              <w:rPr>
                <w:rFonts w:ascii="Arial" w:hAnsi="Arial"/>
                <w:sz w:val="17"/>
              </w:rPr>
              <w:t>Lower-middle (p5–p25)</w:t>
            </w:r>
          </w:p>
        </w:tc>
        <w:tc>
          <w:tcPr>
            <w:tcW w:type="dxa" w:w="2592"/>
          </w:tcPr>
          <w:p>
            <w:pPr>
              <w:spacing w:after="20" w:before="20"/>
              <w:jc w:val="right"/>
            </w:pPr>
            <w:r>
              <w:rPr>
                <w:rFonts w:ascii="Arial" w:hAnsi="Arial"/>
                <w:sz w:val="17"/>
              </w:rPr>
              <w:t>323 – 365</w:t>
            </w:r>
          </w:p>
        </w:tc>
        <w:tc>
          <w:tcPr>
            <w:tcW w:type="dxa" w:w="3456"/>
          </w:tcPr>
          <w:p>
            <w:pPr>
              <w:spacing w:after="20" w:before="20"/>
              <w:jc w:val="right"/>
            </w:pPr>
            <w:r>
              <w:rPr>
                <w:rFonts w:ascii="Arial" w:hAnsi="Arial"/>
                <w:sz w:val="17"/>
              </w:rPr>
              <w:t>soft-drift / mild-pullback zone</w:t>
            </w:r>
          </w:p>
        </w:tc>
      </w:tr>
      <w:tr>
        <w:tc>
          <w:tcPr>
            <w:tcW w:type="dxa" w:w="3456"/>
          </w:tcPr>
          <w:p>
            <w:pPr>
              <w:spacing w:after="20" w:before="20"/>
            </w:pPr>
            <w:r>
              <w:rPr>
                <w:rFonts w:ascii="Arial" w:hAnsi="Arial"/>
                <w:sz w:val="17"/>
              </w:rPr>
              <w:t>Core interquartile (p25–p75)</w:t>
            </w:r>
          </w:p>
        </w:tc>
        <w:tc>
          <w:tcPr>
            <w:tcW w:type="dxa" w:w="2592"/>
          </w:tcPr>
          <w:p>
            <w:pPr>
              <w:spacing w:after="20" w:before="20"/>
              <w:jc w:val="right"/>
            </w:pPr>
            <w:r>
              <w:rPr>
                <w:rFonts w:ascii="Arial" w:hAnsi="Arial"/>
                <w:sz w:val="17"/>
              </w:rPr>
              <w:t>365 – 418</w:t>
            </w:r>
          </w:p>
        </w:tc>
        <w:tc>
          <w:tcPr>
            <w:tcW w:type="dxa" w:w="3456"/>
          </w:tcPr>
          <w:p>
            <w:pPr>
              <w:spacing w:after="20" w:before="20"/>
              <w:jc w:val="right"/>
            </w:pPr>
            <w:r>
              <w:rPr>
                <w:rFonts w:ascii="Arial" w:hAnsi="Arial"/>
                <w:sz w:val="17"/>
              </w:rPr>
              <w:t>most likely; median ≈ 391</w:t>
            </w:r>
          </w:p>
        </w:tc>
      </w:tr>
      <w:tr>
        <w:tc>
          <w:tcPr>
            <w:tcW w:type="dxa" w:w="3456"/>
          </w:tcPr>
          <w:p>
            <w:pPr>
              <w:spacing w:after="20" w:before="20"/>
            </w:pPr>
            <w:r>
              <w:rPr>
                <w:rFonts w:ascii="Arial" w:hAnsi="Arial"/>
                <w:sz w:val="17"/>
              </w:rPr>
              <w:t>Upper-middle (p75–p95)</w:t>
            </w:r>
          </w:p>
        </w:tc>
        <w:tc>
          <w:tcPr>
            <w:tcW w:type="dxa" w:w="2592"/>
          </w:tcPr>
          <w:p>
            <w:pPr>
              <w:spacing w:after="20" w:before="20"/>
              <w:jc w:val="right"/>
            </w:pPr>
            <w:r>
              <w:rPr>
                <w:rFonts w:ascii="Arial" w:hAnsi="Arial"/>
                <w:sz w:val="17"/>
              </w:rPr>
              <w:t>418 – 462</w:t>
            </w:r>
          </w:p>
        </w:tc>
        <w:tc>
          <w:tcPr>
            <w:tcW w:type="dxa" w:w="3456"/>
          </w:tcPr>
          <w:p>
            <w:pPr>
              <w:spacing w:after="20" w:before="20"/>
              <w:jc w:val="right"/>
            </w:pPr>
            <w:r>
              <w:rPr>
                <w:rFonts w:ascii="Arial" w:hAnsi="Arial"/>
                <w:sz w:val="17"/>
              </w:rPr>
              <w:t>deal / merger / flow upside zone</w:t>
            </w:r>
          </w:p>
        </w:tc>
      </w:tr>
      <w:tr>
        <w:tc>
          <w:tcPr>
            <w:tcW w:type="dxa" w:w="3456"/>
          </w:tcPr>
          <w:p>
            <w:pPr>
              <w:spacing w:after="20" w:before="20"/>
            </w:pPr>
            <w:r>
              <w:rPr>
                <w:rFonts w:ascii="Arial" w:hAnsi="Arial"/>
                <w:sz w:val="17"/>
              </w:rPr>
              <w:t>Upper tail (above p95)</w:t>
            </w:r>
          </w:p>
        </w:tc>
        <w:tc>
          <w:tcPr>
            <w:tcW w:type="dxa" w:w="2592"/>
          </w:tcPr>
          <w:p>
            <w:pPr>
              <w:spacing w:after="20" w:before="20"/>
              <w:jc w:val="right"/>
            </w:pPr>
            <w:r>
              <w:rPr>
                <w:rFonts w:ascii="Arial" w:hAnsi="Arial"/>
                <w:sz w:val="17"/>
              </w:rPr>
              <w:t>&gt; 462</w:t>
            </w:r>
          </w:p>
        </w:tc>
        <w:tc>
          <w:tcPr>
            <w:tcW w:type="dxa" w:w="3456"/>
          </w:tcPr>
          <w:p>
            <w:pPr>
              <w:spacing w:after="20" w:before="20"/>
              <w:jc w:val="right"/>
            </w:pPr>
            <w:r>
              <w:rPr>
                <w:rFonts w:ascii="Arial" w:hAnsi="Arial"/>
                <w:sz w:val="17"/>
              </w:rPr>
              <w:t>&lt;5% — needs a large positive catalyst</w:t>
            </w:r>
          </w:p>
        </w:tc>
      </w:tr>
    </w:tbl>
    <w:p>
      <w:pPr>
        <w:spacing w:after="80" w:before="0"/>
      </w:pPr>
      <w:r>
        <w:rPr>
          <w:rFonts w:ascii="Arial" w:hAnsi="Arial"/>
          <w:b w:val="0"/>
          <w:i w:val="0"/>
          <w:sz w:val="20"/>
        </w:rPr>
        <w:t>The distribution is mildly right-skewed: the net-positive factor overlay (a deal-active flagship with a pending merger and index / flow support) pulls the upside tail a little wider than the downside. None of this speaks to the §1 value gap — these are near-term price zones from spot, not statements about fair value.</w:t>
      </w:r>
    </w:p>
    <w:p>
      <w:pPr>
        <w:spacing w:before="240" w:after="80"/>
      </w:pPr>
      <w:r>
        <w:rPr>
          <w:rFonts w:ascii="Arial" w:hAnsi="Arial"/>
          <w:b/>
          <w:color w:val="1C3A36"/>
          <w:sz w:val="30"/>
        </w:rPr>
        <w:t>7  Caveats and what would change our mind</w:t>
      </w:r>
    </w:p>
    <w:p>
      <w:pPr>
        <w:spacing w:after="80" w:before="0"/>
      </w:pPr>
      <w:r>
        <w:rPr>
          <w:rFonts w:ascii="Arial" w:hAnsi="Arial"/>
          <w:b w:val="0"/>
          <w:i w:val="0"/>
          <w:sz w:val="20"/>
        </w:rPr>
        <w:t>The load-bearing uncertainties, stated plainly. (1) The unlisted-platform marks — IRH, RIQ and the private tail, ~45% of gross asset value — are the house's own flagged estimates, not disclosure; a real transaction or IPO could move them materially in either direction, and a much higher verifiable mark would narrow (though, on our numbers, not close) the premium. (2) The earnings-quality question — a large share of IHC's reported profit is non-cash fair-value gain; if those gains prove durable and cash-generative rather than one-off, the normalized-earnings and DCF lenses are too conservative. (3) The premium's persistence — we do not forecast it closing, and a reader who believes the scarcity / sponsor / flow structure is permanent should weight the macro-premium expert (Appendix D, Expert 3) more heavily. (4) Thin float and low turnover make both the observed beta and the daily volatility unreliable guides — we use a house beta of 1.0 and a regime-conditional YZ-HAR vol rather than the observed −0.24 / sticky-tape figures. What would change our mind on the fundamentals: a verifiable, transaction-based revaluation of the private platforms well above book, or evidence that the investment gains are a durable realized run-rate rather than marks.</w:t>
      </w:r>
    </w:p>
    <w:p>
      <w:pPr>
        <w:spacing w:before="240" w:after="80"/>
      </w:pPr>
      <w:r>
        <w:rPr>
          <w:rFonts w:ascii="Arial" w:hAnsi="Arial"/>
          <w:b/>
          <w:color w:val="1C3A36"/>
          <w:sz w:val="30"/>
        </w:rPr>
        <w:t>Appendix A  Financial statements</w:t>
      </w:r>
    </w:p>
    <w:p>
      <w:pPr>
        <w:spacing w:after="80" w:before="0"/>
      </w:pPr>
      <w:r>
        <w:rPr>
          <w:rFonts w:ascii="Arial" w:hAnsi="Arial"/>
          <w:b w:val="0"/>
          <w:i w:val="0"/>
          <w:sz w:val="19"/>
        </w:rPr>
        <w:t>Three years historical plus a five-year forecast (AED bn). FY2025 is audited (15 Feb 2026); FY2023 and several balance-sheet line items are estimated to balance to disclosed totals and are flagged. The forecast is deliberately conservative — organic revenue deceleration, a normalized (below-peak) investment-income line, and near-zero dividends. Every figure ties to the companion model.</w:t>
      </w:r>
    </w:p>
    <w:p>
      <w:pPr>
        <w:spacing w:before="160" w:after="80"/>
      </w:pPr>
      <w:r>
        <w:rPr>
          <w:rFonts w:ascii="Arial" w:hAnsi="Arial"/>
          <w:b/>
          <w:color w:val="1C3A36"/>
          <w:sz w:val="23"/>
        </w:rPr>
        <w:t>A.1  Income statement (AED bn)</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67"/>
        <w:gridCol w:w="1067"/>
        <w:gridCol w:w="1067"/>
        <w:gridCol w:w="1067"/>
        <w:gridCol w:w="1067"/>
        <w:gridCol w:w="1067"/>
        <w:gridCol w:w="1067"/>
        <w:gridCol w:w="1067"/>
        <w:gridCol w:w="1067"/>
      </w:tblGrid>
      <w:tr>
        <w:tc>
          <w:tcPr>
            <w:tcW w:type="dxa" w:w="2736"/>
            <w:shd w:val="clear" w:fill="1C3A36"/>
          </w:tcPr>
          <w:p>
            <w:pPr>
              <w:spacing w:after="20" w:before="20"/>
            </w:pPr>
            <w:r>
              <w:rPr>
                <w:rFonts w:ascii="Arial" w:hAnsi="Arial"/>
                <w:b/>
                <w:color w:val="FFFFFF"/>
                <w:sz w:val="15"/>
              </w:rPr>
              <w:t>AED bn</w:t>
            </w:r>
          </w:p>
        </w:tc>
        <w:tc>
          <w:tcPr>
            <w:tcW w:type="dxa" w:w="893"/>
            <w:shd w:val="clear" w:fill="1C3A36"/>
          </w:tcPr>
          <w:p>
            <w:pPr>
              <w:spacing w:after="20" w:before="20"/>
            </w:pPr>
            <w:r>
              <w:rPr>
                <w:rFonts w:ascii="Arial" w:hAnsi="Arial"/>
                <w:b/>
                <w:color w:val="FFFFFF"/>
                <w:sz w:val="15"/>
              </w:rPr>
              <w:t>FY23e</w:t>
            </w:r>
          </w:p>
        </w:tc>
        <w:tc>
          <w:tcPr>
            <w:tcW w:type="dxa" w:w="893"/>
            <w:shd w:val="clear" w:fill="1C3A36"/>
          </w:tcPr>
          <w:p>
            <w:pPr>
              <w:spacing w:after="20" w:before="20"/>
            </w:pPr>
            <w:r>
              <w:rPr>
                <w:rFonts w:ascii="Arial" w:hAnsi="Arial"/>
                <w:b/>
                <w:color w:val="FFFFFF"/>
                <w:sz w:val="15"/>
              </w:rPr>
              <w:t>FY24A</w:t>
            </w:r>
          </w:p>
        </w:tc>
        <w:tc>
          <w:tcPr>
            <w:tcW w:type="dxa" w:w="893"/>
            <w:shd w:val="clear" w:fill="1C3A36"/>
          </w:tcPr>
          <w:p>
            <w:pPr>
              <w:spacing w:after="20" w:before="20"/>
            </w:pPr>
            <w:r>
              <w:rPr>
                <w:rFonts w:ascii="Arial" w:hAnsi="Arial"/>
                <w:b/>
                <w:color w:val="FFFFFF"/>
                <w:sz w:val="15"/>
              </w:rPr>
              <w:t>FY25A</w:t>
            </w:r>
          </w:p>
        </w:tc>
        <w:tc>
          <w:tcPr>
            <w:tcW w:type="dxa" w:w="893"/>
            <w:shd w:val="clear" w:fill="1C3A36"/>
          </w:tcPr>
          <w:p>
            <w:pPr>
              <w:spacing w:after="20" w:before="20"/>
            </w:pPr>
            <w:r>
              <w:rPr>
                <w:rFonts w:ascii="Arial" w:hAnsi="Arial"/>
                <w:b/>
                <w:color w:val="FFFFFF"/>
                <w:sz w:val="15"/>
              </w:rPr>
              <w:t>FY26E</w:t>
            </w:r>
          </w:p>
        </w:tc>
        <w:tc>
          <w:tcPr>
            <w:tcW w:type="dxa" w:w="893"/>
            <w:shd w:val="clear" w:fill="1C3A36"/>
          </w:tcPr>
          <w:p>
            <w:pPr>
              <w:spacing w:after="20" w:before="20"/>
            </w:pPr>
            <w:r>
              <w:rPr>
                <w:rFonts w:ascii="Arial" w:hAnsi="Arial"/>
                <w:b/>
                <w:color w:val="FFFFFF"/>
                <w:sz w:val="15"/>
              </w:rPr>
              <w:t>FY27E</w:t>
            </w:r>
          </w:p>
        </w:tc>
        <w:tc>
          <w:tcPr>
            <w:tcW w:type="dxa" w:w="893"/>
            <w:shd w:val="clear" w:fill="1C3A36"/>
          </w:tcPr>
          <w:p>
            <w:pPr>
              <w:spacing w:after="20" w:before="20"/>
            </w:pPr>
            <w:r>
              <w:rPr>
                <w:rFonts w:ascii="Arial" w:hAnsi="Arial"/>
                <w:b/>
                <w:color w:val="FFFFFF"/>
                <w:sz w:val="15"/>
              </w:rPr>
              <w:t>FY28E</w:t>
            </w:r>
          </w:p>
        </w:tc>
        <w:tc>
          <w:tcPr>
            <w:tcW w:type="dxa" w:w="893"/>
            <w:shd w:val="clear" w:fill="1C3A36"/>
          </w:tcPr>
          <w:p>
            <w:pPr>
              <w:spacing w:after="20" w:before="20"/>
            </w:pPr>
            <w:r>
              <w:rPr>
                <w:rFonts w:ascii="Arial" w:hAnsi="Arial"/>
                <w:b/>
                <w:color w:val="FFFFFF"/>
                <w:sz w:val="15"/>
              </w:rPr>
              <w:t>FY29E</w:t>
            </w:r>
          </w:p>
        </w:tc>
        <w:tc>
          <w:tcPr>
            <w:tcW w:type="dxa" w:w="893"/>
            <w:shd w:val="clear" w:fill="1C3A36"/>
          </w:tcPr>
          <w:p>
            <w:pPr>
              <w:spacing w:after="20" w:before="20"/>
            </w:pPr>
            <w:r>
              <w:rPr>
                <w:rFonts w:ascii="Arial" w:hAnsi="Arial"/>
                <w:b/>
                <w:color w:val="FFFFFF"/>
                <w:sz w:val="15"/>
              </w:rPr>
              <w:t>FY30E</w:t>
            </w:r>
          </w:p>
        </w:tc>
      </w:tr>
      <w:tr>
        <w:tc>
          <w:tcPr>
            <w:tcW w:type="dxa" w:w="2736"/>
          </w:tcPr>
          <w:p>
            <w:pPr>
              <w:spacing w:after="20" w:before="20"/>
            </w:pPr>
            <w:r>
              <w:rPr>
                <w:rFonts w:ascii="Arial" w:hAnsi="Arial"/>
                <w:sz w:val="15"/>
              </w:rPr>
              <w:t>Revenue</w:t>
            </w:r>
          </w:p>
        </w:tc>
        <w:tc>
          <w:tcPr>
            <w:tcW w:type="dxa" w:w="893"/>
          </w:tcPr>
          <w:p>
            <w:pPr>
              <w:spacing w:after="20" w:before="20"/>
              <w:jc w:val="right"/>
            </w:pPr>
            <w:r>
              <w:rPr>
                <w:rFonts w:ascii="Arial" w:hAnsi="Arial"/>
                <w:sz w:val="15"/>
              </w:rPr>
              <w:t>62.0</w:t>
            </w:r>
          </w:p>
        </w:tc>
        <w:tc>
          <w:tcPr>
            <w:tcW w:type="dxa" w:w="893"/>
          </w:tcPr>
          <w:p>
            <w:pPr>
              <w:spacing w:after="20" w:before="20"/>
              <w:jc w:val="right"/>
            </w:pPr>
            <w:r>
              <w:rPr>
                <w:rFonts w:ascii="Arial" w:hAnsi="Arial"/>
                <w:sz w:val="15"/>
              </w:rPr>
              <w:t>86.3</w:t>
            </w:r>
          </w:p>
        </w:tc>
        <w:tc>
          <w:tcPr>
            <w:tcW w:type="dxa" w:w="893"/>
          </w:tcPr>
          <w:p>
            <w:pPr>
              <w:spacing w:after="20" w:before="20"/>
              <w:jc w:val="right"/>
            </w:pPr>
            <w:r>
              <w:rPr>
                <w:rFonts w:ascii="Arial" w:hAnsi="Arial"/>
                <w:sz w:val="15"/>
              </w:rPr>
              <w:t>111.4</w:t>
            </w:r>
          </w:p>
        </w:tc>
        <w:tc>
          <w:tcPr>
            <w:tcW w:type="dxa" w:w="893"/>
          </w:tcPr>
          <w:p>
            <w:pPr>
              <w:spacing w:after="20" w:before="20"/>
              <w:jc w:val="right"/>
            </w:pPr>
            <w:r>
              <w:rPr>
                <w:rFonts w:ascii="Arial" w:hAnsi="Arial"/>
                <w:sz w:val="15"/>
              </w:rPr>
              <w:t>124.8</w:t>
            </w:r>
          </w:p>
        </w:tc>
        <w:tc>
          <w:tcPr>
            <w:tcW w:type="dxa" w:w="893"/>
          </w:tcPr>
          <w:p>
            <w:pPr>
              <w:spacing w:after="20" w:before="20"/>
              <w:jc w:val="right"/>
            </w:pPr>
            <w:r>
              <w:rPr>
                <w:rFonts w:ascii="Arial" w:hAnsi="Arial"/>
                <w:sz w:val="15"/>
              </w:rPr>
              <w:t>137.2</w:t>
            </w:r>
          </w:p>
        </w:tc>
        <w:tc>
          <w:tcPr>
            <w:tcW w:type="dxa" w:w="893"/>
          </w:tcPr>
          <w:p>
            <w:pPr>
              <w:spacing w:after="20" w:before="20"/>
              <w:jc w:val="right"/>
            </w:pPr>
            <w:r>
              <w:rPr>
                <w:rFonts w:ascii="Arial" w:hAnsi="Arial"/>
                <w:sz w:val="15"/>
              </w:rPr>
              <w:t>149.6</w:t>
            </w:r>
          </w:p>
        </w:tc>
        <w:tc>
          <w:tcPr>
            <w:tcW w:type="dxa" w:w="893"/>
          </w:tcPr>
          <w:p>
            <w:pPr>
              <w:spacing w:after="20" w:before="20"/>
              <w:jc w:val="right"/>
            </w:pPr>
            <w:r>
              <w:rPr>
                <w:rFonts w:ascii="Arial" w:hAnsi="Arial"/>
                <w:sz w:val="15"/>
              </w:rPr>
              <w:t>161.6</w:t>
            </w:r>
          </w:p>
        </w:tc>
        <w:tc>
          <w:tcPr>
            <w:tcW w:type="dxa" w:w="893"/>
          </w:tcPr>
          <w:p>
            <w:pPr>
              <w:spacing w:after="20" w:before="20"/>
              <w:jc w:val="right"/>
            </w:pPr>
            <w:r>
              <w:rPr>
                <w:rFonts w:ascii="Arial" w:hAnsi="Arial"/>
                <w:sz w:val="15"/>
              </w:rPr>
              <w:t>172.9</w:t>
            </w:r>
          </w:p>
        </w:tc>
      </w:tr>
      <w:tr>
        <w:tc>
          <w:tcPr>
            <w:tcW w:type="dxa" w:w="2736"/>
          </w:tcPr>
          <w:p>
            <w:pPr>
              <w:spacing w:after="20" w:before="20"/>
            </w:pPr>
            <w:r>
              <w:rPr>
                <w:rFonts w:ascii="Arial" w:hAnsi="Arial"/>
                <w:sz w:val="15"/>
              </w:rPr>
              <w:t>EBITDA</w:t>
            </w:r>
          </w:p>
        </w:tc>
        <w:tc>
          <w:tcPr>
            <w:tcW w:type="dxa" w:w="893"/>
          </w:tcPr>
          <w:p>
            <w:pPr>
              <w:spacing w:after="20" w:before="20"/>
              <w:jc w:val="right"/>
            </w:pPr>
            <w:r>
              <w:rPr>
                <w:rFonts w:ascii="Arial" w:hAnsi="Arial"/>
                <w:sz w:val="15"/>
              </w:rPr>
              <w:t>12.4</w:t>
            </w:r>
          </w:p>
        </w:tc>
        <w:tc>
          <w:tcPr>
            <w:tcW w:type="dxa" w:w="893"/>
          </w:tcPr>
          <w:p>
            <w:pPr>
              <w:spacing w:after="20" w:before="20"/>
              <w:jc w:val="right"/>
            </w:pPr>
            <w:r>
              <w:rPr>
                <w:rFonts w:ascii="Arial" w:hAnsi="Arial"/>
                <w:sz w:val="15"/>
              </w:rPr>
              <w:t>17.3</w:t>
            </w:r>
          </w:p>
        </w:tc>
        <w:tc>
          <w:tcPr>
            <w:tcW w:type="dxa" w:w="893"/>
          </w:tcPr>
          <w:p>
            <w:pPr>
              <w:spacing w:after="20" w:before="20"/>
              <w:jc w:val="right"/>
            </w:pPr>
            <w:r>
              <w:rPr>
                <w:rFonts w:ascii="Arial" w:hAnsi="Arial"/>
                <w:sz w:val="15"/>
              </w:rPr>
              <w:t>22.7</w:t>
            </w:r>
          </w:p>
        </w:tc>
        <w:tc>
          <w:tcPr>
            <w:tcW w:type="dxa" w:w="893"/>
          </w:tcPr>
          <w:p>
            <w:pPr>
              <w:spacing w:after="20" w:before="20"/>
              <w:jc w:val="right"/>
            </w:pPr>
            <w:r>
              <w:rPr>
                <w:rFonts w:ascii="Arial" w:hAnsi="Arial"/>
                <w:sz w:val="15"/>
              </w:rPr>
              <w:t>25.0</w:t>
            </w:r>
          </w:p>
        </w:tc>
        <w:tc>
          <w:tcPr>
            <w:tcW w:type="dxa" w:w="893"/>
          </w:tcPr>
          <w:p>
            <w:pPr>
              <w:spacing w:after="20" w:before="20"/>
              <w:jc w:val="right"/>
            </w:pPr>
            <w:r>
              <w:rPr>
                <w:rFonts w:ascii="Arial" w:hAnsi="Arial"/>
                <w:sz w:val="15"/>
              </w:rPr>
              <w:t>27.4</w:t>
            </w:r>
          </w:p>
        </w:tc>
        <w:tc>
          <w:tcPr>
            <w:tcW w:type="dxa" w:w="893"/>
          </w:tcPr>
          <w:p>
            <w:pPr>
              <w:spacing w:after="20" w:before="20"/>
              <w:jc w:val="right"/>
            </w:pPr>
            <w:r>
              <w:rPr>
                <w:rFonts w:ascii="Arial" w:hAnsi="Arial"/>
                <w:sz w:val="15"/>
              </w:rPr>
              <w:t>29.9</w:t>
            </w:r>
          </w:p>
        </w:tc>
        <w:tc>
          <w:tcPr>
            <w:tcW w:type="dxa" w:w="893"/>
          </w:tcPr>
          <w:p>
            <w:pPr>
              <w:spacing w:after="20" w:before="20"/>
              <w:jc w:val="right"/>
            </w:pPr>
            <w:r>
              <w:rPr>
                <w:rFonts w:ascii="Arial" w:hAnsi="Arial"/>
                <w:sz w:val="15"/>
              </w:rPr>
              <w:t>32.3</w:t>
            </w:r>
          </w:p>
        </w:tc>
        <w:tc>
          <w:tcPr>
            <w:tcW w:type="dxa" w:w="893"/>
          </w:tcPr>
          <w:p>
            <w:pPr>
              <w:spacing w:after="20" w:before="20"/>
              <w:jc w:val="right"/>
            </w:pPr>
            <w:r>
              <w:rPr>
                <w:rFonts w:ascii="Arial" w:hAnsi="Arial"/>
                <w:sz w:val="15"/>
              </w:rPr>
              <w:t>34.6</w:t>
            </w:r>
          </w:p>
        </w:tc>
      </w:tr>
      <w:tr>
        <w:tc>
          <w:tcPr>
            <w:tcW w:type="dxa" w:w="2736"/>
          </w:tcPr>
          <w:p>
            <w:pPr>
              <w:spacing w:after="20" w:before="20"/>
            </w:pPr>
            <w:r>
              <w:rPr>
                <w:rFonts w:ascii="Arial" w:hAnsi="Arial"/>
                <w:sz w:val="15"/>
              </w:rPr>
              <w:t>D&amp;A</w:t>
            </w:r>
          </w:p>
        </w:tc>
        <w:tc>
          <w:tcPr>
            <w:tcW w:type="dxa" w:w="893"/>
          </w:tcPr>
          <w:p>
            <w:pPr>
              <w:spacing w:after="20" w:before="20"/>
              <w:jc w:val="right"/>
            </w:pPr>
            <w:r>
              <w:rPr>
                <w:rFonts w:ascii="Arial" w:hAnsi="Arial"/>
                <w:sz w:val="15"/>
              </w:rPr>
              <w:t>(3.1)</w:t>
            </w:r>
          </w:p>
        </w:tc>
        <w:tc>
          <w:tcPr>
            <w:tcW w:type="dxa" w:w="893"/>
          </w:tcPr>
          <w:p>
            <w:pPr>
              <w:spacing w:after="20" w:before="20"/>
              <w:jc w:val="right"/>
            </w:pPr>
            <w:r>
              <w:rPr>
                <w:rFonts w:ascii="Arial" w:hAnsi="Arial"/>
                <w:sz w:val="15"/>
              </w:rPr>
              <w:t>(4.3)</w:t>
            </w:r>
          </w:p>
        </w:tc>
        <w:tc>
          <w:tcPr>
            <w:tcW w:type="dxa" w:w="893"/>
          </w:tcPr>
          <w:p>
            <w:pPr>
              <w:spacing w:after="20" w:before="20"/>
              <w:jc w:val="right"/>
            </w:pPr>
            <w:r>
              <w:rPr>
                <w:rFonts w:ascii="Arial" w:hAnsi="Arial"/>
                <w:sz w:val="15"/>
              </w:rPr>
              <w:t>(5.0)</w:t>
            </w:r>
          </w:p>
        </w:tc>
        <w:tc>
          <w:tcPr>
            <w:tcW w:type="dxa" w:w="893"/>
          </w:tcPr>
          <w:p>
            <w:pPr>
              <w:spacing w:after="20" w:before="20"/>
              <w:jc w:val="right"/>
            </w:pPr>
            <w:r>
              <w:rPr>
                <w:rFonts w:ascii="Arial" w:hAnsi="Arial"/>
                <w:sz w:val="15"/>
              </w:rPr>
              <w:t>(6.2)</w:t>
            </w:r>
          </w:p>
        </w:tc>
        <w:tc>
          <w:tcPr>
            <w:tcW w:type="dxa" w:w="893"/>
          </w:tcPr>
          <w:p>
            <w:pPr>
              <w:spacing w:after="20" w:before="20"/>
              <w:jc w:val="right"/>
            </w:pPr>
            <w:r>
              <w:rPr>
                <w:rFonts w:ascii="Arial" w:hAnsi="Arial"/>
                <w:sz w:val="15"/>
              </w:rPr>
              <w:t>(6.9)</w:t>
            </w:r>
          </w:p>
        </w:tc>
        <w:tc>
          <w:tcPr>
            <w:tcW w:type="dxa" w:w="893"/>
          </w:tcPr>
          <w:p>
            <w:pPr>
              <w:spacing w:after="20" w:before="20"/>
              <w:jc w:val="right"/>
            </w:pPr>
            <w:r>
              <w:rPr>
                <w:rFonts w:ascii="Arial" w:hAnsi="Arial"/>
                <w:sz w:val="15"/>
              </w:rPr>
              <w:t>(7.5)</w:t>
            </w:r>
          </w:p>
        </w:tc>
        <w:tc>
          <w:tcPr>
            <w:tcW w:type="dxa" w:w="893"/>
          </w:tcPr>
          <w:p>
            <w:pPr>
              <w:spacing w:after="20" w:before="20"/>
              <w:jc w:val="right"/>
            </w:pPr>
            <w:r>
              <w:rPr>
                <w:rFonts w:ascii="Arial" w:hAnsi="Arial"/>
                <w:sz w:val="15"/>
              </w:rPr>
              <w:t>(8.1)</w:t>
            </w:r>
          </w:p>
        </w:tc>
        <w:tc>
          <w:tcPr>
            <w:tcW w:type="dxa" w:w="893"/>
          </w:tcPr>
          <w:p>
            <w:pPr>
              <w:spacing w:after="20" w:before="20"/>
              <w:jc w:val="right"/>
            </w:pPr>
            <w:r>
              <w:rPr>
                <w:rFonts w:ascii="Arial" w:hAnsi="Arial"/>
                <w:sz w:val="15"/>
              </w:rPr>
              <w:t>(8.6)</w:t>
            </w:r>
          </w:p>
        </w:tc>
      </w:tr>
      <w:tr>
        <w:tc>
          <w:tcPr>
            <w:tcW w:type="dxa" w:w="2736"/>
          </w:tcPr>
          <w:p>
            <w:pPr>
              <w:spacing w:after="20" w:before="20"/>
            </w:pPr>
            <w:r>
              <w:rPr>
                <w:rFonts w:ascii="Arial" w:hAnsi="Arial"/>
                <w:sz w:val="15"/>
              </w:rPr>
              <w:t>EBIT</w:t>
            </w:r>
          </w:p>
        </w:tc>
        <w:tc>
          <w:tcPr>
            <w:tcW w:type="dxa" w:w="893"/>
          </w:tcPr>
          <w:p>
            <w:pPr>
              <w:spacing w:after="20" w:before="20"/>
              <w:jc w:val="right"/>
            </w:pPr>
            <w:r>
              <w:rPr>
                <w:rFonts w:ascii="Arial" w:hAnsi="Arial"/>
                <w:sz w:val="15"/>
              </w:rPr>
              <w:t>9.3</w:t>
            </w:r>
          </w:p>
        </w:tc>
        <w:tc>
          <w:tcPr>
            <w:tcW w:type="dxa" w:w="893"/>
          </w:tcPr>
          <w:p>
            <w:pPr>
              <w:spacing w:after="20" w:before="20"/>
              <w:jc w:val="right"/>
            </w:pPr>
            <w:r>
              <w:rPr>
                <w:rFonts w:ascii="Arial" w:hAnsi="Arial"/>
                <w:sz w:val="15"/>
              </w:rPr>
              <w:t>13.0</w:t>
            </w:r>
          </w:p>
        </w:tc>
        <w:tc>
          <w:tcPr>
            <w:tcW w:type="dxa" w:w="893"/>
          </w:tcPr>
          <w:p>
            <w:pPr>
              <w:spacing w:after="20" w:before="20"/>
              <w:jc w:val="right"/>
            </w:pPr>
            <w:r>
              <w:rPr>
                <w:rFonts w:ascii="Arial" w:hAnsi="Arial"/>
                <w:sz w:val="15"/>
              </w:rPr>
              <w:t>17.6</w:t>
            </w:r>
          </w:p>
        </w:tc>
        <w:tc>
          <w:tcPr>
            <w:tcW w:type="dxa" w:w="893"/>
          </w:tcPr>
          <w:p>
            <w:pPr>
              <w:spacing w:after="20" w:before="20"/>
              <w:jc w:val="right"/>
            </w:pPr>
            <w:r>
              <w:rPr>
                <w:rFonts w:ascii="Arial" w:hAnsi="Arial"/>
                <w:sz w:val="15"/>
              </w:rPr>
              <w:t>18.7</w:t>
            </w:r>
          </w:p>
        </w:tc>
        <w:tc>
          <w:tcPr>
            <w:tcW w:type="dxa" w:w="893"/>
          </w:tcPr>
          <w:p>
            <w:pPr>
              <w:spacing w:after="20" w:before="20"/>
              <w:jc w:val="right"/>
            </w:pPr>
            <w:r>
              <w:rPr>
                <w:rFonts w:ascii="Arial" w:hAnsi="Arial"/>
                <w:sz w:val="15"/>
              </w:rPr>
              <w:t>20.6</w:t>
            </w:r>
          </w:p>
        </w:tc>
        <w:tc>
          <w:tcPr>
            <w:tcW w:type="dxa" w:w="893"/>
          </w:tcPr>
          <w:p>
            <w:pPr>
              <w:spacing w:after="20" w:before="20"/>
              <w:jc w:val="right"/>
            </w:pPr>
            <w:r>
              <w:rPr>
                <w:rFonts w:ascii="Arial" w:hAnsi="Arial"/>
                <w:sz w:val="15"/>
              </w:rPr>
              <w:t>22.4</w:t>
            </w:r>
          </w:p>
        </w:tc>
        <w:tc>
          <w:tcPr>
            <w:tcW w:type="dxa" w:w="893"/>
          </w:tcPr>
          <w:p>
            <w:pPr>
              <w:spacing w:after="20" w:before="20"/>
              <w:jc w:val="right"/>
            </w:pPr>
            <w:r>
              <w:rPr>
                <w:rFonts w:ascii="Arial" w:hAnsi="Arial"/>
                <w:sz w:val="15"/>
              </w:rPr>
              <w:t>24.2</w:t>
            </w:r>
          </w:p>
        </w:tc>
        <w:tc>
          <w:tcPr>
            <w:tcW w:type="dxa" w:w="893"/>
          </w:tcPr>
          <w:p>
            <w:pPr>
              <w:spacing w:after="20" w:before="20"/>
              <w:jc w:val="right"/>
            </w:pPr>
            <w:r>
              <w:rPr>
                <w:rFonts w:ascii="Arial" w:hAnsi="Arial"/>
                <w:sz w:val="15"/>
              </w:rPr>
              <w:t>25.9</w:t>
            </w:r>
          </w:p>
        </w:tc>
      </w:tr>
      <w:tr>
        <w:tc>
          <w:tcPr>
            <w:tcW w:type="dxa" w:w="2736"/>
          </w:tcPr>
          <w:p>
            <w:pPr>
              <w:spacing w:after="20" w:before="20"/>
            </w:pPr>
            <w:r>
              <w:rPr>
                <w:rFonts w:ascii="Arial" w:hAnsi="Arial"/>
                <w:sz w:val="15"/>
              </w:rPr>
              <w:t>Investment / associate income &amp; FV gains</w:t>
            </w:r>
          </w:p>
        </w:tc>
        <w:tc>
          <w:tcPr>
            <w:tcW w:type="dxa" w:w="893"/>
          </w:tcPr>
          <w:p>
            <w:pPr>
              <w:spacing w:after="20" w:before="20"/>
              <w:jc w:val="right"/>
            </w:pPr>
            <w:r>
              <w:rPr>
                <w:rFonts w:ascii="Arial" w:hAnsi="Arial"/>
                <w:sz w:val="15"/>
              </w:rPr>
              <w:t>26.6</w:t>
            </w:r>
          </w:p>
        </w:tc>
        <w:tc>
          <w:tcPr>
            <w:tcW w:type="dxa" w:w="893"/>
          </w:tcPr>
          <w:p>
            <w:pPr>
              <w:spacing w:after="20" w:before="20"/>
              <w:jc w:val="right"/>
            </w:pPr>
            <w:r>
              <w:rPr>
                <w:rFonts w:ascii="Arial" w:hAnsi="Arial"/>
                <w:sz w:val="15"/>
              </w:rPr>
              <w:t>17.0</w:t>
            </w:r>
          </w:p>
        </w:tc>
        <w:tc>
          <w:tcPr>
            <w:tcW w:type="dxa" w:w="893"/>
          </w:tcPr>
          <w:p>
            <w:pPr>
              <w:spacing w:after="20" w:before="20"/>
              <w:jc w:val="right"/>
            </w:pPr>
            <w:r>
              <w:rPr>
                <w:rFonts w:ascii="Arial" w:hAnsi="Arial"/>
                <w:sz w:val="15"/>
              </w:rPr>
              <w:t>22.7</w:t>
            </w:r>
          </w:p>
        </w:tc>
        <w:tc>
          <w:tcPr>
            <w:tcW w:type="dxa" w:w="893"/>
          </w:tcPr>
          <w:p>
            <w:pPr>
              <w:spacing w:after="20" w:before="20"/>
              <w:jc w:val="right"/>
            </w:pPr>
            <w:r>
              <w:rPr>
                <w:rFonts w:ascii="Arial" w:hAnsi="Arial"/>
                <w:sz w:val="15"/>
              </w:rPr>
              <w:t>12.0</w:t>
            </w:r>
          </w:p>
        </w:tc>
        <w:tc>
          <w:tcPr>
            <w:tcW w:type="dxa" w:w="893"/>
          </w:tcPr>
          <w:p>
            <w:pPr>
              <w:spacing w:after="20" w:before="20"/>
              <w:jc w:val="right"/>
            </w:pPr>
            <w:r>
              <w:rPr>
                <w:rFonts w:ascii="Arial" w:hAnsi="Arial"/>
                <w:sz w:val="15"/>
              </w:rPr>
              <w:t>12.0</w:t>
            </w:r>
          </w:p>
        </w:tc>
        <w:tc>
          <w:tcPr>
            <w:tcW w:type="dxa" w:w="893"/>
          </w:tcPr>
          <w:p>
            <w:pPr>
              <w:spacing w:after="20" w:before="20"/>
              <w:jc w:val="right"/>
            </w:pPr>
            <w:r>
              <w:rPr>
                <w:rFonts w:ascii="Arial" w:hAnsi="Arial"/>
                <w:sz w:val="15"/>
              </w:rPr>
              <w:t>12.0</w:t>
            </w:r>
          </w:p>
        </w:tc>
        <w:tc>
          <w:tcPr>
            <w:tcW w:type="dxa" w:w="893"/>
          </w:tcPr>
          <w:p>
            <w:pPr>
              <w:spacing w:after="20" w:before="20"/>
              <w:jc w:val="right"/>
            </w:pPr>
            <w:r>
              <w:rPr>
                <w:rFonts w:ascii="Arial" w:hAnsi="Arial"/>
                <w:sz w:val="15"/>
              </w:rPr>
              <w:t>12.0</w:t>
            </w:r>
          </w:p>
        </w:tc>
        <w:tc>
          <w:tcPr>
            <w:tcW w:type="dxa" w:w="893"/>
          </w:tcPr>
          <w:p>
            <w:pPr>
              <w:spacing w:after="20" w:before="20"/>
              <w:jc w:val="right"/>
            </w:pPr>
            <w:r>
              <w:rPr>
                <w:rFonts w:ascii="Arial" w:hAnsi="Arial"/>
                <w:sz w:val="15"/>
              </w:rPr>
              <w:t>12.0</w:t>
            </w:r>
          </w:p>
        </w:tc>
      </w:tr>
      <w:tr>
        <w:tc>
          <w:tcPr>
            <w:tcW w:type="dxa" w:w="2736"/>
          </w:tcPr>
          <w:p>
            <w:pPr>
              <w:spacing w:after="20" w:before="20"/>
            </w:pPr>
            <w:r>
              <w:rPr>
                <w:rFonts w:ascii="Arial" w:hAnsi="Arial"/>
                <w:sz w:val="15"/>
              </w:rPr>
              <w:t>Net finance cost</w:t>
            </w:r>
          </w:p>
        </w:tc>
        <w:tc>
          <w:tcPr>
            <w:tcW w:type="dxa" w:w="893"/>
          </w:tcPr>
          <w:p>
            <w:pPr>
              <w:spacing w:after="20" w:before="20"/>
              <w:jc w:val="right"/>
            </w:pPr>
            <w:r>
              <w:rPr>
                <w:rFonts w:ascii="Arial" w:hAnsi="Arial"/>
                <w:sz w:val="15"/>
              </w:rPr>
              <w:t>(2.0)</w:t>
            </w:r>
          </w:p>
        </w:tc>
        <w:tc>
          <w:tcPr>
            <w:tcW w:type="dxa" w:w="893"/>
          </w:tcPr>
          <w:p>
            <w:pPr>
              <w:spacing w:after="20" w:before="20"/>
              <w:jc w:val="right"/>
            </w:pPr>
            <w:r>
              <w:rPr>
                <w:rFonts w:ascii="Arial" w:hAnsi="Arial"/>
                <w:sz w:val="15"/>
              </w:rPr>
              <w:t>(2.8)</w:t>
            </w:r>
          </w:p>
        </w:tc>
        <w:tc>
          <w:tcPr>
            <w:tcW w:type="dxa" w:w="893"/>
          </w:tcPr>
          <w:p>
            <w:pPr>
              <w:spacing w:after="20" w:before="20"/>
              <w:jc w:val="right"/>
            </w:pPr>
            <w:r>
              <w:rPr>
                <w:rFonts w:ascii="Arial" w:hAnsi="Arial"/>
                <w:sz w:val="15"/>
              </w:rPr>
              <w:t>(3.5)</w:t>
            </w:r>
          </w:p>
        </w:tc>
        <w:tc>
          <w:tcPr>
            <w:tcW w:type="dxa" w:w="893"/>
          </w:tcPr>
          <w:p>
            <w:pPr>
              <w:spacing w:after="20" w:before="20"/>
              <w:jc w:val="right"/>
            </w:pPr>
            <w:r>
              <w:rPr>
                <w:rFonts w:ascii="Arial" w:hAnsi="Arial"/>
                <w:sz w:val="15"/>
              </w:rPr>
              <w:t>(3.2)</w:t>
            </w:r>
          </w:p>
        </w:tc>
        <w:tc>
          <w:tcPr>
            <w:tcW w:type="dxa" w:w="893"/>
          </w:tcPr>
          <w:p>
            <w:pPr>
              <w:spacing w:after="20" w:before="20"/>
              <w:jc w:val="right"/>
            </w:pPr>
            <w:r>
              <w:rPr>
                <w:rFonts w:ascii="Arial" w:hAnsi="Arial"/>
                <w:sz w:val="15"/>
              </w:rPr>
              <w:t>(3.0)</w:t>
            </w:r>
          </w:p>
        </w:tc>
        <w:tc>
          <w:tcPr>
            <w:tcW w:type="dxa" w:w="893"/>
          </w:tcPr>
          <w:p>
            <w:pPr>
              <w:spacing w:after="20" w:before="20"/>
              <w:jc w:val="right"/>
            </w:pPr>
            <w:r>
              <w:rPr>
                <w:rFonts w:ascii="Arial" w:hAnsi="Arial"/>
                <w:sz w:val="15"/>
              </w:rPr>
              <w:t>(2.8)</w:t>
            </w:r>
          </w:p>
        </w:tc>
        <w:tc>
          <w:tcPr>
            <w:tcW w:type="dxa" w:w="893"/>
          </w:tcPr>
          <w:p>
            <w:pPr>
              <w:spacing w:after="20" w:before="20"/>
              <w:jc w:val="right"/>
            </w:pPr>
            <w:r>
              <w:rPr>
                <w:rFonts w:ascii="Arial" w:hAnsi="Arial"/>
                <w:sz w:val="15"/>
              </w:rPr>
              <w:t>(2.6)</w:t>
            </w:r>
          </w:p>
        </w:tc>
        <w:tc>
          <w:tcPr>
            <w:tcW w:type="dxa" w:w="893"/>
          </w:tcPr>
          <w:p>
            <w:pPr>
              <w:spacing w:after="20" w:before="20"/>
              <w:jc w:val="right"/>
            </w:pPr>
            <w:r>
              <w:rPr>
                <w:rFonts w:ascii="Arial" w:hAnsi="Arial"/>
                <w:sz w:val="15"/>
              </w:rPr>
              <w:t>(2.4)</w:t>
            </w:r>
          </w:p>
        </w:tc>
      </w:tr>
      <w:tr>
        <w:tc>
          <w:tcPr>
            <w:tcW w:type="dxa" w:w="2736"/>
          </w:tcPr>
          <w:p>
            <w:pPr>
              <w:spacing w:after="20" w:before="20"/>
            </w:pPr>
            <w:r>
              <w:rPr>
                <w:rFonts w:ascii="Arial" w:hAnsi="Arial"/>
                <w:sz w:val="15"/>
              </w:rPr>
              <w:t>Profit before tax</w:t>
            </w:r>
          </w:p>
        </w:tc>
        <w:tc>
          <w:tcPr>
            <w:tcW w:type="dxa" w:w="893"/>
          </w:tcPr>
          <w:p>
            <w:pPr>
              <w:spacing w:after="20" w:before="20"/>
              <w:jc w:val="right"/>
            </w:pPr>
            <w:r>
              <w:rPr>
                <w:rFonts w:ascii="Arial" w:hAnsi="Arial"/>
                <w:sz w:val="15"/>
              </w:rPr>
              <w:t>33.9</w:t>
            </w:r>
          </w:p>
        </w:tc>
        <w:tc>
          <w:tcPr>
            <w:tcW w:type="dxa" w:w="893"/>
          </w:tcPr>
          <w:p>
            <w:pPr>
              <w:spacing w:after="20" w:before="20"/>
              <w:jc w:val="right"/>
            </w:pPr>
            <w:r>
              <w:rPr>
                <w:rFonts w:ascii="Arial" w:hAnsi="Arial"/>
                <w:sz w:val="15"/>
              </w:rPr>
              <w:t>27.2</w:t>
            </w:r>
          </w:p>
        </w:tc>
        <w:tc>
          <w:tcPr>
            <w:tcW w:type="dxa" w:w="893"/>
          </w:tcPr>
          <w:p>
            <w:pPr>
              <w:spacing w:after="20" w:before="20"/>
              <w:jc w:val="right"/>
            </w:pPr>
            <w:r>
              <w:rPr>
                <w:rFonts w:ascii="Arial" w:hAnsi="Arial"/>
                <w:sz w:val="15"/>
              </w:rPr>
              <w:t>36.8</w:t>
            </w:r>
          </w:p>
        </w:tc>
        <w:tc>
          <w:tcPr>
            <w:tcW w:type="dxa" w:w="893"/>
          </w:tcPr>
          <w:p>
            <w:pPr>
              <w:spacing w:after="20" w:before="20"/>
              <w:jc w:val="right"/>
            </w:pPr>
            <w:r>
              <w:rPr>
                <w:rFonts w:ascii="Arial" w:hAnsi="Arial"/>
                <w:sz w:val="15"/>
              </w:rPr>
              <w:t>27.5</w:t>
            </w:r>
          </w:p>
        </w:tc>
        <w:tc>
          <w:tcPr>
            <w:tcW w:type="dxa" w:w="893"/>
          </w:tcPr>
          <w:p>
            <w:pPr>
              <w:spacing w:after="20" w:before="20"/>
              <w:jc w:val="right"/>
            </w:pPr>
            <w:r>
              <w:rPr>
                <w:rFonts w:ascii="Arial" w:hAnsi="Arial"/>
                <w:sz w:val="15"/>
              </w:rPr>
              <w:t>29.6</w:t>
            </w:r>
          </w:p>
        </w:tc>
        <w:tc>
          <w:tcPr>
            <w:tcW w:type="dxa" w:w="893"/>
          </w:tcPr>
          <w:p>
            <w:pPr>
              <w:spacing w:after="20" w:before="20"/>
              <w:jc w:val="right"/>
            </w:pPr>
            <w:r>
              <w:rPr>
                <w:rFonts w:ascii="Arial" w:hAnsi="Arial"/>
                <w:sz w:val="15"/>
              </w:rPr>
              <w:t>31.6</w:t>
            </w:r>
          </w:p>
        </w:tc>
        <w:tc>
          <w:tcPr>
            <w:tcW w:type="dxa" w:w="893"/>
          </w:tcPr>
          <w:p>
            <w:pPr>
              <w:spacing w:after="20" w:before="20"/>
              <w:jc w:val="right"/>
            </w:pPr>
            <w:r>
              <w:rPr>
                <w:rFonts w:ascii="Arial" w:hAnsi="Arial"/>
                <w:sz w:val="15"/>
              </w:rPr>
              <w:t>33.6</w:t>
            </w:r>
          </w:p>
        </w:tc>
        <w:tc>
          <w:tcPr>
            <w:tcW w:type="dxa" w:w="893"/>
          </w:tcPr>
          <w:p>
            <w:pPr>
              <w:spacing w:after="20" w:before="20"/>
              <w:jc w:val="right"/>
            </w:pPr>
            <w:r>
              <w:rPr>
                <w:rFonts w:ascii="Arial" w:hAnsi="Arial"/>
                <w:sz w:val="15"/>
              </w:rPr>
              <w:t>35.5</w:t>
            </w:r>
          </w:p>
        </w:tc>
      </w:tr>
      <w:tr>
        <w:tc>
          <w:tcPr>
            <w:tcW w:type="dxa" w:w="2736"/>
          </w:tcPr>
          <w:p>
            <w:pPr>
              <w:spacing w:after="20" w:before="20"/>
            </w:pPr>
            <w:r>
              <w:rPr>
                <w:rFonts w:ascii="Arial" w:hAnsi="Arial"/>
                <w:sz w:val="15"/>
              </w:rPr>
              <w:t>Tax</w:t>
            </w:r>
          </w:p>
        </w:tc>
        <w:tc>
          <w:tcPr>
            <w:tcW w:type="dxa" w:w="893"/>
          </w:tcPr>
          <w:p>
            <w:pPr>
              <w:spacing w:after="20" w:before="20"/>
              <w:jc w:val="right"/>
            </w:pPr>
            <w:r>
              <w:rPr>
                <w:rFonts w:ascii="Arial" w:hAnsi="Arial"/>
                <w:sz w:val="15"/>
              </w:rPr>
              <w:t>(1.0)</w:t>
            </w:r>
          </w:p>
        </w:tc>
        <w:tc>
          <w:tcPr>
            <w:tcW w:type="dxa" w:w="893"/>
          </w:tcPr>
          <w:p>
            <w:pPr>
              <w:spacing w:after="20" w:before="20"/>
              <w:jc w:val="right"/>
            </w:pPr>
            <w:r>
              <w:rPr>
                <w:rFonts w:ascii="Arial" w:hAnsi="Arial"/>
                <w:sz w:val="15"/>
              </w:rPr>
              <w:t>(1.6)</w:t>
            </w:r>
          </w:p>
        </w:tc>
        <w:tc>
          <w:tcPr>
            <w:tcW w:type="dxa" w:w="893"/>
          </w:tcPr>
          <w:p>
            <w:pPr>
              <w:spacing w:after="20" w:before="20"/>
              <w:jc w:val="right"/>
            </w:pPr>
            <w:r>
              <w:rPr>
                <w:rFonts w:ascii="Arial" w:hAnsi="Arial"/>
                <w:sz w:val="15"/>
              </w:rPr>
              <w:t>(2.1)</w:t>
            </w:r>
          </w:p>
        </w:tc>
        <w:tc>
          <w:tcPr>
            <w:tcW w:type="dxa" w:w="893"/>
          </w:tcPr>
          <w:p>
            <w:pPr>
              <w:spacing w:after="20" w:before="20"/>
              <w:jc w:val="right"/>
            </w:pPr>
            <w:r>
              <w:rPr>
                <w:rFonts w:ascii="Arial" w:hAnsi="Arial"/>
                <w:sz w:val="15"/>
              </w:rPr>
              <w:t>(2.5)</w:t>
            </w:r>
          </w:p>
        </w:tc>
        <w:tc>
          <w:tcPr>
            <w:tcW w:type="dxa" w:w="893"/>
          </w:tcPr>
          <w:p>
            <w:pPr>
              <w:spacing w:after="20" w:before="20"/>
              <w:jc w:val="right"/>
            </w:pPr>
            <w:r>
              <w:rPr>
                <w:rFonts w:ascii="Arial" w:hAnsi="Arial"/>
                <w:sz w:val="15"/>
              </w:rPr>
              <w:t>(2.7)</w:t>
            </w:r>
          </w:p>
        </w:tc>
        <w:tc>
          <w:tcPr>
            <w:tcW w:type="dxa" w:w="893"/>
          </w:tcPr>
          <w:p>
            <w:pPr>
              <w:spacing w:after="20" w:before="20"/>
              <w:jc w:val="right"/>
            </w:pPr>
            <w:r>
              <w:rPr>
                <w:rFonts w:ascii="Arial" w:hAnsi="Arial"/>
                <w:sz w:val="15"/>
              </w:rPr>
              <w:t>(2.8)</w:t>
            </w:r>
          </w:p>
        </w:tc>
        <w:tc>
          <w:tcPr>
            <w:tcW w:type="dxa" w:w="893"/>
          </w:tcPr>
          <w:p>
            <w:pPr>
              <w:spacing w:after="20" w:before="20"/>
              <w:jc w:val="right"/>
            </w:pPr>
            <w:r>
              <w:rPr>
                <w:rFonts w:ascii="Arial" w:hAnsi="Arial"/>
                <w:sz w:val="15"/>
              </w:rPr>
              <w:t>(3.0)</w:t>
            </w:r>
          </w:p>
        </w:tc>
        <w:tc>
          <w:tcPr>
            <w:tcW w:type="dxa" w:w="893"/>
          </w:tcPr>
          <w:p>
            <w:pPr>
              <w:spacing w:after="20" w:before="20"/>
              <w:jc w:val="right"/>
            </w:pPr>
            <w:r>
              <w:rPr>
                <w:rFonts w:ascii="Arial" w:hAnsi="Arial"/>
                <w:sz w:val="15"/>
              </w:rPr>
              <w:t>(3.2)</w:t>
            </w:r>
          </w:p>
        </w:tc>
      </w:tr>
      <w:tr>
        <w:tc>
          <w:tcPr>
            <w:tcW w:type="dxa" w:w="2736"/>
          </w:tcPr>
          <w:p>
            <w:pPr>
              <w:spacing w:after="20" w:before="20"/>
            </w:pPr>
            <w:r>
              <w:rPr>
                <w:rFonts w:ascii="Arial" w:hAnsi="Arial"/>
                <w:sz w:val="15"/>
              </w:rPr>
              <w:t>Profit after tax (group)</w:t>
            </w:r>
          </w:p>
        </w:tc>
        <w:tc>
          <w:tcPr>
            <w:tcW w:type="dxa" w:w="893"/>
          </w:tcPr>
          <w:p>
            <w:pPr>
              <w:spacing w:after="20" w:before="20"/>
              <w:jc w:val="right"/>
            </w:pPr>
            <w:r>
              <w:rPr>
                <w:rFonts w:ascii="Arial" w:hAnsi="Arial"/>
                <w:sz w:val="15"/>
              </w:rPr>
              <w:t>32.9</w:t>
            </w:r>
          </w:p>
        </w:tc>
        <w:tc>
          <w:tcPr>
            <w:tcW w:type="dxa" w:w="893"/>
          </w:tcPr>
          <w:p>
            <w:pPr>
              <w:spacing w:after="20" w:before="20"/>
              <w:jc w:val="right"/>
            </w:pPr>
            <w:r>
              <w:rPr>
                <w:rFonts w:ascii="Arial" w:hAnsi="Arial"/>
                <w:sz w:val="15"/>
              </w:rPr>
              <w:t>25.7</w:t>
            </w:r>
          </w:p>
        </w:tc>
        <w:tc>
          <w:tcPr>
            <w:tcW w:type="dxa" w:w="893"/>
          </w:tcPr>
          <w:p>
            <w:pPr>
              <w:spacing w:after="20" w:before="20"/>
              <w:jc w:val="right"/>
            </w:pPr>
            <w:r>
              <w:rPr>
                <w:rFonts w:ascii="Arial" w:hAnsi="Arial"/>
                <w:sz w:val="15"/>
              </w:rPr>
              <w:t>34.7</w:t>
            </w:r>
          </w:p>
        </w:tc>
        <w:tc>
          <w:tcPr>
            <w:tcW w:type="dxa" w:w="893"/>
          </w:tcPr>
          <w:p>
            <w:pPr>
              <w:spacing w:after="20" w:before="20"/>
              <w:jc w:val="right"/>
            </w:pPr>
            <w:r>
              <w:rPr>
                <w:rFonts w:ascii="Arial" w:hAnsi="Arial"/>
                <w:sz w:val="15"/>
              </w:rPr>
              <w:t>25.0</w:t>
            </w:r>
          </w:p>
        </w:tc>
        <w:tc>
          <w:tcPr>
            <w:tcW w:type="dxa" w:w="893"/>
          </w:tcPr>
          <w:p>
            <w:pPr>
              <w:spacing w:after="20" w:before="20"/>
              <w:jc w:val="right"/>
            </w:pPr>
            <w:r>
              <w:rPr>
                <w:rFonts w:ascii="Arial" w:hAnsi="Arial"/>
                <w:sz w:val="15"/>
              </w:rPr>
              <w:t>26.9</w:t>
            </w:r>
          </w:p>
        </w:tc>
        <w:tc>
          <w:tcPr>
            <w:tcW w:type="dxa" w:w="893"/>
          </w:tcPr>
          <w:p>
            <w:pPr>
              <w:spacing w:after="20" w:before="20"/>
              <w:jc w:val="right"/>
            </w:pPr>
            <w:r>
              <w:rPr>
                <w:rFonts w:ascii="Arial" w:hAnsi="Arial"/>
                <w:sz w:val="15"/>
              </w:rPr>
              <w:t>28.8</w:t>
            </w:r>
          </w:p>
        </w:tc>
        <w:tc>
          <w:tcPr>
            <w:tcW w:type="dxa" w:w="893"/>
          </w:tcPr>
          <w:p>
            <w:pPr>
              <w:spacing w:after="20" w:before="20"/>
              <w:jc w:val="right"/>
            </w:pPr>
            <w:r>
              <w:rPr>
                <w:rFonts w:ascii="Arial" w:hAnsi="Arial"/>
                <w:sz w:val="15"/>
              </w:rPr>
              <w:t>30.6</w:t>
            </w:r>
          </w:p>
        </w:tc>
        <w:tc>
          <w:tcPr>
            <w:tcW w:type="dxa" w:w="893"/>
          </w:tcPr>
          <w:p>
            <w:pPr>
              <w:spacing w:after="20" w:before="20"/>
              <w:jc w:val="right"/>
            </w:pPr>
            <w:r>
              <w:rPr>
                <w:rFonts w:ascii="Arial" w:hAnsi="Arial"/>
                <w:sz w:val="15"/>
              </w:rPr>
              <w:t>32.3</w:t>
            </w:r>
          </w:p>
        </w:tc>
      </w:tr>
      <w:tr>
        <w:tc>
          <w:tcPr>
            <w:tcW w:type="dxa" w:w="2736"/>
          </w:tcPr>
          <w:p>
            <w:pPr>
              <w:spacing w:after="20" w:before="20"/>
            </w:pPr>
            <w:r>
              <w:rPr>
                <w:rFonts w:ascii="Arial" w:hAnsi="Arial"/>
                <w:sz w:val="15"/>
              </w:rPr>
              <w:t>Minority interest</w:t>
            </w:r>
          </w:p>
        </w:tc>
        <w:tc>
          <w:tcPr>
            <w:tcW w:type="dxa" w:w="893"/>
          </w:tcPr>
          <w:p>
            <w:pPr>
              <w:spacing w:after="20" w:before="20"/>
              <w:jc w:val="right"/>
            </w:pPr>
            <w:r>
              <w:rPr>
                <w:rFonts w:ascii="Arial" w:hAnsi="Arial"/>
                <w:sz w:val="15"/>
              </w:rPr>
              <w:t>(12.9)</w:t>
            </w:r>
          </w:p>
        </w:tc>
        <w:tc>
          <w:tcPr>
            <w:tcW w:type="dxa" w:w="893"/>
          </w:tcPr>
          <w:p>
            <w:pPr>
              <w:spacing w:after="20" w:before="20"/>
              <w:jc w:val="right"/>
            </w:pPr>
            <w:r>
              <w:rPr>
                <w:rFonts w:ascii="Arial" w:hAnsi="Arial"/>
                <w:sz w:val="15"/>
              </w:rPr>
              <w:t>(10.0)</w:t>
            </w:r>
          </w:p>
        </w:tc>
        <w:tc>
          <w:tcPr>
            <w:tcW w:type="dxa" w:w="893"/>
          </w:tcPr>
          <w:p>
            <w:pPr>
              <w:spacing w:after="20" w:before="20"/>
              <w:jc w:val="right"/>
            </w:pPr>
            <w:r>
              <w:rPr>
                <w:rFonts w:ascii="Arial" w:hAnsi="Arial"/>
                <w:sz w:val="15"/>
              </w:rPr>
              <w:t>(13.1)</w:t>
            </w:r>
          </w:p>
        </w:tc>
        <w:tc>
          <w:tcPr>
            <w:tcW w:type="dxa" w:w="893"/>
          </w:tcPr>
          <w:p>
            <w:pPr>
              <w:spacing w:after="20" w:before="20"/>
              <w:jc w:val="right"/>
            </w:pPr>
            <w:r>
              <w:rPr>
                <w:rFonts w:ascii="Arial" w:hAnsi="Arial"/>
                <w:sz w:val="15"/>
              </w:rPr>
              <w:t>(9.5)</w:t>
            </w:r>
          </w:p>
        </w:tc>
        <w:tc>
          <w:tcPr>
            <w:tcW w:type="dxa" w:w="893"/>
          </w:tcPr>
          <w:p>
            <w:pPr>
              <w:spacing w:after="20" w:before="20"/>
              <w:jc w:val="right"/>
            </w:pPr>
            <w:r>
              <w:rPr>
                <w:rFonts w:ascii="Arial" w:hAnsi="Arial"/>
                <w:sz w:val="15"/>
              </w:rPr>
              <w:t>(10.2)</w:t>
            </w:r>
          </w:p>
        </w:tc>
        <w:tc>
          <w:tcPr>
            <w:tcW w:type="dxa" w:w="893"/>
          </w:tcPr>
          <w:p>
            <w:pPr>
              <w:spacing w:after="20" w:before="20"/>
              <w:jc w:val="right"/>
            </w:pPr>
            <w:r>
              <w:rPr>
                <w:rFonts w:ascii="Arial" w:hAnsi="Arial"/>
                <w:sz w:val="15"/>
              </w:rPr>
              <w:t>(10.9)</w:t>
            </w:r>
          </w:p>
        </w:tc>
        <w:tc>
          <w:tcPr>
            <w:tcW w:type="dxa" w:w="893"/>
          </w:tcPr>
          <w:p>
            <w:pPr>
              <w:spacing w:after="20" w:before="20"/>
              <w:jc w:val="right"/>
            </w:pPr>
            <w:r>
              <w:rPr>
                <w:rFonts w:ascii="Arial" w:hAnsi="Arial"/>
                <w:sz w:val="15"/>
              </w:rPr>
              <w:t>(11.6)</w:t>
            </w:r>
          </w:p>
        </w:tc>
        <w:tc>
          <w:tcPr>
            <w:tcW w:type="dxa" w:w="893"/>
          </w:tcPr>
          <w:p>
            <w:pPr>
              <w:spacing w:after="20" w:before="20"/>
              <w:jc w:val="right"/>
            </w:pPr>
            <w:r>
              <w:rPr>
                <w:rFonts w:ascii="Arial" w:hAnsi="Arial"/>
                <w:sz w:val="15"/>
              </w:rPr>
              <w:t>(12.3)</w:t>
            </w:r>
          </w:p>
        </w:tc>
      </w:tr>
      <w:tr>
        <w:tc>
          <w:tcPr>
            <w:tcW w:type="dxa" w:w="2736"/>
          </w:tcPr>
          <w:p>
            <w:pPr>
              <w:spacing w:after="20" w:before="20"/>
            </w:pPr>
            <w:r>
              <w:rPr>
                <w:rFonts w:ascii="Arial" w:hAnsi="Arial"/>
                <w:sz w:val="15"/>
              </w:rPr>
              <w:t>Attributable net income</w:t>
            </w:r>
          </w:p>
        </w:tc>
        <w:tc>
          <w:tcPr>
            <w:tcW w:type="dxa" w:w="893"/>
          </w:tcPr>
          <w:p>
            <w:pPr>
              <w:spacing w:after="20" w:before="20"/>
              <w:jc w:val="right"/>
            </w:pPr>
            <w:r>
              <w:rPr>
                <w:rFonts w:ascii="Arial" w:hAnsi="Arial"/>
                <w:sz w:val="15"/>
              </w:rPr>
              <w:t>20.0</w:t>
            </w:r>
          </w:p>
        </w:tc>
        <w:tc>
          <w:tcPr>
            <w:tcW w:type="dxa" w:w="893"/>
          </w:tcPr>
          <w:p>
            <w:pPr>
              <w:spacing w:after="20" w:before="20"/>
              <w:jc w:val="right"/>
            </w:pPr>
            <w:r>
              <w:rPr>
                <w:rFonts w:ascii="Arial" w:hAnsi="Arial"/>
                <w:sz w:val="15"/>
              </w:rPr>
              <w:t>15.7</w:t>
            </w:r>
          </w:p>
        </w:tc>
        <w:tc>
          <w:tcPr>
            <w:tcW w:type="dxa" w:w="893"/>
          </w:tcPr>
          <w:p>
            <w:pPr>
              <w:spacing w:after="20" w:before="20"/>
              <w:jc w:val="right"/>
            </w:pPr>
            <w:r>
              <w:rPr>
                <w:rFonts w:ascii="Arial" w:hAnsi="Arial"/>
                <w:sz w:val="15"/>
              </w:rPr>
              <w:t>21.6</w:t>
            </w:r>
          </w:p>
        </w:tc>
        <w:tc>
          <w:tcPr>
            <w:tcW w:type="dxa" w:w="893"/>
          </w:tcPr>
          <w:p>
            <w:pPr>
              <w:spacing w:after="20" w:before="20"/>
              <w:jc w:val="right"/>
            </w:pPr>
            <w:r>
              <w:rPr>
                <w:rFonts w:ascii="Arial" w:hAnsi="Arial"/>
                <w:sz w:val="15"/>
              </w:rPr>
              <w:t>15.5</w:t>
            </w:r>
          </w:p>
        </w:tc>
        <w:tc>
          <w:tcPr>
            <w:tcW w:type="dxa" w:w="893"/>
          </w:tcPr>
          <w:p>
            <w:pPr>
              <w:spacing w:after="20" w:before="20"/>
              <w:jc w:val="right"/>
            </w:pPr>
            <w:r>
              <w:rPr>
                <w:rFonts w:ascii="Arial" w:hAnsi="Arial"/>
                <w:sz w:val="15"/>
              </w:rPr>
              <w:t>16.7</w:t>
            </w:r>
          </w:p>
        </w:tc>
        <w:tc>
          <w:tcPr>
            <w:tcW w:type="dxa" w:w="893"/>
          </w:tcPr>
          <w:p>
            <w:pPr>
              <w:spacing w:after="20" w:before="20"/>
              <w:jc w:val="right"/>
            </w:pPr>
            <w:r>
              <w:rPr>
                <w:rFonts w:ascii="Arial" w:hAnsi="Arial"/>
                <w:sz w:val="15"/>
              </w:rPr>
              <w:t>17.9</w:t>
            </w:r>
          </w:p>
        </w:tc>
        <w:tc>
          <w:tcPr>
            <w:tcW w:type="dxa" w:w="893"/>
          </w:tcPr>
          <w:p>
            <w:pPr>
              <w:spacing w:after="20" w:before="20"/>
              <w:jc w:val="right"/>
            </w:pPr>
            <w:r>
              <w:rPr>
                <w:rFonts w:ascii="Arial" w:hAnsi="Arial"/>
                <w:sz w:val="15"/>
              </w:rPr>
              <w:t>19.0</w:t>
            </w:r>
          </w:p>
        </w:tc>
        <w:tc>
          <w:tcPr>
            <w:tcW w:type="dxa" w:w="893"/>
          </w:tcPr>
          <w:p>
            <w:pPr>
              <w:spacing w:after="20" w:before="20"/>
              <w:jc w:val="right"/>
            </w:pPr>
            <w:r>
              <w:rPr>
                <w:rFonts w:ascii="Arial" w:hAnsi="Arial"/>
                <w:sz w:val="15"/>
              </w:rPr>
              <w:t>20.0</w:t>
            </w:r>
          </w:p>
        </w:tc>
      </w:tr>
      <w:tr>
        <w:tc>
          <w:tcPr>
            <w:tcW w:type="dxa" w:w="2736"/>
          </w:tcPr>
          <w:p>
            <w:pPr>
              <w:spacing w:after="20" w:before="20"/>
            </w:pPr>
            <w:r>
              <w:rPr>
                <w:rFonts w:ascii="Arial" w:hAnsi="Arial"/>
                <w:sz w:val="15"/>
              </w:rPr>
              <w:t>EPS (AED)</w:t>
            </w:r>
          </w:p>
        </w:tc>
        <w:tc>
          <w:tcPr>
            <w:tcW w:type="dxa" w:w="893"/>
          </w:tcPr>
          <w:p>
            <w:pPr>
              <w:spacing w:after="20" w:before="20"/>
              <w:jc w:val="right"/>
            </w:pPr>
            <w:r>
              <w:rPr>
                <w:rFonts w:ascii="Arial" w:hAnsi="Arial"/>
                <w:sz w:val="15"/>
              </w:rPr>
              <w:t>9.17</w:t>
            </w:r>
          </w:p>
        </w:tc>
        <w:tc>
          <w:tcPr>
            <w:tcW w:type="dxa" w:w="893"/>
          </w:tcPr>
          <w:p>
            <w:pPr>
              <w:spacing w:after="20" w:before="20"/>
              <w:jc w:val="right"/>
            </w:pPr>
            <w:r>
              <w:rPr>
                <w:rFonts w:ascii="Arial" w:hAnsi="Arial"/>
                <w:sz w:val="15"/>
              </w:rPr>
              <w:t>7.19</w:t>
            </w:r>
          </w:p>
        </w:tc>
        <w:tc>
          <w:tcPr>
            <w:tcW w:type="dxa" w:w="893"/>
          </w:tcPr>
          <w:p>
            <w:pPr>
              <w:spacing w:after="20" w:before="20"/>
              <w:jc w:val="right"/>
            </w:pPr>
            <w:r>
              <w:rPr>
                <w:rFonts w:ascii="Arial" w:hAnsi="Arial"/>
                <w:sz w:val="15"/>
              </w:rPr>
              <w:t>9.93</w:t>
            </w:r>
          </w:p>
        </w:tc>
        <w:tc>
          <w:tcPr>
            <w:tcW w:type="dxa" w:w="893"/>
          </w:tcPr>
          <w:p>
            <w:pPr>
              <w:spacing w:after="20" w:before="20"/>
              <w:jc w:val="right"/>
            </w:pPr>
            <w:r>
              <w:rPr>
                <w:rFonts w:ascii="Arial" w:hAnsi="Arial"/>
                <w:sz w:val="15"/>
              </w:rPr>
              <w:t>7.12</w:t>
            </w:r>
          </w:p>
        </w:tc>
        <w:tc>
          <w:tcPr>
            <w:tcW w:type="dxa" w:w="893"/>
          </w:tcPr>
          <w:p>
            <w:pPr>
              <w:spacing w:after="20" w:before="20"/>
              <w:jc w:val="right"/>
            </w:pPr>
            <w:r>
              <w:rPr>
                <w:rFonts w:ascii="Arial" w:hAnsi="Arial"/>
                <w:sz w:val="15"/>
              </w:rPr>
              <w:t>7.66</w:t>
            </w:r>
          </w:p>
        </w:tc>
        <w:tc>
          <w:tcPr>
            <w:tcW w:type="dxa" w:w="893"/>
          </w:tcPr>
          <w:p>
            <w:pPr>
              <w:spacing w:after="20" w:before="20"/>
              <w:jc w:val="right"/>
            </w:pPr>
            <w:r>
              <w:rPr>
                <w:rFonts w:ascii="Arial" w:hAnsi="Arial"/>
                <w:sz w:val="15"/>
              </w:rPr>
              <w:t>8.19</w:t>
            </w:r>
          </w:p>
        </w:tc>
        <w:tc>
          <w:tcPr>
            <w:tcW w:type="dxa" w:w="893"/>
          </w:tcPr>
          <w:p>
            <w:pPr>
              <w:spacing w:after="20" w:before="20"/>
              <w:jc w:val="right"/>
            </w:pPr>
            <w:r>
              <w:rPr>
                <w:rFonts w:ascii="Arial" w:hAnsi="Arial"/>
                <w:sz w:val="15"/>
              </w:rPr>
              <w:t>8.70</w:t>
            </w:r>
          </w:p>
        </w:tc>
        <w:tc>
          <w:tcPr>
            <w:tcW w:type="dxa" w:w="893"/>
          </w:tcPr>
          <w:p>
            <w:pPr>
              <w:spacing w:after="20" w:before="20"/>
              <w:jc w:val="right"/>
            </w:pPr>
            <w:r>
              <w:rPr>
                <w:rFonts w:ascii="Arial" w:hAnsi="Arial"/>
                <w:sz w:val="15"/>
              </w:rPr>
              <w:t>9.20</w:t>
            </w:r>
          </w:p>
        </w:tc>
      </w:tr>
    </w:tbl>
    <w:p>
      <w:pPr>
        <w:spacing w:before="160" w:after="80"/>
      </w:pPr>
      <w:r>
        <w:rPr>
          <w:rFonts w:ascii="Arial" w:hAnsi="Arial"/>
          <w:b/>
          <w:color w:val="1C3A36"/>
          <w:sz w:val="23"/>
        </w:rPr>
        <w:t>A.2  Balance sheet (AED bn)</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67"/>
        <w:gridCol w:w="1067"/>
        <w:gridCol w:w="1067"/>
        <w:gridCol w:w="1067"/>
        <w:gridCol w:w="1067"/>
        <w:gridCol w:w="1067"/>
        <w:gridCol w:w="1067"/>
        <w:gridCol w:w="1067"/>
        <w:gridCol w:w="1067"/>
      </w:tblGrid>
      <w:tr>
        <w:tc>
          <w:tcPr>
            <w:tcW w:type="dxa" w:w="2880"/>
            <w:shd w:val="clear" w:fill="1C3A36"/>
          </w:tcPr>
          <w:p>
            <w:pPr>
              <w:spacing w:after="20" w:before="20"/>
            </w:pPr>
            <w:r>
              <w:rPr>
                <w:rFonts w:ascii="Arial" w:hAnsi="Arial"/>
                <w:b/>
                <w:color w:val="FFFFFF"/>
                <w:sz w:val="15"/>
              </w:rPr>
              <w:t>AED bn</w:t>
            </w:r>
          </w:p>
        </w:tc>
        <w:tc>
          <w:tcPr>
            <w:tcW w:type="dxa" w:w="864"/>
            <w:shd w:val="clear" w:fill="1C3A36"/>
          </w:tcPr>
          <w:p>
            <w:pPr>
              <w:spacing w:after="20" w:before="20"/>
            </w:pPr>
            <w:r>
              <w:rPr>
                <w:rFonts w:ascii="Arial" w:hAnsi="Arial"/>
                <w:b/>
                <w:color w:val="FFFFFF"/>
                <w:sz w:val="15"/>
              </w:rPr>
              <w:t>FY23e</w:t>
            </w:r>
          </w:p>
        </w:tc>
        <w:tc>
          <w:tcPr>
            <w:tcW w:type="dxa" w:w="864"/>
            <w:shd w:val="clear" w:fill="1C3A36"/>
          </w:tcPr>
          <w:p>
            <w:pPr>
              <w:spacing w:after="20" w:before="20"/>
            </w:pPr>
            <w:r>
              <w:rPr>
                <w:rFonts w:ascii="Arial" w:hAnsi="Arial"/>
                <w:b/>
                <w:color w:val="FFFFFF"/>
                <w:sz w:val="15"/>
              </w:rPr>
              <w:t>FY24A</w:t>
            </w:r>
          </w:p>
        </w:tc>
        <w:tc>
          <w:tcPr>
            <w:tcW w:type="dxa" w:w="864"/>
            <w:shd w:val="clear" w:fill="1C3A36"/>
          </w:tcPr>
          <w:p>
            <w:pPr>
              <w:spacing w:after="20" w:before="20"/>
            </w:pPr>
            <w:r>
              <w:rPr>
                <w:rFonts w:ascii="Arial" w:hAnsi="Arial"/>
                <w:b/>
                <w:color w:val="FFFFFF"/>
                <w:sz w:val="15"/>
              </w:rPr>
              <w:t>FY25A</w:t>
            </w:r>
          </w:p>
        </w:tc>
        <w:tc>
          <w:tcPr>
            <w:tcW w:type="dxa" w:w="864"/>
            <w:shd w:val="clear" w:fill="1C3A36"/>
          </w:tcPr>
          <w:p>
            <w:pPr>
              <w:spacing w:after="20" w:before="20"/>
            </w:pPr>
            <w:r>
              <w:rPr>
                <w:rFonts w:ascii="Arial" w:hAnsi="Arial"/>
                <w:b/>
                <w:color w:val="FFFFFF"/>
                <w:sz w:val="15"/>
              </w:rPr>
              <w:t>FY26E</w:t>
            </w:r>
          </w:p>
        </w:tc>
        <w:tc>
          <w:tcPr>
            <w:tcW w:type="dxa" w:w="864"/>
            <w:shd w:val="clear" w:fill="1C3A36"/>
          </w:tcPr>
          <w:p>
            <w:pPr>
              <w:spacing w:after="20" w:before="20"/>
            </w:pPr>
            <w:r>
              <w:rPr>
                <w:rFonts w:ascii="Arial" w:hAnsi="Arial"/>
                <w:b/>
                <w:color w:val="FFFFFF"/>
                <w:sz w:val="15"/>
              </w:rPr>
              <w:t>FY27E</w:t>
            </w:r>
          </w:p>
        </w:tc>
        <w:tc>
          <w:tcPr>
            <w:tcW w:type="dxa" w:w="864"/>
            <w:shd w:val="clear" w:fill="1C3A36"/>
          </w:tcPr>
          <w:p>
            <w:pPr>
              <w:spacing w:after="20" w:before="20"/>
            </w:pPr>
            <w:r>
              <w:rPr>
                <w:rFonts w:ascii="Arial" w:hAnsi="Arial"/>
                <w:b/>
                <w:color w:val="FFFFFF"/>
                <w:sz w:val="15"/>
              </w:rPr>
              <w:t>FY28E</w:t>
            </w:r>
          </w:p>
        </w:tc>
        <w:tc>
          <w:tcPr>
            <w:tcW w:type="dxa" w:w="864"/>
            <w:shd w:val="clear" w:fill="1C3A36"/>
          </w:tcPr>
          <w:p>
            <w:pPr>
              <w:spacing w:after="20" w:before="20"/>
            </w:pPr>
            <w:r>
              <w:rPr>
                <w:rFonts w:ascii="Arial" w:hAnsi="Arial"/>
                <w:b/>
                <w:color w:val="FFFFFF"/>
                <w:sz w:val="15"/>
              </w:rPr>
              <w:t>FY29E</w:t>
            </w:r>
          </w:p>
        </w:tc>
        <w:tc>
          <w:tcPr>
            <w:tcW w:type="dxa" w:w="864"/>
            <w:shd w:val="clear" w:fill="1C3A36"/>
          </w:tcPr>
          <w:p>
            <w:pPr>
              <w:spacing w:after="20" w:before="20"/>
            </w:pPr>
            <w:r>
              <w:rPr>
                <w:rFonts w:ascii="Arial" w:hAnsi="Arial"/>
                <w:b/>
                <w:color w:val="FFFFFF"/>
                <w:sz w:val="15"/>
              </w:rPr>
              <w:t>FY30E</w:t>
            </w:r>
          </w:p>
        </w:tc>
      </w:tr>
      <w:tr>
        <w:tc>
          <w:tcPr>
            <w:tcW w:type="dxa" w:w="2880"/>
          </w:tcPr>
          <w:p>
            <w:pPr>
              <w:spacing w:after="20" w:before="20"/>
            </w:pPr>
            <w:r>
              <w:rPr>
                <w:rFonts w:ascii="Arial" w:hAnsi="Arial"/>
                <w:sz w:val="15"/>
              </w:rPr>
              <w:t>Cash &amp; bank</w:t>
            </w:r>
          </w:p>
        </w:tc>
        <w:tc>
          <w:tcPr>
            <w:tcW w:type="dxa" w:w="864"/>
          </w:tcPr>
          <w:p>
            <w:pPr>
              <w:spacing w:after="20" w:before="20"/>
              <w:jc w:val="right"/>
            </w:pPr>
            <w:r>
              <w:rPr>
                <w:rFonts w:ascii="Arial" w:hAnsi="Arial"/>
                <w:sz w:val="15"/>
              </w:rPr>
              <w:t>45.0</w:t>
            </w:r>
          </w:p>
        </w:tc>
        <w:tc>
          <w:tcPr>
            <w:tcW w:type="dxa" w:w="864"/>
          </w:tcPr>
          <w:p>
            <w:pPr>
              <w:spacing w:after="20" w:before="20"/>
              <w:jc w:val="right"/>
            </w:pPr>
            <w:r>
              <w:rPr>
                <w:rFonts w:ascii="Arial" w:hAnsi="Arial"/>
                <w:sz w:val="15"/>
              </w:rPr>
              <w:t>55.2</w:t>
            </w:r>
          </w:p>
        </w:tc>
        <w:tc>
          <w:tcPr>
            <w:tcW w:type="dxa" w:w="864"/>
          </w:tcPr>
          <w:p>
            <w:pPr>
              <w:spacing w:after="20" w:before="20"/>
              <w:jc w:val="right"/>
            </w:pPr>
            <w:r>
              <w:rPr>
                <w:rFonts w:ascii="Arial" w:hAnsi="Arial"/>
                <w:sz w:val="15"/>
              </w:rPr>
              <w:t>74.9</w:t>
            </w:r>
          </w:p>
        </w:tc>
        <w:tc>
          <w:tcPr>
            <w:tcW w:type="dxa" w:w="864"/>
          </w:tcPr>
          <w:p>
            <w:pPr>
              <w:spacing w:after="20" w:before="20"/>
              <w:jc w:val="right"/>
            </w:pPr>
            <w:r>
              <w:rPr>
                <w:rFonts w:ascii="Arial" w:hAnsi="Arial"/>
                <w:sz w:val="15"/>
              </w:rPr>
              <w:t>92.6</w:t>
            </w:r>
          </w:p>
        </w:tc>
        <w:tc>
          <w:tcPr>
            <w:tcW w:type="dxa" w:w="864"/>
          </w:tcPr>
          <w:p>
            <w:pPr>
              <w:spacing w:after="20" w:before="20"/>
              <w:jc w:val="right"/>
            </w:pPr>
            <w:r>
              <w:rPr>
                <w:rFonts w:ascii="Arial" w:hAnsi="Arial"/>
                <w:sz w:val="15"/>
              </w:rPr>
              <w:t>111.9</w:t>
            </w:r>
          </w:p>
        </w:tc>
        <w:tc>
          <w:tcPr>
            <w:tcW w:type="dxa" w:w="864"/>
          </w:tcPr>
          <w:p>
            <w:pPr>
              <w:spacing w:after="20" w:before="20"/>
              <w:jc w:val="right"/>
            </w:pPr>
            <w:r>
              <w:rPr>
                <w:rFonts w:ascii="Arial" w:hAnsi="Arial"/>
                <w:sz w:val="15"/>
              </w:rPr>
              <w:t>131.7</w:t>
            </w:r>
          </w:p>
        </w:tc>
        <w:tc>
          <w:tcPr>
            <w:tcW w:type="dxa" w:w="864"/>
          </w:tcPr>
          <w:p>
            <w:pPr>
              <w:spacing w:after="20" w:before="20"/>
              <w:jc w:val="right"/>
            </w:pPr>
            <w:r>
              <w:rPr>
                <w:rFonts w:ascii="Arial" w:hAnsi="Arial"/>
                <w:sz w:val="15"/>
              </w:rPr>
              <w:t>153.0</w:t>
            </w:r>
          </w:p>
        </w:tc>
        <w:tc>
          <w:tcPr>
            <w:tcW w:type="dxa" w:w="864"/>
          </w:tcPr>
          <w:p>
            <w:pPr>
              <w:spacing w:after="20" w:before="20"/>
              <w:jc w:val="right"/>
            </w:pPr>
            <w:r>
              <w:rPr>
                <w:rFonts w:ascii="Arial" w:hAnsi="Arial"/>
                <w:sz w:val="15"/>
              </w:rPr>
              <w:t>175.8</w:t>
            </w:r>
          </w:p>
        </w:tc>
      </w:tr>
      <w:tr>
        <w:tc>
          <w:tcPr>
            <w:tcW w:type="dxa" w:w="2880"/>
          </w:tcPr>
          <w:p>
            <w:pPr>
              <w:spacing w:after="20" w:before="20"/>
            </w:pPr>
            <w:r>
              <w:rPr>
                <w:rFonts w:ascii="Arial" w:hAnsi="Arial"/>
                <w:sz w:val="15"/>
              </w:rPr>
              <w:t>Financial investments &amp; associates</w:t>
            </w:r>
          </w:p>
        </w:tc>
        <w:tc>
          <w:tcPr>
            <w:tcW w:type="dxa" w:w="864"/>
          </w:tcPr>
          <w:p>
            <w:pPr>
              <w:spacing w:after="20" w:before="20"/>
              <w:jc w:val="right"/>
            </w:pPr>
            <w:r>
              <w:rPr>
                <w:rFonts w:ascii="Arial" w:hAnsi="Arial"/>
                <w:sz w:val="15"/>
              </w:rPr>
              <w:t>155.0</w:t>
            </w:r>
          </w:p>
        </w:tc>
        <w:tc>
          <w:tcPr>
            <w:tcW w:type="dxa" w:w="864"/>
          </w:tcPr>
          <w:p>
            <w:pPr>
              <w:spacing w:after="20" w:before="20"/>
              <w:jc w:val="right"/>
            </w:pPr>
            <w:r>
              <w:rPr>
                <w:rFonts w:ascii="Arial" w:hAnsi="Arial"/>
                <w:sz w:val="15"/>
              </w:rPr>
              <w:t>191.6</w:t>
            </w:r>
          </w:p>
        </w:tc>
        <w:tc>
          <w:tcPr>
            <w:tcW w:type="dxa" w:w="864"/>
          </w:tcPr>
          <w:p>
            <w:pPr>
              <w:spacing w:after="20" w:before="20"/>
              <w:jc w:val="right"/>
            </w:pPr>
            <w:r>
              <w:rPr>
                <w:rFonts w:ascii="Arial" w:hAnsi="Arial"/>
                <w:sz w:val="15"/>
              </w:rPr>
              <w:t>178.8</w:t>
            </w:r>
          </w:p>
        </w:tc>
        <w:tc>
          <w:tcPr>
            <w:tcW w:type="dxa" w:w="864"/>
          </w:tcPr>
          <w:p>
            <w:pPr>
              <w:spacing w:after="20" w:before="20"/>
              <w:jc w:val="right"/>
            </w:pPr>
            <w:r>
              <w:rPr>
                <w:rFonts w:ascii="Arial" w:hAnsi="Arial"/>
                <w:sz w:val="15"/>
              </w:rPr>
              <w:t>201.1</w:t>
            </w:r>
          </w:p>
        </w:tc>
        <w:tc>
          <w:tcPr>
            <w:tcW w:type="dxa" w:w="864"/>
          </w:tcPr>
          <w:p>
            <w:pPr>
              <w:spacing w:after="20" w:before="20"/>
              <w:jc w:val="right"/>
            </w:pPr>
            <w:r>
              <w:rPr>
                <w:rFonts w:ascii="Arial" w:hAnsi="Arial"/>
                <w:sz w:val="15"/>
              </w:rPr>
              <w:t>216.3</w:t>
            </w:r>
          </w:p>
        </w:tc>
        <w:tc>
          <w:tcPr>
            <w:tcW w:type="dxa" w:w="864"/>
          </w:tcPr>
          <w:p>
            <w:pPr>
              <w:spacing w:after="20" w:before="20"/>
              <w:jc w:val="right"/>
            </w:pPr>
            <w:r>
              <w:rPr>
                <w:rFonts w:ascii="Arial" w:hAnsi="Arial"/>
                <w:sz w:val="15"/>
              </w:rPr>
              <w:t>231.5</w:t>
            </w:r>
          </w:p>
        </w:tc>
        <w:tc>
          <w:tcPr>
            <w:tcW w:type="dxa" w:w="864"/>
          </w:tcPr>
          <w:p>
            <w:pPr>
              <w:spacing w:after="20" w:before="20"/>
              <w:jc w:val="right"/>
            </w:pPr>
            <w:r>
              <w:rPr>
                <w:rFonts w:ascii="Arial" w:hAnsi="Arial"/>
                <w:sz w:val="15"/>
              </w:rPr>
              <w:t>247.6</w:t>
            </w:r>
          </w:p>
        </w:tc>
        <w:tc>
          <w:tcPr>
            <w:tcW w:type="dxa" w:w="864"/>
          </w:tcPr>
          <w:p>
            <w:pPr>
              <w:spacing w:after="20" w:before="20"/>
              <w:jc w:val="right"/>
            </w:pPr>
            <w:r>
              <w:rPr>
                <w:rFonts w:ascii="Arial" w:hAnsi="Arial"/>
                <w:sz w:val="15"/>
              </w:rPr>
              <w:t>263.9</w:t>
            </w:r>
          </w:p>
        </w:tc>
      </w:tr>
      <w:tr>
        <w:tc>
          <w:tcPr>
            <w:tcW w:type="dxa" w:w="2880"/>
          </w:tcPr>
          <w:p>
            <w:pPr>
              <w:spacing w:after="20" w:before="20"/>
            </w:pPr>
            <w:r>
              <w:rPr>
                <w:rFonts w:ascii="Arial" w:hAnsi="Arial"/>
                <w:sz w:val="15"/>
              </w:rPr>
              <w:t>Property, plant &amp; equipment</w:t>
            </w:r>
          </w:p>
        </w:tc>
        <w:tc>
          <w:tcPr>
            <w:tcW w:type="dxa" w:w="864"/>
          </w:tcPr>
          <w:p>
            <w:pPr>
              <w:spacing w:after="20" w:before="20"/>
              <w:jc w:val="right"/>
            </w:pPr>
            <w:r>
              <w:rPr>
                <w:rFonts w:ascii="Arial" w:hAnsi="Arial"/>
                <w:sz w:val="15"/>
              </w:rPr>
              <w:t>70.0</w:t>
            </w:r>
          </w:p>
        </w:tc>
        <w:tc>
          <w:tcPr>
            <w:tcW w:type="dxa" w:w="864"/>
          </w:tcPr>
          <w:p>
            <w:pPr>
              <w:spacing w:after="20" w:before="20"/>
              <w:jc w:val="right"/>
            </w:pPr>
            <w:r>
              <w:rPr>
                <w:rFonts w:ascii="Arial" w:hAnsi="Arial"/>
                <w:sz w:val="15"/>
              </w:rPr>
              <w:t>85.0</w:t>
            </w:r>
          </w:p>
        </w:tc>
        <w:tc>
          <w:tcPr>
            <w:tcW w:type="dxa" w:w="864"/>
          </w:tcPr>
          <w:p>
            <w:pPr>
              <w:spacing w:after="20" w:before="20"/>
              <w:jc w:val="right"/>
            </w:pPr>
            <w:r>
              <w:rPr>
                <w:rFonts w:ascii="Arial" w:hAnsi="Arial"/>
                <w:sz w:val="15"/>
              </w:rPr>
              <w:t>95.0</w:t>
            </w:r>
          </w:p>
        </w:tc>
        <w:tc>
          <w:tcPr>
            <w:tcW w:type="dxa" w:w="864"/>
          </w:tcPr>
          <w:p>
            <w:pPr>
              <w:spacing w:after="20" w:before="20"/>
              <w:jc w:val="right"/>
            </w:pPr>
            <w:r>
              <w:rPr>
                <w:rFonts w:ascii="Arial" w:hAnsi="Arial"/>
                <w:sz w:val="15"/>
              </w:rPr>
              <w:t>101.2</w:t>
            </w:r>
          </w:p>
        </w:tc>
        <w:tc>
          <w:tcPr>
            <w:tcW w:type="dxa" w:w="864"/>
          </w:tcPr>
          <w:p>
            <w:pPr>
              <w:spacing w:after="20" w:before="20"/>
              <w:jc w:val="right"/>
            </w:pPr>
            <w:r>
              <w:rPr>
                <w:rFonts w:ascii="Arial" w:hAnsi="Arial"/>
                <w:sz w:val="15"/>
              </w:rPr>
              <w:t>108.1</w:t>
            </w:r>
          </w:p>
        </w:tc>
        <w:tc>
          <w:tcPr>
            <w:tcW w:type="dxa" w:w="864"/>
          </w:tcPr>
          <w:p>
            <w:pPr>
              <w:spacing w:after="20" w:before="20"/>
              <w:jc w:val="right"/>
            </w:pPr>
            <w:r>
              <w:rPr>
                <w:rFonts w:ascii="Arial" w:hAnsi="Arial"/>
                <w:sz w:val="15"/>
              </w:rPr>
              <w:t>115.6</w:t>
            </w:r>
          </w:p>
        </w:tc>
        <w:tc>
          <w:tcPr>
            <w:tcW w:type="dxa" w:w="864"/>
          </w:tcPr>
          <w:p>
            <w:pPr>
              <w:spacing w:after="20" w:before="20"/>
              <w:jc w:val="right"/>
            </w:pPr>
            <w:r>
              <w:rPr>
                <w:rFonts w:ascii="Arial" w:hAnsi="Arial"/>
                <w:sz w:val="15"/>
              </w:rPr>
              <w:t>123.7</w:t>
            </w:r>
          </w:p>
        </w:tc>
        <w:tc>
          <w:tcPr>
            <w:tcW w:type="dxa" w:w="864"/>
          </w:tcPr>
          <w:p>
            <w:pPr>
              <w:spacing w:after="20" w:before="20"/>
              <w:jc w:val="right"/>
            </w:pPr>
            <w:r>
              <w:rPr>
                <w:rFonts w:ascii="Arial" w:hAnsi="Arial"/>
                <w:sz w:val="15"/>
              </w:rPr>
              <w:t>132.3</w:t>
            </w:r>
          </w:p>
        </w:tc>
      </w:tr>
      <w:tr>
        <w:tc>
          <w:tcPr>
            <w:tcW w:type="dxa" w:w="2880"/>
          </w:tcPr>
          <w:p>
            <w:pPr>
              <w:spacing w:after="20" w:before="20"/>
            </w:pPr>
            <w:r>
              <w:rPr>
                <w:rFonts w:ascii="Arial" w:hAnsi="Arial"/>
                <w:sz w:val="15"/>
              </w:rPr>
              <w:t>Other assets</w:t>
            </w:r>
          </w:p>
        </w:tc>
        <w:tc>
          <w:tcPr>
            <w:tcW w:type="dxa" w:w="864"/>
          </w:tcPr>
          <w:p>
            <w:pPr>
              <w:spacing w:after="20" w:before="20"/>
              <w:jc w:val="right"/>
            </w:pPr>
            <w:r>
              <w:rPr>
                <w:rFonts w:ascii="Arial" w:hAnsi="Arial"/>
                <w:sz w:val="15"/>
              </w:rPr>
              <w:t>60.0</w:t>
            </w:r>
          </w:p>
        </w:tc>
        <w:tc>
          <w:tcPr>
            <w:tcW w:type="dxa" w:w="864"/>
          </w:tcPr>
          <w:p>
            <w:pPr>
              <w:spacing w:after="20" w:before="20"/>
              <w:jc w:val="right"/>
            </w:pPr>
            <w:r>
              <w:rPr>
                <w:rFonts w:ascii="Arial" w:hAnsi="Arial"/>
                <w:sz w:val="15"/>
              </w:rPr>
              <w:t>70.0</w:t>
            </w:r>
          </w:p>
        </w:tc>
        <w:tc>
          <w:tcPr>
            <w:tcW w:type="dxa" w:w="864"/>
          </w:tcPr>
          <w:p>
            <w:pPr>
              <w:spacing w:after="20" w:before="20"/>
              <w:jc w:val="right"/>
            </w:pPr>
            <w:r>
              <w:rPr>
                <w:rFonts w:ascii="Arial" w:hAnsi="Arial"/>
                <w:sz w:val="15"/>
              </w:rPr>
              <w:t>80.0</w:t>
            </w:r>
          </w:p>
        </w:tc>
        <w:tc>
          <w:tcPr>
            <w:tcW w:type="dxa" w:w="864"/>
          </w:tcPr>
          <w:p>
            <w:pPr>
              <w:spacing w:after="20" w:before="20"/>
              <w:jc w:val="right"/>
            </w:pPr>
            <w:r>
              <w:rPr>
                <w:rFonts w:ascii="Arial" w:hAnsi="Arial"/>
                <w:sz w:val="15"/>
              </w:rPr>
              <w:t>77.4</w:t>
            </w:r>
          </w:p>
        </w:tc>
        <w:tc>
          <w:tcPr>
            <w:tcW w:type="dxa" w:w="864"/>
          </w:tcPr>
          <w:p>
            <w:pPr>
              <w:spacing w:after="20" w:before="20"/>
              <w:jc w:val="right"/>
            </w:pPr>
            <w:r>
              <w:rPr>
                <w:rFonts w:ascii="Arial" w:hAnsi="Arial"/>
                <w:sz w:val="15"/>
              </w:rPr>
              <w:t>85.1</w:t>
            </w:r>
          </w:p>
        </w:tc>
        <w:tc>
          <w:tcPr>
            <w:tcW w:type="dxa" w:w="864"/>
          </w:tcPr>
          <w:p>
            <w:pPr>
              <w:spacing w:after="20" w:before="20"/>
              <w:jc w:val="right"/>
            </w:pPr>
            <w:r>
              <w:rPr>
                <w:rFonts w:ascii="Arial" w:hAnsi="Arial"/>
                <w:sz w:val="15"/>
              </w:rPr>
              <w:t>92.8</w:t>
            </w:r>
          </w:p>
        </w:tc>
        <w:tc>
          <w:tcPr>
            <w:tcW w:type="dxa" w:w="864"/>
          </w:tcPr>
          <w:p>
            <w:pPr>
              <w:spacing w:after="20" w:before="20"/>
              <w:jc w:val="right"/>
            </w:pPr>
            <w:r>
              <w:rPr>
                <w:rFonts w:ascii="Arial" w:hAnsi="Arial"/>
                <w:sz w:val="15"/>
              </w:rPr>
              <w:t>100.2</w:t>
            </w:r>
          </w:p>
        </w:tc>
        <w:tc>
          <w:tcPr>
            <w:tcW w:type="dxa" w:w="864"/>
          </w:tcPr>
          <w:p>
            <w:pPr>
              <w:spacing w:after="20" w:before="20"/>
              <w:jc w:val="right"/>
            </w:pPr>
            <w:r>
              <w:rPr>
                <w:rFonts w:ascii="Arial" w:hAnsi="Arial"/>
                <w:sz w:val="15"/>
              </w:rPr>
              <w:t>107.2</w:t>
            </w:r>
          </w:p>
        </w:tc>
      </w:tr>
      <w:tr>
        <w:tc>
          <w:tcPr>
            <w:tcW w:type="dxa" w:w="2880"/>
          </w:tcPr>
          <w:p>
            <w:pPr>
              <w:spacing w:after="20" w:before="20"/>
            </w:pPr>
            <w:r>
              <w:rPr>
                <w:rFonts w:ascii="Arial" w:hAnsi="Arial"/>
                <w:sz w:val="15"/>
              </w:rPr>
              <w:t>Total assets</w:t>
            </w:r>
          </w:p>
        </w:tc>
        <w:tc>
          <w:tcPr>
            <w:tcW w:type="dxa" w:w="864"/>
          </w:tcPr>
          <w:p>
            <w:pPr>
              <w:spacing w:after="20" w:before="20"/>
              <w:jc w:val="right"/>
            </w:pPr>
            <w:r>
              <w:rPr>
                <w:rFonts w:ascii="Arial" w:hAnsi="Arial"/>
                <w:sz w:val="15"/>
              </w:rPr>
              <w:t>330.0</w:t>
            </w:r>
          </w:p>
        </w:tc>
        <w:tc>
          <w:tcPr>
            <w:tcW w:type="dxa" w:w="864"/>
          </w:tcPr>
          <w:p>
            <w:pPr>
              <w:spacing w:after="20" w:before="20"/>
              <w:jc w:val="right"/>
            </w:pPr>
            <w:r>
              <w:rPr>
                <w:rFonts w:ascii="Arial" w:hAnsi="Arial"/>
                <w:sz w:val="15"/>
              </w:rPr>
              <w:t>401.8</w:t>
            </w:r>
          </w:p>
        </w:tc>
        <w:tc>
          <w:tcPr>
            <w:tcW w:type="dxa" w:w="864"/>
          </w:tcPr>
          <w:p>
            <w:pPr>
              <w:spacing w:after="20" w:before="20"/>
              <w:jc w:val="right"/>
            </w:pPr>
            <w:r>
              <w:rPr>
                <w:rFonts w:ascii="Arial" w:hAnsi="Arial"/>
                <w:sz w:val="15"/>
              </w:rPr>
              <w:t>428.6</w:t>
            </w:r>
          </w:p>
        </w:tc>
        <w:tc>
          <w:tcPr>
            <w:tcW w:type="dxa" w:w="864"/>
          </w:tcPr>
          <w:p>
            <w:pPr>
              <w:spacing w:after="20" w:before="20"/>
              <w:jc w:val="right"/>
            </w:pPr>
            <w:r>
              <w:rPr>
                <w:rFonts w:ascii="Arial" w:hAnsi="Arial"/>
                <w:sz w:val="15"/>
              </w:rPr>
              <w:t>472.3</w:t>
            </w:r>
          </w:p>
        </w:tc>
        <w:tc>
          <w:tcPr>
            <w:tcW w:type="dxa" w:w="864"/>
          </w:tcPr>
          <w:p>
            <w:pPr>
              <w:spacing w:after="20" w:before="20"/>
              <w:jc w:val="right"/>
            </w:pPr>
            <w:r>
              <w:rPr>
                <w:rFonts w:ascii="Arial" w:hAnsi="Arial"/>
                <w:sz w:val="15"/>
              </w:rPr>
              <w:t>521.4</w:t>
            </w:r>
          </w:p>
        </w:tc>
        <w:tc>
          <w:tcPr>
            <w:tcW w:type="dxa" w:w="864"/>
          </w:tcPr>
          <w:p>
            <w:pPr>
              <w:spacing w:after="20" w:before="20"/>
              <w:jc w:val="right"/>
            </w:pPr>
            <w:r>
              <w:rPr>
                <w:rFonts w:ascii="Arial" w:hAnsi="Arial"/>
                <w:sz w:val="15"/>
              </w:rPr>
              <w:t>571.6</w:t>
            </w:r>
          </w:p>
        </w:tc>
        <w:tc>
          <w:tcPr>
            <w:tcW w:type="dxa" w:w="864"/>
          </w:tcPr>
          <w:p>
            <w:pPr>
              <w:spacing w:after="20" w:before="20"/>
              <w:jc w:val="right"/>
            </w:pPr>
            <w:r>
              <w:rPr>
                <w:rFonts w:ascii="Arial" w:hAnsi="Arial"/>
                <w:sz w:val="15"/>
              </w:rPr>
              <w:t>624.5</w:t>
            </w:r>
          </w:p>
        </w:tc>
        <w:tc>
          <w:tcPr>
            <w:tcW w:type="dxa" w:w="864"/>
          </w:tcPr>
          <w:p>
            <w:pPr>
              <w:spacing w:after="20" w:before="20"/>
              <w:jc w:val="right"/>
            </w:pPr>
            <w:r>
              <w:rPr>
                <w:rFonts w:ascii="Arial" w:hAnsi="Arial"/>
                <w:sz w:val="15"/>
              </w:rPr>
              <w:t>679.2</w:t>
            </w:r>
          </w:p>
        </w:tc>
      </w:tr>
      <w:tr>
        <w:tc>
          <w:tcPr>
            <w:tcW w:type="dxa" w:w="2880"/>
          </w:tcPr>
          <w:p>
            <w:pPr>
              <w:spacing w:after="20" w:before="20"/>
            </w:pPr>
            <w:r>
              <w:rPr>
                <w:rFonts w:ascii="Arial" w:hAnsi="Arial"/>
                <w:sz w:val="15"/>
              </w:rPr>
              <w:t>Total borrowings</w:t>
            </w:r>
          </w:p>
        </w:tc>
        <w:tc>
          <w:tcPr>
            <w:tcW w:type="dxa" w:w="864"/>
          </w:tcPr>
          <w:p>
            <w:pPr>
              <w:spacing w:after="20" w:before="20"/>
              <w:jc w:val="right"/>
            </w:pPr>
            <w:r>
              <w:rPr>
                <w:rFonts w:ascii="Arial" w:hAnsi="Arial"/>
                <w:sz w:val="15"/>
              </w:rPr>
              <w:t>80.0</w:t>
            </w:r>
          </w:p>
        </w:tc>
        <w:tc>
          <w:tcPr>
            <w:tcW w:type="dxa" w:w="864"/>
          </w:tcPr>
          <w:p>
            <w:pPr>
              <w:spacing w:after="20" w:before="20"/>
              <w:jc w:val="right"/>
            </w:pPr>
            <w:r>
              <w:rPr>
                <w:rFonts w:ascii="Arial" w:hAnsi="Arial"/>
                <w:sz w:val="15"/>
              </w:rPr>
              <w:t>92.0</w:t>
            </w:r>
          </w:p>
        </w:tc>
        <w:tc>
          <w:tcPr>
            <w:tcW w:type="dxa" w:w="864"/>
          </w:tcPr>
          <w:p>
            <w:pPr>
              <w:spacing w:after="20" w:before="20"/>
              <w:jc w:val="right"/>
            </w:pPr>
            <w:r>
              <w:rPr>
                <w:rFonts w:ascii="Arial" w:hAnsi="Arial"/>
                <w:sz w:val="15"/>
              </w:rPr>
              <w:t>100.5</w:t>
            </w:r>
          </w:p>
        </w:tc>
        <w:tc>
          <w:tcPr>
            <w:tcW w:type="dxa" w:w="864"/>
          </w:tcPr>
          <w:p>
            <w:pPr>
              <w:spacing w:after="20" w:before="20"/>
              <w:jc w:val="right"/>
            </w:pPr>
            <w:r>
              <w:rPr>
                <w:rFonts w:ascii="Arial" w:hAnsi="Arial"/>
                <w:sz w:val="15"/>
              </w:rPr>
              <w:t>105.0</w:t>
            </w:r>
          </w:p>
        </w:tc>
        <w:tc>
          <w:tcPr>
            <w:tcW w:type="dxa" w:w="864"/>
          </w:tcPr>
          <w:p>
            <w:pPr>
              <w:spacing w:after="20" w:before="20"/>
              <w:jc w:val="right"/>
            </w:pPr>
            <w:r>
              <w:rPr>
                <w:rFonts w:ascii="Arial" w:hAnsi="Arial"/>
                <w:sz w:val="15"/>
              </w:rPr>
              <w:t>108.0</w:t>
            </w:r>
          </w:p>
        </w:tc>
        <w:tc>
          <w:tcPr>
            <w:tcW w:type="dxa" w:w="864"/>
          </w:tcPr>
          <w:p>
            <w:pPr>
              <w:spacing w:after="20" w:before="20"/>
              <w:jc w:val="right"/>
            </w:pPr>
            <w:r>
              <w:rPr>
                <w:rFonts w:ascii="Arial" w:hAnsi="Arial"/>
                <w:sz w:val="15"/>
              </w:rPr>
              <w:t>110.0</w:t>
            </w:r>
          </w:p>
        </w:tc>
        <w:tc>
          <w:tcPr>
            <w:tcW w:type="dxa" w:w="864"/>
          </w:tcPr>
          <w:p>
            <w:pPr>
              <w:spacing w:after="20" w:before="20"/>
              <w:jc w:val="right"/>
            </w:pPr>
            <w:r>
              <w:rPr>
                <w:rFonts w:ascii="Arial" w:hAnsi="Arial"/>
                <w:sz w:val="15"/>
              </w:rPr>
              <w:t>112.0</w:t>
            </w:r>
          </w:p>
        </w:tc>
        <w:tc>
          <w:tcPr>
            <w:tcW w:type="dxa" w:w="864"/>
          </w:tcPr>
          <w:p>
            <w:pPr>
              <w:spacing w:after="20" w:before="20"/>
              <w:jc w:val="right"/>
            </w:pPr>
            <w:r>
              <w:rPr>
                <w:rFonts w:ascii="Arial" w:hAnsi="Arial"/>
                <w:sz w:val="15"/>
              </w:rPr>
              <w:t>114.0</w:t>
            </w:r>
          </w:p>
        </w:tc>
      </w:tr>
      <w:tr>
        <w:tc>
          <w:tcPr>
            <w:tcW w:type="dxa" w:w="2880"/>
          </w:tcPr>
          <w:p>
            <w:pPr>
              <w:spacing w:after="20" w:before="20"/>
            </w:pPr>
            <w:r>
              <w:rPr>
                <w:rFonts w:ascii="Arial" w:hAnsi="Arial"/>
                <w:sz w:val="15"/>
              </w:rPr>
              <w:t>Other liabilities</w:t>
            </w:r>
          </w:p>
        </w:tc>
        <w:tc>
          <w:tcPr>
            <w:tcW w:type="dxa" w:w="864"/>
          </w:tcPr>
          <w:p>
            <w:pPr>
              <w:spacing w:after="20" w:before="20"/>
              <w:jc w:val="right"/>
            </w:pPr>
            <w:r>
              <w:rPr>
                <w:rFonts w:ascii="Arial" w:hAnsi="Arial"/>
                <w:sz w:val="15"/>
              </w:rPr>
              <w:t>50.0</w:t>
            </w:r>
          </w:p>
        </w:tc>
        <w:tc>
          <w:tcPr>
            <w:tcW w:type="dxa" w:w="864"/>
          </w:tcPr>
          <w:p>
            <w:pPr>
              <w:spacing w:after="20" w:before="20"/>
              <w:jc w:val="right"/>
            </w:pPr>
            <w:r>
              <w:rPr>
                <w:rFonts w:ascii="Arial" w:hAnsi="Arial"/>
                <w:sz w:val="15"/>
              </w:rPr>
              <w:t>65.5</w:t>
            </w:r>
          </w:p>
        </w:tc>
        <w:tc>
          <w:tcPr>
            <w:tcW w:type="dxa" w:w="864"/>
          </w:tcPr>
          <w:p>
            <w:pPr>
              <w:spacing w:after="20" w:before="20"/>
              <w:jc w:val="right"/>
            </w:pPr>
            <w:r>
              <w:rPr>
                <w:rFonts w:ascii="Arial" w:hAnsi="Arial"/>
                <w:sz w:val="15"/>
              </w:rPr>
              <w:t>77.4</w:t>
            </w:r>
          </w:p>
        </w:tc>
        <w:tc>
          <w:tcPr>
            <w:tcW w:type="dxa" w:w="864"/>
          </w:tcPr>
          <w:p>
            <w:pPr>
              <w:spacing w:after="20" w:before="20"/>
              <w:jc w:val="right"/>
            </w:pPr>
            <w:r>
              <w:rPr>
                <w:rFonts w:ascii="Arial" w:hAnsi="Arial"/>
                <w:sz w:val="15"/>
              </w:rPr>
              <w:t>77.4</w:t>
            </w:r>
          </w:p>
        </w:tc>
        <w:tc>
          <w:tcPr>
            <w:tcW w:type="dxa" w:w="864"/>
          </w:tcPr>
          <w:p>
            <w:pPr>
              <w:spacing w:after="20" w:before="20"/>
              <w:jc w:val="right"/>
            </w:pPr>
            <w:r>
              <w:rPr>
                <w:rFonts w:ascii="Arial" w:hAnsi="Arial"/>
                <w:sz w:val="15"/>
              </w:rPr>
              <w:t>85.1</w:t>
            </w:r>
          </w:p>
        </w:tc>
        <w:tc>
          <w:tcPr>
            <w:tcW w:type="dxa" w:w="864"/>
          </w:tcPr>
          <w:p>
            <w:pPr>
              <w:spacing w:after="20" w:before="20"/>
              <w:jc w:val="right"/>
            </w:pPr>
            <w:r>
              <w:rPr>
                <w:rFonts w:ascii="Arial" w:hAnsi="Arial"/>
                <w:sz w:val="15"/>
              </w:rPr>
              <w:t>92.8</w:t>
            </w:r>
          </w:p>
        </w:tc>
        <w:tc>
          <w:tcPr>
            <w:tcW w:type="dxa" w:w="864"/>
          </w:tcPr>
          <w:p>
            <w:pPr>
              <w:spacing w:after="20" w:before="20"/>
              <w:jc w:val="right"/>
            </w:pPr>
            <w:r>
              <w:rPr>
                <w:rFonts w:ascii="Arial" w:hAnsi="Arial"/>
                <w:sz w:val="15"/>
              </w:rPr>
              <w:t>100.2</w:t>
            </w:r>
          </w:p>
        </w:tc>
        <w:tc>
          <w:tcPr>
            <w:tcW w:type="dxa" w:w="864"/>
          </w:tcPr>
          <w:p>
            <w:pPr>
              <w:spacing w:after="20" w:before="20"/>
              <w:jc w:val="right"/>
            </w:pPr>
            <w:r>
              <w:rPr>
                <w:rFonts w:ascii="Arial" w:hAnsi="Arial"/>
                <w:sz w:val="15"/>
              </w:rPr>
              <w:t>107.2</w:t>
            </w:r>
          </w:p>
        </w:tc>
      </w:tr>
      <w:tr>
        <w:tc>
          <w:tcPr>
            <w:tcW w:type="dxa" w:w="2880"/>
          </w:tcPr>
          <w:p>
            <w:pPr>
              <w:spacing w:after="20" w:before="20"/>
            </w:pPr>
            <w:r>
              <w:rPr>
                <w:rFonts w:ascii="Arial" w:hAnsi="Arial"/>
                <w:sz w:val="15"/>
              </w:rPr>
              <w:t>Total liabilities</w:t>
            </w:r>
          </w:p>
        </w:tc>
        <w:tc>
          <w:tcPr>
            <w:tcW w:type="dxa" w:w="864"/>
          </w:tcPr>
          <w:p>
            <w:pPr>
              <w:spacing w:after="20" w:before="20"/>
              <w:jc w:val="right"/>
            </w:pPr>
            <w:r>
              <w:rPr>
                <w:rFonts w:ascii="Arial" w:hAnsi="Arial"/>
                <w:sz w:val="15"/>
              </w:rPr>
              <w:t>130.0</w:t>
            </w:r>
          </w:p>
        </w:tc>
        <w:tc>
          <w:tcPr>
            <w:tcW w:type="dxa" w:w="864"/>
          </w:tcPr>
          <w:p>
            <w:pPr>
              <w:spacing w:after="20" w:before="20"/>
              <w:jc w:val="right"/>
            </w:pPr>
            <w:r>
              <w:rPr>
                <w:rFonts w:ascii="Arial" w:hAnsi="Arial"/>
                <w:sz w:val="15"/>
              </w:rPr>
              <w:t>157.5</w:t>
            </w:r>
          </w:p>
        </w:tc>
        <w:tc>
          <w:tcPr>
            <w:tcW w:type="dxa" w:w="864"/>
          </w:tcPr>
          <w:p>
            <w:pPr>
              <w:spacing w:after="20" w:before="20"/>
              <w:jc w:val="right"/>
            </w:pPr>
            <w:r>
              <w:rPr>
                <w:rFonts w:ascii="Arial" w:hAnsi="Arial"/>
                <w:sz w:val="15"/>
              </w:rPr>
              <w:t>177.9</w:t>
            </w:r>
          </w:p>
        </w:tc>
        <w:tc>
          <w:tcPr>
            <w:tcW w:type="dxa" w:w="864"/>
          </w:tcPr>
          <w:p>
            <w:pPr>
              <w:spacing w:after="20" w:before="20"/>
              <w:jc w:val="right"/>
            </w:pPr>
            <w:r>
              <w:rPr>
                <w:rFonts w:ascii="Arial" w:hAnsi="Arial"/>
                <w:sz w:val="15"/>
              </w:rPr>
              <w:t>182.4</w:t>
            </w:r>
          </w:p>
        </w:tc>
        <w:tc>
          <w:tcPr>
            <w:tcW w:type="dxa" w:w="864"/>
          </w:tcPr>
          <w:p>
            <w:pPr>
              <w:spacing w:after="20" w:before="20"/>
              <w:jc w:val="right"/>
            </w:pPr>
            <w:r>
              <w:rPr>
                <w:rFonts w:ascii="Arial" w:hAnsi="Arial"/>
                <w:sz w:val="15"/>
              </w:rPr>
              <w:t>193.1</w:t>
            </w:r>
          </w:p>
        </w:tc>
        <w:tc>
          <w:tcPr>
            <w:tcW w:type="dxa" w:w="864"/>
          </w:tcPr>
          <w:p>
            <w:pPr>
              <w:spacing w:after="20" w:before="20"/>
              <w:jc w:val="right"/>
            </w:pPr>
            <w:r>
              <w:rPr>
                <w:rFonts w:ascii="Arial" w:hAnsi="Arial"/>
                <w:sz w:val="15"/>
              </w:rPr>
              <w:t>202.8</w:t>
            </w:r>
          </w:p>
        </w:tc>
        <w:tc>
          <w:tcPr>
            <w:tcW w:type="dxa" w:w="864"/>
          </w:tcPr>
          <w:p>
            <w:pPr>
              <w:spacing w:after="20" w:before="20"/>
              <w:jc w:val="right"/>
            </w:pPr>
            <w:r>
              <w:rPr>
                <w:rFonts w:ascii="Arial" w:hAnsi="Arial"/>
                <w:sz w:val="15"/>
              </w:rPr>
              <w:t>212.2</w:t>
            </w:r>
          </w:p>
        </w:tc>
        <w:tc>
          <w:tcPr>
            <w:tcW w:type="dxa" w:w="864"/>
          </w:tcPr>
          <w:p>
            <w:pPr>
              <w:spacing w:after="20" w:before="20"/>
              <w:jc w:val="right"/>
            </w:pPr>
            <w:r>
              <w:rPr>
                <w:rFonts w:ascii="Arial" w:hAnsi="Arial"/>
                <w:sz w:val="15"/>
              </w:rPr>
              <w:t>221.2</w:t>
            </w:r>
          </w:p>
        </w:tc>
      </w:tr>
      <w:tr>
        <w:tc>
          <w:tcPr>
            <w:tcW w:type="dxa" w:w="2880"/>
          </w:tcPr>
          <w:p>
            <w:pPr>
              <w:spacing w:after="20" w:before="20"/>
            </w:pPr>
            <w:r>
              <w:rPr>
                <w:rFonts w:ascii="Arial" w:hAnsi="Arial"/>
                <w:sz w:val="15"/>
              </w:rPr>
              <w:t>Attributable equity</w:t>
            </w:r>
          </w:p>
        </w:tc>
        <w:tc>
          <w:tcPr>
            <w:tcW w:type="dxa" w:w="864"/>
          </w:tcPr>
          <w:p>
            <w:pPr>
              <w:spacing w:after="20" w:before="20"/>
              <w:jc w:val="right"/>
            </w:pPr>
            <w:r>
              <w:rPr>
                <w:rFonts w:ascii="Arial" w:hAnsi="Arial"/>
                <w:sz w:val="15"/>
              </w:rPr>
              <w:t>120.0</w:t>
            </w:r>
          </w:p>
        </w:tc>
        <w:tc>
          <w:tcPr>
            <w:tcW w:type="dxa" w:w="864"/>
          </w:tcPr>
          <w:p>
            <w:pPr>
              <w:spacing w:after="20" w:before="20"/>
              <w:jc w:val="right"/>
            </w:pPr>
            <w:r>
              <w:rPr>
                <w:rFonts w:ascii="Arial" w:hAnsi="Arial"/>
                <w:sz w:val="15"/>
              </w:rPr>
              <w:t>140.0</w:t>
            </w:r>
          </w:p>
        </w:tc>
        <w:tc>
          <w:tcPr>
            <w:tcW w:type="dxa" w:w="864"/>
          </w:tcPr>
          <w:p>
            <w:pPr>
              <w:spacing w:after="20" w:before="20"/>
              <w:jc w:val="right"/>
            </w:pPr>
            <w:r>
              <w:rPr>
                <w:rFonts w:ascii="Arial" w:hAnsi="Arial"/>
                <w:sz w:val="15"/>
              </w:rPr>
              <w:t>151.5</w:t>
            </w:r>
          </w:p>
        </w:tc>
        <w:tc>
          <w:tcPr>
            <w:tcW w:type="dxa" w:w="864"/>
          </w:tcPr>
          <w:p>
            <w:pPr>
              <w:spacing w:after="20" w:before="20"/>
              <w:jc w:val="right"/>
            </w:pPr>
            <w:r>
              <w:rPr>
                <w:rFonts w:ascii="Arial" w:hAnsi="Arial"/>
                <w:sz w:val="15"/>
              </w:rPr>
              <w:t>167.0</w:t>
            </w:r>
          </w:p>
        </w:tc>
        <w:tc>
          <w:tcPr>
            <w:tcW w:type="dxa" w:w="864"/>
          </w:tcPr>
          <w:p>
            <w:pPr>
              <w:spacing w:after="20" w:before="20"/>
              <w:jc w:val="right"/>
            </w:pPr>
            <w:r>
              <w:rPr>
                <w:rFonts w:ascii="Arial" w:hAnsi="Arial"/>
                <w:sz w:val="15"/>
              </w:rPr>
              <w:t>183.7</w:t>
            </w:r>
          </w:p>
        </w:tc>
        <w:tc>
          <w:tcPr>
            <w:tcW w:type="dxa" w:w="864"/>
          </w:tcPr>
          <w:p>
            <w:pPr>
              <w:spacing w:after="20" w:before="20"/>
              <w:jc w:val="right"/>
            </w:pPr>
            <w:r>
              <w:rPr>
                <w:rFonts w:ascii="Arial" w:hAnsi="Arial"/>
                <w:sz w:val="15"/>
              </w:rPr>
              <w:t>201.6</w:t>
            </w:r>
          </w:p>
        </w:tc>
        <w:tc>
          <w:tcPr>
            <w:tcW w:type="dxa" w:w="864"/>
          </w:tcPr>
          <w:p>
            <w:pPr>
              <w:spacing w:after="20" w:before="20"/>
              <w:jc w:val="right"/>
            </w:pPr>
            <w:r>
              <w:rPr>
                <w:rFonts w:ascii="Arial" w:hAnsi="Arial"/>
                <w:sz w:val="15"/>
              </w:rPr>
              <w:t>220.5</w:t>
            </w:r>
          </w:p>
        </w:tc>
        <w:tc>
          <w:tcPr>
            <w:tcW w:type="dxa" w:w="864"/>
          </w:tcPr>
          <w:p>
            <w:pPr>
              <w:spacing w:after="20" w:before="20"/>
              <w:jc w:val="right"/>
            </w:pPr>
            <w:r>
              <w:rPr>
                <w:rFonts w:ascii="Arial" w:hAnsi="Arial"/>
                <w:sz w:val="15"/>
              </w:rPr>
              <w:t>240.6</w:t>
            </w:r>
          </w:p>
        </w:tc>
      </w:tr>
      <w:tr>
        <w:tc>
          <w:tcPr>
            <w:tcW w:type="dxa" w:w="2880"/>
          </w:tcPr>
          <w:p>
            <w:pPr>
              <w:spacing w:after="20" w:before="20"/>
            </w:pPr>
            <w:r>
              <w:rPr>
                <w:rFonts w:ascii="Arial" w:hAnsi="Arial"/>
                <w:sz w:val="15"/>
              </w:rPr>
              <w:t>Minority interest</w:t>
            </w:r>
          </w:p>
        </w:tc>
        <w:tc>
          <w:tcPr>
            <w:tcW w:type="dxa" w:w="864"/>
          </w:tcPr>
          <w:p>
            <w:pPr>
              <w:spacing w:after="20" w:before="20"/>
              <w:jc w:val="right"/>
            </w:pPr>
            <w:r>
              <w:rPr>
                <w:rFonts w:ascii="Arial" w:hAnsi="Arial"/>
                <w:sz w:val="15"/>
              </w:rPr>
              <w:t>80.0</w:t>
            </w:r>
          </w:p>
        </w:tc>
        <w:tc>
          <w:tcPr>
            <w:tcW w:type="dxa" w:w="864"/>
          </w:tcPr>
          <w:p>
            <w:pPr>
              <w:spacing w:after="20" w:before="20"/>
              <w:jc w:val="right"/>
            </w:pPr>
            <w:r>
              <w:rPr>
                <w:rFonts w:ascii="Arial" w:hAnsi="Arial"/>
                <w:sz w:val="15"/>
              </w:rPr>
              <w:t>104.3</w:t>
            </w:r>
          </w:p>
        </w:tc>
        <w:tc>
          <w:tcPr>
            <w:tcW w:type="dxa" w:w="864"/>
          </w:tcPr>
          <w:p>
            <w:pPr>
              <w:spacing w:after="20" w:before="20"/>
              <w:jc w:val="right"/>
            </w:pPr>
            <w:r>
              <w:rPr>
                <w:rFonts w:ascii="Arial" w:hAnsi="Arial"/>
                <w:sz w:val="15"/>
              </w:rPr>
              <w:t>99.2</w:t>
            </w:r>
          </w:p>
        </w:tc>
        <w:tc>
          <w:tcPr>
            <w:tcW w:type="dxa" w:w="864"/>
          </w:tcPr>
          <w:p>
            <w:pPr>
              <w:spacing w:after="20" w:before="20"/>
              <w:jc w:val="right"/>
            </w:pPr>
            <w:r>
              <w:rPr>
                <w:rFonts w:ascii="Arial" w:hAnsi="Arial"/>
                <w:sz w:val="15"/>
              </w:rPr>
              <w:t>108.7</w:t>
            </w:r>
          </w:p>
        </w:tc>
        <w:tc>
          <w:tcPr>
            <w:tcW w:type="dxa" w:w="864"/>
          </w:tcPr>
          <w:p>
            <w:pPr>
              <w:spacing w:after="20" w:before="20"/>
              <w:jc w:val="right"/>
            </w:pPr>
            <w:r>
              <w:rPr>
                <w:rFonts w:ascii="Arial" w:hAnsi="Arial"/>
                <w:sz w:val="15"/>
              </w:rPr>
              <w:t>118.9</w:t>
            </w:r>
          </w:p>
        </w:tc>
        <w:tc>
          <w:tcPr>
            <w:tcW w:type="dxa" w:w="864"/>
          </w:tcPr>
          <w:p>
            <w:pPr>
              <w:spacing w:after="20" w:before="20"/>
              <w:jc w:val="right"/>
            </w:pPr>
            <w:r>
              <w:rPr>
                <w:rFonts w:ascii="Arial" w:hAnsi="Arial"/>
                <w:sz w:val="15"/>
              </w:rPr>
              <w:t>129.9</w:t>
            </w:r>
          </w:p>
        </w:tc>
        <w:tc>
          <w:tcPr>
            <w:tcW w:type="dxa" w:w="864"/>
          </w:tcPr>
          <w:p>
            <w:pPr>
              <w:spacing w:after="20" w:before="20"/>
              <w:jc w:val="right"/>
            </w:pPr>
            <w:r>
              <w:rPr>
                <w:rFonts w:ascii="Arial" w:hAnsi="Arial"/>
                <w:sz w:val="15"/>
              </w:rPr>
              <w:t>141.5</w:t>
            </w:r>
          </w:p>
        </w:tc>
        <w:tc>
          <w:tcPr>
            <w:tcW w:type="dxa" w:w="864"/>
          </w:tcPr>
          <w:p>
            <w:pPr>
              <w:spacing w:after="20" w:before="20"/>
              <w:jc w:val="right"/>
            </w:pPr>
            <w:r>
              <w:rPr>
                <w:rFonts w:ascii="Arial" w:hAnsi="Arial"/>
                <w:sz w:val="15"/>
              </w:rPr>
              <w:t>153.7</w:t>
            </w:r>
          </w:p>
        </w:tc>
      </w:tr>
      <w:tr>
        <w:tc>
          <w:tcPr>
            <w:tcW w:type="dxa" w:w="2880"/>
          </w:tcPr>
          <w:p>
            <w:pPr>
              <w:spacing w:after="20" w:before="20"/>
            </w:pPr>
            <w:r>
              <w:rPr>
                <w:rFonts w:ascii="Arial" w:hAnsi="Arial"/>
                <w:sz w:val="15"/>
              </w:rPr>
              <w:t>Total equity</w:t>
            </w:r>
          </w:p>
        </w:tc>
        <w:tc>
          <w:tcPr>
            <w:tcW w:type="dxa" w:w="864"/>
          </w:tcPr>
          <w:p>
            <w:pPr>
              <w:spacing w:after="20" w:before="20"/>
              <w:jc w:val="right"/>
            </w:pPr>
            <w:r>
              <w:rPr>
                <w:rFonts w:ascii="Arial" w:hAnsi="Arial"/>
                <w:sz w:val="15"/>
              </w:rPr>
              <w:t>200.0</w:t>
            </w:r>
          </w:p>
        </w:tc>
        <w:tc>
          <w:tcPr>
            <w:tcW w:type="dxa" w:w="864"/>
          </w:tcPr>
          <w:p>
            <w:pPr>
              <w:spacing w:after="20" w:before="20"/>
              <w:jc w:val="right"/>
            </w:pPr>
            <w:r>
              <w:rPr>
                <w:rFonts w:ascii="Arial" w:hAnsi="Arial"/>
                <w:sz w:val="15"/>
              </w:rPr>
              <w:t>244.3</w:t>
            </w:r>
          </w:p>
        </w:tc>
        <w:tc>
          <w:tcPr>
            <w:tcW w:type="dxa" w:w="864"/>
          </w:tcPr>
          <w:p>
            <w:pPr>
              <w:spacing w:after="20" w:before="20"/>
              <w:jc w:val="right"/>
            </w:pPr>
            <w:r>
              <w:rPr>
                <w:rFonts w:ascii="Arial" w:hAnsi="Arial"/>
                <w:sz w:val="15"/>
              </w:rPr>
              <w:t>250.7</w:t>
            </w:r>
          </w:p>
        </w:tc>
        <w:tc>
          <w:tcPr>
            <w:tcW w:type="dxa" w:w="864"/>
          </w:tcPr>
          <w:p>
            <w:pPr>
              <w:spacing w:after="20" w:before="20"/>
              <w:jc w:val="right"/>
            </w:pPr>
            <w:r>
              <w:rPr>
                <w:rFonts w:ascii="Arial" w:hAnsi="Arial"/>
                <w:sz w:val="15"/>
              </w:rPr>
              <w:t>275.7</w:t>
            </w:r>
          </w:p>
        </w:tc>
        <w:tc>
          <w:tcPr>
            <w:tcW w:type="dxa" w:w="864"/>
          </w:tcPr>
          <w:p>
            <w:pPr>
              <w:spacing w:after="20" w:before="20"/>
              <w:jc w:val="right"/>
            </w:pPr>
            <w:r>
              <w:rPr>
                <w:rFonts w:ascii="Arial" w:hAnsi="Arial"/>
                <w:sz w:val="15"/>
              </w:rPr>
              <w:t>302.6</w:t>
            </w:r>
          </w:p>
        </w:tc>
        <w:tc>
          <w:tcPr>
            <w:tcW w:type="dxa" w:w="864"/>
          </w:tcPr>
          <w:p>
            <w:pPr>
              <w:spacing w:after="20" w:before="20"/>
              <w:jc w:val="right"/>
            </w:pPr>
            <w:r>
              <w:rPr>
                <w:rFonts w:ascii="Arial" w:hAnsi="Arial"/>
                <w:sz w:val="15"/>
              </w:rPr>
              <w:t>331.5</w:t>
            </w:r>
          </w:p>
        </w:tc>
        <w:tc>
          <w:tcPr>
            <w:tcW w:type="dxa" w:w="864"/>
          </w:tcPr>
          <w:p>
            <w:pPr>
              <w:spacing w:after="20" w:before="20"/>
              <w:jc w:val="right"/>
            </w:pPr>
            <w:r>
              <w:rPr>
                <w:rFonts w:ascii="Arial" w:hAnsi="Arial"/>
                <w:sz w:val="15"/>
              </w:rPr>
              <w:t>362.0</w:t>
            </w:r>
          </w:p>
        </w:tc>
        <w:tc>
          <w:tcPr>
            <w:tcW w:type="dxa" w:w="864"/>
          </w:tcPr>
          <w:p>
            <w:pPr>
              <w:spacing w:after="20" w:before="20"/>
              <w:jc w:val="right"/>
            </w:pPr>
            <w:r>
              <w:rPr>
                <w:rFonts w:ascii="Arial" w:hAnsi="Arial"/>
                <w:sz w:val="15"/>
              </w:rPr>
              <w:t>394.3</w:t>
            </w:r>
          </w:p>
        </w:tc>
      </w:tr>
    </w:tbl>
    <w:p>
      <w:pPr>
        <w:spacing w:after="80" w:before="0"/>
      </w:pPr>
      <w:r>
        <w:rPr>
          <w:rFonts w:ascii="Arial" w:hAnsi="Arial"/>
          <w:b w:val="0"/>
          <w:i/>
          <w:color w:val="555555"/>
          <w:sz w:val="16"/>
        </w:rPr>
        <w:t>Note: FY2023 and the split of assets (investments as a plug) and liabilities are estimated to balance to disclosed totals; the accounting identity (assets = equity + liabilities) holds in every column in the model.</w:t>
      </w:r>
    </w:p>
    <w:p>
      <w:pPr>
        <w:spacing w:before="160" w:after="80"/>
      </w:pPr>
      <w:r>
        <w:rPr>
          <w:rFonts w:ascii="Arial" w:hAnsi="Arial"/>
          <w:b/>
          <w:color w:val="1C3A36"/>
          <w:sz w:val="23"/>
        </w:rPr>
        <w:t>A.3  Cash flow (AED bn)</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67"/>
        <w:gridCol w:w="1067"/>
        <w:gridCol w:w="1067"/>
        <w:gridCol w:w="1067"/>
        <w:gridCol w:w="1067"/>
        <w:gridCol w:w="1067"/>
        <w:gridCol w:w="1067"/>
        <w:gridCol w:w="1067"/>
        <w:gridCol w:w="1067"/>
      </w:tblGrid>
      <w:tr>
        <w:tc>
          <w:tcPr>
            <w:tcW w:type="dxa" w:w="2880"/>
            <w:shd w:val="clear" w:fill="1C3A36"/>
          </w:tcPr>
          <w:p>
            <w:pPr>
              <w:spacing w:after="20" w:before="20"/>
            </w:pPr>
            <w:r>
              <w:rPr>
                <w:rFonts w:ascii="Arial" w:hAnsi="Arial"/>
                <w:b/>
                <w:color w:val="FFFFFF"/>
                <w:sz w:val="15"/>
              </w:rPr>
              <w:t>AED bn</w:t>
            </w:r>
          </w:p>
        </w:tc>
        <w:tc>
          <w:tcPr>
            <w:tcW w:type="dxa" w:w="864"/>
            <w:shd w:val="clear" w:fill="1C3A36"/>
          </w:tcPr>
          <w:p>
            <w:pPr>
              <w:spacing w:after="20" w:before="20"/>
            </w:pPr>
            <w:r>
              <w:rPr>
                <w:rFonts w:ascii="Arial" w:hAnsi="Arial"/>
                <w:b/>
                <w:color w:val="FFFFFF"/>
                <w:sz w:val="15"/>
              </w:rPr>
              <w:t>FY23e</w:t>
            </w:r>
          </w:p>
        </w:tc>
        <w:tc>
          <w:tcPr>
            <w:tcW w:type="dxa" w:w="864"/>
            <w:shd w:val="clear" w:fill="1C3A36"/>
          </w:tcPr>
          <w:p>
            <w:pPr>
              <w:spacing w:after="20" w:before="20"/>
            </w:pPr>
            <w:r>
              <w:rPr>
                <w:rFonts w:ascii="Arial" w:hAnsi="Arial"/>
                <w:b/>
                <w:color w:val="FFFFFF"/>
                <w:sz w:val="15"/>
              </w:rPr>
              <w:t>FY24A</w:t>
            </w:r>
          </w:p>
        </w:tc>
        <w:tc>
          <w:tcPr>
            <w:tcW w:type="dxa" w:w="864"/>
            <w:shd w:val="clear" w:fill="1C3A36"/>
          </w:tcPr>
          <w:p>
            <w:pPr>
              <w:spacing w:after="20" w:before="20"/>
            </w:pPr>
            <w:r>
              <w:rPr>
                <w:rFonts w:ascii="Arial" w:hAnsi="Arial"/>
                <w:b/>
                <w:color w:val="FFFFFF"/>
                <w:sz w:val="15"/>
              </w:rPr>
              <w:t>FY25A</w:t>
            </w:r>
          </w:p>
        </w:tc>
        <w:tc>
          <w:tcPr>
            <w:tcW w:type="dxa" w:w="864"/>
            <w:shd w:val="clear" w:fill="1C3A36"/>
          </w:tcPr>
          <w:p>
            <w:pPr>
              <w:spacing w:after="20" w:before="20"/>
            </w:pPr>
            <w:r>
              <w:rPr>
                <w:rFonts w:ascii="Arial" w:hAnsi="Arial"/>
                <w:b/>
                <w:color w:val="FFFFFF"/>
                <w:sz w:val="15"/>
              </w:rPr>
              <w:t>FY26E</w:t>
            </w:r>
          </w:p>
        </w:tc>
        <w:tc>
          <w:tcPr>
            <w:tcW w:type="dxa" w:w="864"/>
            <w:shd w:val="clear" w:fill="1C3A36"/>
          </w:tcPr>
          <w:p>
            <w:pPr>
              <w:spacing w:after="20" w:before="20"/>
            </w:pPr>
            <w:r>
              <w:rPr>
                <w:rFonts w:ascii="Arial" w:hAnsi="Arial"/>
                <w:b/>
                <w:color w:val="FFFFFF"/>
                <w:sz w:val="15"/>
              </w:rPr>
              <w:t>FY27E</w:t>
            </w:r>
          </w:p>
        </w:tc>
        <w:tc>
          <w:tcPr>
            <w:tcW w:type="dxa" w:w="864"/>
            <w:shd w:val="clear" w:fill="1C3A36"/>
          </w:tcPr>
          <w:p>
            <w:pPr>
              <w:spacing w:after="20" w:before="20"/>
            </w:pPr>
            <w:r>
              <w:rPr>
                <w:rFonts w:ascii="Arial" w:hAnsi="Arial"/>
                <w:b/>
                <w:color w:val="FFFFFF"/>
                <w:sz w:val="15"/>
              </w:rPr>
              <w:t>FY28E</w:t>
            </w:r>
          </w:p>
        </w:tc>
        <w:tc>
          <w:tcPr>
            <w:tcW w:type="dxa" w:w="864"/>
            <w:shd w:val="clear" w:fill="1C3A36"/>
          </w:tcPr>
          <w:p>
            <w:pPr>
              <w:spacing w:after="20" w:before="20"/>
            </w:pPr>
            <w:r>
              <w:rPr>
                <w:rFonts w:ascii="Arial" w:hAnsi="Arial"/>
                <w:b/>
                <w:color w:val="FFFFFF"/>
                <w:sz w:val="15"/>
              </w:rPr>
              <w:t>FY29E</w:t>
            </w:r>
          </w:p>
        </w:tc>
        <w:tc>
          <w:tcPr>
            <w:tcW w:type="dxa" w:w="864"/>
            <w:shd w:val="clear" w:fill="1C3A36"/>
          </w:tcPr>
          <w:p>
            <w:pPr>
              <w:spacing w:after="20" w:before="20"/>
            </w:pPr>
            <w:r>
              <w:rPr>
                <w:rFonts w:ascii="Arial" w:hAnsi="Arial"/>
                <w:b/>
                <w:color w:val="FFFFFF"/>
                <w:sz w:val="15"/>
              </w:rPr>
              <w:t>FY30E</w:t>
            </w:r>
          </w:p>
        </w:tc>
      </w:tr>
      <w:tr>
        <w:tc>
          <w:tcPr>
            <w:tcW w:type="dxa" w:w="2880"/>
          </w:tcPr>
          <w:p>
            <w:pPr>
              <w:spacing w:after="20" w:before="20"/>
            </w:pPr>
            <w:r>
              <w:rPr>
                <w:rFonts w:ascii="Arial" w:hAnsi="Arial"/>
                <w:sz w:val="15"/>
              </w:rPr>
              <w:t>EBITDA</w:t>
            </w:r>
          </w:p>
        </w:tc>
        <w:tc>
          <w:tcPr>
            <w:tcW w:type="dxa" w:w="864"/>
          </w:tcPr>
          <w:p>
            <w:pPr>
              <w:spacing w:after="20" w:before="20"/>
              <w:jc w:val="right"/>
            </w:pPr>
            <w:r>
              <w:rPr>
                <w:rFonts w:ascii="Arial" w:hAnsi="Arial"/>
                <w:sz w:val="15"/>
              </w:rPr>
              <w:t>12.4</w:t>
            </w:r>
          </w:p>
        </w:tc>
        <w:tc>
          <w:tcPr>
            <w:tcW w:type="dxa" w:w="864"/>
          </w:tcPr>
          <w:p>
            <w:pPr>
              <w:spacing w:after="20" w:before="20"/>
              <w:jc w:val="right"/>
            </w:pPr>
            <w:r>
              <w:rPr>
                <w:rFonts w:ascii="Arial" w:hAnsi="Arial"/>
                <w:sz w:val="15"/>
              </w:rPr>
              <w:t>17.3</w:t>
            </w:r>
          </w:p>
        </w:tc>
        <w:tc>
          <w:tcPr>
            <w:tcW w:type="dxa" w:w="864"/>
          </w:tcPr>
          <w:p>
            <w:pPr>
              <w:spacing w:after="20" w:before="20"/>
              <w:jc w:val="right"/>
            </w:pPr>
            <w:r>
              <w:rPr>
                <w:rFonts w:ascii="Arial" w:hAnsi="Arial"/>
                <w:sz w:val="15"/>
              </w:rPr>
              <w:t>22.7</w:t>
            </w:r>
          </w:p>
        </w:tc>
        <w:tc>
          <w:tcPr>
            <w:tcW w:type="dxa" w:w="864"/>
          </w:tcPr>
          <w:p>
            <w:pPr>
              <w:spacing w:after="20" w:before="20"/>
              <w:jc w:val="right"/>
            </w:pPr>
            <w:r>
              <w:rPr>
                <w:rFonts w:ascii="Arial" w:hAnsi="Arial"/>
                <w:sz w:val="15"/>
              </w:rPr>
              <w:t>25.0</w:t>
            </w:r>
          </w:p>
        </w:tc>
        <w:tc>
          <w:tcPr>
            <w:tcW w:type="dxa" w:w="864"/>
          </w:tcPr>
          <w:p>
            <w:pPr>
              <w:spacing w:after="20" w:before="20"/>
              <w:jc w:val="right"/>
            </w:pPr>
            <w:r>
              <w:rPr>
                <w:rFonts w:ascii="Arial" w:hAnsi="Arial"/>
                <w:sz w:val="15"/>
              </w:rPr>
              <w:t>27.4</w:t>
            </w:r>
          </w:p>
        </w:tc>
        <w:tc>
          <w:tcPr>
            <w:tcW w:type="dxa" w:w="864"/>
          </w:tcPr>
          <w:p>
            <w:pPr>
              <w:spacing w:after="20" w:before="20"/>
              <w:jc w:val="right"/>
            </w:pPr>
            <w:r>
              <w:rPr>
                <w:rFonts w:ascii="Arial" w:hAnsi="Arial"/>
                <w:sz w:val="15"/>
              </w:rPr>
              <w:t>29.9</w:t>
            </w:r>
          </w:p>
        </w:tc>
        <w:tc>
          <w:tcPr>
            <w:tcW w:type="dxa" w:w="864"/>
          </w:tcPr>
          <w:p>
            <w:pPr>
              <w:spacing w:after="20" w:before="20"/>
              <w:jc w:val="right"/>
            </w:pPr>
            <w:r>
              <w:rPr>
                <w:rFonts w:ascii="Arial" w:hAnsi="Arial"/>
                <w:sz w:val="15"/>
              </w:rPr>
              <w:t>32.3</w:t>
            </w:r>
          </w:p>
        </w:tc>
        <w:tc>
          <w:tcPr>
            <w:tcW w:type="dxa" w:w="864"/>
          </w:tcPr>
          <w:p>
            <w:pPr>
              <w:spacing w:after="20" w:before="20"/>
              <w:jc w:val="right"/>
            </w:pPr>
            <w:r>
              <w:rPr>
                <w:rFonts w:ascii="Arial" w:hAnsi="Arial"/>
                <w:sz w:val="15"/>
              </w:rPr>
              <w:t>34.6</w:t>
            </w:r>
          </w:p>
        </w:tc>
      </w:tr>
      <w:tr>
        <w:tc>
          <w:tcPr>
            <w:tcW w:type="dxa" w:w="2880"/>
          </w:tcPr>
          <w:p>
            <w:pPr>
              <w:spacing w:after="20" w:before="20"/>
            </w:pPr>
            <w:r>
              <w:rPr>
                <w:rFonts w:ascii="Arial" w:hAnsi="Arial"/>
                <w:sz w:val="15"/>
              </w:rPr>
              <w:t>Tax paid</w:t>
            </w:r>
          </w:p>
        </w:tc>
        <w:tc>
          <w:tcPr>
            <w:tcW w:type="dxa" w:w="864"/>
          </w:tcPr>
          <w:p>
            <w:pPr>
              <w:spacing w:after="20" w:before="20"/>
              <w:jc w:val="right"/>
            </w:pPr>
            <w:r>
              <w:rPr>
                <w:rFonts w:ascii="Arial" w:hAnsi="Arial"/>
                <w:sz w:val="15"/>
              </w:rPr>
              <w:t>(1.0)</w:t>
            </w:r>
          </w:p>
        </w:tc>
        <w:tc>
          <w:tcPr>
            <w:tcW w:type="dxa" w:w="864"/>
          </w:tcPr>
          <w:p>
            <w:pPr>
              <w:spacing w:after="20" w:before="20"/>
              <w:jc w:val="right"/>
            </w:pPr>
            <w:r>
              <w:rPr>
                <w:rFonts w:ascii="Arial" w:hAnsi="Arial"/>
                <w:sz w:val="15"/>
              </w:rPr>
              <w:t>(1.6)</w:t>
            </w:r>
          </w:p>
        </w:tc>
        <w:tc>
          <w:tcPr>
            <w:tcW w:type="dxa" w:w="864"/>
          </w:tcPr>
          <w:p>
            <w:pPr>
              <w:spacing w:after="20" w:before="20"/>
              <w:jc w:val="right"/>
            </w:pPr>
            <w:r>
              <w:rPr>
                <w:rFonts w:ascii="Arial" w:hAnsi="Arial"/>
                <w:sz w:val="15"/>
              </w:rPr>
              <w:t>(2.1)</w:t>
            </w:r>
          </w:p>
        </w:tc>
        <w:tc>
          <w:tcPr>
            <w:tcW w:type="dxa" w:w="864"/>
          </w:tcPr>
          <w:p>
            <w:pPr>
              <w:spacing w:after="20" w:before="20"/>
              <w:jc w:val="right"/>
            </w:pPr>
            <w:r>
              <w:rPr>
                <w:rFonts w:ascii="Arial" w:hAnsi="Arial"/>
                <w:sz w:val="15"/>
              </w:rPr>
              <w:t>(2.5)</w:t>
            </w:r>
          </w:p>
        </w:tc>
        <w:tc>
          <w:tcPr>
            <w:tcW w:type="dxa" w:w="864"/>
          </w:tcPr>
          <w:p>
            <w:pPr>
              <w:spacing w:after="20" w:before="20"/>
              <w:jc w:val="right"/>
            </w:pPr>
            <w:r>
              <w:rPr>
                <w:rFonts w:ascii="Arial" w:hAnsi="Arial"/>
                <w:sz w:val="15"/>
              </w:rPr>
              <w:t>(2.7)</w:t>
            </w:r>
          </w:p>
        </w:tc>
        <w:tc>
          <w:tcPr>
            <w:tcW w:type="dxa" w:w="864"/>
          </w:tcPr>
          <w:p>
            <w:pPr>
              <w:spacing w:after="20" w:before="20"/>
              <w:jc w:val="right"/>
            </w:pPr>
            <w:r>
              <w:rPr>
                <w:rFonts w:ascii="Arial" w:hAnsi="Arial"/>
                <w:sz w:val="15"/>
              </w:rPr>
              <w:t>(2.8)</w:t>
            </w:r>
          </w:p>
        </w:tc>
        <w:tc>
          <w:tcPr>
            <w:tcW w:type="dxa" w:w="864"/>
          </w:tcPr>
          <w:p>
            <w:pPr>
              <w:spacing w:after="20" w:before="20"/>
              <w:jc w:val="right"/>
            </w:pPr>
            <w:r>
              <w:rPr>
                <w:rFonts w:ascii="Arial" w:hAnsi="Arial"/>
                <w:sz w:val="15"/>
              </w:rPr>
              <w:t>(3.0)</w:t>
            </w:r>
          </w:p>
        </w:tc>
        <w:tc>
          <w:tcPr>
            <w:tcW w:type="dxa" w:w="864"/>
          </w:tcPr>
          <w:p>
            <w:pPr>
              <w:spacing w:after="20" w:before="20"/>
              <w:jc w:val="right"/>
            </w:pPr>
            <w:r>
              <w:rPr>
                <w:rFonts w:ascii="Arial" w:hAnsi="Arial"/>
                <w:sz w:val="15"/>
              </w:rPr>
              <w:t>(3.2)</w:t>
            </w:r>
          </w:p>
        </w:tc>
      </w:tr>
      <w:tr>
        <w:tc>
          <w:tcPr>
            <w:tcW w:type="dxa" w:w="2880"/>
          </w:tcPr>
          <w:p>
            <w:pPr>
              <w:spacing w:after="20" w:before="20"/>
            </w:pPr>
            <w:r>
              <w:rPr>
                <w:rFonts w:ascii="Arial" w:hAnsi="Arial"/>
                <w:sz w:val="15"/>
              </w:rPr>
              <w:t>ΔWorking capital</w:t>
            </w:r>
          </w:p>
        </w:tc>
        <w:tc>
          <w:tcPr>
            <w:tcW w:type="dxa" w:w="864"/>
          </w:tcPr>
          <w:p>
            <w:pPr>
              <w:spacing w:after="20" w:before="20"/>
              <w:jc w:val="right"/>
            </w:pPr>
            <w:r>
              <w:rPr>
                <w:rFonts w:ascii="Arial" w:hAnsi="Arial"/>
                <w:sz w:val="15"/>
              </w:rPr>
              <w:t>(1.0)</w:t>
            </w:r>
          </w:p>
        </w:tc>
        <w:tc>
          <w:tcPr>
            <w:tcW w:type="dxa" w:w="864"/>
          </w:tcPr>
          <w:p>
            <w:pPr>
              <w:spacing w:after="20" w:before="20"/>
              <w:jc w:val="right"/>
            </w:pPr>
            <w:r>
              <w:rPr>
                <w:rFonts w:ascii="Arial" w:hAnsi="Arial"/>
                <w:sz w:val="15"/>
              </w:rPr>
              <w:t>(1.2)</w:t>
            </w:r>
          </w:p>
        </w:tc>
        <w:tc>
          <w:tcPr>
            <w:tcW w:type="dxa" w:w="864"/>
          </w:tcPr>
          <w:p>
            <w:pPr>
              <w:spacing w:after="20" w:before="20"/>
              <w:jc w:val="right"/>
            </w:pPr>
            <w:r>
              <w:rPr>
                <w:rFonts w:ascii="Arial" w:hAnsi="Arial"/>
                <w:sz w:val="15"/>
              </w:rPr>
              <w:t>(1.4)</w:t>
            </w:r>
          </w:p>
        </w:tc>
        <w:tc>
          <w:tcPr>
            <w:tcW w:type="dxa" w:w="864"/>
          </w:tcPr>
          <w:p>
            <w:pPr>
              <w:spacing w:after="20" w:before="20"/>
              <w:jc w:val="right"/>
            </w:pPr>
            <w:r>
              <w:rPr>
                <w:rFonts w:ascii="Arial" w:hAnsi="Arial"/>
                <w:sz w:val="15"/>
              </w:rPr>
              <w:t>(0.3)</w:t>
            </w:r>
          </w:p>
        </w:tc>
        <w:tc>
          <w:tcPr>
            <w:tcW w:type="dxa" w:w="864"/>
          </w:tcPr>
          <w:p>
            <w:pPr>
              <w:spacing w:after="20" w:before="20"/>
              <w:jc w:val="right"/>
            </w:pPr>
            <w:r>
              <w:rPr>
                <w:rFonts w:ascii="Arial" w:hAnsi="Arial"/>
                <w:sz w:val="15"/>
              </w:rPr>
              <w:t>(0.2)</w:t>
            </w:r>
          </w:p>
        </w:tc>
        <w:tc>
          <w:tcPr>
            <w:tcW w:type="dxa" w:w="864"/>
          </w:tcPr>
          <w:p>
            <w:pPr>
              <w:spacing w:after="20" w:before="20"/>
              <w:jc w:val="right"/>
            </w:pPr>
            <w:r>
              <w:rPr>
                <w:rFonts w:ascii="Arial" w:hAnsi="Arial"/>
                <w:sz w:val="15"/>
              </w:rPr>
              <w:t>(0.2)</w:t>
            </w:r>
          </w:p>
        </w:tc>
        <w:tc>
          <w:tcPr>
            <w:tcW w:type="dxa" w:w="864"/>
          </w:tcPr>
          <w:p>
            <w:pPr>
              <w:spacing w:after="20" w:before="20"/>
              <w:jc w:val="right"/>
            </w:pPr>
            <w:r>
              <w:rPr>
                <w:rFonts w:ascii="Arial" w:hAnsi="Arial"/>
                <w:sz w:val="15"/>
              </w:rPr>
              <w:t>(0.2)</w:t>
            </w:r>
          </w:p>
        </w:tc>
        <w:tc>
          <w:tcPr>
            <w:tcW w:type="dxa" w:w="864"/>
          </w:tcPr>
          <w:p>
            <w:pPr>
              <w:spacing w:after="20" w:before="20"/>
              <w:jc w:val="right"/>
            </w:pPr>
            <w:r>
              <w:rPr>
                <w:rFonts w:ascii="Arial" w:hAnsi="Arial"/>
                <w:sz w:val="15"/>
              </w:rPr>
              <w:t>(0.2)</w:t>
            </w:r>
          </w:p>
        </w:tc>
      </w:tr>
      <w:tr>
        <w:tc>
          <w:tcPr>
            <w:tcW w:type="dxa" w:w="2880"/>
          </w:tcPr>
          <w:p>
            <w:pPr>
              <w:spacing w:after="20" w:before="20"/>
            </w:pPr>
            <w:r>
              <w:rPr>
                <w:rFonts w:ascii="Arial" w:hAnsi="Arial"/>
                <w:sz w:val="15"/>
              </w:rPr>
              <w:t>Cash flow from operations</w:t>
            </w:r>
          </w:p>
        </w:tc>
        <w:tc>
          <w:tcPr>
            <w:tcW w:type="dxa" w:w="864"/>
          </w:tcPr>
          <w:p>
            <w:pPr>
              <w:spacing w:after="20" w:before="20"/>
              <w:jc w:val="right"/>
            </w:pPr>
            <w:r>
              <w:rPr>
                <w:rFonts w:ascii="Arial" w:hAnsi="Arial"/>
                <w:sz w:val="15"/>
              </w:rPr>
              <w:t>10.4</w:t>
            </w:r>
          </w:p>
        </w:tc>
        <w:tc>
          <w:tcPr>
            <w:tcW w:type="dxa" w:w="864"/>
          </w:tcPr>
          <w:p>
            <w:pPr>
              <w:spacing w:after="20" w:before="20"/>
              <w:jc w:val="right"/>
            </w:pPr>
            <w:r>
              <w:rPr>
                <w:rFonts w:ascii="Arial" w:hAnsi="Arial"/>
                <w:sz w:val="15"/>
              </w:rPr>
              <w:t>14.5</w:t>
            </w:r>
          </w:p>
        </w:tc>
        <w:tc>
          <w:tcPr>
            <w:tcW w:type="dxa" w:w="864"/>
          </w:tcPr>
          <w:p>
            <w:pPr>
              <w:spacing w:after="20" w:before="20"/>
              <w:jc w:val="right"/>
            </w:pPr>
            <w:r>
              <w:rPr>
                <w:rFonts w:ascii="Arial" w:hAnsi="Arial"/>
                <w:sz w:val="15"/>
              </w:rPr>
              <w:t>19.2</w:t>
            </w:r>
          </w:p>
        </w:tc>
        <w:tc>
          <w:tcPr>
            <w:tcW w:type="dxa" w:w="864"/>
          </w:tcPr>
          <w:p>
            <w:pPr>
              <w:spacing w:after="20" w:before="20"/>
              <w:jc w:val="right"/>
            </w:pPr>
            <w:r>
              <w:rPr>
                <w:rFonts w:ascii="Arial" w:hAnsi="Arial"/>
                <w:sz w:val="15"/>
              </w:rPr>
              <w:t>22.2</w:t>
            </w:r>
          </w:p>
        </w:tc>
        <w:tc>
          <w:tcPr>
            <w:tcW w:type="dxa" w:w="864"/>
          </w:tcPr>
          <w:p>
            <w:pPr>
              <w:spacing w:after="20" w:before="20"/>
              <w:jc w:val="right"/>
            </w:pPr>
            <w:r>
              <w:rPr>
                <w:rFonts w:ascii="Arial" w:hAnsi="Arial"/>
                <w:sz w:val="15"/>
              </w:rPr>
              <w:t>24.5</w:t>
            </w:r>
          </w:p>
        </w:tc>
        <w:tc>
          <w:tcPr>
            <w:tcW w:type="dxa" w:w="864"/>
          </w:tcPr>
          <w:p>
            <w:pPr>
              <w:spacing w:after="20" w:before="20"/>
              <w:jc w:val="right"/>
            </w:pPr>
            <w:r>
              <w:rPr>
                <w:rFonts w:ascii="Arial" w:hAnsi="Arial"/>
                <w:sz w:val="15"/>
              </w:rPr>
              <w:t>26.8</w:t>
            </w:r>
          </w:p>
        </w:tc>
        <w:tc>
          <w:tcPr>
            <w:tcW w:type="dxa" w:w="864"/>
          </w:tcPr>
          <w:p>
            <w:pPr>
              <w:spacing w:after="20" w:before="20"/>
              <w:jc w:val="right"/>
            </w:pPr>
            <w:r>
              <w:rPr>
                <w:rFonts w:ascii="Arial" w:hAnsi="Arial"/>
                <w:sz w:val="15"/>
              </w:rPr>
              <w:t>29.0</w:t>
            </w:r>
          </w:p>
        </w:tc>
        <w:tc>
          <w:tcPr>
            <w:tcW w:type="dxa" w:w="864"/>
          </w:tcPr>
          <w:p>
            <w:pPr>
              <w:spacing w:after="20" w:before="20"/>
              <w:jc w:val="right"/>
            </w:pPr>
            <w:r>
              <w:rPr>
                <w:rFonts w:ascii="Arial" w:hAnsi="Arial"/>
                <w:sz w:val="15"/>
              </w:rPr>
              <w:t>31.2</w:t>
            </w:r>
          </w:p>
        </w:tc>
      </w:tr>
      <w:tr>
        <w:tc>
          <w:tcPr>
            <w:tcW w:type="dxa" w:w="2880"/>
          </w:tcPr>
          <w:p>
            <w:pPr>
              <w:spacing w:after="20" w:before="20"/>
            </w:pPr>
            <w:r>
              <w:rPr>
                <w:rFonts w:ascii="Arial" w:hAnsi="Arial"/>
                <w:sz w:val="15"/>
              </w:rPr>
              <w:t>Capex</w:t>
            </w:r>
          </w:p>
        </w:tc>
        <w:tc>
          <w:tcPr>
            <w:tcW w:type="dxa" w:w="864"/>
          </w:tcPr>
          <w:p>
            <w:pPr>
              <w:spacing w:after="20" w:before="20"/>
              <w:jc w:val="right"/>
            </w:pPr>
            <w:r>
              <w:rPr>
                <w:rFonts w:ascii="Arial" w:hAnsi="Arial"/>
                <w:sz w:val="15"/>
              </w:rPr>
              <w:t>(3.7)</w:t>
            </w:r>
          </w:p>
        </w:tc>
        <w:tc>
          <w:tcPr>
            <w:tcW w:type="dxa" w:w="864"/>
          </w:tcPr>
          <w:p>
            <w:pPr>
              <w:spacing w:after="20" w:before="20"/>
              <w:jc w:val="right"/>
            </w:pPr>
            <w:r>
              <w:rPr>
                <w:rFonts w:ascii="Arial" w:hAnsi="Arial"/>
                <w:sz w:val="15"/>
              </w:rPr>
              <w:t>(5.2)</w:t>
            </w:r>
          </w:p>
        </w:tc>
        <w:tc>
          <w:tcPr>
            <w:tcW w:type="dxa" w:w="864"/>
          </w:tcPr>
          <w:p>
            <w:pPr>
              <w:spacing w:after="20" w:before="20"/>
              <w:jc w:val="right"/>
            </w:pPr>
            <w:r>
              <w:rPr>
                <w:rFonts w:ascii="Arial" w:hAnsi="Arial"/>
                <w:sz w:val="15"/>
              </w:rPr>
              <w:t>(6.7)</w:t>
            </w:r>
          </w:p>
        </w:tc>
        <w:tc>
          <w:tcPr>
            <w:tcW w:type="dxa" w:w="864"/>
          </w:tcPr>
          <w:p>
            <w:pPr>
              <w:spacing w:after="20" w:before="20"/>
              <w:jc w:val="right"/>
            </w:pPr>
            <w:r>
              <w:rPr>
                <w:rFonts w:ascii="Arial" w:hAnsi="Arial"/>
                <w:sz w:val="15"/>
              </w:rPr>
              <w:t>(7.5)</w:t>
            </w:r>
          </w:p>
        </w:tc>
        <w:tc>
          <w:tcPr>
            <w:tcW w:type="dxa" w:w="864"/>
          </w:tcPr>
          <w:p>
            <w:pPr>
              <w:spacing w:after="20" w:before="20"/>
              <w:jc w:val="right"/>
            </w:pPr>
            <w:r>
              <w:rPr>
                <w:rFonts w:ascii="Arial" w:hAnsi="Arial"/>
                <w:sz w:val="15"/>
              </w:rPr>
              <w:t>(8.2)</w:t>
            </w:r>
          </w:p>
        </w:tc>
        <w:tc>
          <w:tcPr>
            <w:tcW w:type="dxa" w:w="864"/>
          </w:tcPr>
          <w:p>
            <w:pPr>
              <w:spacing w:after="20" w:before="20"/>
              <w:jc w:val="right"/>
            </w:pPr>
            <w:r>
              <w:rPr>
                <w:rFonts w:ascii="Arial" w:hAnsi="Arial"/>
                <w:sz w:val="15"/>
              </w:rPr>
              <w:t>(9.0)</w:t>
            </w:r>
          </w:p>
        </w:tc>
        <w:tc>
          <w:tcPr>
            <w:tcW w:type="dxa" w:w="864"/>
          </w:tcPr>
          <w:p>
            <w:pPr>
              <w:spacing w:after="20" w:before="20"/>
              <w:jc w:val="right"/>
            </w:pPr>
            <w:r>
              <w:rPr>
                <w:rFonts w:ascii="Arial" w:hAnsi="Arial"/>
                <w:sz w:val="15"/>
              </w:rPr>
              <w:t>(9.7)</w:t>
            </w:r>
          </w:p>
        </w:tc>
        <w:tc>
          <w:tcPr>
            <w:tcW w:type="dxa" w:w="864"/>
          </w:tcPr>
          <w:p>
            <w:pPr>
              <w:spacing w:after="20" w:before="20"/>
              <w:jc w:val="right"/>
            </w:pPr>
            <w:r>
              <w:rPr>
                <w:rFonts w:ascii="Arial" w:hAnsi="Arial"/>
                <w:sz w:val="15"/>
              </w:rPr>
              <w:t>(10.4)</w:t>
            </w:r>
          </w:p>
        </w:tc>
      </w:tr>
      <w:tr>
        <w:tc>
          <w:tcPr>
            <w:tcW w:type="dxa" w:w="2880"/>
          </w:tcPr>
          <w:p>
            <w:pPr>
              <w:spacing w:after="20" w:before="20"/>
            </w:pPr>
            <w:r>
              <w:rPr>
                <w:rFonts w:ascii="Arial" w:hAnsi="Arial"/>
                <w:sz w:val="15"/>
              </w:rPr>
              <w:t>Free cash flow</w:t>
            </w:r>
          </w:p>
        </w:tc>
        <w:tc>
          <w:tcPr>
            <w:tcW w:type="dxa" w:w="864"/>
          </w:tcPr>
          <w:p>
            <w:pPr>
              <w:spacing w:after="20" w:before="20"/>
              <w:jc w:val="right"/>
            </w:pPr>
            <w:r>
              <w:rPr>
                <w:rFonts w:ascii="Arial" w:hAnsi="Arial"/>
                <w:sz w:val="15"/>
              </w:rPr>
              <w:t>6.7</w:t>
            </w:r>
          </w:p>
        </w:tc>
        <w:tc>
          <w:tcPr>
            <w:tcW w:type="dxa" w:w="864"/>
          </w:tcPr>
          <w:p>
            <w:pPr>
              <w:spacing w:after="20" w:before="20"/>
              <w:jc w:val="right"/>
            </w:pPr>
            <w:r>
              <w:rPr>
                <w:rFonts w:ascii="Arial" w:hAnsi="Arial"/>
                <w:sz w:val="15"/>
              </w:rPr>
              <w:t>9.3</w:t>
            </w:r>
          </w:p>
        </w:tc>
        <w:tc>
          <w:tcPr>
            <w:tcW w:type="dxa" w:w="864"/>
          </w:tcPr>
          <w:p>
            <w:pPr>
              <w:spacing w:after="20" w:before="20"/>
              <w:jc w:val="right"/>
            </w:pPr>
            <w:r>
              <w:rPr>
                <w:rFonts w:ascii="Arial" w:hAnsi="Arial"/>
                <w:sz w:val="15"/>
              </w:rPr>
              <w:t>12.5</w:t>
            </w:r>
          </w:p>
        </w:tc>
        <w:tc>
          <w:tcPr>
            <w:tcW w:type="dxa" w:w="864"/>
          </w:tcPr>
          <w:p>
            <w:pPr>
              <w:spacing w:after="20" w:before="20"/>
              <w:jc w:val="right"/>
            </w:pPr>
            <w:r>
              <w:rPr>
                <w:rFonts w:ascii="Arial" w:hAnsi="Arial"/>
                <w:sz w:val="15"/>
              </w:rPr>
              <w:t>14.7</w:t>
            </w:r>
          </w:p>
        </w:tc>
        <w:tc>
          <w:tcPr>
            <w:tcW w:type="dxa" w:w="864"/>
          </w:tcPr>
          <w:p>
            <w:pPr>
              <w:spacing w:after="20" w:before="20"/>
              <w:jc w:val="right"/>
            </w:pPr>
            <w:r>
              <w:rPr>
                <w:rFonts w:ascii="Arial" w:hAnsi="Arial"/>
                <w:sz w:val="15"/>
              </w:rPr>
              <w:t>16.3</w:t>
            </w:r>
          </w:p>
        </w:tc>
        <w:tc>
          <w:tcPr>
            <w:tcW w:type="dxa" w:w="864"/>
          </w:tcPr>
          <w:p>
            <w:pPr>
              <w:spacing w:after="20" w:before="20"/>
              <w:jc w:val="right"/>
            </w:pPr>
            <w:r>
              <w:rPr>
                <w:rFonts w:ascii="Arial" w:hAnsi="Arial"/>
                <w:sz w:val="15"/>
              </w:rPr>
              <w:t>17.8</w:t>
            </w:r>
          </w:p>
        </w:tc>
        <w:tc>
          <w:tcPr>
            <w:tcW w:type="dxa" w:w="864"/>
          </w:tcPr>
          <w:p>
            <w:pPr>
              <w:spacing w:after="20" w:before="20"/>
              <w:jc w:val="right"/>
            </w:pPr>
            <w:r>
              <w:rPr>
                <w:rFonts w:ascii="Arial" w:hAnsi="Arial"/>
                <w:sz w:val="15"/>
              </w:rPr>
              <w:t>19.3</w:t>
            </w:r>
          </w:p>
        </w:tc>
        <w:tc>
          <w:tcPr>
            <w:tcW w:type="dxa" w:w="864"/>
          </w:tcPr>
          <w:p>
            <w:pPr>
              <w:spacing w:after="20" w:before="20"/>
              <w:jc w:val="right"/>
            </w:pPr>
            <w:r>
              <w:rPr>
                <w:rFonts w:ascii="Arial" w:hAnsi="Arial"/>
                <w:sz w:val="15"/>
              </w:rPr>
              <w:t>20.8</w:t>
            </w:r>
          </w:p>
        </w:tc>
      </w:tr>
      <w:tr>
        <w:tc>
          <w:tcPr>
            <w:tcW w:type="dxa" w:w="2880"/>
          </w:tcPr>
          <w:p>
            <w:pPr>
              <w:spacing w:after="20" w:before="20"/>
            </w:pPr>
            <w:r>
              <w:rPr>
                <w:rFonts w:ascii="Arial" w:hAnsi="Arial"/>
                <w:sz w:val="15"/>
              </w:rPr>
              <w:t>Ending cash &amp; bank</w:t>
            </w:r>
          </w:p>
        </w:tc>
        <w:tc>
          <w:tcPr>
            <w:tcW w:type="dxa" w:w="864"/>
          </w:tcPr>
          <w:p>
            <w:pPr>
              <w:spacing w:after="20" w:before="20"/>
              <w:jc w:val="right"/>
            </w:pPr>
            <w:r>
              <w:rPr>
                <w:rFonts w:ascii="Arial" w:hAnsi="Arial"/>
                <w:sz w:val="15"/>
              </w:rPr>
              <w:t>45.0</w:t>
            </w:r>
          </w:p>
        </w:tc>
        <w:tc>
          <w:tcPr>
            <w:tcW w:type="dxa" w:w="864"/>
          </w:tcPr>
          <w:p>
            <w:pPr>
              <w:spacing w:after="20" w:before="20"/>
              <w:jc w:val="right"/>
            </w:pPr>
            <w:r>
              <w:rPr>
                <w:rFonts w:ascii="Arial" w:hAnsi="Arial"/>
                <w:sz w:val="15"/>
              </w:rPr>
              <w:t>55.2</w:t>
            </w:r>
          </w:p>
        </w:tc>
        <w:tc>
          <w:tcPr>
            <w:tcW w:type="dxa" w:w="864"/>
          </w:tcPr>
          <w:p>
            <w:pPr>
              <w:spacing w:after="20" w:before="20"/>
              <w:jc w:val="right"/>
            </w:pPr>
            <w:r>
              <w:rPr>
                <w:rFonts w:ascii="Arial" w:hAnsi="Arial"/>
                <w:sz w:val="15"/>
              </w:rPr>
              <w:t>74.9</w:t>
            </w:r>
          </w:p>
        </w:tc>
        <w:tc>
          <w:tcPr>
            <w:tcW w:type="dxa" w:w="864"/>
          </w:tcPr>
          <w:p>
            <w:pPr>
              <w:spacing w:after="20" w:before="20"/>
              <w:jc w:val="right"/>
            </w:pPr>
            <w:r>
              <w:rPr>
                <w:rFonts w:ascii="Arial" w:hAnsi="Arial"/>
                <w:sz w:val="15"/>
              </w:rPr>
              <w:t>92.6</w:t>
            </w:r>
          </w:p>
        </w:tc>
        <w:tc>
          <w:tcPr>
            <w:tcW w:type="dxa" w:w="864"/>
          </w:tcPr>
          <w:p>
            <w:pPr>
              <w:spacing w:after="20" w:before="20"/>
              <w:jc w:val="right"/>
            </w:pPr>
            <w:r>
              <w:rPr>
                <w:rFonts w:ascii="Arial" w:hAnsi="Arial"/>
                <w:sz w:val="15"/>
              </w:rPr>
              <w:t>111.9</w:t>
            </w:r>
          </w:p>
        </w:tc>
        <w:tc>
          <w:tcPr>
            <w:tcW w:type="dxa" w:w="864"/>
          </w:tcPr>
          <w:p>
            <w:pPr>
              <w:spacing w:after="20" w:before="20"/>
              <w:jc w:val="right"/>
            </w:pPr>
            <w:r>
              <w:rPr>
                <w:rFonts w:ascii="Arial" w:hAnsi="Arial"/>
                <w:sz w:val="15"/>
              </w:rPr>
              <w:t>131.7</w:t>
            </w:r>
          </w:p>
        </w:tc>
        <w:tc>
          <w:tcPr>
            <w:tcW w:type="dxa" w:w="864"/>
          </w:tcPr>
          <w:p>
            <w:pPr>
              <w:spacing w:after="20" w:before="20"/>
              <w:jc w:val="right"/>
            </w:pPr>
            <w:r>
              <w:rPr>
                <w:rFonts w:ascii="Arial" w:hAnsi="Arial"/>
                <w:sz w:val="15"/>
              </w:rPr>
              <w:t>153.0</w:t>
            </w:r>
          </w:p>
        </w:tc>
        <w:tc>
          <w:tcPr>
            <w:tcW w:type="dxa" w:w="864"/>
          </w:tcPr>
          <w:p>
            <w:pPr>
              <w:spacing w:after="20" w:before="20"/>
              <w:jc w:val="right"/>
            </w:pPr>
            <w:r>
              <w:rPr>
                <w:rFonts w:ascii="Arial" w:hAnsi="Arial"/>
                <w:sz w:val="15"/>
              </w:rPr>
              <w:t>175.8</w:t>
            </w:r>
          </w:p>
        </w:tc>
      </w:tr>
    </w:tbl>
    <w:p>
      <w:pPr>
        <w:spacing w:before="240" w:after="80"/>
      </w:pPr>
      <w:r>
        <w:rPr>
          <w:rFonts w:ascii="Arial" w:hAnsi="Arial"/>
          <w:b/>
          <w:color w:val="1C3A36"/>
          <w:sz w:val="30"/>
        </w:rPr>
        <w:t>Appendix B  Step 0 — calibration backtest</w:t>
      </w:r>
    </w:p>
    <w:p>
      <w:pPr>
        <w:spacing w:after="80" w:before="0"/>
      </w:pPr>
      <w:r>
        <w:rPr>
          <w:rFonts w:ascii="Arial" w:hAnsi="Arial"/>
          <w:b w:val="0"/>
          <w:i w:val="0"/>
          <w:sz w:val="20"/>
        </w:rPr>
        <w:t>Before valuing IHC we tested the forecasting engine on IHC's own five-year history: a rolling backtest, h = 60 trading sessions, at each origin using only prior data, scoring the realized close against the engine's distribution. The grade is skill versus a naïve benchmark (a zero-drift random-walk lognormal cone at trailing realized vol), measured by CRPS skill (must be &gt; 0) and the interval (Winkler) score. Band-coverage and the PIT histogram are diagnostics only — they reward width and are never the pass criterion.</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2401"/>
        <w:gridCol w:w="2401"/>
        <w:gridCol w:w="2401"/>
        <w:gridCol w:w="2401"/>
      </w:tblGrid>
      <w:tr>
        <w:tc>
          <w:tcPr>
            <w:tcW w:type="dxa" w:w="3312"/>
            <w:shd w:val="clear" w:fill="1C3A36"/>
          </w:tcPr>
          <w:p>
            <w:pPr>
              <w:spacing w:after="20" w:before="20"/>
            </w:pPr>
            <w:r>
              <w:rPr>
                <w:rFonts w:ascii="Arial" w:hAnsi="Arial"/>
                <w:b/>
                <w:color w:val="FFFFFF"/>
                <w:sz w:val="17"/>
              </w:rPr>
              <w:t>Metric</w:t>
            </w:r>
          </w:p>
        </w:tc>
        <w:tc>
          <w:tcPr>
            <w:tcW w:type="dxa" w:w="2304"/>
            <w:shd w:val="clear" w:fill="1C3A36"/>
          </w:tcPr>
          <w:p>
            <w:pPr>
              <w:spacing w:after="20" w:before="20"/>
            </w:pPr>
            <w:r>
              <w:rPr>
                <w:rFonts w:ascii="Arial" w:hAnsi="Arial"/>
                <w:b/>
                <w:color w:val="FFFFFF"/>
                <w:sz w:val="17"/>
              </w:rPr>
              <w:t>YZ-HAR engine</w:t>
            </w:r>
          </w:p>
        </w:tc>
        <w:tc>
          <w:tcPr>
            <w:tcW w:type="dxa" w:w="2016"/>
            <w:shd w:val="clear" w:fill="1C3A36"/>
          </w:tcPr>
          <w:p>
            <w:pPr>
              <w:spacing w:after="20" w:before="20"/>
            </w:pPr>
            <w:r>
              <w:rPr>
                <w:rFonts w:ascii="Arial" w:hAnsi="Arial"/>
                <w:b/>
                <w:color w:val="FFFFFF"/>
                <w:sz w:val="17"/>
              </w:rPr>
              <w:t>Benchmark</w:t>
            </w:r>
          </w:p>
        </w:tc>
        <w:tc>
          <w:tcPr>
            <w:tcW w:type="dxa" w:w="1728"/>
            <w:shd w:val="clear" w:fill="1C3A36"/>
          </w:tcPr>
          <w:p>
            <w:pPr>
              <w:spacing w:after="20" w:before="20"/>
            </w:pPr>
            <w:r>
              <w:rPr>
                <w:rFonts w:ascii="Arial" w:hAnsi="Arial"/>
                <w:b/>
                <w:color w:val="FFFFFF"/>
                <w:sz w:val="17"/>
              </w:rPr>
              <w:t>Skill</w:t>
            </w:r>
          </w:p>
        </w:tc>
      </w:tr>
      <w:tr>
        <w:tc>
          <w:tcPr>
            <w:tcW w:type="dxa" w:w="3312"/>
          </w:tcPr>
          <w:p>
            <w:pPr>
              <w:spacing w:after="20" w:before="20"/>
            </w:pPr>
            <w:r>
              <w:rPr>
                <w:rFonts w:ascii="Arial" w:hAnsi="Arial"/>
                <w:sz w:val="17"/>
              </w:rPr>
              <w:t>Mean CRPS (price units)</w:t>
            </w:r>
          </w:p>
        </w:tc>
        <w:tc>
          <w:tcPr>
            <w:tcW w:type="dxa" w:w="2304"/>
          </w:tcPr>
          <w:p>
            <w:pPr>
              <w:spacing w:after="20" w:before="20"/>
              <w:jc w:val="right"/>
            </w:pPr>
            <w:r>
              <w:rPr>
                <w:rFonts w:ascii="Arial" w:hAnsi="Arial"/>
                <w:sz w:val="17"/>
              </w:rPr>
              <w:t>13.3992</w:t>
            </w:r>
          </w:p>
        </w:tc>
        <w:tc>
          <w:tcPr>
            <w:tcW w:type="dxa" w:w="2016"/>
          </w:tcPr>
          <w:p>
            <w:pPr>
              <w:spacing w:after="20" w:before="20"/>
              <w:jc w:val="right"/>
            </w:pPr>
            <w:r>
              <w:rPr>
                <w:rFonts w:ascii="Arial" w:hAnsi="Arial"/>
                <w:sz w:val="17"/>
              </w:rPr>
              <w:t>14.1234</w:t>
            </w:r>
          </w:p>
        </w:tc>
        <w:tc>
          <w:tcPr>
            <w:tcW w:type="dxa" w:w="1728"/>
          </w:tcPr>
          <w:p>
            <w:pPr>
              <w:spacing w:after="20" w:before="20"/>
              <w:jc w:val="right"/>
            </w:pPr>
            <w:r>
              <w:rPr>
                <w:rFonts w:ascii="Arial" w:hAnsi="Arial"/>
                <w:sz w:val="17"/>
              </w:rPr>
              <w:t>+0.0513</w:t>
            </w:r>
          </w:p>
        </w:tc>
      </w:tr>
      <w:tr>
        <w:tc>
          <w:tcPr>
            <w:tcW w:type="dxa" w:w="3312"/>
          </w:tcPr>
          <w:p>
            <w:pPr>
              <w:spacing w:after="20" w:before="20"/>
            </w:pPr>
            <w:r>
              <w:rPr>
                <w:rFonts w:ascii="Arial" w:hAnsi="Arial"/>
                <w:sz w:val="17"/>
              </w:rPr>
              <w:t>Mean Winkler (80%)</w:t>
            </w:r>
          </w:p>
        </w:tc>
        <w:tc>
          <w:tcPr>
            <w:tcW w:type="dxa" w:w="2304"/>
          </w:tcPr>
          <w:p>
            <w:pPr>
              <w:spacing w:after="20" w:before="20"/>
              <w:jc w:val="right"/>
            </w:pPr>
            <w:r>
              <w:rPr>
                <w:rFonts w:ascii="Arial" w:hAnsi="Arial"/>
                <w:sz w:val="17"/>
              </w:rPr>
              <w:t>109.035</w:t>
            </w:r>
          </w:p>
        </w:tc>
        <w:tc>
          <w:tcPr>
            <w:tcW w:type="dxa" w:w="2016"/>
          </w:tcPr>
          <w:p>
            <w:pPr>
              <w:spacing w:after="20" w:before="20"/>
              <w:jc w:val="right"/>
            </w:pPr>
            <w:r>
              <w:rPr>
                <w:rFonts w:ascii="Arial" w:hAnsi="Arial"/>
                <w:sz w:val="17"/>
              </w:rPr>
              <w:t>111.008</w:t>
            </w:r>
          </w:p>
        </w:tc>
        <w:tc>
          <w:tcPr>
            <w:tcW w:type="dxa" w:w="1728"/>
          </w:tcPr>
          <w:p>
            <w:pPr>
              <w:spacing w:after="20" w:before="20"/>
              <w:jc w:val="right"/>
            </w:pPr>
            <w:r>
              <w:rPr>
                <w:rFonts w:ascii="Arial" w:hAnsi="Arial"/>
                <w:sz w:val="17"/>
              </w:rPr>
              <w:t>+0.0178</w:t>
            </w:r>
          </w:p>
        </w:tc>
      </w:tr>
      <w:tr>
        <w:tc>
          <w:tcPr>
            <w:tcW w:type="dxa" w:w="3312"/>
          </w:tcPr>
          <w:p>
            <w:pPr>
              <w:spacing w:after="20" w:before="20"/>
            </w:pPr>
            <w:r>
              <w:rPr>
                <w:rFonts w:ascii="Arial" w:hAnsi="Arial"/>
                <w:sz w:val="17"/>
              </w:rPr>
              <w:t>PIT mean (full sample)</w:t>
            </w:r>
          </w:p>
        </w:tc>
        <w:tc>
          <w:tcPr>
            <w:tcW w:type="dxa" w:w="2304"/>
          </w:tcPr>
          <w:p>
            <w:pPr>
              <w:spacing w:after="20" w:before="20"/>
              <w:jc w:val="right"/>
            </w:pPr>
            <w:r>
              <w:rPr>
                <w:rFonts w:ascii="Arial" w:hAnsi="Arial"/>
                <w:sz w:val="17"/>
              </w:rPr>
              <w:t>0.555</w:t>
            </w:r>
          </w:p>
        </w:tc>
        <w:tc>
          <w:tcPr>
            <w:tcW w:type="dxa" w:w="2016"/>
          </w:tcPr>
          <w:p>
            <w:pPr>
              <w:spacing w:after="20" w:before="20"/>
              <w:jc w:val="right"/>
            </w:pPr>
            <w:r>
              <w:rPr>
                <w:rFonts w:ascii="Arial" w:hAnsi="Arial"/>
                <w:sz w:val="17"/>
              </w:rPr>
              <w:t>—</w:t>
            </w:r>
          </w:p>
        </w:tc>
        <w:tc>
          <w:tcPr>
            <w:tcW w:type="dxa" w:w="1728"/>
          </w:tcPr>
          <w:p>
            <w:pPr>
              <w:spacing w:after="20" w:before="20"/>
              <w:jc w:val="right"/>
            </w:pPr>
            <w:r>
              <w:rPr>
                <w:rFonts w:ascii="Arial" w:hAnsi="Arial"/>
                <w:sz w:val="17"/>
              </w:rPr>
              <w:t>target 0.50</w:t>
            </w:r>
          </w:p>
        </w:tc>
      </w:tr>
      <w:tr>
        <w:tc>
          <w:tcPr>
            <w:tcW w:type="dxa" w:w="3312"/>
          </w:tcPr>
          <w:p>
            <w:pPr>
              <w:spacing w:after="20" w:before="20"/>
            </w:pPr>
            <w:r>
              <w:rPr>
                <w:rFonts w:ascii="Arial" w:hAnsi="Arial"/>
                <w:sz w:val="17"/>
              </w:rPr>
              <w:t>90% coverage (full sample)</w:t>
            </w:r>
          </w:p>
        </w:tc>
        <w:tc>
          <w:tcPr>
            <w:tcW w:type="dxa" w:w="2304"/>
          </w:tcPr>
          <w:p>
            <w:pPr>
              <w:spacing w:after="20" w:before="20"/>
              <w:jc w:val="right"/>
            </w:pPr>
            <w:r>
              <w:rPr>
                <w:rFonts w:ascii="Arial" w:hAnsi="Arial"/>
                <w:sz w:val="17"/>
              </w:rPr>
              <w:t>0.799</w:t>
            </w:r>
          </w:p>
        </w:tc>
        <w:tc>
          <w:tcPr>
            <w:tcW w:type="dxa" w:w="2016"/>
          </w:tcPr>
          <w:p>
            <w:pPr>
              <w:spacing w:after="20" w:before="20"/>
              <w:jc w:val="right"/>
            </w:pPr>
            <w:r>
              <w:rPr>
                <w:rFonts w:ascii="Arial" w:hAnsi="Arial"/>
                <w:sz w:val="17"/>
              </w:rPr>
              <w:t>—</w:t>
            </w:r>
          </w:p>
        </w:tc>
        <w:tc>
          <w:tcPr>
            <w:tcW w:type="dxa" w:w="1728"/>
          </w:tcPr>
          <w:p>
            <w:pPr>
              <w:spacing w:after="20" w:before="20"/>
              <w:jc w:val="right"/>
            </w:pPr>
            <w:r>
              <w:rPr>
                <w:rFonts w:ascii="Arial" w:hAnsi="Arial"/>
                <w:sz w:val="17"/>
              </w:rPr>
              <w:t>diagnostic</w:t>
            </w:r>
          </w:p>
        </w:tc>
      </w:tr>
    </w:tbl>
    <w:p>
      <w:pPr>
        <w:spacing w:after="80" w:before="0"/>
      </w:pPr>
      <w:r>
        <w:rPr>
          <w:rFonts w:ascii="Arial" w:hAnsi="Arial"/>
          <w:b w:val="0"/>
          <w:i w:val="0"/>
          <w:sz w:val="20"/>
        </w:rPr>
        <w:t>Result: the engine beats the random-walk benchmark on CRPS skill (+0.0513) and on the interval score (+0.0178), the pass criterion. The full-sample PIT carries an upper-tail spike, and its cause is instructive and fully disclosed: it is isolated to the 2021–22 hyper-growth origins, when IHC compounded ~9× and no zero-drift cone could contain the run (in that sub-period the engine's CRPS skill is slightly negative and PIT ~0.85). That regime has ended. In the current plateau regime (2023 onward) — the forward-relevant one — the engine is essentially perfectly calibrated: CRPS skill +0.298, PIT mean 0.471, and 90% coverage 0.91. Zero drift is retained per the house international-name rule; extrapolating IHC's historical run-up forward is exactly the regime-turn trap the rule guards against. The engine is fit for the §3 forecast.</w:t>
      </w:r>
    </w:p>
    <w:p>
      <w:pPr>
        <w:jc w:val="center"/>
      </w:pPr>
      <w:r>
        <w:drawing>
          <wp:inline xmlns:a="http://schemas.openxmlformats.org/drawingml/2006/main" xmlns:pic="http://schemas.openxmlformats.org/drawingml/2006/picture">
            <wp:extent cx="5852160" cy="2271175"/>
            <wp:docPr id="8" name="Picture 8"/>
            <wp:cNvGraphicFramePr>
              <a:graphicFrameLocks noChangeAspect="1"/>
            </wp:cNvGraphicFramePr>
            <a:graphic>
              <a:graphicData uri="http://schemas.openxmlformats.org/drawingml/2006/picture">
                <pic:pic>
                  <pic:nvPicPr>
                    <pic:cNvPr id="0" name="step0_pit_hist.png"/>
                    <pic:cNvPicPr/>
                  </pic:nvPicPr>
                  <pic:blipFill>
                    <a:blip r:embed="rId16"/>
                    <a:stretch>
                      <a:fillRect/>
                    </a:stretch>
                  </pic:blipFill>
                  <pic:spPr>
                    <a:xfrm>
                      <a:off x="0" y="0"/>
                      <a:ext cx="5852160" cy="2271175"/>
                    </a:xfrm>
                    <a:prstGeom prst="rect"/>
                  </pic:spPr>
                </pic:pic>
              </a:graphicData>
            </a:graphic>
          </wp:inline>
        </w:drawing>
      </w:r>
    </w:p>
    <w:p>
      <w:pPr>
        <w:spacing w:after="120" w:before="0"/>
        <w:jc w:val="center"/>
      </w:pPr>
      <w:r>
        <w:rPr>
          <w:rFonts w:ascii="Arial" w:hAnsi="Arial"/>
          <w:b w:val="0"/>
          <w:i/>
          <w:color w:val="555555"/>
          <w:sz w:val="17"/>
        </w:rPr>
        <w:t>Figure B1. PIT histogram — full sample (left) vs current plateau regime (right). The upper-tail mass is the 2021–22 growth phase.</w:t>
      </w:r>
    </w:p>
    <w:p>
      <w:pPr>
        <w:jc w:val="center"/>
      </w:pPr>
      <w:r>
        <w:drawing>
          <wp:inline xmlns:a="http://schemas.openxmlformats.org/drawingml/2006/main" xmlns:pic="http://schemas.openxmlformats.org/drawingml/2006/picture">
            <wp:extent cx="5486400" cy="2826327"/>
            <wp:docPr id="9" name="Picture 9"/>
            <wp:cNvGraphicFramePr>
              <a:graphicFrameLocks noChangeAspect="1"/>
            </wp:cNvGraphicFramePr>
            <a:graphic>
              <a:graphicData uri="http://schemas.openxmlformats.org/drawingml/2006/picture">
                <pic:pic>
                  <pic:nvPicPr>
                    <pic:cNvPr id="0" name="step0_crps_time.png"/>
                    <pic:cNvPicPr/>
                  </pic:nvPicPr>
                  <pic:blipFill>
                    <a:blip r:embed="rId17"/>
                    <a:stretch>
                      <a:fillRect/>
                    </a:stretch>
                  </pic:blipFill>
                  <pic:spPr>
                    <a:xfrm>
                      <a:off x="0" y="0"/>
                      <a:ext cx="5486400" cy="2826327"/>
                    </a:xfrm>
                    <a:prstGeom prst="rect"/>
                  </pic:spPr>
                </pic:pic>
              </a:graphicData>
            </a:graphic>
          </wp:inline>
        </w:drawing>
      </w:r>
    </w:p>
    <w:p>
      <w:pPr>
        <w:spacing w:after="120" w:before="0"/>
        <w:jc w:val="center"/>
      </w:pPr>
      <w:r>
        <w:rPr>
          <w:rFonts w:ascii="Arial" w:hAnsi="Arial"/>
          <w:b w:val="0"/>
          <w:i/>
          <w:color w:val="555555"/>
          <w:sz w:val="17"/>
        </w:rPr>
        <w:t>Figure B2. CRPS through time — YZ-HAR (teal) below benchmark (gold) on the great majority of origins.</w:t>
      </w:r>
    </w:p>
    <w:p>
      <w:pPr>
        <w:spacing w:before="240" w:after="80"/>
      </w:pPr>
      <w:r>
        <w:rPr>
          <w:rFonts w:ascii="Arial" w:hAnsi="Arial"/>
          <w:b/>
          <w:color w:val="1C3A36"/>
          <w:sz w:val="30"/>
        </w:rPr>
        <w:t>Appendix C  Peer set, sector structure, and risks</w:t>
      </w:r>
    </w:p>
    <w:p>
      <w:pPr>
        <w:spacing w:after="80" w:before="0"/>
      </w:pPr>
      <w:r>
        <w:rPr>
          <w:rFonts w:ascii="Arial" w:hAnsi="Arial"/>
          <w:b w:val="0"/>
          <w:i w:val="0"/>
          <w:sz w:val="19"/>
        </w:rPr>
        <w:t>Illustrative peer multiples (flagged). Conglomerate holding companies typically trade at 8–14× P/E and, very often, a discount to book; IHC is a large outlier on both.</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2401"/>
        <w:gridCol w:w="2401"/>
        <w:gridCol w:w="2401"/>
        <w:gridCol w:w="2401"/>
      </w:tblGrid>
      <w:tr>
        <w:tc>
          <w:tcPr>
            <w:tcW w:type="dxa" w:w="4320"/>
            <w:shd w:val="clear" w:fill="1C3A36"/>
          </w:tcPr>
          <w:p>
            <w:pPr>
              <w:spacing w:after="20" w:before="20"/>
            </w:pPr>
            <w:r>
              <w:rPr>
                <w:rFonts w:ascii="Arial" w:hAnsi="Arial"/>
                <w:b/>
                <w:color w:val="FFFFFF"/>
                <w:sz w:val="17"/>
              </w:rPr>
              <w:t>Peer / comparator</w:t>
            </w:r>
          </w:p>
        </w:tc>
        <w:tc>
          <w:tcPr>
            <w:tcW w:type="dxa" w:w="1728"/>
            <w:shd w:val="clear" w:fill="1C3A36"/>
          </w:tcPr>
          <w:p>
            <w:pPr>
              <w:spacing w:after="20" w:before="20"/>
            </w:pPr>
            <w:r>
              <w:rPr>
                <w:rFonts w:ascii="Arial" w:hAnsi="Arial"/>
                <w:b/>
                <w:color w:val="FFFFFF"/>
                <w:sz w:val="17"/>
              </w:rPr>
              <w:t>P/E</w:t>
            </w:r>
          </w:p>
        </w:tc>
        <w:tc>
          <w:tcPr>
            <w:tcW w:type="dxa" w:w="1728"/>
            <w:shd w:val="clear" w:fill="1C3A36"/>
          </w:tcPr>
          <w:p>
            <w:pPr>
              <w:spacing w:after="20" w:before="20"/>
            </w:pPr>
            <w:r>
              <w:rPr>
                <w:rFonts w:ascii="Arial" w:hAnsi="Arial"/>
                <w:b/>
                <w:color w:val="FFFFFF"/>
                <w:sz w:val="17"/>
              </w:rPr>
              <w:t>P/B</w:t>
            </w:r>
          </w:p>
        </w:tc>
        <w:tc>
          <w:tcPr>
            <w:tcW w:type="dxa" w:w="2304"/>
            <w:shd w:val="clear" w:fill="1C3A36"/>
          </w:tcPr>
          <w:p>
            <w:pPr>
              <w:spacing w:after="20" w:before="20"/>
            </w:pPr>
            <w:r>
              <w:rPr>
                <w:rFonts w:ascii="Arial" w:hAnsi="Arial"/>
                <w:b/>
                <w:color w:val="FFFFFF"/>
                <w:sz w:val="17"/>
              </w:rPr>
              <w:t>NAV disc / (prem)</w:t>
            </w:r>
          </w:p>
        </w:tc>
      </w:tr>
      <w:tr>
        <w:tc>
          <w:tcPr>
            <w:tcW w:type="dxa" w:w="4320"/>
          </w:tcPr>
          <w:p>
            <w:pPr>
              <w:spacing w:after="20" w:before="20"/>
            </w:pPr>
            <w:r>
              <w:rPr>
                <w:rFonts w:ascii="Arial" w:hAnsi="Arial"/>
                <w:sz w:val="17"/>
              </w:rPr>
              <w:t>Alpha Dhabi Holding (ADX, IHC ~60%)</w:t>
            </w:r>
          </w:p>
        </w:tc>
        <w:tc>
          <w:tcPr>
            <w:tcW w:type="dxa" w:w="1728"/>
          </w:tcPr>
          <w:p>
            <w:pPr>
              <w:spacing w:after="20" w:before="20"/>
              <w:jc w:val="right"/>
            </w:pPr>
            <w:r>
              <w:rPr>
                <w:rFonts w:ascii="Arial" w:hAnsi="Arial"/>
                <w:sz w:val="17"/>
              </w:rPr>
              <w:t>~15×</w:t>
            </w:r>
          </w:p>
        </w:tc>
        <w:tc>
          <w:tcPr>
            <w:tcW w:type="dxa" w:w="1728"/>
          </w:tcPr>
          <w:p>
            <w:pPr>
              <w:spacing w:after="20" w:before="20"/>
              <w:jc w:val="right"/>
            </w:pPr>
            <w:r>
              <w:rPr>
                <w:rFonts w:ascii="Arial" w:hAnsi="Arial"/>
                <w:sz w:val="17"/>
              </w:rPr>
              <w:t>~1.5×</w:t>
            </w:r>
          </w:p>
        </w:tc>
        <w:tc>
          <w:tcPr>
            <w:tcW w:type="dxa" w:w="2304"/>
          </w:tcPr>
          <w:p>
            <w:pPr>
              <w:spacing w:after="20" w:before="20"/>
              <w:jc w:val="right"/>
            </w:pPr>
            <w:r>
              <w:rPr>
                <w:rFonts w:ascii="Arial" w:hAnsi="Arial"/>
                <w:sz w:val="17"/>
              </w:rPr>
              <w:t>~0%</w:t>
            </w:r>
          </w:p>
        </w:tc>
      </w:tr>
      <w:tr>
        <w:tc>
          <w:tcPr>
            <w:tcW w:type="dxa" w:w="4320"/>
          </w:tcPr>
          <w:p>
            <w:pPr>
              <w:spacing w:after="20" w:before="20"/>
            </w:pPr>
            <w:r>
              <w:rPr>
                <w:rFonts w:ascii="Arial" w:hAnsi="Arial"/>
                <w:sz w:val="17"/>
              </w:rPr>
              <w:t>Regional GCC investment holdco (avg)</w:t>
            </w:r>
          </w:p>
        </w:tc>
        <w:tc>
          <w:tcPr>
            <w:tcW w:type="dxa" w:w="1728"/>
          </w:tcPr>
          <w:p>
            <w:pPr>
              <w:spacing w:after="20" w:before="20"/>
              <w:jc w:val="right"/>
            </w:pPr>
            <w:r>
              <w:rPr>
                <w:rFonts w:ascii="Arial" w:hAnsi="Arial"/>
                <w:sz w:val="17"/>
              </w:rPr>
              <w:t>~12×</w:t>
            </w:r>
          </w:p>
        </w:tc>
        <w:tc>
          <w:tcPr>
            <w:tcW w:type="dxa" w:w="1728"/>
          </w:tcPr>
          <w:p>
            <w:pPr>
              <w:spacing w:after="20" w:before="20"/>
              <w:jc w:val="right"/>
            </w:pPr>
            <w:r>
              <w:rPr>
                <w:rFonts w:ascii="Arial" w:hAnsi="Arial"/>
                <w:sz w:val="17"/>
              </w:rPr>
              <w:t>~1.3×</w:t>
            </w:r>
          </w:p>
        </w:tc>
        <w:tc>
          <w:tcPr>
            <w:tcW w:type="dxa" w:w="2304"/>
          </w:tcPr>
          <w:p>
            <w:pPr>
              <w:spacing w:after="20" w:before="20"/>
              <w:jc w:val="right"/>
            </w:pPr>
            <w:r>
              <w:rPr>
                <w:rFonts w:ascii="Arial" w:hAnsi="Arial"/>
                <w:sz w:val="17"/>
              </w:rPr>
              <w:t>10–25% disc</w:t>
            </w:r>
          </w:p>
        </w:tc>
      </w:tr>
      <w:tr>
        <w:tc>
          <w:tcPr>
            <w:tcW w:type="dxa" w:w="4320"/>
          </w:tcPr>
          <w:p>
            <w:pPr>
              <w:spacing w:after="20" w:before="20"/>
            </w:pPr>
            <w:r>
              <w:rPr>
                <w:rFonts w:ascii="Arial" w:hAnsi="Arial"/>
                <w:sz w:val="17"/>
              </w:rPr>
              <w:t>Global diversified conglomerate (avg)</w:t>
            </w:r>
          </w:p>
        </w:tc>
        <w:tc>
          <w:tcPr>
            <w:tcW w:type="dxa" w:w="1728"/>
          </w:tcPr>
          <w:p>
            <w:pPr>
              <w:spacing w:after="20" w:before="20"/>
              <w:jc w:val="right"/>
            </w:pPr>
            <w:r>
              <w:rPr>
                <w:rFonts w:ascii="Arial" w:hAnsi="Arial"/>
                <w:sz w:val="17"/>
              </w:rPr>
              <w:t>~13×</w:t>
            </w:r>
          </w:p>
        </w:tc>
        <w:tc>
          <w:tcPr>
            <w:tcW w:type="dxa" w:w="1728"/>
          </w:tcPr>
          <w:p>
            <w:pPr>
              <w:spacing w:after="20" w:before="20"/>
              <w:jc w:val="right"/>
            </w:pPr>
            <w:r>
              <w:rPr>
                <w:rFonts w:ascii="Arial" w:hAnsi="Arial"/>
                <w:sz w:val="17"/>
              </w:rPr>
              <w:t>~1.4×</w:t>
            </w:r>
          </w:p>
        </w:tc>
        <w:tc>
          <w:tcPr>
            <w:tcW w:type="dxa" w:w="2304"/>
          </w:tcPr>
          <w:p>
            <w:pPr>
              <w:spacing w:after="20" w:before="20"/>
              <w:jc w:val="right"/>
            </w:pPr>
            <w:r>
              <w:rPr>
                <w:rFonts w:ascii="Arial" w:hAnsi="Arial"/>
                <w:sz w:val="17"/>
              </w:rPr>
              <w:t>10–30% disc</w:t>
            </w:r>
          </w:p>
        </w:tc>
      </w:tr>
      <w:tr>
        <w:tc>
          <w:tcPr>
            <w:tcW w:type="dxa" w:w="4320"/>
          </w:tcPr>
          <w:p>
            <w:pPr>
              <w:spacing w:after="20" w:before="20"/>
            </w:pPr>
            <w:r>
              <w:rPr>
                <w:rFonts w:ascii="Arial" w:hAnsi="Arial"/>
                <w:sz w:val="17"/>
              </w:rPr>
              <w:t>Global listed-holding / investor co (avg)</w:t>
            </w:r>
          </w:p>
        </w:tc>
        <w:tc>
          <w:tcPr>
            <w:tcW w:type="dxa" w:w="1728"/>
          </w:tcPr>
          <w:p>
            <w:pPr>
              <w:spacing w:after="20" w:before="20"/>
              <w:jc w:val="right"/>
            </w:pPr>
            <w:r>
              <w:rPr>
                <w:rFonts w:ascii="Arial" w:hAnsi="Arial"/>
                <w:sz w:val="17"/>
              </w:rPr>
              <w:t>~11×</w:t>
            </w:r>
          </w:p>
        </w:tc>
        <w:tc>
          <w:tcPr>
            <w:tcW w:type="dxa" w:w="1728"/>
          </w:tcPr>
          <w:p>
            <w:pPr>
              <w:spacing w:after="20" w:before="20"/>
              <w:jc w:val="right"/>
            </w:pPr>
            <w:r>
              <w:rPr>
                <w:rFonts w:ascii="Arial" w:hAnsi="Arial"/>
                <w:sz w:val="17"/>
              </w:rPr>
              <w:t>~1.1×</w:t>
            </w:r>
          </w:p>
        </w:tc>
        <w:tc>
          <w:tcPr>
            <w:tcW w:type="dxa" w:w="2304"/>
          </w:tcPr>
          <w:p>
            <w:pPr>
              <w:spacing w:after="20" w:before="20"/>
              <w:jc w:val="right"/>
            </w:pPr>
            <w:r>
              <w:rPr>
                <w:rFonts w:ascii="Arial" w:hAnsi="Arial"/>
                <w:sz w:val="17"/>
              </w:rPr>
              <w:t>15–35% disc</w:t>
            </w:r>
          </w:p>
        </w:tc>
      </w:tr>
      <w:tr>
        <w:tc>
          <w:tcPr>
            <w:tcW w:type="dxa" w:w="4320"/>
          </w:tcPr>
          <w:p>
            <w:pPr>
              <w:spacing w:after="20" w:before="20"/>
            </w:pPr>
            <w:r>
              <w:rPr>
                <w:rFonts w:ascii="Arial" w:hAnsi="Arial"/>
                <w:sz w:val="17"/>
              </w:rPr>
              <w:t>International Holding Company (IHC)</w:t>
            </w:r>
          </w:p>
        </w:tc>
        <w:tc>
          <w:tcPr>
            <w:tcW w:type="dxa" w:w="1728"/>
          </w:tcPr>
          <w:p>
            <w:pPr>
              <w:spacing w:after="20" w:before="20"/>
              <w:jc w:val="right"/>
            </w:pPr>
            <w:r>
              <w:rPr>
                <w:rFonts w:ascii="Arial" w:hAnsi="Arial"/>
                <w:sz w:val="17"/>
              </w:rPr>
              <w:t>~38×</w:t>
            </w:r>
          </w:p>
        </w:tc>
        <w:tc>
          <w:tcPr>
            <w:tcW w:type="dxa" w:w="1728"/>
          </w:tcPr>
          <w:p>
            <w:pPr>
              <w:spacing w:after="20" w:before="20"/>
              <w:jc w:val="right"/>
            </w:pPr>
            <w:r>
              <w:rPr>
                <w:rFonts w:ascii="Arial" w:hAnsi="Arial"/>
                <w:sz w:val="17"/>
              </w:rPr>
              <w:t>~5.5×</w:t>
            </w:r>
          </w:p>
        </w:tc>
        <w:tc>
          <w:tcPr>
            <w:tcW w:type="dxa" w:w="2304"/>
          </w:tcPr>
          <w:p>
            <w:pPr>
              <w:spacing w:after="20" w:before="20"/>
              <w:jc w:val="right"/>
            </w:pPr>
            <w:r>
              <w:rPr>
                <w:rFonts w:ascii="Arial" w:hAnsi="Arial"/>
                <w:sz w:val="17"/>
              </w:rPr>
              <w:t>large premium</w:t>
            </w:r>
          </w:p>
        </w:tc>
      </w:tr>
    </w:tbl>
    <w:p>
      <w:pPr>
        <w:spacing w:after="80" w:before="0"/>
      </w:pPr>
      <w:r>
        <w:rPr>
          <w:rFonts w:ascii="Arial" w:hAnsi="Arial"/>
          <w:b w:val="0"/>
          <w:i w:val="0"/>
          <w:sz w:val="19"/>
        </w:rPr>
        <w:t>Sector &amp; structure. IHC sits atop the Royal Group / Sheikh Tahnoon bin Zayed ecosystem — ~1,300 subsidiaries across eight verticals. Free float is modest and turnover low, so the daily tape is very sticky (the observed −0.24 beta is a float artifact, not a low-risk signal). Reported profit is investment-led: associate income and fair-value gains routinely exceed operating EBITDA, which is why the look-through SOTP, not an operating DCF, is the primary lens. Key risks: (1) concentration on the sponsor / key-man and related-party governance; (2) lumpy revaluation earnings that need not recur; (3) compression of the market's premium to NAV — the dominant price risk; (4) EM / frontier and FX exposure (India, Pakistan, African metals); (5) thin float and low liquidity on size.</w:t>
      </w:r>
    </w:p>
    <w:p>
      <w:pPr>
        <w:spacing w:before="240" w:after="80"/>
      </w:pPr>
      <w:r>
        <w:rPr>
          <w:rFonts w:ascii="Arial" w:hAnsi="Arial"/>
          <w:b/>
          <w:color w:val="1C3A36"/>
          <w:sz w:val="30"/>
        </w:rPr>
        <w:t>About this series</w:t>
      </w:r>
    </w:p>
    <w:p>
      <w:pPr>
        <w:spacing w:after="80" w:before="0"/>
      </w:pPr>
      <w:r>
        <w:rPr>
          <w:rFonts w:ascii="Arial" w:hAnsi="Arial"/>
          <w:b w:val="0"/>
          <w:i w:val="0"/>
          <w:sz w:val="19"/>
        </w:rPr>
        <w:t>Testahil publishes independent, educational valuation studies under a single house methodology: a fundamental anchor, a technical read, and a probabilistic Monte Carlo map, each computed transparently and presented as ranges and distributions rather than a single number or a rating. Every study closes with a standing panel of expert personas — cast by method from the house library, not invented per study — so that each accumulates a track record across studies, and every forecast is logged to a calibration ledger and graded against a naïve benchmark as its horizon matures. The house tagline is 'distributions, not tips'.</w:t>
      </w:r>
    </w:p>
    <w:p>
      <w:pPr>
        <w:spacing w:before="240" w:after="80"/>
      </w:pPr>
      <w:r>
        <w:rPr>
          <w:rFonts w:ascii="Arial" w:hAnsi="Arial"/>
          <w:b/>
          <w:color w:val="1C3A36"/>
          <w:sz w:val="30"/>
        </w:rPr>
        <w:t>Disclosure &amp; Disclaimer</w:t>
      </w:r>
    </w:p>
    <w:p>
      <w:pPr>
        <w:spacing w:after="80" w:before="0"/>
      </w:pPr>
      <w:r>
        <w:rPr>
          <w:rFonts w:ascii="Arial" w:hAnsi="Arial"/>
          <w:b w:val="0"/>
          <w:i w:val="0"/>
          <w:sz w:val="17"/>
        </w:rPr>
        <w:t>Not investment advice. This document is an educational valuation exercise and an expression of personal analytical opinion. It is not investment advice, and not a recommendation or solicitation to buy, sell or hold any security. It is not directed at the circumstances of any particular reader.</w:t>
      </w:r>
    </w:p>
    <w:p>
      <w:pPr>
        <w:spacing w:after="80" w:before="0"/>
      </w:pPr>
      <w:r>
        <w:rPr>
          <w:rFonts w:ascii="Arial" w:hAnsi="Arial"/>
          <w:b w:val="0"/>
          <w:i w:val="0"/>
          <w:sz w:val="17"/>
        </w:rPr>
        <w:t>No license, no clients. The preparer is not licensed or authorised by any securities regulator in any jurisdiction, holds no brokerage authorisation, provides no financial consultancy, manages no money, and accepts no fees, funds or clients.</w:t>
      </w:r>
    </w:p>
    <w:p>
      <w:pPr>
        <w:spacing w:after="80" w:before="0"/>
      </w:pPr>
      <w:r>
        <w:rPr>
          <w:rFonts w:ascii="Arial" w:hAnsi="Arial"/>
          <w:b w:val="0"/>
          <w:i w:val="0"/>
          <w:sz w:val="17"/>
        </w:rPr>
        <w:t>No rating, no target price. Testahil does not issue ratings or price targets. All values are model outputs presented as ranges and probability distributions because no single number should be relied upon.</w:t>
      </w:r>
    </w:p>
    <w:p>
      <w:pPr>
        <w:spacing w:after="80" w:before="0"/>
      </w:pPr>
      <w:r>
        <w:rPr>
          <w:rFonts w:ascii="Arial" w:hAnsi="Arial"/>
          <w:b w:val="0"/>
          <w:i w:val="0"/>
          <w:sz w:val="17"/>
        </w:rPr>
        <w:t>Sources and estimates. Reported financials are the company's own disclosure (FY2025 audited results, 15 Feb 2026) and third-party data providers; forward-looking inputs — the look-through marks on listed stakes, the marks on the unlisted platforms, the multiples, the DCF and the Monte-Carlo factor probabilities — are the preparer's judgments and are flagged throughout. Some historical figures are estimated to balance to disclosed totals.</w:t>
      </w:r>
    </w:p>
    <w:p>
      <w:pPr>
        <w:spacing w:after="80" w:before="0"/>
      </w:pPr>
      <w:r>
        <w:rPr>
          <w:rFonts w:ascii="Arial" w:hAnsi="Arial"/>
          <w:b w:val="0"/>
          <w:i w:val="0"/>
          <w:sz w:val="17"/>
        </w:rPr>
        <w:t>Position disclosure. The preparer may hold, and may in the future take or dispose of, a position in the security discussed in this report.</w:t>
      </w:r>
    </w:p>
    <w:p>
      <w:pPr>
        <w:spacing w:after="80" w:before="0"/>
      </w:pPr>
      <w:r>
        <w:rPr>
          <w:rFonts w:ascii="Arial" w:hAnsi="Arial"/>
          <w:b w:val="0"/>
          <w:i w:val="0"/>
          <w:sz w:val="17"/>
        </w:rPr>
        <w:t>Consult a professional. Consult a licensed financial advisor before making any investment decision. You are solely responsible for your own investment decisions.</w:t>
      </w:r>
    </w:p>
    <w:p>
      <w:pPr>
        <w:spacing w:before="240" w:after="80"/>
      </w:pPr>
      <w:r>
        <w:rPr>
          <w:rFonts w:ascii="Arial" w:hAnsi="Arial"/>
          <w:b/>
          <w:color w:val="1C3A36"/>
          <w:sz w:val="30"/>
        </w:rPr>
        <w:t>Appendix D  The expert valuation panel</w:t>
      </w:r>
    </w:p>
    <w:p>
      <w:pPr>
        <w:spacing w:after="80" w:before="0"/>
      </w:pPr>
      <w:r>
        <w:rPr>
          <w:rFonts w:ascii="Arial" w:hAnsi="Arial"/>
          <w:b w:val="0"/>
          <w:i w:val="0"/>
          <w:sz w:val="20"/>
        </w:rPr>
        <w:t>Every Testahil study closes with a panel of standing expert personas — drawn from the house Expert Persona Library, not invented for the occasion, so each accumulates a track record across studies and a quarterly update is a re-run, not a re-training. For a holding company the library casts the three whose methods both fit the instrument and genuinely disagree: Expert 1 (NAV and the discount), Expert 2 (the accountant — quality of earnings), and Expert 3 (macro and policy — the scarcity / flow / sponsor premium). Each runs a different method, derives its fair value from shown workings, and states a falsification condition. The three disagree not on what a part is worth but on the one question the name turns on — the premium to reconstructable NAV — and, tellingly, all three land below the market price.</w:t>
      </w:r>
    </w:p>
    <w:p>
      <w:pPr>
        <w:spacing w:before="160" w:after="80"/>
      </w:pPr>
      <w:r>
        <w:rPr>
          <w:rFonts w:ascii="Arial" w:hAnsi="Arial"/>
          <w:b/>
          <w:color w:val="1C3A36"/>
          <w:sz w:val="23"/>
        </w:rPr>
        <w:t>D.1  Expert 1 — NAV and the discount</w:t>
      </w:r>
    </w:p>
    <w:p>
      <w:pPr>
        <w:spacing w:after="80" w:before="0"/>
      </w:pPr>
      <w:r>
        <w:rPr>
          <w:rFonts w:ascii="Arial" w:hAnsi="Arial"/>
          <w:b w:val="0"/>
          <w:i w:val="0"/>
          <w:sz w:val="20"/>
        </w:rPr>
        <w:t>Worldview and tradition. Expert 1 values a holding company the only way that respects its nature: mark the parts, sum them, net the holding-level debt, and let the resulting NAV be the fair value. A conglomerate is a claim on a portfolio; the right price is the portfolio's value, adjusted by the discount or premium the market has historically assigned to that specific holdco — no more, no less.</w:t>
      </w:r>
    </w:p>
    <w:p>
      <w:pPr>
        <w:spacing w:after="80" w:before="0"/>
      </w:pPr>
      <w:r>
        <w:rPr>
          <w:rFonts w:ascii="Arial" w:hAnsi="Arial"/>
          <w:b w:val="0"/>
          <w:i w:val="0"/>
          <w:sz w:val="20"/>
        </w:rPr>
        <w:t>When it works / fails. It works when the parts are separately valuable and reasonably markable — listed stakes at market, unlisted at book or transaction. It fails when a large share of value is unlisted and un-transacted (so the marks are soft), or when the holdco's premium / discount is unstable — both of which apply to IHC in part, which is why Expert 1 flags the private-tail mark as the soft leg.</w:t>
      </w:r>
    </w:p>
    <w:p>
      <w:pPr>
        <w:spacing w:after="80" w:before="0"/>
      </w:pPr>
      <w:r>
        <w:rPr>
          <w:rFonts w:ascii="Arial" w:hAnsi="Arial"/>
          <w:b w:val="0"/>
          <w:i w:val="0"/>
          <w:sz w:val="20"/>
        </w:rPr>
        <w:t>Standard workings. (i) Mark the listed stakes look-through at market; (ii) mark the unlisted platforms at book or a defensible estimate; (iii) sum to gross asset value; (iv) add holding-level net cash as a single explicit line; (v) apply the name's own historical premium / discount — here, for a fair-value estimate, Expert 1 declines to bake in the extreme market premium and strikes NAV at par.</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802"/>
        <w:gridCol w:w="4802"/>
      </w:tblGrid>
      <w:tr>
        <w:tc>
          <w:tcPr>
            <w:tcW w:type="dxa" w:w="6336"/>
            <w:shd w:val="clear" w:fill="1C3A36"/>
          </w:tcPr>
          <w:p>
            <w:pPr>
              <w:spacing w:after="20" w:before="20"/>
            </w:pPr>
            <w:r>
              <w:rPr>
                <w:rFonts w:ascii="Arial" w:hAnsi="Arial"/>
                <w:b/>
                <w:color w:val="FFFFFF"/>
                <w:sz w:val="17"/>
              </w:rPr>
              <w:t>Expert 1's marks (AED bn)</w:t>
            </w:r>
          </w:p>
        </w:tc>
        <w:tc>
          <w:tcPr>
            <w:tcW w:type="dxa" w:w="2304"/>
            <w:shd w:val="clear" w:fill="1C3A36"/>
          </w:tcPr>
          <w:p>
            <w:pPr>
              <w:spacing w:after="20" w:before="20"/>
            </w:pPr>
            <w:r>
              <w:rPr>
                <w:rFonts w:ascii="Arial" w:hAnsi="Arial"/>
                <w:b/>
                <w:color w:val="FFFFFF"/>
                <w:sz w:val="17"/>
              </w:rPr>
              <w:t>Value</w:t>
            </w:r>
          </w:p>
        </w:tc>
      </w:tr>
      <w:tr>
        <w:tc>
          <w:tcPr>
            <w:tcW w:type="dxa" w:w="6336"/>
          </w:tcPr>
          <w:p>
            <w:pPr>
              <w:spacing w:after="20" w:before="20"/>
            </w:pPr>
            <w:r>
              <w:rPr>
                <w:rFonts w:ascii="Arial" w:hAnsi="Arial"/>
                <w:sz w:val="17"/>
              </w:rPr>
              <w:t>Listed stakes (Alpha Dhabi, merged entity, other)</w:t>
            </w:r>
          </w:p>
        </w:tc>
        <w:tc>
          <w:tcPr>
            <w:tcW w:type="dxa" w:w="2304"/>
          </w:tcPr>
          <w:p>
            <w:pPr>
              <w:spacing w:after="20" w:before="20"/>
              <w:jc w:val="right"/>
            </w:pPr>
            <w:r>
              <w:rPr>
                <w:rFonts w:ascii="Arial" w:hAnsi="Arial"/>
                <w:sz w:val="17"/>
              </w:rPr>
              <w:t>132.7</w:t>
            </w:r>
          </w:p>
        </w:tc>
      </w:tr>
      <w:tr>
        <w:tc>
          <w:tcPr>
            <w:tcW w:type="dxa" w:w="6336"/>
          </w:tcPr>
          <w:p>
            <w:pPr>
              <w:spacing w:after="20" w:before="20"/>
            </w:pPr>
            <w:r>
              <w:rPr>
                <w:rFonts w:ascii="Arial" w:hAnsi="Arial"/>
                <w:sz w:val="17"/>
              </w:rPr>
              <w:t>Unlisted platforms (IRH, RIQ, private tail)</w:t>
            </w:r>
          </w:p>
        </w:tc>
        <w:tc>
          <w:tcPr>
            <w:tcW w:type="dxa" w:w="2304"/>
          </w:tcPr>
          <w:p>
            <w:pPr>
              <w:spacing w:after="20" w:before="20"/>
              <w:jc w:val="right"/>
            </w:pPr>
            <w:r>
              <w:rPr>
                <w:rFonts w:ascii="Arial" w:hAnsi="Arial"/>
                <w:sz w:val="17"/>
              </w:rPr>
              <w:t>108.0</w:t>
            </w:r>
          </w:p>
        </w:tc>
      </w:tr>
      <w:tr>
        <w:tc>
          <w:tcPr>
            <w:tcW w:type="dxa" w:w="6336"/>
          </w:tcPr>
          <w:p>
            <w:pPr>
              <w:spacing w:after="20" w:before="20"/>
            </w:pPr>
            <w:r>
              <w:rPr>
                <w:rFonts w:ascii="Arial" w:hAnsi="Arial"/>
                <w:sz w:val="17"/>
              </w:rPr>
              <w:t>Gross asset value</w:t>
            </w:r>
          </w:p>
        </w:tc>
        <w:tc>
          <w:tcPr>
            <w:tcW w:type="dxa" w:w="2304"/>
          </w:tcPr>
          <w:p>
            <w:pPr>
              <w:spacing w:after="20" w:before="20"/>
              <w:jc w:val="right"/>
            </w:pPr>
            <w:r>
              <w:rPr>
                <w:rFonts w:ascii="Arial" w:hAnsi="Arial"/>
                <w:sz w:val="17"/>
              </w:rPr>
              <w:t>240.7</w:t>
            </w:r>
          </w:p>
        </w:tc>
      </w:tr>
      <w:tr>
        <w:tc>
          <w:tcPr>
            <w:tcW w:type="dxa" w:w="6336"/>
          </w:tcPr>
          <w:p>
            <w:pPr>
              <w:spacing w:after="20" w:before="20"/>
            </w:pPr>
            <w:r>
              <w:rPr>
                <w:rFonts w:ascii="Arial" w:hAnsi="Arial"/>
                <w:sz w:val="17"/>
              </w:rPr>
              <w:t>plus: holding-level net cash</w:t>
            </w:r>
          </w:p>
        </w:tc>
        <w:tc>
          <w:tcPr>
            <w:tcW w:type="dxa" w:w="2304"/>
          </w:tcPr>
          <w:p>
            <w:pPr>
              <w:spacing w:after="20" w:before="20"/>
              <w:jc w:val="right"/>
            </w:pPr>
            <w:r>
              <w:rPr>
                <w:rFonts w:ascii="Arial" w:hAnsi="Arial"/>
                <w:sz w:val="17"/>
              </w:rPr>
              <w:t>20.0</w:t>
            </w:r>
          </w:p>
        </w:tc>
      </w:tr>
      <w:tr>
        <w:tc>
          <w:tcPr>
            <w:tcW w:type="dxa" w:w="6336"/>
          </w:tcPr>
          <w:p>
            <w:pPr>
              <w:spacing w:after="20" w:before="20"/>
            </w:pPr>
            <w:r>
              <w:rPr>
                <w:rFonts w:ascii="Arial" w:hAnsi="Arial"/>
                <w:sz w:val="17"/>
              </w:rPr>
              <w:t>NAV (at par)</w:t>
            </w:r>
          </w:p>
        </w:tc>
        <w:tc>
          <w:tcPr>
            <w:tcW w:type="dxa" w:w="2304"/>
          </w:tcPr>
          <w:p>
            <w:pPr>
              <w:spacing w:after="20" w:before="20"/>
              <w:jc w:val="right"/>
            </w:pPr>
            <w:r>
              <w:rPr>
                <w:rFonts w:ascii="Arial" w:hAnsi="Arial"/>
                <w:sz w:val="17"/>
              </w:rPr>
              <w:t>260.7</w:t>
            </w:r>
          </w:p>
        </w:tc>
      </w:tr>
      <w:tr>
        <w:tc>
          <w:tcPr>
            <w:tcW w:type="dxa" w:w="6336"/>
          </w:tcPr>
          <w:p>
            <w:pPr>
              <w:spacing w:after="20" w:before="20"/>
            </w:pPr>
            <w:r>
              <w:rPr>
                <w:rFonts w:ascii="Arial" w:hAnsi="Arial"/>
                <w:sz w:val="17"/>
              </w:rPr>
              <w:t>NAV per share</w:t>
            </w:r>
          </w:p>
        </w:tc>
        <w:tc>
          <w:tcPr>
            <w:tcW w:type="dxa" w:w="2304"/>
          </w:tcPr>
          <w:p>
            <w:pPr>
              <w:spacing w:after="20" w:before="20"/>
              <w:jc w:val="right"/>
            </w:pPr>
            <w:r>
              <w:rPr>
                <w:rFonts w:ascii="Arial" w:hAnsi="Arial"/>
                <w:sz w:val="17"/>
              </w:rPr>
              <w:t>AED 120</w:t>
            </w:r>
          </w:p>
        </w:tc>
      </w:tr>
    </w:tbl>
    <w:p>
      <w:pPr>
        <w:spacing w:after="80" w:before="0"/>
      </w:pPr>
      <w:r>
        <w:rPr>
          <w:rFonts w:ascii="Arial" w:hAnsi="Arial"/>
          <w:b w:val="0"/>
          <w:i w:val="0"/>
          <w:sz w:val="20"/>
        </w:rPr>
        <w:t>A note on the discount-band tradition. Expert 1's school normally anchors the applied premium / discount to the name's own trading history — for most conglomerate holdcos that means a persistent discount (a global peer trading at, say, a 25% discount to NAV against an eight-year average of 30%). IHC inverts this: its history is one of a persistent large premium. Expert 1 deliberately declines to import that historical premium into a fair-value estimate — doing so would simply recover the market price and make the exercise circular — and instead strikes NAV at par, treating the premium as the object to be judged, not an input. This is the single most important methodological choice in his read, and he states it openly.</w:t>
      </w:r>
    </w:p>
    <w:p>
      <w:pPr>
        <w:spacing w:after="80" w:before="0"/>
      </w:pPr>
      <w:r>
        <w:rPr>
          <w:rFonts w:ascii="Arial" w:hAnsi="Arial"/>
          <w:b w:val="0"/>
          <w:i w:val="0"/>
          <w:sz w:val="20"/>
        </w:rPr>
        <w:t>Worked example / sensitivity (swing = the applied premium). At a 0% premium NAV is AED 120; at a −10% discount AED 108; at a +20% premium AED 144; to reach the AED 382 spot requires a ~+220% premium — a figure with no analogue among conglomerate holdcos. He runs a second swing on the soft leg — the private tail — from AED 40 bn to AED 80 bn, which moves NAV from AED 110 to AED 129: even doubling the least-verifiable mark leaves the value a third of spot. Cross-examination. Expert 1 tells Expert 2 that stripping the investment gains to a harsh run-rate understates a portfolio whose stakes are marked at market, not at earnings; he tells Expert 3 that a 'supportable premium' is still a premium, and that no cash-flow underwrites it.</w:t>
      </w:r>
    </w:p>
    <w:p>
      <w:pPr>
        <w:spacing w:after="80" w:before="0"/>
      </w:pPr>
      <w:r>
        <w:rPr>
          <w:rFonts w:ascii="Arial" w:hAnsi="Arial"/>
          <w:b w:val="0"/>
          <w:i w:val="0"/>
          <w:sz w:val="20"/>
        </w:rPr>
        <w:t>Verdict, falsification, and what the market price implies. Fair value AED 120; the market pays 3.2× that. Falsified if a verifiable transaction (an IRH IPO, a private-platform sale) marks the unlisted legs far above book, or if the holdco premium proves structurally permanent across a full cycle — in which case NAV-at-par understates. What the market price implies, on his marks: buyers at AED 382 are paying AED 262 per share — the whole of a second IHC — for something that is not in the asset sum at all. Either the private platforms are worth roughly three times his book mark, or the market is capitalizing a premium he regards as a sentiment, not a value.</w:t>
      </w:r>
    </w:p>
    <w:p>
      <w:pPr>
        <w:spacing w:before="160" w:after="80"/>
      </w:pPr>
      <w:r>
        <w:rPr>
          <w:rFonts w:ascii="Arial" w:hAnsi="Arial"/>
          <w:b/>
          <w:color w:val="1C3A36"/>
          <w:sz w:val="23"/>
        </w:rPr>
        <w:t>D.2  Expert 2 — the accountant (quality of earnings)</w:t>
      </w:r>
    </w:p>
    <w:p>
      <w:pPr>
        <w:spacing w:after="80" w:before="0"/>
      </w:pPr>
      <w:r>
        <w:rPr>
          <w:rFonts w:ascii="Arial" w:hAnsi="Arial"/>
          <w:b w:val="0"/>
          <w:i w:val="0"/>
          <w:sz w:val="20"/>
        </w:rPr>
        <w:t>Worldview and tradition. Expert 2 trusts cash and audited operating results, and distrusts marks. Her question of any company, and especially an investment holdco, is: how much of the reported profit is realized, recurring, cash-generative earnings, and how much is non-cash fair-value uplift that reverses as easily as it appears? She capitalizes only the durable part.</w:t>
      </w:r>
    </w:p>
    <w:p>
      <w:pPr>
        <w:spacing w:after="80" w:before="0"/>
      </w:pPr>
      <w:r>
        <w:rPr>
          <w:rFonts w:ascii="Arial" w:hAnsi="Arial"/>
          <w:b w:val="0"/>
          <w:i w:val="0"/>
          <w:sz w:val="20"/>
        </w:rPr>
        <w:t>When it works / fails. It works as a discipline against capitalizing peak, mark-driven earnings; it fails if it is too harsh — if the investment gains are, in fact, a durable realized run-rate (a serial capital-recycler that consistently sells assets at a profit does convert marks to cash), the normalization understates.</w:t>
      </w:r>
    </w:p>
    <w:p>
      <w:pPr>
        <w:spacing w:after="80" w:before="0"/>
      </w:pPr>
      <w:r>
        <w:rPr>
          <w:rFonts w:ascii="Arial" w:hAnsi="Arial"/>
          <w:b w:val="0"/>
          <w:i w:val="0"/>
          <w:sz w:val="20"/>
        </w:rPr>
        <w:t>Standard workings. (i) Start from reported attributable profit; (ii) strip the estimated one-off revaluation and deal gains; (iii) arrive at a mid-cycle recurring attributable earnings figure; (iv) capitalize at a mid-cycle multiple; (v) cross-check against the operating DCF (which, excluding investment income entirely, is the floor).</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802"/>
        <w:gridCol w:w="4802"/>
      </w:tblGrid>
      <w:tr>
        <w:tc>
          <w:tcPr>
            <w:tcW w:type="dxa" w:w="6336"/>
            <w:shd w:val="clear" w:fill="1C3A36"/>
          </w:tcPr>
          <w:p>
            <w:pPr>
              <w:spacing w:after="20" w:before="20"/>
            </w:pPr>
            <w:r>
              <w:rPr>
                <w:rFonts w:ascii="Arial" w:hAnsi="Arial"/>
                <w:b/>
                <w:color w:val="FFFFFF"/>
                <w:sz w:val="17"/>
              </w:rPr>
              <w:t>Expert 2's normalization (AED bn)</w:t>
            </w:r>
          </w:p>
        </w:tc>
        <w:tc>
          <w:tcPr>
            <w:tcW w:type="dxa" w:w="2304"/>
            <w:shd w:val="clear" w:fill="1C3A36"/>
          </w:tcPr>
          <w:p>
            <w:pPr>
              <w:spacing w:after="20" w:before="20"/>
            </w:pPr>
            <w:r>
              <w:rPr>
                <w:rFonts w:ascii="Arial" w:hAnsi="Arial"/>
                <w:b/>
                <w:color w:val="FFFFFF"/>
                <w:sz w:val="17"/>
              </w:rPr>
              <w:t>Value</w:t>
            </w:r>
          </w:p>
        </w:tc>
      </w:tr>
      <w:tr>
        <w:tc>
          <w:tcPr>
            <w:tcW w:type="dxa" w:w="6336"/>
          </w:tcPr>
          <w:p>
            <w:pPr>
              <w:spacing w:after="20" w:before="20"/>
            </w:pPr>
            <w:r>
              <w:rPr>
                <w:rFonts w:ascii="Arial" w:hAnsi="Arial"/>
                <w:sz w:val="17"/>
              </w:rPr>
              <w:t>Reported attributable NI (FY2025, peak)</w:t>
            </w:r>
          </w:p>
        </w:tc>
        <w:tc>
          <w:tcPr>
            <w:tcW w:type="dxa" w:w="2304"/>
          </w:tcPr>
          <w:p>
            <w:pPr>
              <w:spacing w:after="20" w:before="20"/>
              <w:jc w:val="right"/>
            </w:pPr>
            <w:r>
              <w:rPr>
                <w:rFonts w:ascii="Arial" w:hAnsi="Arial"/>
                <w:sz w:val="17"/>
              </w:rPr>
              <w:t>21.6</w:t>
            </w:r>
          </w:p>
        </w:tc>
      </w:tr>
      <w:tr>
        <w:tc>
          <w:tcPr>
            <w:tcW w:type="dxa" w:w="6336"/>
          </w:tcPr>
          <w:p>
            <w:pPr>
              <w:spacing w:after="20" w:before="20"/>
            </w:pPr>
            <w:r>
              <w:rPr>
                <w:rFonts w:ascii="Arial" w:hAnsi="Arial"/>
                <w:sz w:val="17"/>
              </w:rPr>
              <w:t>less: one-off revaluation / deal gains</w:t>
            </w:r>
          </w:p>
        </w:tc>
        <w:tc>
          <w:tcPr>
            <w:tcW w:type="dxa" w:w="2304"/>
          </w:tcPr>
          <w:p>
            <w:pPr>
              <w:spacing w:after="20" w:before="20"/>
              <w:jc w:val="right"/>
            </w:pPr>
            <w:r>
              <w:rPr>
                <w:rFonts w:ascii="Arial" w:hAnsi="Arial"/>
                <w:sz w:val="17"/>
              </w:rPr>
              <w:t>(5.1)</w:t>
            </w:r>
          </w:p>
        </w:tc>
      </w:tr>
      <w:tr>
        <w:tc>
          <w:tcPr>
            <w:tcW w:type="dxa" w:w="6336"/>
          </w:tcPr>
          <w:p>
            <w:pPr>
              <w:spacing w:after="20" w:before="20"/>
            </w:pPr>
            <w:r>
              <w:rPr>
                <w:rFonts w:ascii="Arial" w:hAnsi="Arial"/>
                <w:sz w:val="17"/>
              </w:rPr>
              <w:t>Mid-cycle recurring attributable earnings</w:t>
            </w:r>
          </w:p>
        </w:tc>
        <w:tc>
          <w:tcPr>
            <w:tcW w:type="dxa" w:w="2304"/>
          </w:tcPr>
          <w:p>
            <w:pPr>
              <w:spacing w:after="20" w:before="20"/>
              <w:jc w:val="right"/>
            </w:pPr>
            <w:r>
              <w:rPr>
                <w:rFonts w:ascii="Arial" w:hAnsi="Arial"/>
                <w:sz w:val="17"/>
              </w:rPr>
              <w:t>16.5</w:t>
            </w:r>
          </w:p>
        </w:tc>
      </w:tr>
      <w:tr>
        <w:tc>
          <w:tcPr>
            <w:tcW w:type="dxa" w:w="6336"/>
          </w:tcPr>
          <w:p>
            <w:pPr>
              <w:spacing w:after="20" w:before="20"/>
            </w:pPr>
            <w:r>
              <w:rPr>
                <w:rFonts w:ascii="Arial" w:hAnsi="Arial"/>
                <w:sz w:val="17"/>
              </w:rPr>
              <w:t>× mid-cycle P/E</w:t>
            </w:r>
          </w:p>
        </w:tc>
        <w:tc>
          <w:tcPr>
            <w:tcW w:type="dxa" w:w="2304"/>
          </w:tcPr>
          <w:p>
            <w:pPr>
              <w:spacing w:after="20" w:before="20"/>
              <w:jc w:val="right"/>
            </w:pPr>
            <w:r>
              <w:rPr>
                <w:rFonts w:ascii="Arial" w:hAnsi="Arial"/>
                <w:sz w:val="17"/>
              </w:rPr>
              <w:t>12×</w:t>
            </w:r>
          </w:p>
        </w:tc>
      </w:tr>
      <w:tr>
        <w:tc>
          <w:tcPr>
            <w:tcW w:type="dxa" w:w="6336"/>
          </w:tcPr>
          <w:p>
            <w:pPr>
              <w:spacing w:after="20" w:before="20"/>
            </w:pPr>
            <w:r>
              <w:rPr>
                <w:rFonts w:ascii="Arial" w:hAnsi="Arial"/>
                <w:sz w:val="17"/>
              </w:rPr>
              <w:t>Earnings-power value per share</w:t>
            </w:r>
          </w:p>
        </w:tc>
        <w:tc>
          <w:tcPr>
            <w:tcW w:type="dxa" w:w="2304"/>
          </w:tcPr>
          <w:p>
            <w:pPr>
              <w:spacing w:after="20" w:before="20"/>
              <w:jc w:val="right"/>
            </w:pPr>
            <w:r>
              <w:rPr>
                <w:rFonts w:ascii="Arial" w:hAnsi="Arial"/>
                <w:sz w:val="17"/>
              </w:rPr>
              <w:t>AED 91</w:t>
            </w:r>
          </w:p>
        </w:tc>
      </w:tr>
      <w:tr>
        <w:tc>
          <w:tcPr>
            <w:tcW w:type="dxa" w:w="6336"/>
          </w:tcPr>
          <w:p>
            <w:pPr>
              <w:spacing w:after="20" w:before="20"/>
            </w:pPr>
            <w:r>
              <w:rPr>
                <w:rFonts w:ascii="Arial" w:hAnsi="Arial"/>
                <w:sz w:val="17"/>
              </w:rPr>
              <w:t>Operating-DCF floor cross-check</w:t>
            </w:r>
          </w:p>
        </w:tc>
        <w:tc>
          <w:tcPr>
            <w:tcW w:type="dxa" w:w="2304"/>
          </w:tcPr>
          <w:p>
            <w:pPr>
              <w:spacing w:after="20" w:before="20"/>
              <w:jc w:val="right"/>
            </w:pPr>
            <w:r>
              <w:rPr>
                <w:rFonts w:ascii="Arial" w:hAnsi="Arial"/>
                <w:sz w:val="17"/>
              </w:rPr>
              <w:t>AED 81</w:t>
            </w:r>
          </w:p>
        </w:tc>
      </w:tr>
    </w:tbl>
    <w:p>
      <w:pPr>
        <w:spacing w:after="80" w:before="0"/>
      </w:pPr>
      <w:r>
        <w:rPr>
          <w:rFonts w:ascii="Arial" w:hAnsi="Arial"/>
          <w:b w:val="0"/>
          <w:i w:val="0"/>
          <w:sz w:val="20"/>
        </w:rPr>
        <w:t>How she separates one-off from recurring. Expert 2 does not simply guess the strip. She looks at the wedge between group PAT and operating EBITDA — AED 34.7 bn against ~AED 22.7 bn in FY2025 — and treats the excess as investment / associate income and fair-value movement, then asks how much of that line is cash realized (dividends received, gains on completed disposals such as the Modon exit) versus unrealized mark-to-market on the portfolio. Only the realized, repeatable portion earns a place in her run-rate; the rest is set aside as a balance-sheet event, not an earnings event. The AED 5.1 bn she strips from attributable profit is her estimate of the unrealized / non-repeatable slice — flagged, like every forward input, as judgment rather than disclosure.</w:t>
      </w:r>
    </w:p>
    <w:p>
      <w:pPr>
        <w:spacing w:after="80" w:before="0"/>
      </w:pPr>
      <w:r>
        <w:rPr>
          <w:rFonts w:ascii="Arial" w:hAnsi="Arial"/>
          <w:b w:val="0"/>
          <w:i w:val="0"/>
          <w:sz w:val="20"/>
        </w:rPr>
        <w:t>Worked example / sensitivity (swing = normalized earnings / multiple). At AED 16.5 bn × 10× she gets AED 76; at AED 18 bn × 12× she gets AED 99; her central is ~AED 91, and blending in the AED 81 operating-DCF floor pulls her point to ~AED 96. Cross-examination. Expert 2 tells Expert 1 that marking stakes at market imports the very revaluation optimism she strips — the listed subs are themselves richly valued — and that book is a firmer anchor than market for a thin-float ecosystem; she tells Expert 3 that a premium justified by 'flows' is not earnings, and cannot be capitalized.</w:t>
      </w:r>
    </w:p>
    <w:p>
      <w:pPr>
        <w:spacing w:after="80" w:before="0"/>
      </w:pPr>
      <w:r>
        <w:rPr>
          <w:rFonts w:ascii="Arial" w:hAnsi="Arial"/>
          <w:b w:val="0"/>
          <w:i w:val="0"/>
          <w:sz w:val="20"/>
        </w:rPr>
        <w:t>Verdict, falsification, and what the market price implies. Fair value ~AED 96 — the most conservative of the three. Falsified if the fair-value gains prove durable and cash-generative (realized, not just marked) over a full cycle, in which case her run-rate is too low. What the market price implies, on her numbers: to justify AED 382 the market must be capitalizing something close to peak, revaluation-inflated attributable earnings (~AED 21.6 bn) at roughly 38× — a multiple that assumes both that the gains recur and that they deserve a rich growth rating. She regards that as two heroic assumptions stacked on one line she does not trust.</w:t>
      </w:r>
    </w:p>
    <w:p>
      <w:pPr>
        <w:spacing w:before="160" w:after="80"/>
      </w:pPr>
      <w:r>
        <w:rPr>
          <w:rFonts w:ascii="Arial" w:hAnsi="Arial"/>
          <w:b/>
          <w:color w:val="1C3A36"/>
          <w:sz w:val="23"/>
        </w:rPr>
        <w:t>D.3  Expert 3 — macro and policy (the premium)</w:t>
      </w:r>
    </w:p>
    <w:p>
      <w:pPr>
        <w:spacing w:after="80" w:before="0"/>
      </w:pPr>
      <w:r>
        <w:rPr>
          <w:rFonts w:ascii="Arial" w:hAnsi="Arial"/>
          <w:b w:val="0"/>
          <w:i w:val="0"/>
          <w:sz w:val="20"/>
        </w:rPr>
        <w:t>Worldview and tradition. Expert 3 starts from the observation that IHC's price has, for years, embedded a large and persistent premium to NAV, and asks not whether that is 'justified' by cash flows — it plainly is not — but whether the structures that produce it are durable enough to be, in effect, part of the instrument. He treats the premium as a policy / market-structure variable and tries to size the premium those structures can support.</w:t>
      </w:r>
    </w:p>
    <w:p>
      <w:pPr>
        <w:spacing w:after="80" w:before="0"/>
      </w:pPr>
      <w:r>
        <w:rPr>
          <w:rFonts w:ascii="Arial" w:hAnsi="Arial"/>
          <w:b w:val="0"/>
          <w:i w:val="0"/>
          <w:sz w:val="20"/>
        </w:rPr>
        <w:t>When it works / fails. It works when a name's price is genuinely set by scarcity, flows and sponsorship rather than by discounted cash flows — sovereign-adjacent flagships with thin floats and index / passive demand can trade at durable premiums. It fails if the structure changes — a widened float, a governance shock, or a shift in index or sponsor support — at which point the supportable premium collapses toward NAV.</w:t>
      </w:r>
    </w:p>
    <w:p>
      <w:pPr>
        <w:spacing w:after="80" w:before="0"/>
      </w:pPr>
      <w:r>
        <w:rPr>
          <w:rFonts w:ascii="Arial" w:hAnsi="Arial"/>
          <w:b w:val="0"/>
          <w:i w:val="0"/>
          <w:sz w:val="20"/>
        </w:rPr>
        <w:t>Standard workings. (i) Establish NAV as the floor (AED 120, from Expert 1); (ii) identify the premium-supporting structures — float scarcity / low turnover, sponsor and sovereign backing, index / passive demand, and a capital-compounding record; (iii) size a 'supportable' premium from comparable scarcity-premium situations and the durability of each support; (iv) apply it to NAV, and stress it on the structures rather than on cash flows.</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802"/>
        <w:gridCol w:w="4802"/>
      </w:tblGrid>
      <w:tr>
        <w:tc>
          <w:tcPr>
            <w:tcW w:type="dxa" w:w="6336"/>
            <w:shd w:val="clear" w:fill="1C3A36"/>
          </w:tcPr>
          <w:p>
            <w:pPr>
              <w:spacing w:after="20" w:before="20"/>
            </w:pPr>
            <w:r>
              <w:rPr>
                <w:rFonts w:ascii="Arial" w:hAnsi="Arial"/>
                <w:b/>
                <w:color w:val="FFFFFF"/>
                <w:sz w:val="17"/>
              </w:rPr>
              <w:t>Expert 3's premium build</w:t>
            </w:r>
          </w:p>
        </w:tc>
        <w:tc>
          <w:tcPr>
            <w:tcW w:type="dxa" w:w="2304"/>
            <w:shd w:val="clear" w:fill="1C3A36"/>
          </w:tcPr>
          <w:p>
            <w:pPr>
              <w:spacing w:after="20" w:before="20"/>
            </w:pPr>
            <w:r>
              <w:rPr>
                <w:rFonts w:ascii="Arial" w:hAnsi="Arial"/>
                <w:b/>
                <w:color w:val="FFFFFF"/>
                <w:sz w:val="17"/>
              </w:rPr>
              <w:t>Value</w:t>
            </w:r>
          </w:p>
        </w:tc>
      </w:tr>
      <w:tr>
        <w:tc>
          <w:tcPr>
            <w:tcW w:type="dxa" w:w="6336"/>
          </w:tcPr>
          <w:p>
            <w:pPr>
              <w:spacing w:after="20" w:before="20"/>
            </w:pPr>
            <w:r>
              <w:rPr>
                <w:rFonts w:ascii="Arial" w:hAnsi="Arial"/>
                <w:sz w:val="17"/>
              </w:rPr>
              <w:t>NAV floor (from Expert 1)</w:t>
            </w:r>
          </w:p>
        </w:tc>
        <w:tc>
          <w:tcPr>
            <w:tcW w:type="dxa" w:w="2304"/>
          </w:tcPr>
          <w:p>
            <w:pPr>
              <w:spacing w:after="20" w:before="20"/>
              <w:jc w:val="right"/>
            </w:pPr>
            <w:r>
              <w:rPr>
                <w:rFonts w:ascii="Arial" w:hAnsi="Arial"/>
                <w:sz w:val="17"/>
              </w:rPr>
              <w:t>AED 120</w:t>
            </w:r>
          </w:p>
        </w:tc>
      </w:tr>
      <w:tr>
        <w:tc>
          <w:tcPr>
            <w:tcW w:type="dxa" w:w="6336"/>
          </w:tcPr>
          <w:p>
            <w:pPr>
              <w:spacing w:after="20" w:before="20"/>
            </w:pPr>
            <w:r>
              <w:rPr>
                <w:rFonts w:ascii="Arial" w:hAnsi="Arial"/>
                <w:sz w:val="17"/>
              </w:rPr>
              <w:t>Scarcity / low-float support</w:t>
            </w:r>
          </w:p>
        </w:tc>
        <w:tc>
          <w:tcPr>
            <w:tcW w:type="dxa" w:w="2304"/>
          </w:tcPr>
          <w:p>
            <w:pPr>
              <w:spacing w:after="20" w:before="20"/>
              <w:jc w:val="right"/>
            </w:pPr>
            <w:r>
              <w:rPr>
                <w:rFonts w:ascii="Arial" w:hAnsi="Arial"/>
                <w:sz w:val="17"/>
              </w:rPr>
              <w:t>+ premium</w:t>
            </w:r>
          </w:p>
        </w:tc>
      </w:tr>
      <w:tr>
        <w:tc>
          <w:tcPr>
            <w:tcW w:type="dxa" w:w="6336"/>
          </w:tcPr>
          <w:p>
            <w:pPr>
              <w:spacing w:after="20" w:before="20"/>
            </w:pPr>
            <w:r>
              <w:rPr>
                <w:rFonts w:ascii="Arial" w:hAnsi="Arial"/>
                <w:sz w:val="17"/>
              </w:rPr>
              <w:t>Sponsor / sovereign-ecosystem support</w:t>
            </w:r>
          </w:p>
        </w:tc>
        <w:tc>
          <w:tcPr>
            <w:tcW w:type="dxa" w:w="2304"/>
          </w:tcPr>
          <w:p>
            <w:pPr>
              <w:spacing w:after="20" w:before="20"/>
              <w:jc w:val="right"/>
            </w:pPr>
            <w:r>
              <w:rPr>
                <w:rFonts w:ascii="Arial" w:hAnsi="Arial"/>
                <w:sz w:val="17"/>
              </w:rPr>
              <w:t>+ premium</w:t>
            </w:r>
          </w:p>
        </w:tc>
      </w:tr>
      <w:tr>
        <w:tc>
          <w:tcPr>
            <w:tcW w:type="dxa" w:w="6336"/>
          </w:tcPr>
          <w:p>
            <w:pPr>
              <w:spacing w:after="20" w:before="20"/>
            </w:pPr>
            <w:r>
              <w:rPr>
                <w:rFonts w:ascii="Arial" w:hAnsi="Arial"/>
                <w:sz w:val="17"/>
              </w:rPr>
              <w:t>Index / passive-demand support</w:t>
            </w:r>
          </w:p>
        </w:tc>
        <w:tc>
          <w:tcPr>
            <w:tcW w:type="dxa" w:w="2304"/>
          </w:tcPr>
          <w:p>
            <w:pPr>
              <w:spacing w:after="20" w:before="20"/>
              <w:jc w:val="right"/>
            </w:pPr>
            <w:r>
              <w:rPr>
                <w:rFonts w:ascii="Arial" w:hAnsi="Arial"/>
                <w:sz w:val="17"/>
              </w:rPr>
              <w:t>+ premium</w:t>
            </w:r>
          </w:p>
        </w:tc>
      </w:tr>
      <w:tr>
        <w:tc>
          <w:tcPr>
            <w:tcW w:type="dxa" w:w="6336"/>
          </w:tcPr>
          <w:p>
            <w:pPr>
              <w:spacing w:after="20" w:before="20"/>
            </w:pPr>
            <w:r>
              <w:rPr>
                <w:rFonts w:ascii="Arial" w:hAnsi="Arial"/>
                <w:sz w:val="17"/>
              </w:rPr>
              <w:t>Supportable premium to NAV (est.)</w:t>
            </w:r>
          </w:p>
        </w:tc>
        <w:tc>
          <w:tcPr>
            <w:tcW w:type="dxa" w:w="2304"/>
          </w:tcPr>
          <w:p>
            <w:pPr>
              <w:spacing w:after="20" w:before="20"/>
              <w:jc w:val="right"/>
            </w:pPr>
            <w:r>
              <w:rPr>
                <w:rFonts w:ascii="Arial" w:hAnsi="Arial"/>
                <w:sz w:val="17"/>
              </w:rPr>
              <w:t>~95%</w:t>
            </w:r>
          </w:p>
        </w:tc>
      </w:tr>
      <w:tr>
        <w:tc>
          <w:tcPr>
            <w:tcW w:type="dxa" w:w="6336"/>
          </w:tcPr>
          <w:p>
            <w:pPr>
              <w:spacing w:after="20" w:before="20"/>
            </w:pPr>
            <w:r>
              <w:rPr>
                <w:rFonts w:ascii="Arial" w:hAnsi="Arial"/>
                <w:sz w:val="17"/>
              </w:rPr>
              <w:t>Macro-premium value per share</w:t>
            </w:r>
          </w:p>
        </w:tc>
        <w:tc>
          <w:tcPr>
            <w:tcW w:type="dxa" w:w="2304"/>
          </w:tcPr>
          <w:p>
            <w:pPr>
              <w:spacing w:after="20" w:before="20"/>
              <w:jc w:val="right"/>
            </w:pPr>
            <w:r>
              <w:rPr>
                <w:rFonts w:ascii="Arial" w:hAnsi="Arial"/>
                <w:sz w:val="17"/>
              </w:rPr>
              <w:t>AED 235</w:t>
            </w:r>
          </w:p>
        </w:tc>
      </w:tr>
    </w:tbl>
    <w:p>
      <w:pPr>
        <w:spacing w:after="80" w:before="0"/>
      </w:pPr>
      <w:r>
        <w:rPr>
          <w:rFonts w:ascii="Arial" w:hAnsi="Arial"/>
          <w:b w:val="0"/>
          <w:i w:val="0"/>
          <w:sz w:val="20"/>
        </w:rPr>
        <w:t>Where the premium comes from — the comparables. Expert 3 grounds the 'supportable premium' in situations where price has durably diverged from asset value for structural reasons: sovereign-adjacent flagships with thin floats and heavy passive ownership, scarcity names that index funds must hold at any valuation, and founder / sponsor vehicles where a single aligned owner both controls the float and signals long-horizon commitment. IHC has all three characteristics at once — a controlling sponsor in the Royal Group ecosystem, a modest free float with low turnover, and index / passive demand that scales with its market capitalization rather than its fundamentals. He does not claim these justify any premium; he claims they can sustain one, and that the burden is to size it, not to deny it.</w:t>
      </w:r>
    </w:p>
    <w:p>
      <w:pPr>
        <w:spacing w:after="80" w:before="0"/>
      </w:pPr>
      <w:r>
        <w:rPr>
          <w:rFonts w:ascii="Arial" w:hAnsi="Arial"/>
          <w:b w:val="0"/>
          <w:i w:val="0"/>
          <w:sz w:val="20"/>
        </w:rPr>
        <w:t>Worked example / sensitivity (swing = the supportable premium). At a +60% premium he gets AED 192; at +95%, AED 235; at +130%, AED 276 — and even his most generous case sits below the AED 382 spot, i.e. the market is currently pricing a premium above what even the premium's advocate will defend. Cross-examination. Expert 3 tells Expert 1 that NAV-at-par ignores a decade of evidence that this specific name does not trade at NAV and never has; he tells Expert 2 that quality-of-earnings purism misses the point — the price is not set by earnings at all, but by who wants to own a scarce sovereign-adjacent compounder.</w:t>
      </w:r>
    </w:p>
    <w:p>
      <w:pPr>
        <w:spacing w:after="80" w:before="0"/>
      </w:pPr>
      <w:r>
        <w:rPr>
          <w:rFonts w:ascii="Arial" w:hAnsi="Arial"/>
          <w:b w:val="0"/>
          <w:i w:val="0"/>
          <w:sz w:val="20"/>
        </w:rPr>
        <w:t>Verdict, falsification, and what the market price implies. Fair value ~AED 235 — the most bullish, yet still a discount to spot. Falsified if the float widens materially, a governance event lands, or index / sponsor support wanes — in which case the supportable premium compresses toward Expert 1's NAV. What the market price implies, even on his generous frame: at AED 382 the market prices a ~220% premium to NAV against the ~95% he can defend — so the marginal buyer is paying not only for the structural premium he models but for a further ~125 points of premium on top of it. His conclusion is the study's in miniature: the premium is real and may persist, but the current price extends it beyond what even its advocate will underwrite.</w:t>
      </w:r>
    </w:p>
    <w:p>
      <w:pPr>
        <w:spacing w:before="160" w:after="80"/>
      </w:pPr>
      <w:r>
        <w:rPr>
          <w:rFonts w:ascii="Arial" w:hAnsi="Arial"/>
          <w:b/>
          <w:color w:val="1C3A36"/>
          <w:sz w:val="23"/>
        </w:rPr>
        <w:t>D.5  The three in one room</w:t>
      </w:r>
    </w:p>
    <w:p>
      <w:pPr>
        <w:spacing w:after="80" w:before="0"/>
      </w:pPr>
      <w:r>
        <w:rPr>
          <w:rFonts w:ascii="Arial" w:hAnsi="Arial"/>
          <w:b w:val="0"/>
          <w:i w:val="0"/>
          <w:sz w:val="20"/>
        </w:rPr>
        <w:t>Expert 1: "Mark the parts. The listed stakes are worth what ADX says; the private platforms are worth roughly book. Sum them, add the cash, and you have AED 120 a share. The market pays three times that. The argument is the premium, not the marks."</w:t>
      </w:r>
    </w:p>
    <w:p>
      <w:pPr>
        <w:spacing w:after="80" w:before="0"/>
      </w:pPr>
      <w:r>
        <w:rPr>
          <w:rFonts w:ascii="Arial" w:hAnsi="Arial"/>
          <w:b w:val="0"/>
          <w:i w:val="0"/>
          <w:sz w:val="20"/>
        </w:rPr>
        <w:t>Expert 2: "And half the reported profit is a mark, not a cash. Strip the revaluation gains to a recurring run-rate and the earnings power is AED 90-odd — the operating cash alone barely supports AED 80. You are both capitalizing optimism: you at the stake level, the market at the group level."</w:t>
      </w:r>
    </w:p>
    <w:p>
      <w:pPr>
        <w:spacing w:after="80" w:before="0"/>
      </w:pPr>
      <w:r>
        <w:rPr>
          <w:rFonts w:ascii="Arial" w:hAnsi="Arial"/>
          <w:b w:val="0"/>
          <w:i w:val="0"/>
          <w:sz w:val="20"/>
        </w:rPr>
        <w:t>Expert 3: "You are both valuing a company. The market is pricing a scarce, sovereign-backed compounder that almost no one can buy in size and that indices must own. That structure has held for years; it can support a large premium — I can defend AED 235. But notice what that means: even I, the premium's advocate, land below AED 382. The market is pricing more premium than the premium is worth."</w:t>
      </w:r>
    </w:p>
    <w:p>
      <w:pPr>
        <w:spacing w:after="80" w:before="0"/>
      </w:pPr>
      <w:r>
        <w:rPr>
          <w:rFonts w:ascii="Arial" w:hAnsi="Arial"/>
          <w:b w:val="0"/>
          <w:i w:val="0"/>
          <w:sz w:val="20"/>
        </w:rPr>
        <w:t>Expert 1: "Then we agree on the only thing that matters. My AED 120, your AED 235 — pick anywhere in between, and the market is still above all of us. The disagreement among the three of us is smaller than the disagreement between any of us and the tape."</w:t>
      </w:r>
    </w:p>
    <w:p>
      <w:pPr>
        <w:spacing w:after="80" w:before="0"/>
      </w:pPr>
      <w:r>
        <w:rPr>
          <w:rFonts w:ascii="Arial" w:hAnsi="Arial"/>
          <w:b w:val="0"/>
          <w:i w:val="0"/>
          <w:sz w:val="20"/>
        </w:rPr>
        <w:t>Expert 2: "Which is the honest place to leave the reader: not with a number, but with a premium to weigh — and the knowledge that on cash, on assets, and even on scarcity, the price is asking a lot."</w:t>
      </w:r>
    </w:p>
    <w:p>
      <w:pPr>
        <w:spacing w:before="160" w:after="80"/>
      </w:pPr>
      <w:r>
        <w:rPr>
          <w:rFonts w:ascii="Arial" w:hAnsi="Arial"/>
          <w:b/>
          <w:color w:val="1C3A36"/>
          <w:sz w:val="23"/>
        </w:rPr>
        <w:t>D.6  Reading the divergence</w:t>
      </w:r>
    </w:p>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2401"/>
        <w:gridCol w:w="2401"/>
        <w:gridCol w:w="2401"/>
        <w:gridCol w:w="2401"/>
      </w:tblGrid>
      <w:tr>
        <w:tc>
          <w:tcPr>
            <w:tcW w:type="dxa" w:w="1728"/>
            <w:shd w:val="clear" w:fill="1C3A36"/>
          </w:tcPr>
          <w:p>
            <w:pPr>
              <w:spacing w:after="20" w:before="20"/>
            </w:pPr>
            <w:r>
              <w:rPr>
                <w:rFonts w:ascii="Arial" w:hAnsi="Arial"/>
                <w:b/>
                <w:color w:val="FFFFFF"/>
                <w:sz w:val="17"/>
              </w:rPr>
              <w:t>Expert</w:t>
            </w:r>
          </w:p>
        </w:tc>
        <w:tc>
          <w:tcPr>
            <w:tcW w:type="dxa" w:w="2592"/>
            <w:shd w:val="clear" w:fill="1C3A36"/>
          </w:tcPr>
          <w:p>
            <w:pPr>
              <w:spacing w:after="20" w:before="20"/>
            </w:pPr>
            <w:r>
              <w:rPr>
                <w:rFonts w:ascii="Arial" w:hAnsi="Arial"/>
                <w:b/>
                <w:color w:val="FFFFFF"/>
                <w:sz w:val="17"/>
              </w:rPr>
              <w:t>Method</w:t>
            </w:r>
          </w:p>
        </w:tc>
        <w:tc>
          <w:tcPr>
            <w:tcW w:type="dxa" w:w="3744"/>
            <w:shd w:val="clear" w:fill="1C3A36"/>
          </w:tcPr>
          <w:p>
            <w:pPr>
              <w:spacing w:after="20" w:before="20"/>
            </w:pPr>
            <w:r>
              <w:rPr>
                <w:rFonts w:ascii="Arial" w:hAnsi="Arial"/>
                <w:b/>
                <w:color w:val="FFFFFF"/>
                <w:sz w:val="17"/>
              </w:rPr>
              <w:t>One assumption that drives it</w:t>
            </w:r>
          </w:p>
        </w:tc>
        <w:tc>
          <w:tcPr>
            <w:tcW w:type="dxa" w:w="1728"/>
            <w:shd w:val="clear" w:fill="1C3A36"/>
          </w:tcPr>
          <w:p>
            <w:pPr>
              <w:spacing w:after="20" w:before="20"/>
            </w:pPr>
            <w:r>
              <w:rPr>
                <w:rFonts w:ascii="Arial" w:hAnsi="Arial"/>
                <w:b/>
                <w:color w:val="FFFFFF"/>
                <w:sz w:val="17"/>
              </w:rPr>
              <w:t>Fair value</w:t>
            </w:r>
          </w:p>
        </w:tc>
      </w:tr>
      <w:tr>
        <w:tc>
          <w:tcPr>
            <w:tcW w:type="dxa" w:w="1728"/>
          </w:tcPr>
          <w:p>
            <w:pPr>
              <w:spacing w:after="20" w:before="20"/>
            </w:pPr>
            <w:r>
              <w:rPr>
                <w:rFonts w:ascii="Arial" w:hAnsi="Arial"/>
                <w:sz w:val="17"/>
              </w:rPr>
              <w:t>Expert 1</w:t>
            </w:r>
          </w:p>
        </w:tc>
        <w:tc>
          <w:tcPr>
            <w:tcW w:type="dxa" w:w="2592"/>
          </w:tcPr>
          <w:p>
            <w:pPr>
              <w:spacing w:after="20" w:before="20"/>
              <w:jc w:val="right"/>
            </w:pPr>
            <w:r>
              <w:rPr>
                <w:rFonts w:ascii="Arial" w:hAnsi="Arial"/>
                <w:sz w:val="17"/>
              </w:rPr>
              <w:t>Look-through NAV</w:t>
            </w:r>
          </w:p>
        </w:tc>
        <w:tc>
          <w:tcPr>
            <w:tcW w:type="dxa" w:w="3744"/>
          </w:tcPr>
          <w:p>
            <w:pPr>
              <w:spacing w:after="20" w:before="20"/>
              <w:jc w:val="right"/>
            </w:pPr>
            <w:r>
              <w:rPr>
                <w:rFonts w:ascii="Arial" w:hAnsi="Arial"/>
                <w:sz w:val="17"/>
              </w:rPr>
              <w:t>Premium struck at par (0%)</w:t>
            </w:r>
          </w:p>
        </w:tc>
        <w:tc>
          <w:tcPr>
            <w:tcW w:type="dxa" w:w="1728"/>
          </w:tcPr>
          <w:p>
            <w:pPr>
              <w:spacing w:after="20" w:before="20"/>
              <w:jc w:val="right"/>
            </w:pPr>
            <w:r>
              <w:rPr>
                <w:rFonts w:ascii="Arial" w:hAnsi="Arial"/>
                <w:sz w:val="17"/>
              </w:rPr>
              <w:t>AED 120</w:t>
            </w:r>
          </w:p>
        </w:tc>
      </w:tr>
      <w:tr>
        <w:tc>
          <w:tcPr>
            <w:tcW w:type="dxa" w:w="1728"/>
          </w:tcPr>
          <w:p>
            <w:pPr>
              <w:spacing w:after="20" w:before="20"/>
            </w:pPr>
            <w:r>
              <w:rPr>
                <w:rFonts w:ascii="Arial" w:hAnsi="Arial"/>
                <w:sz w:val="17"/>
              </w:rPr>
              <w:t>Expert 2</w:t>
            </w:r>
          </w:p>
        </w:tc>
        <w:tc>
          <w:tcPr>
            <w:tcW w:type="dxa" w:w="2592"/>
          </w:tcPr>
          <w:p>
            <w:pPr>
              <w:spacing w:after="20" w:before="20"/>
              <w:jc w:val="right"/>
            </w:pPr>
            <w:r>
              <w:rPr>
                <w:rFonts w:ascii="Arial" w:hAnsi="Arial"/>
                <w:sz w:val="17"/>
              </w:rPr>
              <w:t>Quality of earnings</w:t>
            </w:r>
          </w:p>
        </w:tc>
        <w:tc>
          <w:tcPr>
            <w:tcW w:type="dxa" w:w="3744"/>
          </w:tcPr>
          <w:p>
            <w:pPr>
              <w:spacing w:after="20" w:before="20"/>
              <w:jc w:val="right"/>
            </w:pPr>
            <w:r>
              <w:rPr>
                <w:rFonts w:ascii="Arial" w:hAnsi="Arial"/>
                <w:sz w:val="17"/>
              </w:rPr>
              <w:t>Investment gains are mostly one-off</w:t>
            </w:r>
          </w:p>
        </w:tc>
        <w:tc>
          <w:tcPr>
            <w:tcW w:type="dxa" w:w="1728"/>
          </w:tcPr>
          <w:p>
            <w:pPr>
              <w:spacing w:after="20" w:before="20"/>
              <w:jc w:val="right"/>
            </w:pPr>
            <w:r>
              <w:rPr>
                <w:rFonts w:ascii="Arial" w:hAnsi="Arial"/>
                <w:sz w:val="17"/>
              </w:rPr>
              <w:t>AED 96</w:t>
            </w:r>
          </w:p>
        </w:tc>
      </w:tr>
      <w:tr>
        <w:tc>
          <w:tcPr>
            <w:tcW w:type="dxa" w:w="1728"/>
          </w:tcPr>
          <w:p>
            <w:pPr>
              <w:spacing w:after="20" w:before="20"/>
            </w:pPr>
            <w:r>
              <w:rPr>
                <w:rFonts w:ascii="Arial" w:hAnsi="Arial"/>
                <w:sz w:val="17"/>
              </w:rPr>
              <w:t>Expert 3</w:t>
            </w:r>
          </w:p>
        </w:tc>
        <w:tc>
          <w:tcPr>
            <w:tcW w:type="dxa" w:w="2592"/>
          </w:tcPr>
          <w:p>
            <w:pPr>
              <w:spacing w:after="20" w:before="20"/>
              <w:jc w:val="right"/>
            </w:pPr>
            <w:r>
              <w:rPr>
                <w:rFonts w:ascii="Arial" w:hAnsi="Arial"/>
                <w:sz w:val="17"/>
              </w:rPr>
              <w:t>Macro / premium</w:t>
            </w:r>
          </w:p>
        </w:tc>
        <w:tc>
          <w:tcPr>
            <w:tcW w:type="dxa" w:w="3744"/>
          </w:tcPr>
          <w:p>
            <w:pPr>
              <w:spacing w:after="20" w:before="20"/>
              <w:jc w:val="right"/>
            </w:pPr>
            <w:r>
              <w:rPr>
                <w:rFonts w:ascii="Arial" w:hAnsi="Arial"/>
                <w:sz w:val="17"/>
              </w:rPr>
              <w:t>A ~95% premium to NAV is supportable</w:t>
            </w:r>
          </w:p>
        </w:tc>
        <w:tc>
          <w:tcPr>
            <w:tcW w:type="dxa" w:w="1728"/>
          </w:tcPr>
          <w:p>
            <w:pPr>
              <w:spacing w:after="20" w:before="20"/>
              <w:jc w:val="right"/>
            </w:pPr>
            <w:r>
              <w:rPr>
                <w:rFonts w:ascii="Arial" w:hAnsi="Arial"/>
                <w:sz w:val="17"/>
              </w:rPr>
              <w:t>AED 235</w:t>
            </w:r>
          </w:p>
        </w:tc>
      </w:tr>
    </w:tbl>
    <w:p>
      <w:pPr>
        <w:spacing w:after="80" w:before="0"/>
      </w:pPr>
      <w:r>
        <w:rPr>
          <w:rFonts w:ascii="Arial" w:hAnsi="Arial"/>
          <w:b w:val="0"/>
          <w:i w:val="0"/>
          <w:sz w:val="20"/>
        </w:rPr>
        <w:t>The spread — AED 96 to AED 235 at base — is wide, and it is almost entirely a premium disagreement: none of the three contests the marks on the listed stakes, the existence of the private platforms, or the balance sheet. What separates them is how to treat the gap between reconstructable NAV and the market price. Expert 1 refuses to capitalize it; Expert 2 refuses to capitalize the earnings behind it; Expert 3 sizes the part of it that structure can support. The AED 139 spread is therefore a clean measure of one uncertainty — how much of IHC's premium to NAV is durable — and the single most important fact in the whole study is that all three experts, across the full width of that disagreement, land below the AED 382 market price. Resolve the premium's durability, and the three converge; either way, the fundamental case says the market is paying for more premium than any of the three will underwrite.</w:t>
      </w:r>
    </w:p>
    <w:p>
      <w:pPr>
        <w:spacing w:after="80" w:before="0"/>
      </w:pPr>
      <w:r>
        <w:rPr>
          <w:rFonts w:ascii="Arial" w:hAnsi="Arial"/>
          <w:b w:val="0"/>
          <w:i w:val="0"/>
          <w:sz w:val="20"/>
        </w:rPr>
        <w:t>Panel calibration note. Consistent with the house method, each expert's point fair value is logged with the study date and spot as an internal per-expert calibration layer, separate from the core Calibration Ledger that grades the §3 probabilistic forecast: Expert 1 (NAV &amp; discount) AED 120, Expert 2 (accountant) AED 96, Expert 3 (macro / premium) AED 235, at a spot of AED 382 on 3 Jul 2026. Because these are the same three personas cast from the library on every holding-company study, a future re-run on fresh data is a re-scoring of the same methods, not a re-training — so the panel accumulates a comparable track record, and a subsequent update will show, line by line, how each expert's prior estimate fared against the realized print (the fundamental analogue of the Step 0 ledger). No expert here recommends an action; each states a value, the one assumption that drives it, and the condition under which it is wrong.</w:t>
      </w:r>
    </w:p>
    <w:p>
      <w:pPr>
        <w:pBdr>
          <w:bottom w:val="single" w:sz="12" w:color="1C3A36"/>
        </w:pBdr>
      </w:pPr>
    </w:p>
    <w:p>
      <w:pPr>
        <w:spacing w:after="80" w:before="0"/>
        <w:jc w:val="center"/>
      </w:pPr>
      <w:r>
        <w:rPr>
          <w:rFonts w:ascii="Arial" w:hAnsi="Arial"/>
          <w:b w:val="0"/>
          <w:i/>
          <w:color w:val="555555"/>
          <w:sz w:val="16"/>
        </w:rPr>
        <w:t>Testahil · Independent Valuation Study — Educational Analysis · International Holding Company PJSC (ADX: IHC) · edition 04 Jul 2026 · prices &amp; probabilities computed from the attached daily history · not investment advice.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