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GB Corp S.A.E. (EGX: GBCO) — Source Register</w:t>
            </w:r>
            <w:r>
              <w:rPr>
                <w:color w:val="9FB0AC"/>
                <w:sz w:val="20"/>
              </w:rPr>
              <w:t xml:space="preserve">   edition 07-09-2026 · 7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research layer that source belongs to, and the date the source itself bears — not the date it was read.</w:t>
      </w:r>
    </w:p>
    <w:p>
      <w:pPr>
        <w:spacing w:after="80" w:before="200"/>
      </w:pPr>
      <w:r>
        <w:rPr>
          <w:b/>
          <w:i w:val="0"/>
          <w:color w:val="1C3A36"/>
          <w:sz w:val="23"/>
        </w:rPr>
        <w:t>The sourcing position, stated at the top</w:t>
      </w:r>
    </w:p>
    <w:p>
      <w:pPr>
        <w:spacing w:after="100" w:before="0"/>
      </w:pPr>
      <w:r>
        <w:rPr>
          <w:b w:val="0"/>
          <w:i w:val="0"/>
          <w:color w:val="1C3A36"/>
          <w:sz w:val="19"/>
        </w:rPr>
        <w:t>Every historical figure in this study and in the walk-forward behind it comes from a document GB Corp published itself, downloaded from the company’s own investor-relations portal and committed to this study’s directory. No data vendor, broker or press report is a source for any figure the company reported about itself.</w:t>
      </w:r>
    </w:p>
    <w:p>
      <w:pPr>
        <w:spacing w:after="100" w:before="0"/>
      </w:pPr>
      <w:r>
        <w:rPr>
          <w:b w:val="0"/>
          <w:i w:val="0"/>
          <w:color w:val="1C3A36"/>
          <w:sz w:val="19"/>
        </w:rPr>
        <w:t>That was not always true of this name, and the reason is recorded rather than smoothed over. An earlier attempt to reach the filings ran six routes and concluded the documents were unreachable. Every route was real and every outcome honestly recorded; the host list had been assembled from what the company used to be called, and the company’s current domain was never tried. It answers on the first attempt, without authentication. The lesson is kept because it generalises: a search that guesses a naming convention finds nothing and reports that as a result.</w:t>
      </w:r>
    </w:p>
    <w:p>
      <w:pPr>
        <w:spacing w:after="100" w:before="0"/>
      </w:pPr>
      <w:r>
        <w:rPr>
          <w:b w:val="0"/>
          <w:i w:val="0"/>
          <w:color w:val="1C3A36"/>
          <w:sz w:val="19"/>
        </w:rPr>
        <w:t>Two consequences of what the filings actually contain, both material and both disclosed. First, the audited statements for the four most recent years carry NO text layer at all, and the same audited statements are reproduced inside the annual report for those years, which does — so the annual report is the ROUTE and the audited statement is the DOCUMENT, and the two are recorded separately. Second, the most recent audit opinion is QUALIFIED on the very associate that dominates this valuation: the auditors state they were not provided with that company’s own audited statements for the year and that the group’s share of its profit rests on management-prepared accounts. That is disclosed here because it bears directly on the study’s central open question.</w:t>
      </w:r>
    </w:p>
    <w:p>
      <w:r>
        <w:br w:type="page"/>
      </w:r>
    </w:p>
    <w:p>
      <w:pPr>
        <w:spacing w:after="120" w:before="240"/>
      </w:pPr>
      <w:r>
        <w:rPr>
          <w:b/>
          <w:i w:val="0"/>
          <w:color w:val="1C3A36"/>
          <w:sz w:val="30"/>
        </w:rPr>
        <w:t>1  Primary documents — what was actually read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5616"/>
        <w:gridCol w:w="6336"/>
        <w:gridCol w:w="1584"/>
      </w:tblGrid>
      <w:tr>
        <w:tc>
          <w:tcPr>
            <w:tcW w:type="dxa" w:w="576"/>
            <w:shd w:val="clear" w:color="auto" w:fill="EAF0EE"/>
          </w:tcPr>
          <w:p>
            <w:pPr>
              <w:spacing w:after="20"/>
            </w:pPr>
            <w:r>
              <w:rPr>
                <w:b/>
                <w:color w:val="1C3A36"/>
                <w:sz w:val="15"/>
              </w:rPr>
              <w:t>#</w:t>
            </w:r>
          </w:p>
        </w:tc>
        <w:tc>
          <w:tcPr>
            <w:tcW w:type="dxa" w:w="5616"/>
            <w:shd w:val="clear" w:color="auto" w:fill="EAF0EE"/>
          </w:tcPr>
          <w:p>
            <w:pPr>
              <w:spacing w:after="20"/>
            </w:pPr>
            <w:r>
              <w:rPr>
                <w:b/>
                <w:color w:val="1C3A36"/>
                <w:sz w:val="15"/>
              </w:rPr>
              <w:t>Document</w:t>
            </w:r>
          </w:p>
        </w:tc>
        <w:tc>
          <w:tcPr>
            <w:tcW w:type="dxa" w:w="6336"/>
            <w:shd w:val="clear" w:color="auto" w:fill="EAF0EE"/>
          </w:tcPr>
          <w:p>
            <w:pPr>
              <w:spacing w:after="20"/>
            </w:pPr>
            <w:r>
              <w:rPr>
                <w:b/>
                <w:color w:val="1C3A36"/>
                <w:sz w:val="15"/>
              </w:rPr>
              <w:t>What it is</w:t>
            </w:r>
          </w:p>
        </w:tc>
        <w:tc>
          <w:tcPr>
            <w:tcW w:type="dxa" w:w="1584"/>
            <w:shd w:val="clear" w:color="auto" w:fill="EAF0EE"/>
          </w:tcPr>
          <w:p>
            <w:pPr>
              <w:spacing w:after="20"/>
            </w:pPr>
            <w:r>
              <w:rPr>
                <w:b/>
                <w:color w:val="1C3A36"/>
                <w:sz w:val="15"/>
              </w:rPr>
              <w:t>Held at</w:t>
            </w:r>
          </w:p>
        </w:tc>
      </w:tr>
      <w:tr>
        <w:tc>
          <w:tcPr>
            <w:tcW w:type="dxa" w:w="576"/>
          </w:tcPr>
          <w:p>
            <w:pPr>
              <w:spacing w:after="20"/>
            </w:pPr>
            <w:r>
              <w:rPr>
                <w:color w:val="1C3A36"/>
                <w:sz w:val="15"/>
              </w:rPr>
              <w:t>1</w:t>
            </w:r>
          </w:p>
        </w:tc>
        <w:tc>
          <w:tcPr>
            <w:tcW w:type="dxa" w:w="5616"/>
          </w:tcPr>
          <w:p>
            <w:pPr>
              <w:spacing w:after="20"/>
            </w:pPr>
            <w:r>
              <w:rPr>
                <w:color w:val="1C3A36"/>
                <w:sz w:val="15"/>
              </w:rPr>
              <w:t>GB_Annual_Report_2013.pdf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w:t>
            </w:r>
          </w:p>
        </w:tc>
        <w:tc>
          <w:tcPr>
            <w:tcW w:type="dxa" w:w="5616"/>
          </w:tcPr>
          <w:p>
            <w:pPr>
              <w:spacing w:after="20"/>
            </w:pPr>
            <w:r>
              <w:rPr>
                <w:color w:val="1C3A36"/>
                <w:sz w:val="15"/>
              </w:rPr>
              <w:t>GB_Annual_Report_2014.pdf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w:t>
            </w:r>
          </w:p>
        </w:tc>
        <w:tc>
          <w:tcPr>
            <w:tcW w:type="dxa" w:w="5616"/>
          </w:tcPr>
          <w:p>
            <w:pPr>
              <w:spacing w:after="20"/>
            </w:pPr>
            <w:r>
              <w:rPr>
                <w:color w:val="1C3A36"/>
                <w:sz w:val="15"/>
              </w:rPr>
              <w:t>GB_Annual_Report_2015.pdf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4</w:t>
            </w:r>
          </w:p>
        </w:tc>
        <w:tc>
          <w:tcPr>
            <w:tcW w:type="dxa" w:w="5616"/>
          </w:tcPr>
          <w:p>
            <w:pPr>
              <w:spacing w:after="20"/>
            </w:pPr>
            <w:r>
              <w:rPr>
                <w:color w:val="1C3A36"/>
                <w:sz w:val="15"/>
              </w:rPr>
              <w:t>GB_Annual_Report_2016.pdf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5</w:t>
            </w:r>
          </w:p>
        </w:tc>
        <w:tc>
          <w:tcPr>
            <w:tcW w:type="dxa" w:w="5616"/>
          </w:tcPr>
          <w:p>
            <w:pPr>
              <w:spacing w:after="20"/>
            </w:pPr>
            <w:r>
              <w:rPr>
                <w:color w:val="1C3A36"/>
                <w:sz w:val="15"/>
              </w:rPr>
              <w:t>GB_Annual_Report_2017.pdf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6</w:t>
            </w:r>
          </w:p>
        </w:tc>
        <w:tc>
          <w:tcPr>
            <w:tcW w:type="dxa" w:w="5616"/>
          </w:tcPr>
          <w:p>
            <w:pPr>
              <w:spacing w:after="20"/>
            </w:pPr>
            <w:r>
              <w:rPr>
                <w:color w:val="1C3A36"/>
                <w:sz w:val="15"/>
              </w:rPr>
              <w:t>GB_Annual_Report_2018.pdf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7</w:t>
            </w:r>
          </w:p>
        </w:tc>
        <w:tc>
          <w:tcPr>
            <w:tcW w:type="dxa" w:w="5616"/>
          </w:tcPr>
          <w:p>
            <w:pPr>
              <w:spacing w:after="20"/>
            </w:pPr>
            <w:r>
              <w:rPr>
                <w:color w:val="1C3A36"/>
                <w:sz w:val="15"/>
              </w:rPr>
              <w:t>GB_Annual_Report_2019.pdf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8</w:t>
            </w:r>
          </w:p>
        </w:tc>
        <w:tc>
          <w:tcPr>
            <w:tcW w:type="dxa" w:w="5616"/>
          </w:tcPr>
          <w:p>
            <w:pPr>
              <w:spacing w:after="20"/>
            </w:pPr>
            <w:r>
              <w:rPr>
                <w:color w:val="1C3A36"/>
                <w:sz w:val="15"/>
              </w:rPr>
              <w:t>GB_Annual_Report_2020.pdf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9</w:t>
            </w:r>
          </w:p>
        </w:tc>
        <w:tc>
          <w:tcPr>
            <w:tcW w:type="dxa" w:w="5616"/>
          </w:tcPr>
          <w:p>
            <w:pPr>
              <w:spacing w:after="20"/>
            </w:pPr>
            <w:r>
              <w:rPr>
                <w:color w:val="1C3A36"/>
                <w:sz w:val="15"/>
              </w:rPr>
              <w:t>GB_Annual_Report_2021.pdf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10</w:t>
            </w:r>
          </w:p>
        </w:tc>
        <w:tc>
          <w:tcPr>
            <w:tcW w:type="dxa" w:w="5616"/>
          </w:tcPr>
          <w:p>
            <w:pPr>
              <w:spacing w:after="20"/>
            </w:pPr>
            <w:r>
              <w:rPr>
                <w:color w:val="1C3A36"/>
                <w:sz w:val="15"/>
              </w:rPr>
              <w:t>GB_Annual_Report_2022.pdf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11</w:t>
            </w:r>
          </w:p>
        </w:tc>
        <w:tc>
          <w:tcPr>
            <w:tcW w:type="dxa" w:w="5616"/>
          </w:tcPr>
          <w:p>
            <w:pPr>
              <w:spacing w:after="20"/>
            </w:pPr>
            <w:r>
              <w:rPr>
                <w:color w:val="1C3A36"/>
                <w:sz w:val="15"/>
              </w:rPr>
              <w:t>GB_Annual_Report_2023.pdf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12</w:t>
            </w:r>
          </w:p>
        </w:tc>
        <w:tc>
          <w:tcPr>
            <w:tcW w:type="dxa" w:w="5616"/>
          </w:tcPr>
          <w:p>
            <w:pPr>
              <w:spacing w:after="20"/>
            </w:pPr>
            <w:r>
              <w:rPr>
                <w:color w:val="1C3A36"/>
                <w:sz w:val="15"/>
              </w:rPr>
              <w:t>GB_Annual_Report_2024.pdf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13</w:t>
            </w:r>
          </w:p>
        </w:tc>
        <w:tc>
          <w:tcPr>
            <w:tcW w:type="dxa" w:w="5616"/>
          </w:tcPr>
          <w:p>
            <w:pPr>
              <w:spacing w:after="20"/>
            </w:pPr>
            <w:r>
              <w:rPr>
                <w:color w:val="1C3A36"/>
                <w:sz w:val="15"/>
              </w:rPr>
              <w:t>GB_Auto_Consolidated_E_31_December_2020.pdf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14</w:t>
            </w:r>
          </w:p>
        </w:tc>
        <w:tc>
          <w:tcPr>
            <w:tcW w:type="dxa" w:w="5616"/>
          </w:tcPr>
          <w:p>
            <w:pPr>
              <w:spacing w:after="20"/>
            </w:pPr>
            <w:r>
              <w:rPr>
                <w:color w:val="1C3A36"/>
                <w:sz w:val="15"/>
              </w:rPr>
              <w:t>GB_Auto_Consolidated_E_31_December_2021.pdf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15</w:t>
            </w:r>
          </w:p>
        </w:tc>
        <w:tc>
          <w:tcPr>
            <w:tcW w:type="dxa" w:w="5616"/>
          </w:tcPr>
          <w:p>
            <w:pPr>
              <w:spacing w:after="20"/>
            </w:pPr>
            <w:r>
              <w:rPr>
                <w:color w:val="1C3A36"/>
                <w:sz w:val="15"/>
              </w:rPr>
              <w:t>GB_Auto_Consolidated_E_31_December_2022.pdf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16</w:t>
            </w:r>
          </w:p>
        </w:tc>
        <w:tc>
          <w:tcPr>
            <w:tcW w:type="dxa" w:w="5616"/>
          </w:tcPr>
          <w:p>
            <w:pPr>
              <w:spacing w:after="20"/>
            </w:pPr>
            <w:r>
              <w:rPr>
                <w:color w:val="1C3A36"/>
                <w:sz w:val="15"/>
              </w:rPr>
              <w:t>GB_Corp_Annual_Report_2025.pdf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17</w:t>
            </w:r>
          </w:p>
        </w:tc>
        <w:tc>
          <w:tcPr>
            <w:tcW w:type="dxa" w:w="5616"/>
          </w:tcPr>
          <w:p>
            <w:pPr>
              <w:spacing w:after="20"/>
            </w:pPr>
            <w:r>
              <w:rPr>
                <w:color w:val="1C3A36"/>
                <w:sz w:val="15"/>
              </w:rPr>
              <w:t>GB_Corp_Consolidated_E_31_December_2023.pdf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18</w:t>
            </w:r>
          </w:p>
        </w:tc>
        <w:tc>
          <w:tcPr>
            <w:tcW w:type="dxa" w:w="5616"/>
          </w:tcPr>
          <w:p>
            <w:pPr>
              <w:spacing w:after="20"/>
            </w:pPr>
            <w:r>
              <w:rPr>
                <w:color w:val="1C3A36"/>
                <w:sz w:val="15"/>
              </w:rPr>
              <w:t>GB_Corp_Consolidated_E_31_December_2024.pdf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19</w:t>
            </w:r>
          </w:p>
        </w:tc>
        <w:tc>
          <w:tcPr>
            <w:tcW w:type="dxa" w:w="5616"/>
          </w:tcPr>
          <w:p>
            <w:pPr>
              <w:spacing w:after="20"/>
            </w:pPr>
            <w:r>
              <w:rPr>
                <w:color w:val="1C3A36"/>
                <w:sz w:val="15"/>
              </w:rPr>
              <w:t>GB_Corp_Consolidated_E_31_December_2025.pdf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20</w:t>
            </w:r>
          </w:p>
        </w:tc>
        <w:tc>
          <w:tcPr>
            <w:tcW w:type="dxa" w:w="5616"/>
          </w:tcPr>
          <w:p>
            <w:pPr>
              <w:spacing w:after="20"/>
            </w:pPr>
            <w:r>
              <w:rPr>
                <w:color w:val="1C3A36"/>
                <w:sz w:val="15"/>
              </w:rPr>
              <w:t>GB_Corp_Consolidation_English_30_June-2026.pdf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21</w:t>
            </w:r>
          </w:p>
        </w:tc>
        <w:tc>
          <w:tcPr>
            <w:tcW w:type="dxa" w:w="5616"/>
          </w:tcPr>
          <w:p>
            <w:pPr>
              <w:spacing w:after="20"/>
            </w:pPr>
            <w:r>
              <w:rPr>
                <w:color w:val="1C3A36"/>
                <w:sz w:val="15"/>
              </w:rPr>
              <w:t>GB_Corp_Consolidation_English_31_March-2026.pdf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22</w:t>
            </w:r>
          </w:p>
        </w:tc>
        <w:tc>
          <w:tcPr>
            <w:tcW w:type="dxa" w:w="5616"/>
          </w:tcPr>
          <w:p>
            <w:pPr>
              <w:spacing w:after="20"/>
            </w:pPr>
            <w:r>
              <w:rPr>
                <w:color w:val="1C3A36"/>
                <w:sz w:val="15"/>
              </w:rPr>
              <w:t>GB_Corp_ER_1Q26-_E_-_Final.pdf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23</w:t>
            </w:r>
          </w:p>
        </w:tc>
        <w:tc>
          <w:tcPr>
            <w:tcW w:type="dxa" w:w="5616"/>
          </w:tcPr>
          <w:p>
            <w:pPr>
              <w:spacing w:after="20"/>
            </w:pPr>
            <w:r>
              <w:rPr>
                <w:color w:val="1C3A36"/>
                <w:sz w:val="15"/>
              </w:rPr>
              <w:t>GB_Corp_ER_2Q26-_E_-_Final.pdf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24</w:t>
            </w:r>
          </w:p>
        </w:tc>
        <w:tc>
          <w:tcPr>
            <w:tcW w:type="dxa" w:w="5616"/>
          </w:tcPr>
          <w:p>
            <w:pPr>
              <w:spacing w:after="20"/>
            </w:pPr>
            <w:r>
              <w:rPr>
                <w:color w:val="1C3A36"/>
                <w:sz w:val="15"/>
              </w:rPr>
              <w:t>GB_Corp_ER_4Q20_-_E_-_FINAL.pdf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25</w:t>
            </w:r>
          </w:p>
        </w:tc>
        <w:tc>
          <w:tcPr>
            <w:tcW w:type="dxa" w:w="5616"/>
          </w:tcPr>
          <w:p>
            <w:pPr>
              <w:spacing w:after="20"/>
            </w:pPr>
            <w:r>
              <w:rPr>
                <w:color w:val="1C3A36"/>
                <w:sz w:val="15"/>
              </w:rPr>
              <w:t>GB_Corp_ER_4Q21_-_E_-_FINAL.pdf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26</w:t>
            </w:r>
          </w:p>
        </w:tc>
        <w:tc>
          <w:tcPr>
            <w:tcW w:type="dxa" w:w="5616"/>
          </w:tcPr>
          <w:p>
            <w:pPr>
              <w:spacing w:after="20"/>
            </w:pPr>
            <w:r>
              <w:rPr>
                <w:color w:val="1C3A36"/>
                <w:sz w:val="15"/>
              </w:rPr>
              <w:t>GB_Corp_ER_4Q22_-_E_-_FINAL.pdf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27</w:t>
            </w:r>
          </w:p>
        </w:tc>
        <w:tc>
          <w:tcPr>
            <w:tcW w:type="dxa" w:w="5616"/>
          </w:tcPr>
          <w:p>
            <w:pPr>
              <w:spacing w:after="20"/>
            </w:pPr>
            <w:r>
              <w:rPr>
                <w:color w:val="1C3A36"/>
                <w:sz w:val="15"/>
              </w:rPr>
              <w:t>GB_Corp_ER_4Q23_-_ER_-_FINAL.pdf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28</w:t>
            </w:r>
          </w:p>
        </w:tc>
        <w:tc>
          <w:tcPr>
            <w:tcW w:type="dxa" w:w="5616"/>
          </w:tcPr>
          <w:p>
            <w:pPr>
              <w:spacing w:after="20"/>
            </w:pPr>
            <w:r>
              <w:rPr>
                <w:color w:val="1C3A36"/>
                <w:sz w:val="15"/>
              </w:rPr>
              <w:t>GB_Corp_ER_4Q24-_E_-_Final.pdf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29</w:t>
            </w:r>
          </w:p>
        </w:tc>
        <w:tc>
          <w:tcPr>
            <w:tcW w:type="dxa" w:w="5616"/>
          </w:tcPr>
          <w:p>
            <w:pPr>
              <w:spacing w:after="20"/>
            </w:pPr>
            <w:r>
              <w:rPr>
                <w:color w:val="1C3A36"/>
                <w:sz w:val="15"/>
              </w:rPr>
              <w:t>GB_Corp_ER_4Q25-_E_-_Final.pdf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30</w:t>
            </w:r>
          </w:p>
        </w:tc>
        <w:tc>
          <w:tcPr>
            <w:tcW w:type="dxa" w:w="5616"/>
          </w:tcPr>
          <w:p>
            <w:pPr>
              <w:spacing w:after="20"/>
            </w:pPr>
            <w:r>
              <w:rPr>
                <w:color w:val="1C3A36"/>
                <w:sz w:val="15"/>
              </w:rPr>
              <w:t>GB_IRP_1Q26_-_Final.pdf</w:t>
            </w:r>
          </w:p>
        </w:tc>
        <w:tc>
          <w:tcPr>
            <w:tcW w:type="dxa" w:w="6336"/>
          </w:tcPr>
          <w:p>
            <w:pPr>
              <w:spacing w:after="20"/>
            </w:pPr>
            <w:r>
              <w:rPr>
                <w:color w:val="1C3A36"/>
                <w:sz w:val="15"/>
              </w:rPr>
              <w:t>Investor presentation</w:t>
            </w:r>
          </w:p>
        </w:tc>
        <w:tc>
          <w:tcPr>
            <w:tcW w:type="dxa" w:w="1584"/>
          </w:tcPr>
          <w:p>
            <w:pPr>
              <w:spacing w:after="20"/>
            </w:pPr>
            <w:r>
              <w:rPr>
                <w:color w:val="1C3A36"/>
                <w:sz w:val="15"/>
              </w:rPr>
              <w:t>committed with this study</w:t>
            </w:r>
          </w:p>
        </w:tc>
      </w:tr>
    </w:tbl>
    <w:p>
      <w:pPr>
        <w:spacing w:after="40"/>
      </w:pPr>
    </w:p>
    <w:p>
      <w:pPr>
        <w:spacing w:after="100" w:before="0"/>
      </w:pPr>
      <w:r>
        <w:rPr>
          <w:b w:val="0"/>
          <w:i w:val="0"/>
          <w:color w:val="1C3A36"/>
          <w:sz w:val="18"/>
        </w:rPr>
        <w:t>Every file above was downloaded from GB Corp’s own investor-relations portal and is kept with this study, so a reader can re-derive any figure in the study from the same document the study read. The count is what the directory holds rather than a number typed here.</w:t>
      </w:r>
    </w:p>
    <w:p>
      <w:r>
        <w:br w:type="page"/>
      </w:r>
    </w:p>
    <w:p>
      <w:pPr>
        <w:spacing w:after="120" w:before="240"/>
      </w:pPr>
      <w:r>
        <w:rPr>
          <w:b/>
          <w:i w:val="0"/>
          <w:color w:val="1C3A36"/>
          <w:sz w:val="30"/>
        </w:rPr>
        <w:t>2  Input register — every figure that reaches the model</w:t>
      </w:r>
    </w:p>
    <w:p>
      <w:pPr>
        <w:spacing w:after="100" w:before="0"/>
      </w:pPr>
      <w:r>
        <w:rPr>
          <w:b w:val="0"/>
          <w:i w:val="0"/>
          <w:color w:val="1C3A36"/>
          <w:sz w:val="19"/>
        </w:rPr>
        <w:t>Four fields on every input: the value, the source, the date that source carries, and the research layer it belongs to. The layer is DERIVED from which source built the entry rather than typed, so it cannot drift from the source it describes.</w:t>
      </w:r>
    </w:p>
    <w:p>
      <w:pPr>
        <w:spacing w:after="80" w:before="200"/>
      </w:pPr>
      <w:r>
        <w:rPr>
          <w:b/>
          <w:i w:val="0"/>
          <w:color w:val="1C3A36"/>
          <w:sz w:val="23"/>
        </w:rPr>
        <w:t>Research layer — Company</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capex_fy2025</w:t>
            </w:r>
          </w:p>
        </w:tc>
        <w:tc>
          <w:tcPr>
            <w:tcW w:type="dxa" w:w="1224"/>
          </w:tcPr>
          <w:p>
            <w:pPr>
              <w:spacing w:after="20"/>
            </w:pPr>
            <w:r>
              <w:rPr>
                <w:color w:val="1C3A36"/>
                <w:sz w:val="14"/>
              </w:rPr>
              <w:t>3,664.2</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payment for acquisition of property, plant, equipment and projects under construction</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cash_dec2025</w:t>
            </w:r>
          </w:p>
        </w:tc>
        <w:tc>
          <w:tcPr>
            <w:tcW w:type="dxa" w:w="1224"/>
          </w:tcPr>
          <w:p>
            <w:pPr>
              <w:spacing w:after="20"/>
            </w:pPr>
            <w:r>
              <w:rPr>
                <w:color w:val="1C3A36"/>
                <w:sz w:val="14"/>
              </w:rPr>
              <w:t>9,523.6</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 16, cash and cash equivalents</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debt_dec2025</w:t>
            </w:r>
          </w:p>
        </w:tc>
        <w:tc>
          <w:tcPr>
            <w:tcW w:type="dxa" w:w="1224"/>
          </w:tcPr>
          <w:p>
            <w:pPr>
              <w:spacing w:after="20"/>
            </w:pPr>
            <w:r>
              <w:rPr>
                <w:color w:val="1C3A36"/>
                <w:sz w:val="14"/>
              </w:rPr>
              <w:t>38,041.4</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notes 26 and 38: loans 10,721,880 + bonds 40,000 + loans, borrowings and overdrafts 27,199,462 + bonds 80,000</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dep_fy2025</w:t>
            </w:r>
          </w:p>
        </w:tc>
        <w:tc>
          <w:tcPr>
            <w:tcW w:type="dxa" w:w="1224"/>
          </w:tcPr>
          <w:p>
            <w:pPr>
              <w:spacing w:after="20"/>
            </w:pPr>
            <w:r>
              <w:rPr>
                <w:color w:val="1C3A36"/>
                <w:sz w:val="14"/>
              </w:rPr>
              <w:t>999.3</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depreciation and amortisation for the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ebit_fy2025</w:t>
            </w:r>
          </w:p>
        </w:tc>
        <w:tc>
          <w:tcPr>
            <w:tcW w:type="dxa" w:w="1224"/>
          </w:tcPr>
          <w:p>
            <w:pPr>
              <w:spacing w:after="20"/>
            </w:pPr>
            <w:r>
              <w:rPr>
                <w:color w:val="1C3A36"/>
                <w:sz w:val="14"/>
              </w:rPr>
              <w:t>6,631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gp_fy2025</w:t>
            </w:r>
          </w:p>
        </w:tc>
        <w:tc>
          <w:tcPr>
            <w:tcW w:type="dxa" w:w="1224"/>
          </w:tcPr>
          <w:p>
            <w:pPr>
              <w:spacing w:after="20"/>
            </w:pPr>
            <w:r>
              <w:rPr>
                <w:color w:val="1C3A36"/>
                <w:sz w:val="14"/>
              </w:rPr>
              <w:t>12,431.1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pat_fy2024</w:t>
            </w:r>
          </w:p>
        </w:tc>
        <w:tc>
          <w:tcPr>
            <w:tcW w:type="dxa" w:w="1224"/>
          </w:tcPr>
          <w:p>
            <w:pPr>
              <w:spacing w:after="20"/>
            </w:pPr>
            <w:r>
              <w:rPr>
                <w:color w:val="1C3A36"/>
                <w:sz w:val="14"/>
              </w:rPr>
              <w:t>2,928.1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pat_fy2025</w:t>
            </w:r>
          </w:p>
        </w:tc>
        <w:tc>
          <w:tcPr>
            <w:tcW w:type="dxa" w:w="1224"/>
          </w:tcPr>
          <w:p>
            <w:pPr>
              <w:spacing w:after="20"/>
            </w:pPr>
            <w:r>
              <w:rPr>
                <w:color w:val="1C3A36"/>
                <w:sz w:val="14"/>
              </w:rPr>
              <w:t>2,880</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attributable to the parent; the FY2025 opinion is QUALIFIED on the MNT-BV associate</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Research layer — Company (investor relations)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cash_jun2026</w:t>
            </w:r>
          </w:p>
        </w:tc>
        <w:tc>
          <w:tcPr>
            <w:tcW w:type="dxa" w:w="1224"/>
          </w:tcPr>
          <w:p>
            <w:pPr>
              <w:spacing w:after="20"/>
            </w:pPr>
            <w:r>
              <w:rPr>
                <w:color w:val="1C3A36"/>
                <w:sz w:val="14"/>
              </w:rPr>
              <w:t>10,951.5</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balance sheet by segment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debt_auto_jun2026</w:t>
            </w:r>
          </w:p>
        </w:tc>
        <w:tc>
          <w:tcPr>
            <w:tcW w:type="dxa" w:w="1224"/>
          </w:tcPr>
          <w:p>
            <w:pPr>
              <w:spacing w:after="20"/>
            </w:pPr>
            <w:r>
              <w:rPr>
                <w:color w:val="1C3A36"/>
                <w:sz w:val="14"/>
              </w:rPr>
              <w:t>22,733.1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GB Auto column: 20,943.0 + 1,790.1 — THE BORROWINGS THAT ACTUALLY BEAR THE ASSEMBLER'S INTEREST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debt_jun2026</w:t>
            </w:r>
          </w:p>
        </w:tc>
        <w:tc>
          <w:tcPr>
            <w:tcW w:type="dxa" w:w="1224"/>
          </w:tcPr>
          <w:p>
            <w:pPr>
              <w:spacing w:after="20"/>
            </w:pPr>
            <w:r>
              <w:rPr>
                <w:color w:val="1C3A36"/>
                <w:sz w:val="14"/>
              </w:rPr>
              <w:t>42,476</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loans and overdraft 28,703.7 + loans 13,772.3</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eq_jun2026</w:t>
            </w:r>
          </w:p>
        </w:tc>
        <w:tc>
          <w:tcPr>
            <w:tcW w:type="dxa" w:w="1224"/>
          </w:tcPr>
          <w:p>
            <w:pPr>
              <w:spacing w:after="20"/>
            </w:pPr>
            <w:r>
              <w:rPr>
                <w:color w:val="1C3A36"/>
                <w:sz w:val="14"/>
              </w:rPr>
              <w:t>35,127.9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total equity</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gp_h1_2026</w:t>
            </w:r>
          </w:p>
        </w:tc>
        <w:tc>
          <w:tcPr>
            <w:tcW w:type="dxa" w:w="1224"/>
          </w:tcPr>
          <w:p>
            <w:pPr>
              <w:spacing w:after="20"/>
            </w:pPr>
            <w:r>
              <w:rPr>
                <w:color w:val="1C3A36"/>
                <w:sz w:val="14"/>
              </w:rPr>
              <w:t>7,421.9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gross_auto_h1_2026</w:t>
            </w:r>
          </w:p>
        </w:tc>
        <w:tc>
          <w:tcPr>
            <w:tcW w:type="dxa" w:w="1224"/>
          </w:tcPr>
          <w:p>
            <w:pPr>
              <w:spacing w:after="20"/>
            </w:pPr>
            <w:r>
              <w:rPr>
                <w:color w:val="1C3A36"/>
                <w:sz w:val="14"/>
              </w:rPr>
              <w:t>5,722.1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11 income statement BY SEGMENT: GB Auto total revenue 40,021.5, gross profit 5,722.1</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ni_h1_2026</w:t>
            </w:r>
          </w:p>
        </w:tc>
        <w:tc>
          <w:tcPr>
            <w:tcW w:type="dxa" w:w="1224"/>
          </w:tcPr>
          <w:p>
            <w:pPr>
              <w:spacing w:after="20"/>
            </w:pPr>
            <w:r>
              <w:rPr>
                <w:color w:val="1C3A36"/>
                <w:sz w:val="14"/>
              </w:rPr>
              <w:t>1,262</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rev_fy2023</w:t>
            </w:r>
          </w:p>
        </w:tc>
        <w:tc>
          <w:tcPr>
            <w:tcW w:type="dxa" w:w="1224"/>
          </w:tcPr>
          <w:p>
            <w:pPr>
              <w:spacing w:after="20"/>
            </w:pPr>
            <w:r>
              <w:rPr>
                <w:color w:val="1C3A36"/>
                <w:sz w:val="14"/>
              </w:rPr>
              <w:t>28,317.2</w:t>
            </w:r>
          </w:p>
        </w:tc>
        <w:tc>
          <w:tcPr>
            <w:tcW w:type="dxa" w:w="792"/>
          </w:tcPr>
          <w:p>
            <w:pPr>
              <w:spacing w:after="20"/>
            </w:pPr>
            <w:r>
              <w:rPr>
                <w:color w:val="1C3A36"/>
                <w:sz w:val="14"/>
              </w:rPr>
              <w:t>EGP mn</w:t>
            </w:r>
          </w:p>
        </w:tc>
        <w:tc>
          <w:tcPr>
            <w:tcW w:type="dxa" w:w="6264"/>
          </w:tcPr>
          <w:p>
            <w:pPr>
              <w:spacing w:after="20"/>
            </w:pPr>
            <w:r>
              <w:rPr>
                <w:color w:val="1C3A36"/>
                <w:sz w:val="14"/>
              </w:rPr>
              <w:t>GB Corp's own 4Q23 earnings release, published on ir.gb-corporation.com and committed under</w:t>
            </w:r>
          </w:p>
        </w:tc>
        <w:tc>
          <w:tcPr>
            <w:tcW w:type="dxa" w:w="1224"/>
          </w:tcPr>
          <w:p>
            <w:pPr>
              <w:spacing w:after="20"/>
            </w:pPr>
            <w:r>
              <w:rPr>
                <w:color w:val="1C3A36"/>
                <w:sz w:val="14"/>
              </w:rPr>
              <w:t>2024-03-01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9</w:t>
            </w:r>
          </w:p>
        </w:tc>
        <w:tc>
          <w:tcPr>
            <w:tcW w:type="dxa" w:w="1944"/>
          </w:tcPr>
          <w:p>
            <w:pPr>
              <w:spacing w:after="20"/>
            </w:pPr>
            <w:r>
              <w:rPr>
                <w:color w:val="1C3A36"/>
                <w:sz w:val="14"/>
              </w:rPr>
              <w:t>rev_fy2024</w:t>
            </w:r>
          </w:p>
        </w:tc>
        <w:tc>
          <w:tcPr>
            <w:tcW w:type="dxa" w:w="1224"/>
          </w:tcPr>
          <w:p>
            <w:pPr>
              <w:spacing w:after="20"/>
            </w:pPr>
            <w:r>
              <w:rPr>
                <w:color w:val="1C3A36"/>
                <w:sz w:val="14"/>
              </w:rPr>
              <w:t>53,969.5</w:t>
            </w:r>
          </w:p>
        </w:tc>
        <w:tc>
          <w:tcPr>
            <w:tcW w:type="dxa" w:w="792"/>
          </w:tcPr>
          <w:p>
            <w:pPr>
              <w:spacing w:after="20"/>
            </w:pPr>
            <w:r>
              <w:rPr>
                <w:color w:val="1C3A36"/>
                <w:sz w:val="14"/>
              </w:rPr>
              <w:t>EGP mn</w:t>
            </w:r>
          </w:p>
        </w:tc>
        <w:tc>
          <w:tcPr>
            <w:tcW w:type="dxa" w:w="6264"/>
          </w:tcPr>
          <w:p>
            <w:pPr>
              <w:spacing w:after="20"/>
            </w:pPr>
            <w:r>
              <w:rPr>
                <w:color w:val="1C3A36"/>
                <w:sz w:val="14"/>
              </w:rPr>
              <w:t>GB Corp's own 4Q24 earnings release, published on ir.gb-corporation.com and committed under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10</w:t>
            </w:r>
          </w:p>
        </w:tc>
        <w:tc>
          <w:tcPr>
            <w:tcW w:type="dxa" w:w="1944"/>
          </w:tcPr>
          <w:p>
            <w:pPr>
              <w:spacing w:after="20"/>
            </w:pPr>
            <w:r>
              <w:rPr>
                <w:color w:val="1C3A36"/>
                <w:sz w:val="14"/>
              </w:rPr>
              <w:t>rev_fy2025</w:t>
            </w:r>
          </w:p>
        </w:tc>
        <w:tc>
          <w:tcPr>
            <w:tcW w:type="dxa" w:w="1224"/>
          </w:tcPr>
          <w:p>
            <w:pPr>
              <w:spacing w:after="20"/>
            </w:pPr>
            <w:r>
              <w:rPr>
                <w:color w:val="1C3A36"/>
                <w:sz w:val="14"/>
              </w:rPr>
              <w:t>80,229.8</w:t>
            </w:r>
          </w:p>
        </w:tc>
        <w:tc>
          <w:tcPr>
            <w:tcW w:type="dxa" w:w="792"/>
          </w:tcPr>
          <w:p>
            <w:pPr>
              <w:spacing w:after="20"/>
            </w:pPr>
            <w:r>
              <w:rPr>
                <w:color w:val="1C3A36"/>
                <w:sz w:val="14"/>
              </w:rPr>
              <w:t>EGP mn</w:t>
            </w:r>
          </w:p>
        </w:tc>
        <w:tc>
          <w:tcPr>
            <w:tcW w:type="dxa" w:w="6264"/>
          </w:tcPr>
          <w:p>
            <w:pPr>
              <w:spacing w:after="20"/>
            </w:pPr>
            <w:r>
              <w:rPr>
                <w:color w:val="1C3A36"/>
                <w:sz w:val="14"/>
              </w:rPr>
              <w:t>GB Corp's own 4Q25 earnings release, published on ir.gb-corporation.com and committed under; footed against the FY2025 audited consolidated statement of income, operating revenue 80,229,809 (EGP thousand)</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11</w:t>
            </w:r>
          </w:p>
        </w:tc>
        <w:tc>
          <w:tcPr>
            <w:tcW w:type="dxa" w:w="1944"/>
          </w:tcPr>
          <w:p>
            <w:pPr>
              <w:spacing w:after="20"/>
            </w:pPr>
            <w:r>
              <w:rPr>
                <w:color w:val="1C3A36"/>
                <w:sz w:val="14"/>
              </w:rPr>
              <w:t>rev_h1_2026</w:t>
            </w:r>
          </w:p>
        </w:tc>
        <w:tc>
          <w:tcPr>
            <w:tcW w:type="dxa" w:w="1224"/>
          </w:tcPr>
          <w:p>
            <w:pPr>
              <w:spacing w:after="20"/>
            </w:pPr>
            <w:r>
              <w:rPr>
                <w:color w:val="1C3A36"/>
                <w:sz w:val="14"/>
              </w:rPr>
              <w:t>48,474.4</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13 August 2026</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The reported history behind the study’s own income statement</w:t>
      </w:r>
    </w:p>
    <w:p>
      <w:pPr>
        <w:spacing w:after="100" w:before="0"/>
      </w:pPr>
      <w:r>
        <w:rPr>
          <w:b w:val="0"/>
          <w:i w:val="0"/>
          <w:color w:val="1C3A36"/>
          <w:sz w:val="19"/>
        </w:rPr>
        <w:t>The three reported years the study prints come from the walk-forward panel, which holds this company’s consolidated income statement as originally reported. Every year is asserted to foot against its own arithmetic before it enters anything.</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1656"/>
        <w:gridCol w:w="2232"/>
        <w:gridCol w:w="3528"/>
        <w:gridCol w:w="1224"/>
        <w:gridCol w:w="720"/>
        <w:gridCol w:w="3672"/>
      </w:tblGrid>
      <w:tr>
        <w:tc>
          <w:tcPr>
            <w:tcW w:type="dxa" w:w="1080"/>
            <w:shd w:val="clear" w:color="auto" w:fill="EAF0EE"/>
          </w:tcPr>
          <w:p>
            <w:pPr>
              <w:spacing w:after="20"/>
            </w:pPr>
            <w:r>
              <w:rPr>
                <w:b/>
                <w:color w:val="1C3A36"/>
                <w:sz w:val="15"/>
              </w:rPr>
              <w:t>Fiscal year</w:t>
            </w:r>
          </w:p>
        </w:tc>
        <w:tc>
          <w:tcPr>
            <w:tcW w:type="dxa" w:w="1656"/>
            <w:shd w:val="clear" w:color="auto" w:fill="EAF0EE"/>
          </w:tcPr>
          <w:p>
            <w:pPr>
              <w:spacing w:after="20"/>
            </w:pPr>
            <w:r>
              <w:rPr>
                <w:b/>
                <w:color w:val="1C3A36"/>
                <w:sz w:val="15"/>
              </w:rPr>
              <w:t>Revenue (EGP mn)</w:t>
            </w:r>
          </w:p>
        </w:tc>
        <w:tc>
          <w:tcPr>
            <w:tcW w:type="dxa" w:w="2232"/>
            <w:shd w:val="clear" w:color="auto" w:fill="EAF0EE"/>
          </w:tcPr>
          <w:p>
            <w:pPr>
              <w:spacing w:after="20"/>
            </w:pPr>
            <w:r>
              <w:rPr>
                <w:b/>
                <w:color w:val="1C3A36"/>
                <w:sz w:val="15"/>
              </w:rPr>
              <w:t>Profit attributable (EGP mn)</w:t>
            </w:r>
          </w:p>
        </w:tc>
        <w:tc>
          <w:tcPr>
            <w:tcW w:type="dxa" w:w="3528"/>
            <w:shd w:val="clear" w:color="auto" w:fill="EAF0EE"/>
          </w:tcPr>
          <w:p>
            <w:pPr>
              <w:spacing w:after="20"/>
            </w:pPr>
            <w:r>
              <w:rPr>
                <w:b/>
                <w:color w:val="1C3A36"/>
                <w:sz w:val="15"/>
              </w:rPr>
              <w:t>Source document</w:t>
            </w:r>
          </w:p>
        </w:tc>
        <w:tc>
          <w:tcPr>
            <w:tcW w:type="dxa" w:w="1224"/>
            <w:shd w:val="clear" w:color="auto" w:fill="EAF0EE"/>
          </w:tcPr>
          <w:p>
            <w:pPr>
              <w:spacing w:after="20"/>
            </w:pPr>
            <w:r>
              <w:rPr>
                <w:b/>
                <w:color w:val="1C3A36"/>
                <w:sz w:val="15"/>
              </w:rPr>
              <w:t>Source date</w:t>
            </w:r>
          </w:p>
        </w:tc>
        <w:tc>
          <w:tcPr>
            <w:tcW w:type="dxa" w:w="720"/>
            <w:shd w:val="clear" w:color="auto" w:fill="EAF0EE"/>
          </w:tcPr>
          <w:p>
            <w:pPr>
              <w:spacing w:after="20"/>
            </w:pPr>
            <w:r>
              <w:rPr>
                <w:b/>
                <w:color w:val="1C3A36"/>
                <w:sz w:val="15"/>
              </w:rPr>
              <w:t>Foots</w:t>
            </w:r>
          </w:p>
        </w:tc>
        <w:tc>
          <w:tcPr>
            <w:tcW w:type="dxa" w:w="3672"/>
            <w:shd w:val="clear" w:color="auto" w:fill="EAF0EE"/>
          </w:tcPr>
          <w:p>
            <w:pPr>
              <w:spacing w:after="20"/>
            </w:pPr>
            <w:r>
              <w:rPr>
                <w:b/>
                <w:color w:val="1C3A36"/>
                <w:sz w:val="15"/>
              </w:rPr>
              <w:t>Route</w:t>
            </w:r>
          </w:p>
        </w:tc>
      </w:tr>
      <w:tr>
        <w:tc>
          <w:tcPr>
            <w:tcW w:type="dxa" w:w="1080"/>
          </w:tcPr>
          <w:p>
            <w:pPr>
              <w:spacing w:after="20"/>
            </w:pPr>
            <w:r>
              <w:rPr>
                <w:color w:val="1C3A36"/>
                <w:sz w:val="15"/>
              </w:rPr>
              <w:t>FY2023</w:t>
            </w:r>
          </w:p>
        </w:tc>
        <w:tc>
          <w:tcPr>
            <w:tcW w:type="dxa" w:w="1656"/>
          </w:tcPr>
          <w:p>
            <w:pPr>
              <w:spacing w:after="20"/>
            </w:pPr>
            <w:r>
              <w:rPr>
                <w:color w:val="1C3A36"/>
                <w:sz w:val="15"/>
              </w:rPr>
              <w:t>28,317.2</w:t>
            </w:r>
          </w:p>
        </w:tc>
        <w:tc>
          <w:tcPr>
            <w:tcW w:type="dxa" w:w="2232"/>
          </w:tcPr>
          <w:p>
            <w:pPr>
              <w:spacing w:after="20"/>
            </w:pPr>
            <w:r>
              <w:rPr>
                <w:color w:val="1C3A36"/>
                <w:sz w:val="15"/>
              </w:rPr>
              <w:t>1,890.8</w:t>
            </w:r>
          </w:p>
        </w:tc>
        <w:tc>
          <w:tcPr>
            <w:tcW w:type="dxa" w:w="3528"/>
          </w:tcPr>
          <w:p>
            <w:pPr>
              <w:spacing w:after="20"/>
            </w:pPr>
            <w:r>
              <w:rPr>
                <w:color w:val="1C3A36"/>
                <w:sz w:val="15"/>
              </w:rPr>
              <w:t>GB_Corp_ER_4Q23_-_ER_-_FINAL.pdf</w:t>
            </w:r>
          </w:p>
        </w:tc>
        <w:tc>
          <w:tcPr>
            <w:tcW w:type="dxa" w:w="1224"/>
          </w:tcPr>
          <w:p>
            <w:pPr>
              <w:spacing w:after="20"/>
            </w:pPr>
            <w:r>
              <w:rPr>
                <w:color w:val="1C3A36"/>
                <w:sz w:val="15"/>
              </w:rPr>
              <w:t>2024-03-01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FY2024</w:t>
            </w:r>
          </w:p>
        </w:tc>
        <w:tc>
          <w:tcPr>
            <w:tcW w:type="dxa" w:w="1656"/>
          </w:tcPr>
          <w:p>
            <w:pPr>
              <w:spacing w:after="20"/>
            </w:pPr>
            <w:r>
              <w:rPr>
                <w:color w:val="1C3A36"/>
                <w:sz w:val="15"/>
              </w:rPr>
              <w:t>53,969.5</w:t>
            </w:r>
          </w:p>
        </w:tc>
        <w:tc>
          <w:tcPr>
            <w:tcW w:type="dxa" w:w="2232"/>
          </w:tcPr>
          <w:p>
            <w:pPr>
              <w:spacing w:after="20"/>
            </w:pPr>
            <w:r>
              <w:rPr>
                <w:color w:val="1C3A36"/>
                <w:sz w:val="15"/>
              </w:rPr>
              <w:t>2,928.1</w:t>
            </w:r>
          </w:p>
        </w:tc>
        <w:tc>
          <w:tcPr>
            <w:tcW w:type="dxa" w:w="3528"/>
          </w:tcPr>
          <w:p>
            <w:pPr>
              <w:spacing w:after="20"/>
            </w:pPr>
            <w:r>
              <w:rPr>
                <w:color w:val="1C3A36"/>
                <w:sz w:val="15"/>
              </w:rPr>
              <w:t>GB_Corp_ER_4Q24-_E_-_Final.pdf</w:t>
            </w:r>
          </w:p>
        </w:tc>
        <w:tc>
          <w:tcPr>
            <w:tcW w:type="dxa" w:w="1224"/>
          </w:tcPr>
          <w:p>
            <w:pPr>
              <w:spacing w:after="20"/>
            </w:pPr>
            <w:r>
              <w:rPr>
                <w:color w:val="1C3A36"/>
                <w:sz w:val="15"/>
              </w:rPr>
              <w:t>2025-02-01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FY2025</w:t>
            </w:r>
          </w:p>
        </w:tc>
        <w:tc>
          <w:tcPr>
            <w:tcW w:type="dxa" w:w="1656"/>
          </w:tcPr>
          <w:p>
            <w:pPr>
              <w:spacing w:after="20"/>
            </w:pPr>
            <w:r>
              <w:rPr>
                <w:color w:val="1C3A36"/>
                <w:sz w:val="15"/>
              </w:rPr>
              <w:t>80,229.8</w:t>
            </w:r>
          </w:p>
        </w:tc>
        <w:tc>
          <w:tcPr>
            <w:tcW w:type="dxa" w:w="2232"/>
          </w:tcPr>
          <w:p>
            <w:pPr>
              <w:spacing w:after="20"/>
            </w:pPr>
            <w:r>
              <w:rPr>
                <w:color w:val="1C3A36"/>
                <w:sz w:val="15"/>
              </w:rPr>
              <w:t>2,880.0</w:t>
            </w:r>
          </w:p>
        </w:tc>
        <w:tc>
          <w:tcPr>
            <w:tcW w:type="dxa" w:w="3528"/>
          </w:tcPr>
          <w:p>
            <w:pPr>
              <w:spacing w:after="20"/>
            </w:pPr>
            <w:r>
              <w:rPr>
                <w:color w:val="1C3A36"/>
                <w:sz w:val="15"/>
              </w:rPr>
              <w:t>GB_Corp_ER_4Q25-_E_-_Final.pdf</w:t>
            </w:r>
          </w:p>
        </w:tc>
        <w:tc>
          <w:tcPr>
            <w:tcW w:type="dxa" w:w="1224"/>
          </w:tcPr>
          <w:p>
            <w:pPr>
              <w:spacing w:after="20"/>
            </w:pPr>
            <w:r>
              <w:rPr>
                <w:color w:val="1C3A36"/>
                <w:sz w:val="15"/>
              </w:rPr>
              <w:t>2026-02-26</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bl>
    <w:p>
      <w:pPr>
        <w:spacing w:after="40"/>
      </w:pPr>
    </w:p>
    <w:p>
      <w:pPr>
        <w:spacing w:after="100" w:before="0"/>
      </w:pPr>
      <w:r>
        <w:rPr>
          <w:b w:val="0"/>
          <w:i w:val="0"/>
          <w:color w:val="1C3A36"/>
          <w:sz w:val="18"/>
        </w:rPr>
        <w:t>The panel behind the walk-forward runs from 2012-2025 and every year in it foots; the three printed above are the ones this study’s own statements table carries.</w:t>
      </w:r>
    </w:p>
    <w:p>
      <w:r>
        <w:br w:type="page"/>
      </w:r>
    </w:p>
    <w:p>
      <w:pPr>
        <w:spacing w:after="120" w:before="240"/>
      </w:pPr>
      <w:r>
        <w:rPr>
          <w:b/>
          <w:i w:val="0"/>
          <w:color w:val="1C3A36"/>
          <w:sz w:val="30"/>
        </w:rPr>
        <w:t>3  Judgements — and what would overturn each one</w:t>
      </w:r>
    </w:p>
    <w:p>
      <w:pPr>
        <w:spacing w:after="100" w:before="0"/>
      </w:pPr>
      <w:r>
        <w:rPr>
          <w:b w:val="0"/>
          <w:i w:val="0"/>
          <w:color w:val="1C3A36"/>
          <w:sz w:val="19"/>
        </w:rPr>
        <w:t>A judgement is a fork this study resolved one way and could defensibly have resolved the other. Each row states what was adopted, what the alternative was, what the alternative is worth, and which direction the study took. The last column is what would overturn the choice. Nothing here is an input to the valuation: it is a record OF the valuation.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4104"/>
        <w:gridCol w:w="4104"/>
        <w:gridCol w:w="864"/>
        <w:gridCol w:w="2952"/>
      </w:tblGrid>
      <w:tr>
        <w:tc>
          <w:tcPr>
            <w:tcW w:type="dxa" w:w="2088"/>
            <w:shd w:val="clear" w:color="auto" w:fill="EAF0EE"/>
          </w:tcPr>
          <w:p>
            <w:pPr>
              <w:spacing w:after="20"/>
            </w:pPr>
            <w:r>
              <w:rPr>
                <w:b/>
                <w:color w:val="1C3A36"/>
                <w:sz w:val="14"/>
              </w:rPr>
              <w:t>Judgement</w:t>
            </w:r>
          </w:p>
        </w:tc>
        <w:tc>
          <w:tcPr>
            <w:tcW w:type="dxa" w:w="4104"/>
            <w:shd w:val="clear" w:color="auto" w:fill="EAF0EE"/>
          </w:tcPr>
          <w:p>
            <w:pPr>
              <w:spacing w:after="20"/>
            </w:pPr>
            <w:r>
              <w:rPr>
                <w:b/>
                <w:color w:val="1C3A36"/>
                <w:sz w:val="14"/>
              </w:rPr>
              <w:t>Adopted</w:t>
            </w:r>
          </w:p>
        </w:tc>
        <w:tc>
          <w:tcPr>
            <w:tcW w:type="dxa" w:w="4104"/>
            <w:shd w:val="clear" w:color="auto" w:fill="EAF0EE"/>
          </w:tcPr>
          <w:p>
            <w:pPr>
              <w:spacing w:after="20"/>
            </w:pPr>
            <w:r>
              <w:rPr>
                <w:b/>
                <w:color w:val="1C3A36"/>
                <w:sz w:val="14"/>
              </w:rPr>
              <w:t>The alternative</w:t>
            </w:r>
          </w:p>
        </w:tc>
        <w:tc>
          <w:tcPr>
            <w:tcW w:type="dxa" w:w="864"/>
            <w:shd w:val="clear" w:color="auto" w:fill="EAF0EE"/>
          </w:tcPr>
          <w:p>
            <w:pPr>
              <w:spacing w:after="20"/>
            </w:pPr>
            <w:r>
              <w:rPr>
                <w:b/>
                <w:color w:val="1C3A36"/>
                <w:sz w:val="14"/>
              </w:rPr>
              <w:t>Worth</w:t>
            </w:r>
          </w:p>
        </w:tc>
        <w:tc>
          <w:tcPr>
            <w:tcW w:type="dxa" w:w="2952"/>
            <w:shd w:val="clear" w:color="auto" w:fill="EAF0EE"/>
          </w:tcPr>
          <w:p>
            <w:pPr>
              <w:spacing w:after="20"/>
            </w:pPr>
            <w:r>
              <w:rPr>
                <w:b/>
                <w:color w:val="1C3A36"/>
                <w:sz w:val="14"/>
              </w:rPr>
              <w:t>Direction taken</w:t>
            </w:r>
          </w:p>
        </w:tc>
      </w:tr>
      <w:tr>
        <w:tc>
          <w:tcPr>
            <w:tcW w:type="dxa" w:w="2088"/>
          </w:tcPr>
          <w:p>
            <w:pPr>
              <w:spacing w:after="20"/>
            </w:pPr>
            <w:r>
              <w:rPr>
                <w:color w:val="1C3A36"/>
                <w:sz w:val="14"/>
              </w:rPr>
              <w:t>the construction of the central</w:t>
            </w:r>
          </w:p>
        </w:tc>
        <w:tc>
          <w:tcPr>
            <w:tcW w:type="dxa" w:w="4104"/>
          </w:tcPr>
          <w:p>
            <w:pPr>
              <w:spacing w:after="20"/>
            </w:pPr>
            <w:r>
              <w:rPr>
                <w:color w:val="1C3A36"/>
                <w:sz w:val="14"/>
              </w:rPr>
              <w:t>a weighted blend of four lenses at typed weights, 40/15/20/25</w:t>
            </w:r>
          </w:p>
        </w:tc>
        <w:tc>
          <w:tcPr>
            <w:tcW w:type="dxa" w:w="4104"/>
          </w:tcPr>
          <w:p>
            <w:pPr>
              <w:spacing w:after="20"/>
            </w:pPr>
            <w:r>
              <w:rPr>
                <w:color w:val="1C3A36"/>
                <w:sz w:val="14"/>
              </w:rPr>
              <w:t>the split-the-legs sum-of-the-parts alone — the lens this study's own masthead names primary — with the other three published beside it as cross-checks</w:t>
            </w:r>
          </w:p>
        </w:tc>
        <w:tc>
          <w:tcPr>
            <w:tcW w:type="dxa" w:w="864"/>
          </w:tcPr>
          <w:p>
            <w:pPr>
              <w:spacing w:after="20"/>
            </w:pPr>
            <w:r>
              <w:rPr>
                <w:color w:val="1C3A36"/>
                <w:sz w:val="14"/>
              </w:rPr>
              <w:t>17.2%</w:t>
            </w:r>
          </w:p>
        </w:tc>
        <w:tc>
          <w:tcPr>
            <w:tcW w:type="dxa" w:w="2952"/>
          </w:tcPr>
          <w:p>
            <w:pPr>
              <w:spacing w:after="20"/>
            </w:pPr>
            <w:r>
              <w:rPr>
                <w:color w:val="1C3A36"/>
                <w:sz w:val="14"/>
              </w:rPr>
              <w:t>the study took the lower value</w:t>
            </w:r>
          </w:p>
        </w:tc>
      </w:tr>
      <w:tr>
        <w:tc>
          <w:tcPr>
            <w:tcW w:type="dxa" w:w="2088"/>
          </w:tcPr>
          <w:p>
            <w:pPr>
              <w:spacing w:after="20"/>
            </w:pPr>
            <w:r>
              <w:rPr>
                <w:color w:val="1C3A36"/>
                <w:sz w:val="14"/>
              </w:rPr>
              <w:t>the MNT-Halan mark</w:t>
            </w:r>
          </w:p>
        </w:tc>
        <w:tc>
          <w:tcPr>
            <w:tcW w:type="dxa" w:w="4104"/>
          </w:tcPr>
          <w:p>
            <w:pPr>
              <w:spacing w:after="20"/>
            </w:pPr>
            <w:r>
              <w:rPr>
                <w:color w:val="1C3A36"/>
                <w:sz w:val="14"/>
              </w:rPr>
              <w:t>GB Corp's confirmed 41.61% stake applied to the June-2026 round's US$1.4bn valuation at EGP/USD 47.5</w:t>
            </w:r>
          </w:p>
        </w:tc>
        <w:tc>
          <w:tcPr>
            <w:tcW w:type="dxa" w:w="4104"/>
          </w:tcPr>
          <w:p>
            <w:pPr>
              <w:spacing w:after="20"/>
            </w:pPr>
            <w:r>
              <w:rPr>
                <w:color w:val="1C3A36"/>
                <w:sz w:val="14"/>
              </w:rPr>
              <w:t>the equity-accounted carrying value the company reports for associates on its own FY25 balance sheet, net of the Bedaya and Kaf residual this study already carries separately</w:t>
            </w:r>
          </w:p>
        </w:tc>
        <w:tc>
          <w:tcPr>
            <w:tcW w:type="dxa" w:w="864"/>
          </w:tcPr>
          <w:p>
            <w:pPr>
              <w:spacing w:after="20"/>
            </w:pPr>
            <w:r>
              <w:rPr>
                <w:color w:val="1C3A36"/>
                <w:sz w:val="14"/>
              </w:rPr>
              <w:t>18.0%</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Auto gross-margin path</w:t>
            </w:r>
          </w:p>
        </w:tc>
        <w:tc>
          <w:tcPr>
            <w:tcW w:type="dxa" w:w="4104"/>
          </w:tcPr>
          <w:p>
            <w:pPr>
              <w:spacing w:after="20"/>
            </w:pPr>
            <w:r>
              <w:rPr>
                <w:color w:val="1C3A36"/>
                <w:sz w:val="14"/>
              </w:rPr>
              <w:t>a path opening at 13.8% and rising to 14.5%, above the 12.4% the company reported for the latest reviewed quarter</w:t>
            </w:r>
          </w:p>
        </w:tc>
        <w:tc>
          <w:tcPr>
            <w:tcW w:type="dxa" w:w="4104"/>
          </w:tcPr>
          <w:p>
            <w:pPr>
              <w:spacing w:after="20"/>
            </w:pPr>
            <w:r>
              <w:rPr>
                <w:color w:val="1C3A36"/>
                <w:sz w:val="14"/>
              </w:rPr>
              <w:t>the latest reviewed quarter held flat across the window — the near-term reviewed actual outranking a forecast path</w:t>
            </w:r>
          </w:p>
        </w:tc>
        <w:tc>
          <w:tcPr>
            <w:tcW w:type="dxa" w:w="864"/>
          </w:tcPr>
          <w:p>
            <w:pPr>
              <w:spacing w:after="20"/>
            </w:pPr>
            <w:r>
              <w:rPr>
                <w:color w:val="1C3A36"/>
                <w:sz w:val="14"/>
              </w:rPr>
              <w:t>1.5%</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working-capital intensity</w:t>
            </w:r>
          </w:p>
        </w:tc>
        <w:tc>
          <w:tcPr>
            <w:tcW w:type="dxa" w:w="4104"/>
          </w:tcPr>
          <w:p>
            <w:pPr>
              <w:spacing w:after="20"/>
            </w:pPr>
            <w:r>
              <w:rPr>
                <w:color w:val="1C3A36"/>
                <w:sz w:val="14"/>
              </w:rPr>
              <w:t>gliding from 26.5% of Auto revenue in the first forecast year to 21.5% by the last, as payables re-extend and the pre-build unwinds</w:t>
            </w:r>
          </w:p>
        </w:tc>
        <w:tc>
          <w:tcPr>
            <w:tcW w:type="dxa" w:w="4104"/>
          </w:tcPr>
          <w:p>
            <w:pPr>
              <w:spacing w:after="20"/>
            </w:pPr>
            <w:r>
              <w:rPr>
                <w:color w:val="1C3A36"/>
                <w:sz w:val="14"/>
              </w:rPr>
              <w:t>the first forecast year held flat across the window — no credit taken for the release</w:t>
            </w:r>
          </w:p>
        </w:tc>
        <w:tc>
          <w:tcPr>
            <w:tcW w:type="dxa" w:w="864"/>
          </w:tcPr>
          <w:p>
            <w:pPr>
              <w:spacing w:after="20"/>
            </w:pPr>
            <w:r>
              <w:rPr>
                <w:color w:val="1C3A36"/>
                <w:sz w:val="14"/>
              </w:rPr>
              <w:t>22.9%</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terminal growth</w:t>
            </w:r>
          </w:p>
        </w:tc>
        <w:tc>
          <w:tcPr>
            <w:tcW w:type="dxa" w:w="4104"/>
          </w:tcPr>
          <w:p>
            <w:pPr>
              <w:spacing w:after="20"/>
            </w:pPr>
            <w:r>
              <w:rPr>
                <w:color w:val="1C3A36"/>
                <w:sz w:val="14"/>
              </w:rPr>
              <w:t>the house Egyptian terminal — terminal inflation with a stated REAL growth of zero, recomputed to its nominal rate</w:t>
            </w:r>
          </w:p>
        </w:tc>
        <w:tc>
          <w:tcPr>
            <w:tcW w:type="dxa" w:w="4104"/>
          </w:tcPr>
          <w:p>
            <w:pPr>
              <w:spacing w:after="20"/>
            </w:pPr>
            <w:r>
              <w:rPr>
                <w:color w:val="1C3A36"/>
                <w:sz w:val="14"/>
              </w:rPr>
              <w:t>the superseded typed nominal 11.5% held for ever</w:t>
            </w:r>
          </w:p>
        </w:tc>
        <w:tc>
          <w:tcPr>
            <w:tcW w:type="dxa" w:w="864"/>
          </w:tcPr>
          <w:p>
            <w:pPr>
              <w:spacing w:after="20"/>
            </w:pPr>
            <w:r>
              <w:rPr>
                <w:color w:val="1C3A36"/>
                <w:sz w:val="14"/>
              </w:rPr>
              <w:t>40.2%</w:t>
            </w:r>
          </w:p>
        </w:tc>
        <w:tc>
          <w:tcPr>
            <w:tcW w:type="dxa" w:w="2952"/>
          </w:tcPr>
          <w:p>
            <w:pPr>
              <w:spacing w:after="20"/>
            </w:pPr>
            <w:r>
              <w:rPr>
                <w:color w:val="1C3A36"/>
                <w:sz w:val="14"/>
              </w:rPr>
              <w:t>the study took the lower value</w:t>
            </w:r>
          </w:p>
        </w:tc>
      </w:tr>
      <w:tr>
        <w:tc>
          <w:tcPr>
            <w:tcW w:type="dxa" w:w="2088"/>
          </w:tcPr>
          <w:p>
            <w:pPr>
              <w:spacing w:after="20"/>
            </w:pPr>
            <w:r>
              <w:rPr>
                <w:color w:val="1C3A36"/>
                <w:sz w:val="14"/>
              </w:rPr>
              <w:t>the normalised earnings base</w:t>
            </w:r>
          </w:p>
        </w:tc>
        <w:tc>
          <w:tcPr>
            <w:tcW w:type="dxa" w:w="4104"/>
          </w:tcPr>
          <w:p>
            <w:pPr>
              <w:spacing w:after="20"/>
            </w:pPr>
            <w:r>
              <w:rPr>
                <w:color w:val="1C3A36"/>
                <w:sz w:val="14"/>
              </w:rPr>
              <w:t>mid-cycle group profit of EGP 4,200 mn — recovering volumes at the top of the forecast margin path, on forward-scale revenue</w:t>
            </w:r>
          </w:p>
        </w:tc>
        <w:tc>
          <w:tcPr>
            <w:tcW w:type="dxa" w:w="4104"/>
          </w:tcPr>
          <w:p>
            <w:pPr>
              <w:spacing w:after="20"/>
            </w:pPr>
            <w:r>
              <w:rPr>
                <w:color w:val="1C3A36"/>
                <w:sz w:val="14"/>
              </w:rPr>
              <w:t>the last reported full-year attributable profit of EGP 2,880 mn, at the same through-cycle multiple</w:t>
            </w:r>
          </w:p>
        </w:tc>
        <w:tc>
          <w:tcPr>
            <w:tcW w:type="dxa" w:w="864"/>
          </w:tcPr>
          <w:p>
            <w:pPr>
              <w:spacing w:after="20"/>
            </w:pPr>
            <w:r>
              <w:rPr>
                <w:color w:val="1C3A36"/>
                <w:sz w:val="14"/>
              </w:rPr>
              <w:t>6.2%</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equity risk premium basis</w:t>
            </w:r>
          </w:p>
        </w:tc>
        <w:tc>
          <w:tcPr>
            <w:tcW w:type="dxa" w:w="4104"/>
          </w:tcPr>
          <w:p>
            <w:pPr>
              <w:spacing w:after="20"/>
            </w:pPr>
            <w:r>
              <w:rPr>
                <w:color w:val="1C3A36"/>
                <w:sz w:val="14"/>
              </w:rPr>
              <w:t>the market (credit-default-swap) basis, giving a first-year weighted cost of capital of 22.88%</w:t>
            </w:r>
          </w:p>
        </w:tc>
        <w:tc>
          <w:tcPr>
            <w:tcW w:type="dxa" w:w="4104"/>
          </w:tcPr>
          <w:p>
            <w:pPr>
              <w:spacing w:after="20"/>
            </w:pPr>
            <w:r>
              <w:rPr>
                <w:color w:val="1C3A36"/>
                <w:sz w:val="14"/>
              </w:rPr>
              <w:t>the credit-rating basis, giving 23.33%</w:t>
            </w:r>
          </w:p>
        </w:tc>
        <w:tc>
          <w:tcPr>
            <w:tcW w:type="dxa" w:w="864"/>
          </w:tcPr>
          <w:p>
            <w:pPr>
              <w:spacing w:after="20"/>
            </w:pPr>
            <w:r>
              <w:rPr>
                <w:color w:val="1C3A36"/>
                <w:sz w:val="14"/>
              </w:rPr>
              <w:t>3.1%</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complexity / conglomerate discount</w:t>
            </w:r>
          </w:p>
        </w:tc>
        <w:tc>
          <w:tcPr>
            <w:tcW w:type="dxa" w:w="4104"/>
          </w:tcPr>
          <w:p>
            <w:pPr>
              <w:spacing w:after="20"/>
            </w:pPr>
            <w:r>
              <w:rPr>
                <w:color w:val="1C3A36"/>
                <w:sz w:val="14"/>
              </w:rPr>
              <w:t>10% deducted from the whole sum of the parts</w:t>
            </w:r>
          </w:p>
        </w:tc>
        <w:tc>
          <w:tcPr>
            <w:tcW w:type="dxa" w:w="4104"/>
          </w:tcPr>
          <w:p>
            <w:pPr>
              <w:spacing w:after="20"/>
            </w:pPr>
            <w:r>
              <w:rPr>
                <w:color w:val="1C3A36"/>
                <w:sz w:val="14"/>
              </w:rPr>
              <w:t>no discount — the pre-discount sum, which this study already publishes as a lens in its own right</w:t>
            </w:r>
          </w:p>
        </w:tc>
        <w:tc>
          <w:tcPr>
            <w:tcW w:type="dxa" w:w="864"/>
          </w:tcPr>
          <w:p>
            <w:pPr>
              <w:spacing w:after="20"/>
            </w:pPr>
            <w:r>
              <w:rPr>
                <w:color w:val="1C3A36"/>
                <w:sz w:val="14"/>
              </w:rPr>
              <w:t>5.1%</w:t>
            </w:r>
          </w:p>
        </w:tc>
        <w:tc>
          <w:tcPr>
            <w:tcW w:type="dxa" w:w="2952"/>
          </w:tcPr>
          <w:p>
            <w:pPr>
              <w:spacing w:after="20"/>
            </w:pPr>
            <w:r>
              <w:rPr>
                <w:color w:val="1C3A36"/>
                <w:sz w:val="14"/>
              </w:rPr>
              <w:t>the study took the lower value</w:t>
            </w:r>
          </w:p>
        </w:tc>
      </w:tr>
      <w:tr>
        <w:tc>
          <w:tcPr>
            <w:tcW w:type="dxa" w:w="2088"/>
          </w:tcPr>
          <w:p>
            <w:pPr>
              <w:spacing w:after="20"/>
            </w:pPr>
            <w:r>
              <w:rPr>
                <w:color w:val="1C3A36"/>
                <w:sz w:val="14"/>
              </w:rPr>
              <w:t>where the complexity discount is applied</w:t>
            </w:r>
          </w:p>
        </w:tc>
        <w:tc>
          <w:tcPr>
            <w:tcW w:type="dxa" w:w="4104"/>
          </w:tcPr>
          <w:p>
            <w:pPr>
              <w:spacing w:after="20"/>
            </w:pPr>
            <w:r>
              <w:rPr>
                <w:color w:val="1C3A36"/>
                <w:sz w:val="14"/>
              </w:rPr>
              <w:t>uniformly across all three legs</w:t>
            </w:r>
          </w:p>
        </w:tc>
        <w:tc>
          <w:tcPr>
            <w:tcW w:type="dxa" w:w="4104"/>
          </w:tcPr>
          <w:p>
            <w:pPr>
              <w:spacing w:after="20"/>
            </w:pPr>
            <w:r>
              <w:rPr>
                <w:color w:val="1C3A36"/>
                <w:sz w:val="14"/>
              </w:rPr>
              <w:t>on the private, illiquid associate mark alone — the one leg the wrapper actually obscures</w:t>
            </w:r>
          </w:p>
        </w:tc>
        <w:tc>
          <w:tcPr>
            <w:tcW w:type="dxa" w:w="864"/>
          </w:tcPr>
          <w:p>
            <w:pPr>
              <w:spacing w:after="20"/>
            </w:pPr>
            <w:r>
              <w:rPr>
                <w:color w:val="1C3A36"/>
                <w:sz w:val="14"/>
              </w:rPr>
              <w:t>3.0%</w:t>
            </w:r>
          </w:p>
        </w:tc>
        <w:tc>
          <w:tcPr>
            <w:tcW w:type="dxa" w:w="2952"/>
          </w:tcPr>
          <w:p>
            <w:pPr>
              <w:spacing w:after="20"/>
            </w:pPr>
            <w:r>
              <w:rPr>
                <w:color w:val="1C3A36"/>
                <w:sz w:val="14"/>
              </w:rPr>
              <w:t>the study took the lower value</w:t>
            </w:r>
          </w:p>
        </w:tc>
      </w:tr>
      <w:tr>
        <w:tc>
          <w:tcPr>
            <w:tcW w:type="dxa" w:w="2088"/>
          </w:tcPr>
          <w:p>
            <w:pPr>
              <w:spacing w:after="20"/>
            </w:pPr>
            <w:r>
              <w:rPr>
                <w:color w:val="1C3A36"/>
                <w:sz w:val="14"/>
              </w:rPr>
              <w:t>the equity beta</w:t>
            </w:r>
          </w:p>
        </w:tc>
        <w:tc>
          <w:tcPr>
            <w:tcW w:type="dxa" w:w="4104"/>
          </w:tcPr>
          <w:p>
            <w:pPr>
              <w:spacing w:after="20"/>
            </w:pPr>
            <w:r>
              <w:rPr>
                <w:color w:val="1C3A36"/>
                <w:sz w:val="14"/>
              </w:rPr>
              <w:t>0.8907, the conforming weekly regression against the exchange's published index, committed in this directory</w:t>
            </w:r>
          </w:p>
        </w:tc>
        <w:tc>
          <w:tcPr>
            <w:tcW w:type="dxa" w:w="4104"/>
          </w:tcPr>
          <w:p>
            <w:pPr>
              <w:spacing w:after="20"/>
            </w:pPr>
            <w:r>
              <w:rPr>
                <w:color w:val="1C3A36"/>
                <w:sz w:val="14"/>
              </w:rPr>
              <w:t>1.00, the house default this study carried before the rebuild, after an attempted five-annual-observation regression returned a negative slope with no explanatory power</w:t>
            </w:r>
          </w:p>
        </w:tc>
        <w:tc>
          <w:tcPr>
            <w:tcW w:type="dxa" w:w="864"/>
          </w:tcPr>
          <w:p>
            <w:pPr>
              <w:spacing w:after="20"/>
            </w:pPr>
            <w:r>
              <w:rPr>
                <w:color w:val="1C3A36"/>
                <w:sz w:val="14"/>
              </w:rPr>
              <w:t>3.0%</w:t>
            </w:r>
          </w:p>
        </w:tc>
        <w:tc>
          <w:tcPr>
            <w:tcW w:type="dxa" w:w="2952"/>
          </w:tcPr>
          <w:p>
            <w:pPr>
              <w:spacing w:after="20"/>
            </w:pPr>
            <w:r>
              <w:rPr>
                <w:color w:val="1C3A36"/>
                <w:sz w:val="14"/>
              </w:rPr>
              <w:t>the study took the higher value</w:t>
            </w:r>
          </w:p>
        </w:tc>
      </w:tr>
    </w:tbl>
    <w:p>
      <w:pPr>
        <w:spacing w:after="40"/>
      </w:pPr>
    </w:p>
    <w:p>
      <w:pPr>
        <w:spacing w:after="100" w:before="0"/>
      </w:pPr>
      <w:r>
        <w:rPr>
          <w:b w:val="0"/>
          <w:i w:val="0"/>
          <w:color w:val="1C3A36"/>
          <w:sz w:val="19"/>
        </w:rPr>
        <w:t>The direction test. A study that resolves every contested fork the same way has a lean whether or not any single choice is wrong, so the directions are counted rather than asserted: of 6 material judgements, None were taken upward, on a two-sided test of None. That is measured, not claimed, and a study is FLAGGED by it rather than failed — a company can genuinely deserve a consistent read.</w:t>
      </w:r>
    </w:p>
    <w:p>
      <w:pPr>
        <w:spacing w:after="100" w:before="0"/>
      </w:pPr>
      <w:r>
        <w:rPr>
          <w:b w:val="0"/>
          <w:i w:val="0"/>
          <w:color w:val="1C3A36"/>
          <w:sz w:val="19"/>
        </w:rPr>
        <w:t>What would overturn each of these is the same shape in every case and it is stated in the study body beside the fork: for the associate mark, a real secondary transaction in that company’s shares at a materially different price, or a second closing repricing the round; for the working-capital glide, the company’s own quarterly prints, which resolve it directly; for the margin path, the next reviewed half against the one this forecast is anchored on; for the cost-of-capital basis, either premium basis being shown to misprice this sovereign, both being published so a reader can switch; and for the construction of the central, an out-of-sample test of whether a blend beats its own best lens, which this house has not yet run and says so.</w:t>
      </w:r>
    </w:p>
    <w:p>
      <w:r>
        <w:br w:type="page"/>
      </w:r>
    </w:p>
    <w:p>
      <w:pPr>
        <w:spacing w:after="120" w:before="240"/>
      </w:pPr>
      <w:r>
        <w:rPr>
          <w:b/>
          <w:i w:val="0"/>
          <w:color w:val="1C3A36"/>
          <w:sz w:val="30"/>
        </w:rPr>
        <w:t>4  Negative results — what was searched for and not found</w:t>
      </w:r>
    </w:p>
    <w:p>
      <w:pPr>
        <w:spacing w:after="100" w:before="0"/>
      </w:pPr>
      <w:r>
        <w:rPr>
          <w:b w:val="0"/>
          <w:i w:val="0"/>
          <w:color w:val="1C3A36"/>
          <w:sz w:val="19"/>
        </w:rPr>
        <w:t>Recorded because an absence shaped this model as much as the evidence did. Every row is a search that was actually run, with what it established.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3240"/>
        <w:gridCol w:w="4248"/>
        <w:gridCol w:w="3672"/>
      </w:tblGrid>
      <w:tr>
        <w:tc>
          <w:tcPr>
            <w:tcW w:type="dxa" w:w="2952"/>
            <w:shd w:val="clear" w:color="auto" w:fill="EAF0EE"/>
          </w:tcPr>
          <w:p>
            <w:pPr>
              <w:spacing w:after="20"/>
            </w:pPr>
            <w:r>
              <w:rPr>
                <w:b/>
                <w:color w:val="1C3A36"/>
                <w:sz w:val="15"/>
              </w:rPr>
              <w:t>What was sought</w:t>
            </w:r>
          </w:p>
        </w:tc>
        <w:tc>
          <w:tcPr>
            <w:tcW w:type="dxa" w:w="3240"/>
            <w:shd w:val="clear" w:color="auto" w:fill="EAF0EE"/>
          </w:tcPr>
          <w:p>
            <w:pPr>
              <w:spacing w:after="20"/>
            </w:pPr>
            <w:r>
              <w:rPr>
                <w:b/>
                <w:color w:val="1C3A36"/>
                <w:sz w:val="15"/>
              </w:rPr>
              <w:t>Why it was needed</w:t>
            </w:r>
          </w:p>
        </w:tc>
        <w:tc>
          <w:tcPr>
            <w:tcW w:type="dxa" w:w="4248"/>
            <w:shd w:val="clear" w:color="auto" w:fill="EAF0EE"/>
          </w:tcPr>
          <w:p>
            <w:pPr>
              <w:spacing w:after="20"/>
            </w:pPr>
            <w:r>
              <w:rPr>
                <w:b/>
                <w:color w:val="1C3A36"/>
                <w:sz w:val="15"/>
              </w:rPr>
              <w:t>What was found</w:t>
            </w:r>
          </w:p>
        </w:tc>
        <w:tc>
          <w:tcPr>
            <w:tcW w:type="dxa" w:w="3672"/>
            <w:shd w:val="clear" w:color="auto" w:fill="EAF0EE"/>
          </w:tcPr>
          <w:p>
            <w:pPr>
              <w:spacing w:after="20"/>
            </w:pPr>
            <w:r>
              <w:rPr>
                <w:b/>
                <w:color w:val="1C3A36"/>
                <w:sz w:val="15"/>
              </w:rPr>
              <w:t>What the study did</w:t>
            </w:r>
          </w:p>
        </w:tc>
      </w:tr>
      <w:tr>
        <w:tc>
          <w:tcPr>
            <w:tcW w:type="dxa" w:w="2952"/>
          </w:tcPr>
          <w:p>
            <w:pPr>
              <w:spacing w:after="20"/>
            </w:pPr>
            <w:r>
              <w:rPr>
                <w:color w:val="1C3A36"/>
                <w:sz w:val="15"/>
              </w:rPr>
              <w:t>A disclosed useful life for the operating asset base</w:t>
            </w:r>
          </w:p>
        </w:tc>
        <w:tc>
          <w:tcPr>
            <w:tcW w:type="dxa" w:w="3240"/>
          </w:tcPr>
          <w:p>
            <w:pPr>
              <w:spacing w:after="20"/>
            </w:pPr>
            <w:r>
              <w:rPr>
                <w:color w:val="1C3A36"/>
                <w:sz w:val="15"/>
              </w:rPr>
              <w:t>The house standard builds a terminal on a disclosed life; a life this desk chooses is not a disclosed life</w:t>
            </w:r>
          </w:p>
        </w:tc>
        <w:tc>
          <w:tcPr>
            <w:tcW w:type="dxa" w:w="4248"/>
          </w:tcPr>
          <w:p>
            <w:pPr>
              <w:spacing w:after="20"/>
            </w:pPr>
            <w:r>
              <w:rPr>
                <w:color w:val="1C3A36"/>
                <w:sz w:val="15"/>
              </w:rPr>
              <w:t>NO USABLE LIFE COULD BE SOURCED. Both admissible routes were run and both failed, for different reasons. The terminal therefore STAYS on the ratchet with this file as its reason, and no life was chosen.</w:t>
            </w:r>
          </w:p>
        </w:tc>
        <w:tc>
          <w:tcPr>
            <w:tcW w:type="dxa" w:w="3672"/>
          </w:tcPr>
          <w:p>
            <w:pPr>
              <w:spacing w:after="20"/>
            </w:pPr>
            <w:r>
              <w:rPr>
                <w:color w:val="1C3A36"/>
                <w:sz w:val="15"/>
              </w:rPr>
              <w:t>No life was chosen. The terminal is carried on the construction the study describes and the refusal is printed in the study body rather than resolved by inventing a figure.</w:t>
            </w:r>
          </w:p>
        </w:tc>
      </w:tr>
      <w:tr>
        <w:tc>
          <w:tcPr>
            <w:tcW w:type="dxa" w:w="2952"/>
          </w:tcPr>
          <w:p>
            <w:pPr>
              <w:spacing w:after="20"/>
            </w:pPr>
            <w:r>
              <w:rPr>
                <w:color w:val="1C3A36"/>
                <w:sz w:val="15"/>
              </w:rPr>
              <w:t>Audited statements for the two earliest years of the intended window</w:t>
            </w:r>
          </w:p>
        </w:tc>
        <w:tc>
          <w:tcPr>
            <w:tcW w:type="dxa" w:w="3240"/>
          </w:tcPr>
          <w:p>
            <w:pPr>
              <w:spacing w:after="20"/>
            </w:pPr>
            <w:r>
              <w:rPr>
                <w:color w:val="1C3A36"/>
                <w:sz w:val="15"/>
              </w:rPr>
              <w:t>The walk-forward targets as long a sourceable history as the filings support</w:t>
            </w:r>
          </w:p>
        </w:tc>
        <w:tc>
          <w:tcPr>
            <w:tcW w:type="dxa" w:w="4248"/>
          </w:tcPr>
          <w:p>
            <w:pPr>
              <w:spacing w:after="20"/>
            </w:pPr>
            <w:r>
              <w:rPr>
                <w:color w:val="1C3A36"/>
                <w:sz w:val="15"/>
              </w:rPr>
              <w:t>The company’s own filings index does not reach those years, and the annual reports for them lay the statements out in a split form the text layer cannot attach to labels</w:t>
            </w:r>
          </w:p>
        </w:tc>
        <w:tc>
          <w:tcPr>
            <w:tcW w:type="dxa" w:w="3672"/>
          </w:tcPr>
          <w:p>
            <w:pPr>
              <w:spacing w:after="20"/>
            </w:pPr>
            <w:r>
              <w:rPr>
                <w:color w:val="1C3A36"/>
                <w:sz w:val="15"/>
              </w:rPr>
              <w:t>The affected balance-sheet items are recorded as MISSING with that reason in the walk-forward’s valuation-input block, and never estimated.</w:t>
            </w:r>
          </w:p>
        </w:tc>
      </w:tr>
      <w:tr>
        <w:tc>
          <w:tcPr>
            <w:tcW w:type="dxa" w:w="2952"/>
          </w:tcPr>
          <w:p>
            <w:pPr>
              <w:spacing w:after="20"/>
            </w:pPr>
            <w:r>
              <w:rPr>
                <w:color w:val="1C3A36"/>
                <w:sz w:val="15"/>
              </w:rPr>
              <w:t>A usable beta from the first regression attempted on this name</w:t>
            </w:r>
          </w:p>
        </w:tc>
        <w:tc>
          <w:tcPr>
            <w:tcW w:type="dxa" w:w="3240"/>
          </w:tcPr>
          <w:p>
            <w:pPr>
              <w:spacing w:after="20"/>
            </w:pPr>
            <w:r>
              <w:rPr>
                <w:color w:val="1C3A36"/>
                <w:sz w:val="15"/>
              </w:rPr>
              <w:t>Every study needs the stock’s own beta against the published index of its exchange</w:t>
            </w:r>
          </w:p>
        </w:tc>
        <w:tc>
          <w:tcPr>
            <w:tcW w:type="dxa" w:w="4248"/>
          </w:tcPr>
          <w:p>
            <w:pPr>
              <w:spacing w:after="20"/>
            </w:pPr>
            <w:r>
              <w:rPr>
                <w:color w:val="1C3A36"/>
                <w:sz w:val="15"/>
              </w:rPr>
              <w:t>The first attempt used five annual observations and returned a negative slope with essentially no explanatory power — unusable, and correctly refused</w:t>
            </w:r>
          </w:p>
        </w:tc>
        <w:tc>
          <w:tcPr>
            <w:tcW w:type="dxa" w:w="3672"/>
          </w:tcPr>
          <w:p>
            <w:pPr>
              <w:spacing w:after="20"/>
            </w:pPr>
            <w:r>
              <w:rPr>
                <w:color w:val="1C3A36"/>
                <w:sz w:val="15"/>
              </w:rPr>
              <w:t>The study fell back to the house default at the time. A conforming weekly regression has since been produced and is what this edition adopts; the superseded figure is recorded beside it rather than deleted.</w:t>
            </w:r>
          </w:p>
        </w:tc>
      </w:tr>
      <w:tr>
        <w:tc>
          <w:tcPr>
            <w:tcW w:type="dxa" w:w="2952"/>
          </w:tcPr>
          <w:p>
            <w:pPr>
              <w:spacing w:after="20"/>
            </w:pPr>
            <w:r>
              <w:rPr>
                <w:color w:val="1C3A36"/>
                <w:sz w:val="15"/>
              </w:rPr>
              <w:t>A sourced split of passenger-car revenue between the domestic and regional markets for the reviewed half</w:t>
            </w:r>
          </w:p>
        </w:tc>
        <w:tc>
          <w:tcPr>
            <w:tcW w:type="dxa" w:w="3240"/>
          </w:tcPr>
          <w:p>
            <w:pPr>
              <w:spacing w:after="20"/>
            </w:pPr>
            <w:r>
              <w:rPr>
                <w:color w:val="1C3A36"/>
                <w:sz w:val="15"/>
              </w:rPr>
              <w:t>The regional exposure is named as a risk and a reader is entitled to its size</w:t>
            </w:r>
          </w:p>
        </w:tc>
        <w:tc>
          <w:tcPr>
            <w:tcW w:type="dxa" w:w="4248"/>
          </w:tcPr>
          <w:p>
            <w:pPr>
              <w:spacing w:after="20"/>
            </w:pPr>
            <w:r>
              <w:rPr>
                <w:color w:val="1C3A36"/>
                <w:sz w:val="15"/>
              </w:rPr>
              <w:t>Not disclosed in the documents this study holds for that period</w:t>
            </w:r>
          </w:p>
        </w:tc>
        <w:tc>
          <w:tcPr>
            <w:tcW w:type="dxa" w:w="3672"/>
          </w:tcPr>
          <w:p>
            <w:pPr>
              <w:spacing w:after="20"/>
            </w:pPr>
            <w:r>
              <w:rPr>
                <w:color w:val="1C3A36"/>
                <w:sz w:val="15"/>
              </w:rPr>
              <w:t>The exposure is NAMED and NOT PRICED. No split was estimated.</w:t>
            </w:r>
          </w:p>
        </w:tc>
      </w:tr>
      <w:tr>
        <w:tc>
          <w:tcPr>
            <w:tcW w:type="dxa" w:w="2952"/>
          </w:tcPr>
          <w:p>
            <w:pPr>
              <w:spacing w:after="20"/>
            </w:pPr>
            <w:r>
              <w:rPr>
                <w:color w:val="1C3A36"/>
                <w:sz w:val="15"/>
              </w:rPr>
              <w:t>The company’s own audited statements for the associate that dominates this valuation</w:t>
            </w:r>
          </w:p>
        </w:tc>
        <w:tc>
          <w:tcPr>
            <w:tcW w:type="dxa" w:w="3240"/>
          </w:tcPr>
          <w:p>
            <w:pPr>
              <w:spacing w:after="20"/>
            </w:pPr>
            <w:r>
              <w:rPr>
                <w:color w:val="1C3A36"/>
                <w:sz w:val="15"/>
              </w:rPr>
              <w:t>That associate carries most of the equity value in the primary lens</w:t>
            </w:r>
          </w:p>
        </w:tc>
        <w:tc>
          <w:tcPr>
            <w:tcW w:type="dxa" w:w="4248"/>
          </w:tcPr>
          <w:p>
            <w:pPr>
              <w:spacing w:after="20"/>
            </w:pPr>
            <w:r>
              <w:rPr>
                <w:color w:val="1C3A36"/>
                <w:sz w:val="15"/>
              </w:rPr>
              <w:t>The audit opinion states the auditors were not provided with them and that the group’s share of that associate’s profit rests on management-prepared accounts</w:t>
            </w:r>
          </w:p>
        </w:tc>
        <w:tc>
          <w:tcPr>
            <w:tcW w:type="dxa" w:w="3672"/>
          </w:tcPr>
          <w:p>
            <w:pPr>
              <w:spacing w:after="20"/>
            </w:pPr>
            <w:r>
              <w:rPr>
                <w:color w:val="1C3A36"/>
                <w:sz w:val="15"/>
              </w:rPr>
              <w:t>Disclosed in this register and in the study’s caveats. It is the strongest available argument for a heavier discount on that mark, and the study says so.</w:t>
            </w:r>
          </w:p>
        </w:tc>
      </w:tr>
    </w:tbl>
    <w:p>
      <w:pPr>
        <w:spacing w:after="40"/>
      </w:pPr>
    </w:p>
    <w:p>
      <w:r>
        <w:br w:type="page"/>
      </w:r>
    </w:p>
    <w:p>
      <w:pPr>
        <w:spacing w:after="120" w:before="240"/>
      </w:pPr>
      <w:r>
        <w:rPr>
          <w:b/>
          <w:i w:val="0"/>
          <w:color w:val="1C3A36"/>
          <w:sz w:val="30"/>
        </w:rPr>
        <w:t>5  Figures that are DERIVED rather than sourced</w:t>
      </w:r>
    </w:p>
    <w:p>
      <w:pPr>
        <w:spacing w:after="100" w:before="0"/>
      </w:pPr>
      <w:r>
        <w:rPr>
          <w:b w:val="0"/>
          <w:i w:val="0"/>
          <w:color w:val="1C3A36"/>
          <w:sz w:val="19"/>
        </w:rPr>
        <w:t>These appear in no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512"/>
      </w:tblGrid>
      <w:tr>
        <w:tc>
          <w:tcPr>
            <w:tcW w:type="dxa" w:w="3456"/>
            <w:shd w:val="clear" w:color="auto" w:fill="EAF0EE"/>
          </w:tcPr>
          <w:p>
            <w:pPr>
              <w:spacing w:after="20"/>
            </w:pPr>
            <w:r>
              <w:rPr>
                <w:b/>
                <w:color w:val="1C3A36"/>
                <w:sz w:val="16"/>
              </w:rPr>
              <w:t>Figure</w:t>
            </w:r>
          </w:p>
        </w:tc>
        <w:tc>
          <w:tcPr>
            <w:tcW w:type="dxa" w:w="10512"/>
            <w:shd w:val="clear" w:color="auto" w:fill="EAF0EE"/>
          </w:tcPr>
          <w:p>
            <w:pPr>
              <w:spacing w:after="20"/>
            </w:pPr>
            <w:r>
              <w:rPr>
                <w:b/>
                <w:color w:val="1C3A36"/>
                <w:sz w:val="16"/>
              </w:rPr>
              <w:t>How it was derived</w:t>
            </w:r>
          </w:p>
        </w:tc>
      </w:tr>
      <w:tr>
        <w:tc>
          <w:tcPr>
            <w:tcW w:type="dxa" w:w="3456"/>
          </w:tcPr>
          <w:p>
            <w:pPr>
              <w:spacing w:after="20"/>
            </w:pPr>
            <w:r>
              <w:rPr>
                <w:color w:val="1C3A36"/>
                <w:sz w:val="16"/>
              </w:rPr>
              <w:t>The equity beta — 0.8907</w:t>
            </w:r>
          </w:p>
        </w:tc>
        <w:tc>
          <w:tcPr>
            <w:tcW w:type="dxa" w:w="10512"/>
          </w:tcPr>
          <w:p>
            <w:pPr>
              <w:spacing w:after="20"/>
            </w:pPr>
            <w:r>
              <w:rPr>
                <w:color w:val="1C3A36"/>
                <w:sz w:val="16"/>
              </w:rPr>
              <w:t>A weekly regression of the shares against the published EGX30 index of the exchange the stock is listed on, over 4.85 years to 2026-07-16, on 251 observations, with an R-squared of 0.243 and a standard error of 0.2041. It passes the usability gate. A cross-check estimator gives 0.9271. The index series is held at raw_indices/EG/EGX30.csv and carries its own as-of date of 2026-07-22.</w:t>
            </w:r>
          </w:p>
        </w:tc>
      </w:tr>
      <w:tr>
        <w:tc>
          <w:tcPr>
            <w:tcW w:type="dxa" w:w="3456"/>
          </w:tcPr>
          <w:p>
            <w:pPr>
              <w:spacing w:after="20"/>
            </w:pPr>
            <w:r>
              <w:rPr>
                <w:color w:val="1C3A36"/>
                <w:sz w:val="16"/>
              </w:rPr>
              <w:t>The normalised risk-free rate — 19.59%</w:t>
            </w:r>
          </w:p>
        </w:tc>
        <w:tc>
          <w:tcPr>
            <w:tcW w:type="dxa" w:w="10512"/>
          </w:tcPr>
          <w:p>
            <w:pPr>
              <w:spacing w:after="20"/>
            </w:pPr>
            <w:r>
              <w:rPr>
                <w:color w:val="1C3A36"/>
                <w:sz w:val="16"/>
              </w:rPr>
              <w:t>The observed local-currency government bond yield of 23.00% less this sovereign’s own default spread of 3.41%. Country risk then enters exactly once, inside the equity risk premium, rather than twice.</w:t>
            </w:r>
          </w:p>
        </w:tc>
      </w:tr>
      <w:tr>
        <w:tc>
          <w:tcPr>
            <w:tcW w:type="dxa" w:w="3456"/>
          </w:tcPr>
          <w:p>
            <w:pPr>
              <w:spacing w:after="20"/>
            </w:pPr>
            <w:r>
              <w:rPr>
                <w:color w:val="1C3A36"/>
                <w:sz w:val="16"/>
              </w:rPr>
              <w:t>Terminal growth — 7.00% nominal</w:t>
            </w:r>
          </w:p>
        </w:tc>
        <w:tc>
          <w:tcPr>
            <w:tcW w:type="dxa" w:w="10512"/>
          </w:tcPr>
          <w:p>
            <w:pPr>
              <w:spacing w:after="20"/>
            </w:pPr>
            <w:r>
              <w:rPr>
                <w:color w:val="1C3A36"/>
                <w:sz w:val="16"/>
              </w:rPr>
              <w:t>STORED as a real rate of 0.0% on the house inflation path for this market and recomputed to its nominal figure against a terminal inflation of 7.00%. A typed nominal rate is unfalsifiable: nobody can tell whether it meant inflation plus a few points or minus several.</w:t>
            </w:r>
          </w:p>
        </w:tc>
      </w:tr>
      <w:tr>
        <w:tc>
          <w:tcPr>
            <w:tcW w:type="dxa" w:w="3456"/>
          </w:tcPr>
          <w:p>
            <w:pPr>
              <w:spacing w:after="20"/>
            </w:pPr>
            <w:r>
              <w:rPr>
                <w:color w:val="1C3A36"/>
                <w:sz w:val="16"/>
              </w:rPr>
              <w:t>The cost-of-capital schedule</w:t>
            </w:r>
          </w:p>
        </w:tc>
        <w:tc>
          <w:tcPr>
            <w:tcW w:type="dxa" w:w="10512"/>
          </w:tcPr>
          <w:p>
            <w:pPr>
              <w:spacing w:after="20"/>
            </w:pPr>
            <w:r>
              <w:rPr>
                <w:color w:val="1C3A36"/>
                <w:sz w:val="16"/>
              </w:rPr>
              <w:t>One forward rate per explicit year, gliding from 22.88% in the first forecast year to a norm-built terminal of 14.18%, with the terminal brought home on the same cumulative factor as the last explicit year — one date, one price of time. The glide fractions are the policy-rate path’s own cumulative progress rather than a second free parameter.</w:t>
            </w:r>
          </w:p>
        </w:tc>
      </w:tr>
      <w:tr>
        <w:tc>
          <w:tcPr>
            <w:tcW w:type="dxa" w:w="3456"/>
          </w:tcPr>
          <w:p>
            <w:pPr>
              <w:spacing w:after="20"/>
            </w:pPr>
            <w:r>
              <w:rPr>
                <w:color w:val="1C3A36"/>
                <w:sz w:val="16"/>
              </w:rPr>
              <w:t>The passenger-car selling price per unit</w:t>
            </w:r>
          </w:p>
        </w:tc>
        <w:tc>
          <w:tcPr>
            <w:tcW w:type="dxa" w:w="10512"/>
          </w:tcPr>
          <w:p>
            <w:pPr>
              <w:spacing w:after="20"/>
            </w:pPr>
            <w:r>
              <w:rPr>
                <w:color w:val="1C3A36"/>
                <w:sz w:val="16"/>
              </w:rPr>
              <w:t>Disclosed revenue for the line divided by the disclosed volume for the same line and year, so it is arithmetic on two published figures rather than an assumption. It reproduces the reported line exactly in every disclosed year.</w:t>
            </w:r>
          </w:p>
        </w:tc>
      </w:tr>
      <w:tr>
        <w:tc>
          <w:tcPr>
            <w:tcW w:type="dxa" w:w="3456"/>
          </w:tcPr>
          <w:p>
            <w:pPr>
              <w:spacing w:after="20"/>
            </w:pPr>
            <w:r>
              <w:rPr>
                <w:color w:val="1C3A36"/>
                <w:sz w:val="16"/>
              </w:rPr>
              <w:t>The far-year forecast ranges</w:t>
            </w:r>
          </w:p>
        </w:tc>
        <w:tc>
          <w:tcPr>
            <w:tcW w:type="dxa" w:w="10512"/>
          </w:tcPr>
          <w:p>
            <w:pPr>
              <w:spacing w:after="20"/>
            </w:pPr>
            <w:r>
              <w:rPr>
                <w:color w:val="1C3A36"/>
                <w:sz w:val="16"/>
              </w:rPr>
              <w:t>The full span of the observed errors this method made at that horizon on this company’s own history, expressed as actual_over_forecast and applied by multiplying the point projection. The basis is "span" and the observation count is printed beside every band in the study, because a span of a handful of readings is not a percentile and this study does not call it one.</w:t>
            </w:r>
          </w:p>
        </w:tc>
      </w:tr>
    </w:tbl>
    <w:p>
      <w:pPr>
        <w:spacing w:after="40"/>
      </w:pPr>
    </w:p>
    <w:p>
      <w:pPr>
        <w:spacing w:after="120" w:before="240"/>
      </w:pPr>
      <w:r>
        <w:rPr>
          <w:b/>
          <w:i w:val="0"/>
          <w:color w:val="1C3A36"/>
          <w:sz w:val="30"/>
        </w:rPr>
        <w:t>6  Aggregator discrepancies and figures deliberately not used</w:t>
      </w:r>
    </w:p>
    <w:p>
      <w:pPr>
        <w:spacing w:after="100" w:before="0"/>
      </w:pPr>
      <w:r>
        <w:rPr>
          <w:b w:val="0"/>
          <w:i w:val="0"/>
          <w:color w:val="1C3A36"/>
          <w:sz w:val="19"/>
        </w:rPr>
        <w:t>Where a third-party figure was seen and rejected, it is recorded here rather than left to a reader to wonder about.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6192"/>
      </w:tblGrid>
      <w:tr>
        <w:tc>
          <w:tcPr>
            <w:tcW w:type="dxa" w:w="2664"/>
            <w:shd w:val="clear" w:color="auto" w:fill="EAF0EE"/>
          </w:tcPr>
          <w:p>
            <w:pPr>
              <w:spacing w:after="20"/>
            </w:pPr>
            <w:r>
              <w:rPr>
                <w:b/>
                <w:color w:val="1C3A36"/>
                <w:sz w:val="15"/>
              </w:rPr>
              <w:t>Figure</w:t>
            </w:r>
          </w:p>
        </w:tc>
        <w:tc>
          <w:tcPr>
            <w:tcW w:type="dxa" w:w="5112"/>
            <w:shd w:val="clear" w:color="auto" w:fill="EAF0EE"/>
          </w:tcPr>
          <w:p>
            <w:pPr>
              <w:spacing w:after="20"/>
            </w:pPr>
            <w:r>
              <w:rPr>
                <w:b/>
                <w:color w:val="1C3A36"/>
                <w:sz w:val="15"/>
              </w:rPr>
              <w:t>What a third party carried</w:t>
            </w:r>
          </w:p>
        </w:tc>
        <w:tc>
          <w:tcPr>
            <w:tcW w:type="dxa" w:w="6192"/>
            <w:shd w:val="clear" w:color="auto" w:fill="EAF0EE"/>
          </w:tcPr>
          <w:p>
            <w:pPr>
              <w:spacing w:after="20"/>
            </w:pPr>
            <w:r>
              <w:rPr>
                <w:b/>
                <w:color w:val="1C3A36"/>
                <w:sz w:val="15"/>
              </w:rPr>
              <w:t>What this study uses, and why</w:t>
            </w:r>
          </w:p>
        </w:tc>
      </w:tr>
      <w:tr>
        <w:tc>
          <w:tcPr>
            <w:tcW w:type="dxa" w:w="2664"/>
          </w:tcPr>
          <w:p>
            <w:pPr>
              <w:spacing w:after="20"/>
            </w:pPr>
            <w:r>
              <w:rPr>
                <w:color w:val="1C3A36"/>
                <w:sz w:val="15"/>
              </w:rPr>
              <w:t>The company’s own reported historicals</w:t>
            </w:r>
          </w:p>
        </w:tc>
        <w:tc>
          <w:tcPr>
            <w:tcW w:type="dxa" w:w="5112"/>
          </w:tcPr>
          <w:p>
            <w:pPr>
              <w:spacing w:after="20"/>
            </w:pPr>
            <w:r>
              <w:rPr>
                <w:color w:val="1C3A36"/>
                <w:sz w:val="15"/>
              </w:rPr>
              <w:t>Aggregator restatements of revenue, profit and balance-sheet lines circulate for this name and differ in classification from the filings</w:t>
            </w:r>
          </w:p>
        </w:tc>
        <w:tc>
          <w:tcPr>
            <w:tcW w:type="dxa" w:w="6192"/>
          </w:tcPr>
          <w:p>
            <w:pPr>
              <w:spacing w:after="20"/>
            </w:pPr>
            <w:r>
              <w:rPr>
                <w:color w:val="1C3A36"/>
                <w:sz w:val="15"/>
              </w:rPr>
              <w:t>NONE of them is used. Every reported figure in this study comes from a document the company published itself, which is a hard gate rather than a preference. Where an aggregator and a filing disagree, the filing is right by definition of what is being measured.</w:t>
            </w:r>
          </w:p>
        </w:tc>
      </w:tr>
      <w:tr>
        <w:tc>
          <w:tcPr>
            <w:tcW w:type="dxa" w:w="2664"/>
          </w:tcPr>
          <w:p>
            <w:pPr>
              <w:spacing w:after="20"/>
            </w:pPr>
            <w:r>
              <w:rPr>
                <w:color w:val="1C3A36"/>
                <w:sz w:val="15"/>
              </w:rPr>
              <w:t>The equity beta</w:t>
            </w:r>
          </w:p>
        </w:tc>
        <w:tc>
          <w:tcPr>
            <w:tcW w:type="dxa" w:w="5112"/>
          </w:tcPr>
          <w:p>
            <w:pPr>
              <w:spacing w:after="20"/>
            </w:pPr>
            <w:r>
              <w:rPr>
                <w:color w:val="1C3A36"/>
                <w:sz w:val="15"/>
              </w:rPr>
              <w:t>A five-annual-observation estimate returning a negative slope with essentially no explanatory power</w:t>
            </w:r>
          </w:p>
        </w:tc>
        <w:tc>
          <w:tcPr>
            <w:tcW w:type="dxa" w:w="6192"/>
          </w:tcPr>
          <w:p>
            <w:pPr>
              <w:spacing w:after="20"/>
            </w:pPr>
            <w:r>
              <w:rPr>
                <w:color w:val="1C3A36"/>
                <w:sz w:val="15"/>
              </w:rPr>
              <w:t>Refused as unusable. The weekly regression in section 5 is what this edition adopts, and the superseded figure of 1 is recorded beside it rather than deleted.</w:t>
            </w:r>
          </w:p>
        </w:tc>
      </w:tr>
      <w:tr>
        <w:tc>
          <w:tcPr>
            <w:tcW w:type="dxa" w:w="2664"/>
          </w:tcPr>
          <w:p>
            <w:pPr>
              <w:spacing w:after="20"/>
            </w:pPr>
            <w:r>
              <w:rPr>
                <w:color w:val="1C3A36"/>
                <w:sz w:val="15"/>
              </w:rPr>
              <w:t>The associate stake percentage</w:t>
            </w:r>
          </w:p>
        </w:tc>
        <w:tc>
          <w:tcPr>
            <w:tcW w:type="dxa" w:w="5112"/>
          </w:tcPr>
          <w:p>
            <w:pPr>
              <w:spacing w:after="20"/>
            </w:pPr>
            <w:r>
              <w:rPr>
                <w:color w:val="1C3A36"/>
                <w:sz w:val="15"/>
              </w:rPr>
              <w:t>An estimate of roughly a fifth circulated in an early draft of this study, and the pre-transaction figure of 42.58% was carried for a period afterwards</w:t>
            </w:r>
          </w:p>
        </w:tc>
        <w:tc>
          <w:tcPr>
            <w:tcW w:type="dxa" w:w="6192"/>
          </w:tcPr>
          <w:p>
            <w:pPr>
              <w:spacing w:after="20"/>
            </w:pPr>
            <w:r>
              <w:rPr>
                <w:color w:val="1C3A36"/>
                <w:sz w:val="15"/>
              </w:rPr>
              <w:t>Neither is used. The company states the current figure directly in its own release, and that is what the study applies; the superseded figures are printed in the study body so a reader can see what changed.</w:t>
            </w:r>
          </w:p>
        </w:tc>
      </w:tr>
      <w:tr>
        <w:tc>
          <w:tcPr>
            <w:tcW w:type="dxa" w:w="2664"/>
          </w:tcPr>
          <w:p>
            <w:pPr>
              <w:spacing w:after="20"/>
            </w:pPr>
            <w:r>
              <w:rPr>
                <w:color w:val="1C3A36"/>
                <w:sz w:val="15"/>
              </w:rPr>
              <w:t>The exchange rate applied to the associate mark</w:t>
            </w:r>
          </w:p>
        </w:tc>
        <w:tc>
          <w:tcPr>
            <w:tcW w:type="dxa" w:w="5112"/>
          </w:tcPr>
          <w:p>
            <w:pPr>
              <w:spacing w:after="20"/>
            </w:pPr>
            <w:r>
              <w:rPr>
                <w:color w:val="1C3A36"/>
                <w:sz w:val="15"/>
              </w:rPr>
              <w:t>Quoted rates for the period differ by source and by whether they are official or parallel</w:t>
            </w:r>
          </w:p>
        </w:tc>
        <w:tc>
          <w:tcPr>
            <w:tcW w:type="dxa" w:w="6192"/>
          </w:tcPr>
          <w:p>
            <w:pPr>
              <w:spacing w:after="20"/>
            </w:pPr>
            <w:r>
              <w:rPr>
                <w:color w:val="1C3A36"/>
                <w:sz w:val="15"/>
              </w:rPr>
              <w:t>The rate used is stated in the study’s own disclosure section and flagged there as an estimate. It is a material input to one line and it is labelled as such rather than presented as a fact.</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